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834390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-125095</wp:posOffset>
            </wp:positionV>
            <wp:extent cx="720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6" w:lineRule="exact"/>
        <w:rPr>
          <w:sz w:val="24"/>
          <w:szCs w:val="24"/>
          <w:color w:val="auto"/>
        </w:rPr>
      </w:pPr>
    </w:p>
    <w:p>
      <w:pPr>
        <w:ind w:left="580" w:right="3960" w:hanging="572"/>
        <w:spacing w:after="0" w:line="490" w:lineRule="auto"/>
        <w:tabs>
          <w:tab w:leader="none" w:pos="5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October 28, 2023</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580"/>
        <w:spacing w:after="0"/>
        <w:tabs>
          <w:tab w:leader="none" w:pos="35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1870075</wp:posOffset>
            </wp:positionH>
            <wp:positionV relativeFrom="paragraph">
              <wp:posOffset>-5080</wp:posOffset>
            </wp:positionV>
            <wp:extent cx="866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6140"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001-32320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156845</wp:posOffset>
            </wp:positionV>
            <wp:extent cx="7200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BUILD-A-BEAR WORKSHOP,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tbl>
      <w:tblPr>
        <w:tblLayout w:type="fixed"/>
        <w:tblInd w:w="1280" w:type="dxa"/>
        <w:tblCellMar>
          <w:top w:w="0" w:type="dxa"/>
          <w:left w:w="0" w:type="dxa"/>
          <w:bottom w:w="0" w:type="dxa"/>
          <w:right w:w="0" w:type="dxa"/>
        </w:tblCellMar>
      </w:tblPr>
      <w:tr>
        <w:trPr>
          <w:trHeight w:val="216"/>
        </w:trPr>
        <w:tc>
          <w:tcPr>
            <w:tcW w:w="47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43-1883836</w:t>
            </w:r>
          </w:p>
        </w:tc>
      </w:tr>
      <w:tr>
        <w:trPr>
          <w:trHeight w:val="216"/>
        </w:trPr>
        <w:tc>
          <w:tcPr>
            <w:tcW w:w="47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100" w:type="dxa"/>
            <w:vAlign w:val="bottom"/>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476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3100" w:type="dxa"/>
            <w:vAlign w:val="bottom"/>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626"/>
        </w:trPr>
        <w:tc>
          <w:tcPr>
            <w:tcW w:w="47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9"/>
              </w:rPr>
              <w:t>415 South 18th St.</w:t>
            </w:r>
          </w:p>
        </w:tc>
        <w:tc>
          <w:tcPr>
            <w:tcW w:w="3100" w:type="dxa"/>
            <w:vAlign w:val="bottom"/>
          </w:tcPr>
          <w:p>
            <w:pPr>
              <w:spacing w:after="0"/>
              <w:rPr>
                <w:sz w:val="24"/>
                <w:szCs w:val="24"/>
                <w:color w:val="auto"/>
              </w:rPr>
            </w:pPr>
          </w:p>
        </w:tc>
      </w:tr>
      <w:tr>
        <w:trPr>
          <w:trHeight w:val="216"/>
        </w:trPr>
        <w:tc>
          <w:tcPr>
            <w:tcW w:w="47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9"/>
              </w:rPr>
              <w:t>St. Louis, Missouri</w:t>
            </w:r>
          </w:p>
        </w:tc>
        <w:tc>
          <w:tcPr>
            <w:tcW w:w="31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63103</w:t>
            </w:r>
          </w:p>
        </w:tc>
      </w:tr>
      <w:tr>
        <w:trPr>
          <w:trHeight w:val="238"/>
        </w:trPr>
        <w:tc>
          <w:tcPr>
            <w:tcW w:w="4760" w:type="dxa"/>
            <w:vAlign w:val="bottom"/>
          </w:tcPr>
          <w:p>
            <w:pPr>
              <w:jc w:val="center"/>
              <w:ind w:right="15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100" w:type="dxa"/>
            <w:vAlign w:val="bottom"/>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(314) 423-8000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142875</wp:posOffset>
            </wp:positionV>
            <wp:extent cx="720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98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34"/>
        </w:trPr>
        <w:tc>
          <w:tcPr>
            <w:tcW w:w="4920" w:type="dxa"/>
            <w:vAlign w:val="bottom"/>
            <w:tcBorders>
              <w:bottom w:val="single" w:sz="8" w:color="auto"/>
            </w:tcBorders>
          </w:tcPr>
          <w:p>
            <w:pPr>
              <w:jc w:val="center"/>
              <w:ind w:right="65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80" w:type="dxa"/>
            <w:vAlign w:val="bottom"/>
            <w:tcBorders>
              <w:bottom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color w:val="auto"/>
              </w:rPr>
              <w:t>Trading Symbol</w:t>
            </w:r>
          </w:p>
        </w:tc>
        <w:tc>
          <w:tcPr>
            <w:tcW w:w="434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92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rPr>
              <w:t>Common stock</w:t>
            </w:r>
          </w:p>
        </w:tc>
        <w:tc>
          <w:tcPr>
            <w:tcW w:w="198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rPr>
              <w:t>BBW</w:t>
            </w:r>
          </w:p>
        </w:tc>
        <w:tc>
          <w:tcPr>
            <w:tcW w:w="43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414"/>
        </w:trPr>
        <w:tc>
          <w:tcPr>
            <w:tcW w:w="4920" w:type="dxa"/>
            <w:vAlign w:val="bottom"/>
          </w:tcPr>
          <w:p>
            <w:pPr>
              <w:spacing w:after="0"/>
              <w:rPr>
                <w:sz w:val="24"/>
                <w:szCs w:val="24"/>
                <w:color w:val="auto"/>
              </w:rPr>
            </w:pPr>
          </w:p>
        </w:tc>
        <w:tc>
          <w:tcPr>
            <w:tcW w:w="19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88"/>
              </w:rPr>
              <w:t>1</w:t>
            </w:r>
          </w:p>
        </w:tc>
        <w:tc>
          <w:tcPr>
            <w:tcW w:w="4340" w:type="dxa"/>
            <w:vAlign w:val="bottom"/>
          </w:tcPr>
          <w:p>
            <w:pPr>
              <w:spacing w:after="0"/>
              <w:rPr>
                <w:sz w:val="24"/>
                <w:szCs w:val="24"/>
                <w:color w:val="auto"/>
              </w:rPr>
            </w:pPr>
          </w:p>
        </w:tc>
      </w:tr>
      <w:tr>
        <w:trPr>
          <w:trHeight w:val="115"/>
        </w:trPr>
        <w:tc>
          <w:tcPr>
            <w:tcW w:w="492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43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ind w:right="60"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1" w:right="3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36" w:lineRule="exact"/>
        <w:rPr>
          <w:sz w:val="20"/>
          <w:szCs w:val="20"/>
          <w:color w:val="auto"/>
        </w:rPr>
      </w:pPr>
    </w:p>
    <w:p>
      <w:pPr>
        <w:sectPr>
          <w:pgSz w:w="11900" w:h="16838" w:orient="portrait"/>
          <w:cols w:equalWidth="0" w:num="3">
            <w:col w:w="1620" w:space="100"/>
            <w:col w:w="5200" w:space="720"/>
            <w:col w:w="3600"/>
          </w:cols>
          <w:pgMar w:left="320" w:top="121" w:right="339" w:bottom="1440" w:gutter="0" w:footer="0" w:header="0"/>
          <w:type w:val="continuous"/>
        </w:sect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81"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0"/>
          <w:szCs w:val="20"/>
          <w:color w:val="auto"/>
        </w:rPr>
      </w:pPr>
    </w:p>
    <w:p>
      <w:pPr>
        <w:sectPr>
          <w:pgSz w:w="11900" w:h="16838" w:orient="portrait"/>
          <w:cols w:equalWidth="0" w:num="2">
            <w:col w:w="6920" w:space="720"/>
            <w:col w:w="3600"/>
          </w:cols>
          <w:pgMar w:left="320" w:top="121" w:right="339" w:bottom="1440" w:gutter="0" w:footer="0" w:header="0"/>
          <w:type w:val="continuous"/>
        </w:sectPr>
      </w:pPr>
    </w:p>
    <w:p>
      <w:pPr>
        <w:spacing w:after="0" w:line="17" w:lineRule="exact"/>
        <w:rPr>
          <w:sz w:val="20"/>
          <w:szCs w:val="20"/>
          <w:color w:val="auto"/>
        </w:rPr>
      </w:pPr>
    </w:p>
    <w:p>
      <w:pPr>
        <w:ind w:right="16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0"/>
          <w:szCs w:val="20"/>
          <w:color w:val="auto"/>
        </w:rPr>
      </w:pPr>
    </w:p>
    <w:p>
      <w:pPr>
        <w:ind w:left="660"/>
        <w:spacing w:after="0" w:line="207" w:lineRule="exact"/>
        <w:tabs>
          <w:tab w:leader="none" w:pos="8980" w:val="left"/>
          <w:tab w:leader="none" w:pos="968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4, 2023, there were 14,305,690 issued and outstanding shares of the registrant’s common stock.</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754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73"/>
        </w:trPr>
        <w:tc>
          <w:tcPr>
            <w:tcW w:w="1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300" w:type="dxa"/>
            <w:vAlign w:val="bottom"/>
            <w:gridSpan w:val="7"/>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BUILD-A-BEAR WORKSHOP, INC.</w:t>
            </w:r>
          </w:p>
        </w:tc>
        <w:tc>
          <w:tcPr>
            <w:tcW w:w="3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300" w:type="dxa"/>
            <w:vAlign w:val="bottom"/>
            <w:gridSpan w:val="6"/>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INDEX TO FORM 10-Q</w:t>
            </w:r>
          </w:p>
        </w:tc>
        <w:tc>
          <w:tcPr>
            <w:tcW w:w="3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1"/>
        </w:trPr>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00" w:type="dxa"/>
            <w:vAlign w:val="bottom"/>
            <w:gridSpan w:val="7"/>
          </w:tcPr>
          <w:p>
            <w:pPr>
              <w:ind w:left="3320"/>
              <w:spacing w:after="0"/>
              <w:rPr>
                <w:sz w:val="20"/>
                <w:szCs w:val="20"/>
                <w:color w:val="auto"/>
              </w:rPr>
            </w:pPr>
            <w:r>
              <w:rPr>
                <w:rFonts w:ascii="Times New Roman" w:cs="Times New Roman" w:eastAsia="Times New Roman" w:hAnsi="Times New Roman"/>
                <w:sz w:val="18"/>
                <w:szCs w:val="18"/>
                <w:color w:val="auto"/>
              </w:rPr>
              <w:t>Page</w:t>
            </w:r>
          </w:p>
        </w:tc>
      </w:tr>
      <w:tr>
        <w:trPr>
          <w:trHeight w:val="21"/>
        </w:trPr>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754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 Financial Information</w:t>
            </w:r>
          </w:p>
        </w:tc>
        <w:tc>
          <w:tcPr>
            <w:tcW w:w="3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6"/>
        </w:trPr>
        <w:tc>
          <w:tcPr>
            <w:tcW w:w="160" w:type="dxa"/>
            <w:vAlign w:val="bottom"/>
            <w:shd w:val="clear" w:color="auto" w:fill="CCEEFF"/>
          </w:tcPr>
          <w:p>
            <w:pPr>
              <w:spacing w:after="0"/>
              <w:rPr>
                <w:sz w:val="15"/>
                <w:szCs w:val="15"/>
                <w:color w:val="auto"/>
              </w:rPr>
            </w:pPr>
          </w:p>
        </w:tc>
        <w:tc>
          <w:tcPr>
            <w:tcW w:w="7380" w:type="dxa"/>
            <w:vAlign w:val="bottom"/>
            <w:gridSpan w:val="1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  Financial Statements (Unaudited)</w:t>
            </w:r>
          </w:p>
        </w:tc>
        <w:tc>
          <w:tcPr>
            <w:tcW w:w="3580" w:type="dxa"/>
            <w:vAlign w:val="bottom"/>
            <w:gridSpan w:val="5"/>
            <w:shd w:val="clear" w:color="auto" w:fill="CCEEFF"/>
          </w:tcPr>
          <w:p>
            <w:pPr>
              <w:jc w:val="center"/>
              <w:ind w:left="3330"/>
              <w:spacing w:after="0" w:line="176" w:lineRule="exact"/>
              <w:rPr>
                <w:sz w:val="20"/>
                <w:szCs w:val="20"/>
                <w:color w:val="auto"/>
              </w:rPr>
            </w:pPr>
            <w:r>
              <w:rPr>
                <w:rFonts w:ascii="Times New Roman" w:cs="Times New Roman" w:eastAsia="Times New Roman" w:hAnsi="Times New Roman"/>
                <w:sz w:val="18"/>
                <w:szCs w:val="18"/>
                <w:color w:val="0000EE"/>
                <w:w w:val="88"/>
              </w:rPr>
              <w:t>4</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4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w:t>
            </w:r>
          </w:p>
        </w:tc>
        <w:tc>
          <w:tcPr>
            <w:tcW w:w="3580" w:type="dxa"/>
            <w:vAlign w:val="bottom"/>
            <w:gridSpan w:val="5"/>
          </w:tcPr>
          <w:p>
            <w:pPr>
              <w:jc w:val="center"/>
              <w:ind w:left="3330"/>
              <w:spacing w:after="0" w:line="176" w:lineRule="exact"/>
              <w:rPr>
                <w:sz w:val="20"/>
                <w:szCs w:val="20"/>
                <w:color w:val="auto"/>
              </w:rPr>
            </w:pPr>
            <w:r>
              <w:rPr>
                <w:rFonts w:ascii="Times New Roman" w:cs="Times New Roman" w:eastAsia="Times New Roman" w:hAnsi="Times New Roman"/>
                <w:sz w:val="18"/>
                <w:szCs w:val="18"/>
                <w:color w:val="0000EE"/>
                <w:w w:val="88"/>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4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and Comprehensive Income (Loss)</w:t>
            </w:r>
          </w:p>
        </w:tc>
        <w:tc>
          <w:tcPr>
            <w:tcW w:w="3580" w:type="dxa"/>
            <w:vAlign w:val="bottom"/>
            <w:gridSpan w:val="5"/>
            <w:shd w:val="clear" w:color="auto" w:fill="CCEEFF"/>
          </w:tcPr>
          <w:p>
            <w:pPr>
              <w:jc w:val="center"/>
              <w:ind w:left="3330"/>
              <w:spacing w:after="0" w:line="176" w:lineRule="exact"/>
              <w:rPr>
                <w:sz w:val="20"/>
                <w:szCs w:val="20"/>
                <w:color w:val="auto"/>
              </w:rPr>
            </w:pPr>
            <w:r>
              <w:rPr>
                <w:rFonts w:ascii="Times New Roman" w:cs="Times New Roman" w:eastAsia="Times New Roman" w:hAnsi="Times New Roman"/>
                <w:sz w:val="18"/>
                <w:szCs w:val="18"/>
                <w:color w:val="0000EE"/>
                <w:w w:val="88"/>
              </w:rPr>
              <w:t>5</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9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4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3580" w:type="dxa"/>
            <w:vAlign w:val="bottom"/>
            <w:gridSpan w:val="5"/>
          </w:tcPr>
          <w:p>
            <w:pPr>
              <w:jc w:val="center"/>
              <w:ind w:left="3330"/>
              <w:spacing w:after="0" w:line="176" w:lineRule="exact"/>
              <w:rPr>
                <w:sz w:val="20"/>
                <w:szCs w:val="20"/>
                <w:color w:val="auto"/>
              </w:rPr>
            </w:pPr>
            <w:r>
              <w:rPr>
                <w:rFonts w:ascii="Times New Roman" w:cs="Times New Roman" w:eastAsia="Times New Roman" w:hAnsi="Times New Roman"/>
                <w:sz w:val="18"/>
                <w:szCs w:val="18"/>
                <w:color w:val="0000EE"/>
                <w:w w:val="88"/>
              </w:rPr>
              <w:t>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4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3580" w:type="dxa"/>
            <w:vAlign w:val="bottom"/>
            <w:gridSpan w:val="5"/>
            <w:shd w:val="clear" w:color="auto" w:fill="CCEEFF"/>
          </w:tcPr>
          <w:p>
            <w:pPr>
              <w:jc w:val="center"/>
              <w:ind w:left="3330"/>
              <w:spacing w:after="0" w:line="176" w:lineRule="exact"/>
              <w:rPr>
                <w:sz w:val="20"/>
                <w:szCs w:val="20"/>
                <w:color w:val="auto"/>
              </w:rPr>
            </w:pPr>
            <w:r>
              <w:rPr>
                <w:rFonts w:ascii="Times New Roman" w:cs="Times New Roman" w:eastAsia="Times New Roman" w:hAnsi="Times New Roman"/>
                <w:sz w:val="18"/>
                <w:szCs w:val="18"/>
                <w:color w:val="0000EE"/>
                <w:w w:val="88"/>
              </w:rPr>
              <w:t>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gridSpan w:val="2"/>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7380" w:type="dxa"/>
            <w:vAlign w:val="bottom"/>
            <w:gridSpan w:val="1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3680" w:type="dxa"/>
            <w:vAlign w:val="bottom"/>
            <w:gridSpan w:val="6"/>
            <w:shd w:val="clear" w:color="auto" w:fill="CCEEFF"/>
          </w:tcPr>
          <w:p>
            <w:pPr>
              <w:jc w:val="center"/>
              <w:ind w:left="3210"/>
              <w:spacing w:after="0" w:line="176" w:lineRule="exact"/>
              <w:rPr>
                <w:sz w:val="20"/>
                <w:szCs w:val="20"/>
                <w:color w:val="auto"/>
              </w:rPr>
            </w:pPr>
            <w:r>
              <w:rPr>
                <w:rFonts w:ascii="Times New Roman" w:cs="Times New Roman" w:eastAsia="Times New Roman" w:hAnsi="Times New Roman"/>
                <w:sz w:val="18"/>
                <w:szCs w:val="18"/>
                <w:color w:val="0000EE"/>
                <w:w w:val="99"/>
              </w:rPr>
              <w:t>16</w:t>
            </w: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4"/>
              </w:rPr>
              <w:t>Item 3.</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72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3680" w:type="dxa"/>
            <w:vAlign w:val="bottom"/>
            <w:gridSpan w:val="6"/>
            <w:shd w:val="clear" w:color="auto" w:fill="CCEEFF"/>
          </w:tcPr>
          <w:p>
            <w:pPr>
              <w:jc w:val="center"/>
              <w:ind w:left="3210"/>
              <w:spacing w:after="0" w:line="176" w:lineRule="exact"/>
              <w:rPr>
                <w:sz w:val="20"/>
                <w:szCs w:val="20"/>
                <w:color w:val="auto"/>
              </w:rPr>
            </w:pPr>
            <w:r>
              <w:rPr>
                <w:rFonts w:ascii="Times New Roman" w:cs="Times New Roman" w:eastAsia="Times New Roman" w:hAnsi="Times New Roman"/>
                <w:sz w:val="18"/>
                <w:szCs w:val="18"/>
                <w:color w:val="0000EE"/>
                <w:w w:val="99"/>
              </w:rPr>
              <w:t>24</w:t>
            </w: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4"/>
              </w:rPr>
              <w:t>Item 4.</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72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3680" w:type="dxa"/>
            <w:vAlign w:val="bottom"/>
            <w:gridSpan w:val="6"/>
            <w:shd w:val="clear" w:color="auto" w:fill="CCEEFF"/>
          </w:tcPr>
          <w:p>
            <w:pPr>
              <w:jc w:val="center"/>
              <w:ind w:left="3210"/>
              <w:spacing w:after="0" w:line="176" w:lineRule="exact"/>
              <w:rPr>
                <w:sz w:val="20"/>
                <w:szCs w:val="20"/>
                <w:color w:val="auto"/>
              </w:rPr>
            </w:pPr>
            <w:r>
              <w:rPr>
                <w:rFonts w:ascii="Times New Roman" w:cs="Times New Roman" w:eastAsia="Times New Roman" w:hAnsi="Times New Roman"/>
                <w:sz w:val="18"/>
                <w:szCs w:val="18"/>
                <w:color w:val="0000EE"/>
                <w:w w:val="99"/>
              </w:rPr>
              <w:t>24</w:t>
            </w: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754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II Other Information</w:t>
            </w:r>
          </w:p>
        </w:tc>
        <w:tc>
          <w:tcPr>
            <w:tcW w:w="3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7380" w:type="dxa"/>
            <w:vAlign w:val="bottom"/>
            <w:gridSpan w:val="17"/>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Item 1A.Risk Factors</w:t>
            </w:r>
          </w:p>
        </w:tc>
        <w:tc>
          <w:tcPr>
            <w:tcW w:w="3680" w:type="dxa"/>
            <w:vAlign w:val="bottom"/>
            <w:gridSpan w:val="6"/>
            <w:shd w:val="clear" w:color="auto" w:fill="CCEEFF"/>
          </w:tcPr>
          <w:p>
            <w:pPr>
              <w:jc w:val="center"/>
              <w:ind w:left="3210"/>
              <w:spacing w:after="0" w:line="176" w:lineRule="exact"/>
              <w:rPr>
                <w:sz w:val="20"/>
                <w:szCs w:val="20"/>
                <w:color w:val="auto"/>
              </w:rPr>
            </w:pPr>
            <w:r>
              <w:rPr>
                <w:rFonts w:ascii="Times New Roman" w:cs="Times New Roman" w:eastAsia="Times New Roman" w:hAnsi="Times New Roman"/>
                <w:sz w:val="18"/>
                <w:szCs w:val="18"/>
                <w:color w:val="0000EE"/>
                <w:w w:val="99"/>
              </w:rPr>
              <w:t>25</w:t>
            </w: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4"/>
              </w:rPr>
              <w:t>Item 2.</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72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3680" w:type="dxa"/>
            <w:vAlign w:val="bottom"/>
            <w:gridSpan w:val="6"/>
            <w:shd w:val="clear" w:color="auto" w:fill="CCEEFF"/>
          </w:tcPr>
          <w:p>
            <w:pPr>
              <w:jc w:val="center"/>
              <w:ind w:left="3210"/>
              <w:spacing w:after="0" w:line="176" w:lineRule="exact"/>
              <w:rPr>
                <w:sz w:val="20"/>
                <w:szCs w:val="20"/>
                <w:color w:val="auto"/>
              </w:rPr>
            </w:pPr>
            <w:r>
              <w:rPr>
                <w:rFonts w:ascii="Times New Roman" w:cs="Times New Roman" w:eastAsia="Times New Roman" w:hAnsi="Times New Roman"/>
                <w:sz w:val="18"/>
                <w:szCs w:val="18"/>
                <w:color w:val="0000EE"/>
                <w:w w:val="99"/>
              </w:rPr>
              <w:t>25</w:t>
            </w: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4"/>
              </w:rPr>
              <w:t>Item 6.</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Exhibits</w:t>
            </w:r>
          </w:p>
        </w:tc>
        <w:tc>
          <w:tcPr>
            <w:tcW w:w="6120" w:type="dxa"/>
            <w:vAlign w:val="bottom"/>
            <w:gridSpan w:val="10"/>
            <w:shd w:val="clear" w:color="auto" w:fill="CCEEFF"/>
          </w:tcPr>
          <w:p>
            <w:pPr>
              <w:spacing w:after="0"/>
              <w:rPr>
                <w:sz w:val="17"/>
                <w:szCs w:val="17"/>
                <w:color w:val="auto"/>
              </w:rPr>
            </w:pPr>
          </w:p>
        </w:tc>
        <w:tc>
          <w:tcPr>
            <w:tcW w:w="3400" w:type="dxa"/>
            <w:vAlign w:val="bottom"/>
            <w:gridSpan w:val="2"/>
            <w:shd w:val="clear" w:color="auto" w:fill="CCEEFF"/>
          </w:tcPr>
          <w:p>
            <w:pPr>
              <w:spacing w:after="0"/>
              <w:rPr>
                <w:sz w:val="17"/>
                <w:szCs w:val="17"/>
                <w:color w:val="auto"/>
              </w:rPr>
            </w:pPr>
          </w:p>
        </w:tc>
        <w:tc>
          <w:tcPr>
            <w:tcW w:w="280" w:type="dxa"/>
            <w:vAlign w:val="bottom"/>
            <w:gridSpan w:val="4"/>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0000EE"/>
                <w:w w:val="99"/>
              </w:rPr>
              <w:t>26</w:t>
            </w: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75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3680" w:type="dxa"/>
            <w:vAlign w:val="bottom"/>
            <w:gridSpan w:val="6"/>
            <w:shd w:val="clear" w:color="auto" w:fill="CCEEFF"/>
          </w:tcPr>
          <w:p>
            <w:pPr>
              <w:jc w:val="center"/>
              <w:ind w:left="3210"/>
              <w:spacing w:after="0" w:line="176" w:lineRule="exact"/>
              <w:rPr>
                <w:sz w:val="20"/>
                <w:szCs w:val="20"/>
                <w:color w:val="auto"/>
              </w:rPr>
            </w:pPr>
            <w:r>
              <w:rPr>
                <w:rFonts w:ascii="Times New Roman" w:cs="Times New Roman" w:eastAsia="Times New Roman" w:hAnsi="Times New Roman"/>
                <w:sz w:val="18"/>
                <w:szCs w:val="18"/>
                <w:color w:val="0000EE"/>
                <w:w w:val="99"/>
              </w:rPr>
              <w:t>27</w:t>
            </w:r>
          </w:p>
        </w:tc>
        <w:tc>
          <w:tcPr>
            <w:tcW w:w="20" w:type="dxa"/>
            <w:vAlign w:val="bottom"/>
            <w:shd w:val="clear" w:color="auto" w:fill="CCEEFF"/>
          </w:tcPr>
          <w:p>
            <w:pPr>
              <w:spacing w:after="0"/>
              <w:rPr>
                <w:sz w:val="17"/>
                <w:szCs w:val="17"/>
                <w:color w:val="auto"/>
              </w:rPr>
            </w:pPr>
          </w:p>
        </w:tc>
      </w:tr>
      <w:tr>
        <w:trPr>
          <w:trHeight w:val="432"/>
        </w:trPr>
        <w:tc>
          <w:tcPr>
            <w:tcW w:w="1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520" w:type="dxa"/>
            <w:vAlign w:val="bottom"/>
            <w:tcBorders>
              <w:top w:val="single" w:sz="8" w:color="CCEEFF"/>
            </w:tcBorders>
            <w:gridSpan w:val="14"/>
          </w:tcPr>
          <w:p>
            <w:pPr>
              <w:jc w:val="center"/>
              <w:ind w:left="3110"/>
              <w:spacing w:after="0"/>
              <w:rPr>
                <w:sz w:val="20"/>
                <w:szCs w:val="20"/>
                <w:color w:val="auto"/>
              </w:rPr>
            </w:pPr>
            <w:r>
              <w:rPr>
                <w:rFonts w:ascii="Times New Roman" w:cs="Times New Roman" w:eastAsia="Times New Roman" w:hAnsi="Times New Roman"/>
                <w:sz w:val="18"/>
                <w:szCs w:val="18"/>
                <w:color w:val="auto"/>
                <w:w w:val="88"/>
              </w:rPr>
              <w:t>3</w:t>
            </w:r>
          </w:p>
        </w:tc>
        <w:tc>
          <w:tcPr>
            <w:tcW w:w="260" w:type="dxa"/>
            <w:vAlign w:val="bottom"/>
            <w:tcBorders>
              <w:top w:val="single" w:sz="8" w:color="CCEEFF"/>
            </w:tcBorders>
          </w:tcPr>
          <w:p>
            <w:pPr>
              <w:spacing w:after="0"/>
              <w:rPr>
                <w:sz w:val="24"/>
                <w:szCs w:val="24"/>
                <w:color w:val="auto"/>
              </w:rPr>
            </w:pPr>
          </w:p>
        </w:tc>
        <w:tc>
          <w:tcPr>
            <w:tcW w:w="33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115"/>
        </w:trPr>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3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BUILD-A-BEAR WORKSHOP,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October 28,</w:t>
            </w:r>
          </w:p>
        </w:tc>
        <w:tc>
          <w:tcPr>
            <w:tcW w:w="18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January 28,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October 29,</w:t>
            </w:r>
          </w:p>
        </w:tc>
      </w:tr>
      <w:tr>
        <w:trPr>
          <w:trHeight w:val="238"/>
        </w:trPr>
        <w:tc>
          <w:tcPr>
            <w:tcW w:w="6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0"/>
                <w:szCs w:val="20"/>
                <w:color w:val="auto"/>
              </w:rPr>
            </w:pPr>
          </w:p>
        </w:tc>
      </w:tr>
      <w:tr>
        <w:trPr>
          <w:trHeight w:val="209"/>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(Unaudited)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(Unaudited)</w:t>
            </w: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52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24,800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42,198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12,023</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64,466</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70,485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88,339</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Receivables, net</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13,908</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15,374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15,894</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13,592</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19,374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10,379</w:t>
            </w:r>
          </w:p>
        </w:tc>
      </w:tr>
      <w:tr>
        <w:trPr>
          <w:trHeight w:val="20"/>
        </w:trPr>
        <w:tc>
          <w:tcPr>
            <w:tcW w:w="6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116,766</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147,431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126,635</w:t>
            </w:r>
          </w:p>
        </w:tc>
      </w:tr>
      <w:tr>
        <w:trPr>
          <w:trHeight w:val="216"/>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67,768</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71,791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76,236</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51,914</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50,759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46,264</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6,822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6,592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7,561</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100" w:type="dxa"/>
            <w:vAlign w:val="bottom"/>
          </w:tcPr>
          <w:p>
            <w:pPr>
              <w:spacing w:after="0"/>
              <w:rPr>
                <w:sz w:val="18"/>
                <w:szCs w:val="18"/>
                <w:color w:val="auto"/>
              </w:rPr>
            </w:pPr>
          </w:p>
        </w:tc>
      </w:tr>
      <w:tr>
        <w:trPr>
          <w:trHeight w:val="24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250,543</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280,794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259,801</w:t>
            </w:r>
          </w:p>
        </w:tc>
      </w:tr>
      <w:tr>
        <w:trPr>
          <w:trHeight w:val="197"/>
        </w:trPr>
        <w:tc>
          <w:tcPr>
            <w:tcW w:w="6320" w:type="dxa"/>
            <w:vAlign w:val="bottom"/>
            <w:tcBorders>
              <w:top w:val="single" w:sz="8" w:color="CCEEFF"/>
            </w:tcBorders>
          </w:tcPr>
          <w:p>
            <w:pPr>
              <w:spacing w:after="0"/>
              <w:rPr>
                <w:sz w:val="17"/>
                <w:szCs w:val="17"/>
                <w:color w:val="auto"/>
              </w:rPr>
            </w:pPr>
          </w:p>
        </w:tc>
        <w:tc>
          <w:tcPr>
            <w:tcW w:w="1460" w:type="dxa"/>
            <w:vAlign w:val="bottom"/>
            <w:tcBorders>
              <w:top w:val="single" w:sz="8" w:color="auto"/>
            </w:tcBorders>
            <w:gridSpan w:val="2"/>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20" w:type="dxa"/>
            <w:vAlign w:val="bottom"/>
            <w:gridSpan w:val="5"/>
            <w:shd w:val="clear" w:color="auto" w:fill="CCEEFF"/>
          </w:tcPr>
          <w:p>
            <w:pPr>
              <w:ind w:left="36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11,961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10,286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19,514</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25,319</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37,358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25,764</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liability short term</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26,002</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27,436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27,644</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Gift cards and customer deposits</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18,366</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19,425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18,287</w:t>
            </w:r>
          </w:p>
        </w:tc>
      </w:tr>
      <w:tr>
        <w:trPr>
          <w:trHeight w:val="216"/>
        </w:trPr>
        <w:tc>
          <w:tcPr>
            <w:tcW w:w="6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and other</w:t>
            </w: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w:t>
            </w: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5,713</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23"/>
        </w:trPr>
        <w:tc>
          <w:tcPr>
            <w:tcW w:w="6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tcPr>
          <w:p>
            <w:pPr>
              <w:spacing w:after="0"/>
              <w:rPr>
                <w:sz w:val="19"/>
                <w:szCs w:val="19"/>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85,313</w:t>
            </w:r>
          </w:p>
        </w:tc>
        <w:tc>
          <w:tcPr>
            <w:tcW w:w="18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101,151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96,922</w:t>
            </w:r>
          </w:p>
        </w:tc>
      </w:tr>
      <w:tr>
        <w:trPr>
          <w:trHeight w:val="216"/>
        </w:trPr>
        <w:tc>
          <w:tcPr>
            <w:tcW w:w="6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long term</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52,423</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59,080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64,212</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1,446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1,569</w:t>
            </w:r>
          </w:p>
        </w:tc>
      </w:tr>
      <w:tr>
        <w:trPr>
          <w:trHeight w:val="216"/>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63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par value $0.01, Shares authorized: 15,000,000; No shares issued</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 outstanding at October 28, 2023, January 28, 2023 and October 29, 2022</w:t>
            </w:r>
          </w:p>
        </w:tc>
        <w:tc>
          <w:tcPr>
            <w:tcW w:w="18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3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par value $0.01, Shares authorized: 50,000,000; Issued and</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14,391,876, 14,802,338, and 14,718,368 shares, respectively</w:t>
            </w:r>
          </w:p>
        </w:tc>
        <w:tc>
          <w:tcPr>
            <w:tcW w:w="180" w:type="dxa"/>
            <w:vAlign w:val="bottom"/>
            <w:shd w:val="clear" w:color="auto" w:fill="CCEEFF"/>
          </w:tcPr>
          <w:p>
            <w:pPr>
              <w:spacing w:after="0"/>
              <w:rPr>
                <w:sz w:val="20"/>
                <w:szCs w:val="20"/>
                <w:color w:val="auto"/>
              </w:rPr>
            </w:pPr>
          </w:p>
        </w:tc>
        <w:tc>
          <w:tcPr>
            <w:tcW w:w="1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144</w:t>
            </w:r>
          </w:p>
        </w:tc>
        <w:tc>
          <w:tcPr>
            <w:tcW w:w="1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66,641</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69,868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68,422</w:t>
            </w:r>
          </w:p>
        </w:tc>
      </w:tr>
      <w:tr>
        <w:trPr>
          <w:trHeight w:val="216"/>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(12,319)</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(12,274)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(12,336)</w:t>
            </w:r>
          </w:p>
        </w:tc>
      </w:tr>
      <w:tr>
        <w:trPr>
          <w:trHeight w:val="216"/>
        </w:trPr>
        <w:tc>
          <w:tcPr>
            <w:tcW w:w="6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57,182</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61,375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40,865</w:t>
            </w:r>
          </w:p>
        </w:tc>
      </w:tr>
      <w:tr>
        <w:trPr>
          <w:trHeight w:val="20"/>
        </w:trPr>
        <w:tc>
          <w:tcPr>
            <w:tcW w:w="6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111,648</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119,117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97,098</w:t>
            </w:r>
          </w:p>
        </w:tc>
      </w:tr>
      <w:tr>
        <w:trPr>
          <w:trHeight w:val="210"/>
        </w:trPr>
        <w:tc>
          <w:tcPr>
            <w:tcW w:w="6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250,543</w:t>
            </w:r>
          </w:p>
        </w:tc>
        <w:tc>
          <w:tcPr>
            <w:tcW w:w="20" w:type="dxa"/>
            <w:vAlign w:val="bottom"/>
            <w:tcBorders>
              <w:top w:val="single" w:sz="8" w:color="CCEEFF"/>
              <w:bottom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280,794</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259,801</w:t>
            </w:r>
          </w:p>
        </w:tc>
        <w:tc>
          <w:tcPr>
            <w:tcW w:w="100" w:type="dxa"/>
            <w:vAlign w:val="bottom"/>
            <w:tcBorders>
              <w:top w:val="single" w:sz="8" w:color="CCEEFF"/>
            </w:tcBorders>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7420" w:type="dxa"/>
            <w:vAlign w:val="bottom"/>
            <w:gridSpan w:val="8"/>
          </w:tcPr>
          <w:p>
            <w:pPr>
              <w:jc w:val="center"/>
              <w:ind w:left="1170"/>
              <w:spacing w:after="0"/>
              <w:rPr>
                <w:sz w:val="20"/>
                <w:szCs w:val="20"/>
                <w:color w:val="auto"/>
              </w:rPr>
            </w:pPr>
            <w:r>
              <w:rPr>
                <w:rFonts w:ascii="Times New Roman" w:cs="Times New Roman" w:eastAsia="Times New Roman" w:hAnsi="Times New Roman"/>
                <w:sz w:val="18"/>
                <w:szCs w:val="18"/>
                <w:b w:val="1"/>
                <w:bCs w:val="1"/>
                <w:color w:val="auto"/>
                <w:w w:val="99"/>
              </w:rPr>
              <w:t>BUILD-A-BEAR WORKSHOP, INC. AND SUBSIDIARIES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420" w:type="dxa"/>
            <w:vAlign w:val="bottom"/>
            <w:gridSpan w:val="8"/>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12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328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AND COMPREHENSIVE INCOME</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1280" w:type="dxa"/>
            <w:vAlign w:val="bottom"/>
          </w:tcPr>
          <w:p>
            <w:pPr>
              <w:spacing w:after="0"/>
              <w:rPr>
                <w:sz w:val="20"/>
                <w:szCs w:val="20"/>
                <w:color w:val="auto"/>
              </w:rPr>
            </w:pPr>
          </w:p>
        </w:tc>
        <w:tc>
          <w:tcPr>
            <w:tcW w:w="7420" w:type="dxa"/>
            <w:vAlign w:val="bottom"/>
            <w:gridSpan w:val="8"/>
          </w:tcPr>
          <w:p>
            <w:pPr>
              <w:jc w:val="center"/>
              <w:ind w:left="1190"/>
              <w:spacing w:after="0"/>
              <w:rPr>
                <w:sz w:val="20"/>
                <w:szCs w:val="20"/>
                <w:color w:val="auto"/>
              </w:rPr>
            </w:pPr>
            <w:r>
              <w:rPr>
                <w:rFonts w:ascii="Times New Roman" w:cs="Times New Roman" w:eastAsia="Times New Roman" w:hAnsi="Times New Roman"/>
                <w:sz w:val="18"/>
                <w:szCs w:val="18"/>
                <w:color w:val="auto"/>
              </w:rPr>
              <w:t>(Dollars in thousands, except share and per share data)</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00" w:type="dxa"/>
            <w:vAlign w:val="bottom"/>
          </w:tcPr>
          <w:p>
            <w:pPr>
              <w:spacing w:after="0"/>
              <w:rPr>
                <w:sz w:val="24"/>
                <w:szCs w:val="24"/>
                <w:color w:val="auto"/>
              </w:rPr>
            </w:pPr>
          </w:p>
        </w:tc>
        <w:tc>
          <w:tcPr>
            <w:tcW w:w="244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187"/>
        </w:trPr>
        <w:tc>
          <w:tcPr>
            <w:tcW w:w="12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October 28,</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7"/>
              </w:rPr>
              <w:t>October 29,</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October 28,</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7"/>
              </w:rPr>
              <w:t>October 29,</w:t>
            </w:r>
          </w:p>
        </w:tc>
        <w:tc>
          <w:tcPr>
            <w:tcW w:w="100" w:type="dxa"/>
            <w:vAlign w:val="bottom"/>
          </w:tcPr>
          <w:p>
            <w:pPr>
              <w:spacing w:after="0"/>
              <w:rPr>
                <w:sz w:val="16"/>
                <w:szCs w:val="16"/>
                <w:color w:val="auto"/>
              </w:rPr>
            </w:pPr>
          </w:p>
        </w:tc>
      </w:tr>
      <w:tr>
        <w:trPr>
          <w:trHeight w:val="238"/>
        </w:trPr>
        <w:tc>
          <w:tcPr>
            <w:tcW w:w="12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retail sales</w:t>
            </w:r>
          </w:p>
        </w:tc>
        <w:tc>
          <w:tcPr>
            <w:tcW w:w="2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100,411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99,229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315,972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308,001</w:t>
            </w:r>
          </w:p>
        </w:tc>
      </w:tr>
      <w:tr>
        <w:trPr>
          <w:trHeight w:val="216"/>
        </w:trPr>
        <w:tc>
          <w:tcPr>
            <w:tcW w:w="4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revenue</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6,020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4,125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17,685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12,464</w:t>
            </w:r>
          </w:p>
        </w:tc>
      </w:tr>
      <w:tr>
        <w:trPr>
          <w:trHeight w:val="216"/>
        </w:trPr>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International franchising</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1,131</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1,126</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3,180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2,362</w:t>
            </w:r>
          </w:p>
        </w:tc>
      </w:tr>
      <w:tr>
        <w:trPr>
          <w:trHeight w:val="20"/>
        </w:trPr>
        <w:tc>
          <w:tcPr>
            <w:tcW w:w="12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0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revenues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107,562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104,480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336,837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322,827</w:t>
            </w:r>
          </w:p>
        </w:tc>
      </w:tr>
      <w:tr>
        <w:trPr>
          <w:trHeight w:val="210"/>
        </w:trPr>
        <w:tc>
          <w:tcPr>
            <w:tcW w:w="1280" w:type="dxa"/>
            <w:vAlign w:val="bottom"/>
            <w:tcBorders>
              <w:top w:val="single" w:sz="8" w:color="CCEEFF"/>
            </w:tcBorders>
          </w:tcPr>
          <w:p>
            <w:pPr>
              <w:spacing w:after="0"/>
              <w:rPr>
                <w:sz w:val="18"/>
                <w:szCs w:val="18"/>
                <w:color w:val="auto"/>
              </w:rPr>
            </w:pPr>
          </w:p>
        </w:tc>
        <w:tc>
          <w:tcPr>
            <w:tcW w:w="280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merchandise sold - retail</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47,551</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47,354</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146,165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149,341</w:t>
            </w:r>
          </w:p>
        </w:tc>
      </w:tr>
      <w:tr>
        <w:trPr>
          <w:trHeight w:val="216"/>
        </w:trPr>
        <w:tc>
          <w:tcPr>
            <w:tcW w:w="4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merchandise sold - commercial</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2,675</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1,929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8,458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5,824</w:t>
            </w:r>
          </w:p>
        </w:tc>
      </w:tr>
      <w:tr>
        <w:trPr>
          <w:trHeight w:val="216"/>
        </w:trPr>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Cost of merchandise sold - international franchising</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2,042</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1,593</w:t>
            </w:r>
          </w:p>
        </w:tc>
      </w:tr>
      <w:tr>
        <w:trPr>
          <w:trHeight w:val="20"/>
        </w:trPr>
        <w:tc>
          <w:tcPr>
            <w:tcW w:w="12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0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cost of merchandise sold</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50,929</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50,150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156,665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156,758</w:t>
            </w:r>
          </w:p>
        </w:tc>
      </w:tr>
      <w:tr>
        <w:trPr>
          <w:trHeight w:val="20"/>
        </w:trPr>
        <w:tc>
          <w:tcPr>
            <w:tcW w:w="1280" w:type="dxa"/>
            <w:vAlign w:val="bottom"/>
            <w:shd w:val="clear" w:color="auto" w:fill="CCEEFF"/>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Consolidated gross profit</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56,633</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54,330</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180,172</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166,069</w:t>
            </w:r>
          </w:p>
        </w:tc>
      </w:tr>
      <w:tr>
        <w:trPr>
          <w:trHeight w:val="216"/>
        </w:trPr>
        <w:tc>
          <w:tcPr>
            <w:tcW w:w="4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46,566</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44,436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140,516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130,320</w:t>
            </w:r>
          </w:p>
        </w:tc>
      </w:tr>
      <w:tr>
        <w:trPr>
          <w:trHeight w:val="216"/>
        </w:trPr>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12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0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10,348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9,888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40,180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35,722</w:t>
            </w: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2,762</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2,433</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9,648</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8,247</w:t>
            </w:r>
          </w:p>
        </w:tc>
      </w:tr>
      <w:tr>
        <w:trPr>
          <w:trHeight w:val="20"/>
        </w:trPr>
        <w:tc>
          <w:tcPr>
            <w:tcW w:w="12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40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income</w:t>
            </w:r>
          </w:p>
        </w:tc>
        <w:tc>
          <w:tcPr>
            <w:tcW w:w="2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7,586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7,455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30,532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27,475</w:t>
            </w:r>
          </w:p>
        </w:tc>
      </w:tr>
      <w:tr>
        <w:trPr>
          <w:trHeight w:val="197"/>
        </w:trPr>
        <w:tc>
          <w:tcPr>
            <w:tcW w:w="1280" w:type="dxa"/>
            <w:vAlign w:val="bottom"/>
            <w:tcBorders>
              <w:top w:val="single" w:sz="8" w:color="CCEEFF"/>
            </w:tcBorders>
          </w:tcPr>
          <w:p>
            <w:pPr>
              <w:spacing w:after="0"/>
              <w:rPr>
                <w:sz w:val="17"/>
                <w:szCs w:val="17"/>
                <w:color w:val="auto"/>
              </w:rPr>
            </w:pPr>
          </w:p>
        </w:tc>
        <w:tc>
          <w:tcPr>
            <w:tcW w:w="2800" w:type="dxa"/>
            <w:vAlign w:val="bottom"/>
            <w:tcBorders>
              <w:top w:val="single" w:sz="8" w:color="CCEEFF"/>
            </w:tcBorders>
          </w:tcPr>
          <w:p>
            <w:pPr>
              <w:spacing w:after="0"/>
              <w:rPr>
                <w:sz w:val="17"/>
                <w:szCs w:val="17"/>
                <w:color w:val="auto"/>
              </w:rPr>
            </w:pPr>
          </w:p>
        </w:tc>
        <w:tc>
          <w:tcPr>
            <w:tcW w:w="19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4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w:t>
            </w:r>
          </w:p>
        </w:tc>
      </w:tr>
      <w:tr>
        <w:trPr>
          <w:trHeight w:val="20"/>
        </w:trPr>
        <w:tc>
          <w:tcPr>
            <w:tcW w:w="1280" w:type="dxa"/>
            <w:vAlign w:val="bottom"/>
            <w:shd w:val="clear" w:color="auto" w:fill="CCEEFF"/>
          </w:tcPr>
          <w:p>
            <w:pPr>
              <w:spacing w:after="0" w:line="20" w:lineRule="exact"/>
              <w:rPr>
                <w:sz w:val="1"/>
                <w:szCs w:val="1"/>
                <w:color w:val="auto"/>
              </w:rPr>
            </w:pPr>
          </w:p>
        </w:tc>
        <w:tc>
          <w:tcPr>
            <w:tcW w:w="2800" w:type="dxa"/>
            <w:vAlign w:val="bottom"/>
            <w:shd w:val="clear" w:color="auto" w:fill="CCEEFF"/>
          </w:tcPr>
          <w:p>
            <w:pPr>
              <w:spacing w:after="0" w:line="20" w:lineRule="exact"/>
              <w:rPr>
                <w:sz w:val="1"/>
                <w:szCs w:val="1"/>
                <w:color w:val="auto"/>
              </w:rPr>
            </w:pPr>
          </w:p>
        </w:tc>
        <w:tc>
          <w:tcPr>
            <w:tcW w:w="19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0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Comprehensive income</w:t>
            </w:r>
          </w:p>
        </w:tc>
        <w:tc>
          <w:tcPr>
            <w:tcW w:w="2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7,284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7,504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30,487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27,609</w:t>
            </w:r>
          </w:p>
        </w:tc>
      </w:tr>
      <w:tr>
        <w:trPr>
          <w:trHeight w:val="20"/>
        </w:trPr>
        <w:tc>
          <w:tcPr>
            <w:tcW w:w="12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8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per common share:</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80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408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0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0.53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0.51</w:t>
            </w: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2.10</w:t>
            </w: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1.78</w:t>
            </w:r>
          </w:p>
        </w:tc>
      </w:tr>
      <w:tr>
        <w:trPr>
          <w:trHeight w:val="20"/>
        </w:trPr>
        <w:tc>
          <w:tcPr>
            <w:tcW w:w="12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280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used in computing common per share amounts: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14,362,702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14,542,947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14,413,308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15,097,816</w:t>
            </w:r>
          </w:p>
        </w:tc>
      </w:tr>
      <w:tr>
        <w:trPr>
          <w:trHeight w:val="234"/>
        </w:trPr>
        <w:tc>
          <w:tcPr>
            <w:tcW w:w="40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14,438,795</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14,760,586</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14,563,974</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15,412,130</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BUILD-A-BEAR WORKSHOP, INC. AND SUBSIDIARIES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832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1280" w:type="dxa"/>
            <w:vAlign w:val="bottom"/>
          </w:tcPr>
          <w:p>
            <w:pPr>
              <w:spacing w:after="0"/>
              <w:rPr>
                <w:sz w:val="19"/>
                <w:szCs w:val="19"/>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30"/>
              <w:spacing w:after="0"/>
              <w:rPr>
                <w:sz w:val="20"/>
                <w:szCs w:val="20"/>
                <w:color w:val="auto"/>
              </w:rPr>
            </w:pPr>
            <w:r>
              <w:rPr>
                <w:rFonts w:ascii="Times New Roman" w:cs="Times New Roman" w:eastAsia="Times New Roman" w:hAnsi="Times New Roman"/>
                <w:sz w:val="18"/>
                <w:szCs w:val="18"/>
                <w:color w:val="auto"/>
                <w:w w:val="99"/>
              </w:rPr>
              <w:t>(Dollars in thousands)</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80" w:type="dxa"/>
            <w:vAlign w:val="bottom"/>
            <w:gridSpan w:val="6"/>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187"/>
        </w:trPr>
        <w:tc>
          <w:tcPr>
            <w:tcW w:w="128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jc w:val="right"/>
              <w:ind w:right="4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October 28,</w:t>
            </w: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ind w:right="190"/>
              <w:spacing w:after="0" w:line="188" w:lineRule="exact"/>
              <w:rPr>
                <w:sz w:val="20"/>
                <w:szCs w:val="20"/>
                <w:color w:val="auto"/>
              </w:rPr>
            </w:pPr>
            <w:r>
              <w:rPr>
                <w:rFonts w:ascii="Times New Roman" w:cs="Times New Roman" w:eastAsia="Times New Roman" w:hAnsi="Times New Roman"/>
                <w:sz w:val="18"/>
                <w:szCs w:val="18"/>
                <w:b w:val="1"/>
                <w:bCs w:val="1"/>
                <w:color w:val="auto"/>
              </w:rPr>
              <w:t>October 29,</w:t>
            </w:r>
          </w:p>
        </w:tc>
        <w:tc>
          <w:tcPr>
            <w:tcW w:w="100" w:type="dxa"/>
            <w:vAlign w:val="bottom"/>
          </w:tcPr>
          <w:p>
            <w:pPr>
              <w:spacing w:after="0"/>
              <w:rPr>
                <w:sz w:val="16"/>
                <w:szCs w:val="16"/>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30,532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27,475</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9,540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9,295</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Share-based and performance-based stock compensation</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2,492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1,924</w:t>
            </w:r>
          </w:p>
        </w:tc>
      </w:tr>
      <w:tr>
        <w:trPr>
          <w:trHeight w:val="21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Provision/adjustments for doubtful accounts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Deferred taxes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Change in assets and liabilities:</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Inventories, net</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5,729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(18,134)</w:t>
            </w:r>
          </w:p>
        </w:tc>
      </w:tr>
      <w:tr>
        <w:trPr>
          <w:trHeight w:val="216"/>
        </w:trPr>
        <w:tc>
          <w:tcPr>
            <w:tcW w:w="8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Receivables, net</w:t>
            </w:r>
          </w:p>
        </w:tc>
        <w:tc>
          <w:tcPr>
            <w:tcW w:w="2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(4,343)</w:t>
            </w:r>
          </w:p>
        </w:tc>
      </w:tr>
      <w:tr>
        <w:trPr>
          <w:trHeight w:val="216"/>
        </w:trPr>
        <w:tc>
          <w:tcPr>
            <w:tcW w:w="80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2,511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1,354</w:t>
            </w:r>
          </w:p>
        </w:tc>
      </w:tr>
      <w:tr>
        <w:trPr>
          <w:trHeight w:val="216"/>
        </w:trPr>
        <w:tc>
          <w:tcPr>
            <w:tcW w:w="8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(10,408)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(894)</w:t>
            </w:r>
          </w:p>
        </w:tc>
      </w:tr>
      <w:tr>
        <w:trPr>
          <w:trHeight w:val="216"/>
        </w:trPr>
        <w:tc>
          <w:tcPr>
            <w:tcW w:w="80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Operating leases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(4,311)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(4,771)</w:t>
            </w:r>
          </w:p>
        </w:tc>
      </w:tr>
      <w:tr>
        <w:trPr>
          <w:trHeight w:val="216"/>
        </w:trPr>
        <w:tc>
          <w:tcPr>
            <w:tcW w:w="80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Gift cards and customer deposits</w:t>
            </w:r>
          </w:p>
        </w:tc>
        <w:tc>
          <w:tcPr>
            <w:tcW w:w="2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(2,573)</w:t>
            </w:r>
          </w:p>
        </w:tc>
      </w:tr>
      <w:tr>
        <w:trPr>
          <w:trHeight w:val="216"/>
        </w:trPr>
        <w:tc>
          <w:tcPr>
            <w:tcW w:w="80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(2,987)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1,944</w:t>
            </w:r>
          </w:p>
        </w:tc>
      </w:tr>
      <w:tr>
        <w:trPr>
          <w:trHeight w:val="210"/>
        </w:trPr>
        <w:tc>
          <w:tcPr>
            <w:tcW w:w="1280" w:type="dxa"/>
            <w:vAlign w:val="bottom"/>
            <w:tcBorders>
              <w:top w:val="single" w:sz="8" w:color="CCEEFF"/>
            </w:tcBorders>
          </w:tcPr>
          <w:p>
            <w:pPr>
              <w:spacing w:after="0"/>
              <w:rPr>
                <w:sz w:val="18"/>
                <w:szCs w:val="18"/>
                <w:color w:val="auto"/>
              </w:rPr>
            </w:pPr>
          </w:p>
        </w:tc>
        <w:tc>
          <w:tcPr>
            <w:tcW w:w="672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32,740</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11,247</w:t>
            </w:r>
          </w:p>
        </w:tc>
        <w:tc>
          <w:tcPr>
            <w:tcW w:w="100" w:type="dxa"/>
            <w:vAlign w:val="bottom"/>
            <w:tcBorders>
              <w:top w:val="single" w:sz="8" w:color="CCEEFF"/>
            </w:tcBorders>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(11,124)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(6,752)</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(11,124)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(6,752)</w:t>
            </w:r>
          </w:p>
        </w:tc>
      </w:tr>
      <w:tr>
        <w:trPr>
          <w:trHeight w:val="209"/>
        </w:trPr>
        <w:tc>
          <w:tcPr>
            <w:tcW w:w="800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the exercise of employee equity awards, net of tax</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(1,797)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(1,671)</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Cash dividends paid</w:t>
            </w:r>
          </w:p>
        </w:tc>
        <w:tc>
          <w:tcPr>
            <w:tcW w:w="2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(22,098)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(292)</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Purchases of Company’s common stock</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(15,239)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(24,172)</w:t>
            </w: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1280" w:type="dxa"/>
            <w:vAlign w:val="bottom"/>
          </w:tcPr>
          <w:p>
            <w:pPr>
              <w:spacing w:after="0"/>
              <w:rPr>
                <w:sz w:val="18"/>
                <w:szCs w:val="18"/>
                <w:color w:val="auto"/>
              </w:rPr>
            </w:pPr>
          </w:p>
        </w:tc>
        <w:tc>
          <w:tcPr>
            <w:tcW w:w="6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(39,134)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(26,135)</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rates on cash</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26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(17,398)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(20,822)</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42,198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24,800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12,023</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24,413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11,582</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Restricted cash from long-term deposits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Pr>
          <w:p>
            <w:pPr>
              <w:spacing w:after="0"/>
              <w:rPr>
                <w:sz w:val="18"/>
                <w:szCs w:val="18"/>
                <w:color w:val="auto"/>
              </w:rPr>
            </w:pPr>
          </w:p>
        </w:tc>
      </w:tr>
      <w:tr>
        <w:trPr>
          <w:trHeight w:val="250"/>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24,800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12,023</w:t>
            </w:r>
          </w:p>
        </w:tc>
      </w:tr>
      <w:tr>
        <w:trPr>
          <w:trHeight w:val="196"/>
        </w:trPr>
        <w:tc>
          <w:tcPr>
            <w:tcW w:w="1280" w:type="dxa"/>
            <w:vAlign w:val="bottom"/>
            <w:tcBorders>
              <w:top w:val="single" w:sz="8" w:color="CCEEFF"/>
            </w:tcBorders>
          </w:tcPr>
          <w:p>
            <w:pPr>
              <w:spacing w:after="0"/>
              <w:rPr>
                <w:sz w:val="17"/>
                <w:szCs w:val="17"/>
                <w:color w:val="auto"/>
              </w:rPr>
            </w:pPr>
          </w:p>
        </w:tc>
        <w:tc>
          <w:tcPr>
            <w:tcW w:w="67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paid during the period for income taxes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425"/>
        </w:trPr>
        <w:tc>
          <w:tcPr>
            <w:tcW w:w="1280" w:type="dxa"/>
            <w:vAlign w:val="bottom"/>
          </w:tcPr>
          <w:p>
            <w:pPr>
              <w:spacing w:after="0"/>
              <w:rPr>
                <w:sz w:val="24"/>
                <w:szCs w:val="24"/>
                <w:color w:val="auto"/>
              </w:rPr>
            </w:pPr>
          </w:p>
        </w:tc>
        <w:tc>
          <w:tcPr>
            <w:tcW w:w="6980" w:type="dxa"/>
            <w:vAlign w:val="bottom"/>
            <w:gridSpan w:val="2"/>
          </w:tcPr>
          <w:p>
            <w:pPr>
              <w:jc w:val="center"/>
              <w:ind w:left="1610"/>
              <w:spacing w:after="0"/>
              <w:rPr>
                <w:sz w:val="20"/>
                <w:szCs w:val="20"/>
                <w:color w:val="auto"/>
              </w:rPr>
            </w:pPr>
            <w:r>
              <w:rPr>
                <w:rFonts w:ascii="Times New Roman" w:cs="Times New Roman" w:eastAsia="Times New Roman" w:hAnsi="Times New Roman"/>
                <w:sz w:val="18"/>
                <w:szCs w:val="18"/>
                <w:color w:val="auto"/>
                <w:w w:val="99"/>
              </w:rPr>
              <w:t>See accompanying notes to condensed consolidated financial statements.</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2"/>
          </w:tcPr>
          <w:p>
            <w:pPr>
              <w:jc w:val="center"/>
              <w:ind w:left="3150"/>
              <w:spacing w:after="0"/>
              <w:rPr>
                <w:sz w:val="20"/>
                <w:szCs w:val="20"/>
                <w:color w:val="auto"/>
              </w:rPr>
            </w:pPr>
            <w:r>
              <w:rPr>
                <w:rFonts w:ascii="Times New Roman" w:cs="Times New Roman" w:eastAsia="Times New Roman" w:hAnsi="Times New Roman"/>
                <w:sz w:val="18"/>
                <w:szCs w:val="18"/>
                <w:color w:val="auto"/>
                <w:w w:val="88"/>
              </w:rPr>
              <w:t>6</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67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are unaudited and have been prepared by Build-A-Bear Workshop, Inc. and its subsidiaries (collectively, the “Company”) pursuant to the rules and regulations of the U.S. Securities and Exchange Commission (“SEC”). Certain information and footnote disclosures normally included in financial statements prepared in accordance with U.S. generally accepted accounting principles (“GAAP”) have been condensed or omitted pursuant to such rules and regulations. The condensed consolidated balance sheet of the Company as of January 28, 2023 was derived from the Company’s audited consolidated balance sheet as of that date. All other condensed consolidated financial statements contained herein are unaudited and reflect all adjustments which are, in the opinion of management, necessary to summarize fairly the financial position of the Company and the results of the Company’s operations and cash flows for the periods presented. All of these adjustments are of a normal recurring nature. All significant intercompany balances and transactions have been eliminated in consolidation. Because of the seasonal nature of the Company’s operations, results of operations of any single reporting period should not be considered as indicative of results for a full year. These condensed consolidated financial statements should be read in conjunction with the Company’s audited consolidated financial statements for the fiscal year ended January 28, 2023, which were included in the Company’s Annual Report on Form 10-K filed with the SEC on April 13, 2023.</w:t>
      </w:r>
    </w:p>
    <w:p>
      <w:pPr>
        <w:spacing w:after="0" w:line="192"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Certain prior period amounts in the notes to the condensed consolidated financial statements have been reclassified to conform to the current period presentation. These reclassifications did not affect net earnings attributable to Build-A-Bear Workshop, Inc.</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Accounting Policies</w:t>
      </w:r>
    </w:p>
    <w:p>
      <w:pPr>
        <w:spacing w:after="0" w:line="22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Company's significant accounting policies are summarized in Note 2 to the consolidated financial statements included in its Form 10-K for the year ended January 28, 2023. An update and supplement to these policies is needed for the Company's accounting for credit impairment as a result of a recently adopted accounting standard during the first quarter of fiscal 2023.</w:t>
      </w:r>
    </w:p>
    <w:p>
      <w:pPr>
        <w:spacing w:after="0" w:line="17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Receivables</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Receivables consist primarily of amounts due to the Company in relation to wholesale and corporate product sales, franchisee royalties and product sales, tenant allowances, certain amounts due from taxing authorities, receivables due from insurance providers, and licensing revenue. The Company assesses the collectability of all receivables on an ongoing basis by considering its historical credit loss experience, current economic conditions, and other relevant factors. At the beginning of fiscal 2023</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adopted ASU </w:t>
      </w:r>
      <w:r>
        <w:rPr>
          <w:rFonts w:ascii="Times New Roman" w:cs="Times New Roman" w:eastAsia="Times New Roman" w:hAnsi="Times New Roman"/>
          <w:sz w:val="18"/>
          <w:szCs w:val="18"/>
          <w:i w:val="1"/>
          <w:iCs w:val="1"/>
          <w:color w:val="auto"/>
        </w:rPr>
        <w:t>No. 2016</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13,</w:t>
      </w:r>
      <w:r>
        <w:rPr>
          <w:rFonts w:ascii="Times New Roman" w:cs="Times New Roman" w:eastAsia="Times New Roman" w:hAnsi="Times New Roman"/>
          <w:sz w:val="18"/>
          <w:szCs w:val="18"/>
          <w:color w:val="auto"/>
        </w:rPr>
        <w:t xml:space="preserve"> “Financial Instruments - Credit Losses (Topic </w:t>
      </w:r>
      <w:r>
        <w:rPr>
          <w:rFonts w:ascii="Times New Roman" w:cs="Times New Roman" w:eastAsia="Times New Roman" w:hAnsi="Times New Roman"/>
          <w:sz w:val="18"/>
          <w:szCs w:val="18"/>
          <w:i w:val="1"/>
          <w:iCs w:val="1"/>
          <w:color w:val="auto"/>
        </w:rPr>
        <w:t>326</w:t>
      </w:r>
      <w:r>
        <w:rPr>
          <w:rFonts w:ascii="Times New Roman" w:cs="Times New Roman" w:eastAsia="Times New Roman" w:hAnsi="Times New Roman"/>
          <w:sz w:val="18"/>
          <w:szCs w:val="18"/>
          <w:color w:val="auto"/>
        </w:rPr>
        <w:t>): Measurement of Credit Losses on Financial Instruments.” This ASU requires entities to report “expected” credit losses on financial instruments and other commitments to extend credit rather than the current “incurred loss” model. These expected credit losses for financial assets held at the reporting date are to be based on historical experience, current conditions, and reasonable and supportable forecasts. Upon adoption, the Company recognized a charge of</w:t>
      </w:r>
    </w:p>
    <w:p>
      <w:pPr>
        <w:spacing w:after="0" w:line="3" w:lineRule="exact"/>
        <w:rPr>
          <w:sz w:val="20"/>
          <w:szCs w:val="20"/>
          <w:color w:val="auto"/>
        </w:rPr>
      </w:pPr>
    </w:p>
    <w:p>
      <w:pPr>
        <w:ind w:right="440"/>
        <w:spacing w:after="0" w:line="260" w:lineRule="auto"/>
        <w:rPr>
          <w:sz w:val="20"/>
          <w:szCs w:val="20"/>
          <w:color w:val="auto"/>
        </w:rPr>
      </w:pPr>
      <w:r>
        <w:rPr>
          <w:rFonts w:ascii="Times New Roman" w:cs="Times New Roman" w:eastAsia="Times New Roman" w:hAnsi="Times New Roman"/>
          <w:sz w:val="18"/>
          <w:szCs w:val="18"/>
          <w:color w:val="auto"/>
        </w:rPr>
        <w:t>$0.8 million to the opening balance of retained earnings which represents a reduction in its account receivable balance associated with expected credit losses.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Currently, most of the Company’s revenue is derived from retail sales (including from its e-commerce sites) and is recognized when control of the merchandise is transferred to the customer. The Company's disaggregated revenue is fully disclosed as net sales to external customers by reporting segment and by geographic area (See Note 11 — Segment Information for additional information). The Company's direct-to-consumer reporting segment represents 93% of consolidated revenue for the third quarter of fiscal 2023. The majority of these sales transactions were single performance obligations that were recorded when control of merchandise was transferred to the customer.</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The following is a description of principal activities from which the Company generates its revenue, by reportable segment.</w:t>
      </w:r>
    </w:p>
    <w:p>
      <w:pPr>
        <w:spacing w:after="0" w:line="227" w:lineRule="exact"/>
        <w:rPr>
          <w:sz w:val="20"/>
          <w:szCs w:val="20"/>
          <w:color w:val="auto"/>
        </w:rPr>
      </w:pPr>
    </w:p>
    <w:p>
      <w:pPr>
        <w:jc w:val="both"/>
        <w:ind w:right="80" w:firstLine="648"/>
        <w:spacing w:after="0" w:line="257" w:lineRule="auto"/>
        <w:rPr>
          <w:sz w:val="20"/>
          <w:szCs w:val="20"/>
          <w:color w:val="auto"/>
        </w:rPr>
      </w:pPr>
      <w:r>
        <w:rPr>
          <w:rFonts w:ascii="Times New Roman" w:cs="Times New Roman" w:eastAsia="Times New Roman" w:hAnsi="Times New Roman"/>
          <w:sz w:val="18"/>
          <w:szCs w:val="18"/>
          <w:color w:val="auto"/>
        </w:rPr>
        <w:t>The Company’s direct-to-consumer segment includes the operating activities of corporately-operated stores, other retail-delivered operations and e-commerce demand (orders generated online to be fulfilled from either the Company's warehouse or its stores). Direct-to-consumer revenue is recognized when control of the merchandise is transferred to the customer and for the Company's online sales, generally upon estimated delivery to the customer.</w:t>
      </w:r>
    </w:p>
    <w:p>
      <w:pPr>
        <w:spacing w:after="0" w:line="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Revenue is measured as the amount of consideration, including any discounts or incentives, the Company expects to receive in exchange for transferring the merchandise. Product returns have historically averaged less than one-half of one percent due to the personalized and interactive nature of its products, where consumers customize their own stuffed animal. The Company has elected to exclude from revenue all collected sales, value added, and other taxes paid by its customers.</w:t>
      </w:r>
    </w:p>
    <w:p>
      <w:pPr>
        <w:spacing w:after="0" w:line="18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For the Company’s gift cards, revenue, including any related gift card discounts, is deferred for single transactions until redemption. Historically, three-quarters of gift cards are redeemed within three years of issuance and over the last three years, approximately 60% of gift cards issued have been redeemed within the first twelve months. In addition, unredeemed gift cards or breakage revenue is recorded in proportion to the customer’s redemption period using an estimated breakage rate based on historical experience. In regard to the consolidated balance sheet, contract liabilities for gift cards are classified as gift cards and customer deposits.</w:t>
      </w:r>
    </w:p>
    <w:p>
      <w:pPr>
        <w:spacing w:after="0" w:line="183"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Subsequent to stores reopening following shutdowns caused by the COVID-19 pandemic, the Company has experienced lower redemptions of its gift cards for all periods of outstanding activated cards compared to pre-pandemic redemption patterns (fiscal year 2019 and earlier), which impacts the gift card breakage rate. The Company utilizes historical redemption data to develop a model to analyze the amount of breakage expected for gift cards sold to consumers and business partners. The Company continues to evaluate expected breakage annually and adjusts the breakage rates in the fourth quarter of each year, or other times, if significant changes in customer behavior are detected. Changes to breakage estimates impact revenue recognition prospectively. Further, given the magnitude of the Company's gift card liability, the changes in breakage rates could have a significant impact on the amount of breakage revenue recognized in future periods.</w:t>
      </w:r>
    </w:p>
    <w:p>
      <w:pPr>
        <w:spacing w:after="0" w:line="18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For certain qualifying transactions, a portion of revenue transactions are deferred for the obligation related to the Company’s loyalty program or when a material right in the form of a future discount is granted. In these transactions, the transaction price is allocated to the separate performance obligations based on the relative standalone selling price. The standalone selling price for the points earned for the Company’s loyalty program is estimated using the net retail value of the merchandise purchased, adjusted for estimated breakage based on historical redemption patterns. The revenue associated with the initial merchandise purchased is recognized immediately and the value assigned to the points is deferred until the points are redeemed, forfeited or expired. The Company issues certificates daily to loyalty program members who have earned 100 or more points in North America and 50 points or more in the U.K. with certificates historically expiring in six months if not redeemed. The Company assesses the redemption rates of its certifications on a quarterly basis to update the rate at which loyalty program points turn into certifications and the rate that certifications are redeemed. In regard to the consolidated balance sheet, contract liabilities related to the loyalty program are classified as deferred revenue and other.</w:t>
      </w:r>
    </w:p>
    <w:p>
      <w:pPr>
        <w:spacing w:after="0" w:line="188"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The Company’s commercial segment includes transactions with other businesses and is mainly comprised of licensing the Company’s intellectual properties for third-party use and wholesale sales of merchandise, including supplies and fixtures. Revenue for wholesale sales is recognized when control of the merchandise or fixtures is transferred to the customer, which generally occurs upon delivery to the customer. The license agreements provide the customer with highly interrelated rights that are not distinct in the context of the contract and therefore, have been accounted for as a single performance obligation and recognized as licensee sales occur. If the contract includes a guaranteed minimum, the minimum guarantee is recognized on a straight-line basis over the guarantee term until such time as royalties earned through licensee sales exceed the minimum guarantee. The Company classifies these guaranteed minimum contract liabilities as deferred revenue on the consolidated balance sheet.</w:t>
      </w:r>
    </w:p>
    <w:p>
      <w:pPr>
        <w:spacing w:after="0" w:line="189"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The Company’s international franchising segment includes the activities with franchisees who operate store locations in certain countries and includes development fees, sales-based royalties and merchandise, including supplies and fixture sales. The Company's obligations under the franchise agreements are ongoing and include operations and product development support and training, generally concentrated around initial store openings. These obligations are highly interrelated rights that are not distinct in the context of the contract and, therefore, have been accounted for as a single performance obligation and recognized as franchisee sales occur. If the contract includes an initial, one-time nonrefundable development fee, this fee is recognized on a straight-line basis over the term of the franchise agreement, which may extend for periods up to 25 years. The Company classifies these initial, one-time nonrefundable franchise fee contract liabilities as deferred revenue on its consolidated balance sheet. Revenue from merchandise and fixture sales is recognized when control is transferred to the franchisee, which generally occurs upon delivery.</w:t>
      </w:r>
    </w:p>
    <w:p>
      <w:pPr>
        <w:spacing w:after="0" w:line="19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also incurs expenses directly related to the startup of new franchises, which may include finder’s fees, legal and travel costs, expenses related to its ongoing support of the franchises and employee compensation. Accordingly, the Company’s policy is to capitalize any finder’s fee, as an incremental cost, and expense all other costs as incurred. Additionally, the Company amortizes these capitalized costs into expense in the same pattern as the development fee's recording of revenue as described previously. These capitalized costs for the thirteen and thirty-nine weeks ended October 28, 2023 are not material to the financial statements.</w:t>
      </w:r>
    </w:p>
    <w:p>
      <w:pPr>
        <w:sectPr>
          <w:pgSz w:w="11900" w:h="16838" w:orient="portrait"/>
          <w:cols w:equalWidth="0" w:num="1">
            <w:col w:w="11240"/>
          </w:cols>
          <w:pgMar w:left="320" w:top="121" w:right="339" w:bottom="1440" w:gutter="0" w:footer="0" w:header="0"/>
        </w:sectPr>
      </w:pP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Leases</w:t>
      </w:r>
    </w:p>
    <w:p>
      <w:pPr>
        <w:spacing w:after="0" w:line="229"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The majority of the Company's leases relate to retail stores and corporate offices. For leases with terms greater than 12 months, the Company records the related asset and obligation at the present value of lease payments over the term. Most new retail store leases have an original term of a five to ten-year base period and may include renewal options to extend the lease term beyond the initial base period. The extension periods are typically much shorter than the original lease term given the Company's strategic decision to maintain a high level of lease optionality. Some leases also include early termination options, which can be exercised under specific conditions. Additionally, the Company may operate stores for a period of time on a month-to-month basis after the expiration of the lease term. The Company's lease agreements do not contain any material residual value guarantees or material restrictive covenants. Additionally, certain leases contain incentives, such as construction allowances from landlords and/or rent abatements subsequent to taking possession of the leased property.</w:t>
      </w:r>
    </w:p>
    <w:p>
      <w:pPr>
        <w:spacing w:after="0" w:line="19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presents certain information related to the lease costs for operating leases for the thirteen and thirty-nine weeks ended October 28, 2023 and October 29, 2022 (in thousands).</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6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20" w:type="dxa"/>
            <w:vAlign w:val="bottom"/>
          </w:tcPr>
          <w:p>
            <w:pPr>
              <w:spacing w:after="0"/>
              <w:rPr>
                <w:sz w:val="18"/>
                <w:szCs w:val="18"/>
                <w:color w:val="auto"/>
              </w:rPr>
            </w:pPr>
          </w:p>
        </w:tc>
        <w:tc>
          <w:tcPr>
            <w:tcW w:w="262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October 28,</w:t>
            </w:r>
          </w:p>
        </w:tc>
        <w:tc>
          <w:tcPr>
            <w:tcW w:w="14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October 29,</w:t>
            </w:r>
          </w:p>
        </w:tc>
        <w:tc>
          <w:tcPr>
            <w:tcW w:w="12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October 28,</w:t>
            </w:r>
          </w:p>
        </w:tc>
        <w:tc>
          <w:tcPr>
            <w:tcW w:w="14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October 29,</w:t>
            </w:r>
          </w:p>
        </w:tc>
      </w:tr>
      <w:tr>
        <w:trPr>
          <w:trHeight w:val="238"/>
        </w:trPr>
        <w:tc>
          <w:tcPr>
            <w:tcW w:w="3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r>
      <w:tr>
        <w:trPr>
          <w:trHeight w:val="209"/>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8,905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27,357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25,874</w:t>
            </w:r>
          </w:p>
        </w:tc>
      </w:tr>
      <w:tr>
        <w:trPr>
          <w:trHeight w:val="216"/>
        </w:trPr>
        <w:tc>
          <w:tcPr>
            <w:tcW w:w="33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Variable lease costs </w:t>
            </w:r>
            <w:r>
              <w:rPr>
                <w:rFonts w:ascii="Times New Roman" w:cs="Times New Roman" w:eastAsia="Times New Roman" w:hAnsi="Times New Roman"/>
                <w:sz w:val="25"/>
                <w:szCs w:val="25"/>
                <w:color w:val="auto"/>
                <w:vertAlign w:val="superscript"/>
              </w:rPr>
              <w:t>(1)</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2,039</w:t>
            </w: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6,374</w:t>
            </w:r>
          </w:p>
        </w:tc>
        <w:tc>
          <w:tcPr>
            <w:tcW w:w="14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6,228</w:t>
            </w:r>
          </w:p>
        </w:tc>
      </w:tr>
      <w:tr>
        <w:trPr>
          <w:trHeight w:val="216"/>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 term lease costs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74</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3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Lease costs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11,429</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10,963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33,805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32,148</w:t>
            </w:r>
          </w:p>
        </w:tc>
      </w:tr>
      <w:tr>
        <w:trPr>
          <w:trHeight w:val="20"/>
        </w:trPr>
        <w:tc>
          <w:tcPr>
            <w:tcW w:w="3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1040" w:right="740" w:hanging="479"/>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lease costs consist of leases with variable rent structures, which are intended to increase flexibility in an environment with expected high sales volatility and provide a natural hedge against potential sales declines.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information</w:t>
      </w:r>
    </w:p>
    <w:p>
      <w:pPr>
        <w:spacing w:after="0" w:line="227"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table below presents supplemental cash flow information related to leases for the thirteen and thirty-nine weeks ended October 28, 2023 and October 29, 2022 (in thousands).</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6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20" w:type="dxa"/>
            <w:vAlign w:val="bottom"/>
          </w:tcPr>
          <w:p>
            <w:pPr>
              <w:spacing w:after="0"/>
              <w:rPr>
                <w:sz w:val="18"/>
                <w:szCs w:val="18"/>
                <w:color w:val="auto"/>
              </w:rPr>
            </w:pPr>
          </w:p>
        </w:tc>
        <w:tc>
          <w:tcPr>
            <w:tcW w:w="262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October 28,</w:t>
            </w:r>
          </w:p>
        </w:tc>
        <w:tc>
          <w:tcPr>
            <w:tcW w:w="14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October 29,</w:t>
            </w:r>
          </w:p>
        </w:tc>
        <w:tc>
          <w:tcPr>
            <w:tcW w:w="120" w:type="dxa"/>
            <w:vAlign w:val="bottom"/>
          </w:tcPr>
          <w:p>
            <w:pPr>
              <w:spacing w:after="0"/>
              <w:rPr>
                <w:sz w:val="18"/>
                <w:szCs w:val="18"/>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October 28,</w:t>
            </w:r>
          </w:p>
        </w:tc>
        <w:tc>
          <w:tcPr>
            <w:tcW w:w="14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October 29,</w:t>
            </w:r>
          </w:p>
        </w:tc>
      </w:tr>
      <w:tr>
        <w:trPr>
          <w:trHeight w:val="238"/>
        </w:trPr>
        <w:tc>
          <w:tcPr>
            <w:tcW w:w="3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r>
      <w:tr>
        <w:trPr>
          <w:trHeight w:val="21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cash flows for operating leases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9,994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9,497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29,775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27,772</w:t>
            </w:r>
          </w:p>
        </w:tc>
      </w:tr>
    </w:tbl>
    <w:p>
      <w:pPr>
        <w:spacing w:after="0" w:line="198" w:lineRule="exact"/>
        <w:rPr>
          <w:sz w:val="20"/>
          <w:szCs w:val="20"/>
          <w:color w:val="auto"/>
        </w:rPr>
      </w:pPr>
    </w:p>
    <w:p>
      <w:pPr>
        <w:jc w:val="both"/>
        <w:ind w:left="160" w:right="60" w:firstLine="486"/>
        <w:spacing w:after="0" w:line="266" w:lineRule="auto"/>
        <w:rPr>
          <w:sz w:val="20"/>
          <w:szCs w:val="20"/>
          <w:color w:val="auto"/>
        </w:rPr>
      </w:pPr>
      <w:r>
        <w:rPr>
          <w:rFonts w:ascii="Times New Roman" w:cs="Times New Roman" w:eastAsia="Times New Roman" w:hAnsi="Times New Roman"/>
          <w:sz w:val="18"/>
          <w:szCs w:val="18"/>
          <w:color w:val="auto"/>
        </w:rPr>
        <w:t>As of October 28, 2023 and October 29, 2022, the weighted-average remaining operating lease term was 4.0 years and 4.3 years, respectively, and the weighted-average discount rate was 6.5% and 5.7%, respectively, for operating leases recognized on the Company's condensed consolidated balance sheets.</w:t>
      </w:r>
    </w:p>
    <w:p>
      <w:pPr>
        <w:spacing w:after="0" w:line="176" w:lineRule="exact"/>
        <w:rPr>
          <w:sz w:val="20"/>
          <w:szCs w:val="20"/>
          <w:color w:val="auto"/>
        </w:rPr>
      </w:pPr>
    </w:p>
    <w:p>
      <w:pPr>
        <w:ind w:right="1280" w:firstLine="648"/>
        <w:spacing w:after="0" w:line="282" w:lineRule="auto"/>
        <w:rPr>
          <w:sz w:val="20"/>
          <w:szCs w:val="20"/>
          <w:color w:val="auto"/>
        </w:rPr>
      </w:pPr>
      <w:r>
        <w:rPr>
          <w:rFonts w:ascii="Times New Roman" w:cs="Times New Roman" w:eastAsia="Times New Roman" w:hAnsi="Times New Roman"/>
          <w:sz w:val="18"/>
          <w:szCs w:val="18"/>
          <w:color w:val="auto"/>
        </w:rPr>
        <w:t>For the thirteen and thirty-nine weeks ended October 28, 2023 and the thirteen and thirty-nine weeks ended October 29, 2022 the Company incurred no impairment charges against its right-of-use operating lease assets.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Undiscounted cash flows</w:t>
      </w:r>
    </w:p>
    <w:p>
      <w:pPr>
        <w:spacing w:after="0" w:line="227" w:lineRule="exact"/>
        <w:rPr>
          <w:sz w:val="20"/>
          <w:szCs w:val="20"/>
          <w:color w:val="auto"/>
        </w:rPr>
      </w:pPr>
    </w:p>
    <w:p>
      <w:pPr>
        <w:ind w:left="500" w:right="480" w:firstLine="162"/>
        <w:spacing w:after="0" w:line="282" w:lineRule="auto"/>
        <w:rPr>
          <w:sz w:val="20"/>
          <w:szCs w:val="20"/>
          <w:color w:val="auto"/>
        </w:rPr>
      </w:pPr>
      <w:r>
        <w:rPr>
          <w:rFonts w:ascii="Times New Roman" w:cs="Times New Roman" w:eastAsia="Times New Roman" w:hAnsi="Times New Roman"/>
          <w:sz w:val="18"/>
          <w:szCs w:val="18"/>
          <w:color w:val="auto"/>
        </w:rPr>
        <w:t>The table below reconciles the undiscounted cash flows for each of the first five years and total of the remaining years to the operating lease liabilities recorded on the balance sheet (in thousands).</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7380" w:type="dxa"/>
            <w:vAlign w:val="bottom"/>
            <w:tcBorders>
              <w:bottom w:val="single" w:sz="8" w:color="auto"/>
            </w:tcBorders>
          </w:tcPr>
          <w:p>
            <w:pPr>
              <w:ind w:left="298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r>
        <w:trPr>
          <w:trHeight w:val="20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1,306</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31,110</w:t>
            </w: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20,855</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12,765</w:t>
            </w: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7,994</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15,797</w:t>
            </w:r>
          </w:p>
        </w:tc>
      </w:tr>
      <w:tr>
        <w:trPr>
          <w:trHeight w:val="20"/>
        </w:trPr>
        <w:tc>
          <w:tcPr>
            <w:tcW w:w="7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89,827</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amount of lease payments representing interest</w:t>
            </w:r>
          </w:p>
        </w:tc>
        <w:tc>
          <w:tcPr>
            <w:tcW w:w="5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(11,402)</w:t>
            </w:r>
          </w:p>
        </w:tc>
      </w:tr>
      <w:tr>
        <w:trPr>
          <w:trHeight w:val="20"/>
        </w:trPr>
        <w:tc>
          <w:tcPr>
            <w:tcW w:w="7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78,425</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obligations under leases</w:t>
            </w:r>
          </w:p>
        </w:tc>
        <w:tc>
          <w:tcPr>
            <w:tcW w:w="5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(26,002)</w:t>
            </w:r>
          </w:p>
        </w:tc>
      </w:tr>
      <w:tr>
        <w:trPr>
          <w:trHeight w:val="20"/>
        </w:trPr>
        <w:tc>
          <w:tcPr>
            <w:tcW w:w="73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52,423</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October 28, 2023, the Company had additional executed leases that had not yet commenced with operating lease liabilities of $12.9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leases are expected to commence in the fourth quarter of fiscal 2023 and the first quarter of fiscal 2024 with lease terms of five to ten years.</w:t>
      </w:r>
    </w:p>
    <w:p>
      <w:pPr>
        <w:sectPr>
          <w:pgSz w:w="11900" w:h="16838" w:orient="portrait"/>
          <w:cols w:equalWidth="0" w:num="1">
            <w:col w:w="11220"/>
          </w:cols>
          <w:pgMar w:left="320" w:top="121" w:right="359" w:bottom="1440" w:gutter="0" w:footer="0" w:header="0"/>
        </w:sect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Other Assets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October 28,</w:t>
            </w:r>
          </w:p>
        </w:tc>
        <w:tc>
          <w:tcPr>
            <w:tcW w:w="20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January 28,</w:t>
            </w:r>
          </w:p>
        </w:tc>
        <w:tc>
          <w:tcPr>
            <w:tcW w:w="20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October 29,</w:t>
            </w:r>
          </w:p>
        </w:tc>
      </w:tr>
      <w:tr>
        <w:trPr>
          <w:trHeight w:val="238"/>
        </w:trPr>
        <w:tc>
          <w:tcPr>
            <w:tcW w:w="39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r>
      <w:tr>
        <w:trPr>
          <w:trHeight w:val="209"/>
        </w:trPr>
        <w:tc>
          <w:tcPr>
            <w:tcW w:w="396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5"/>
                <w:szCs w:val="15"/>
                <w:color w:val="auto"/>
              </w:rPr>
              <w:t xml:space="preserve">Prepaid occupancy </w:t>
            </w:r>
            <w:r>
              <w:rPr>
                <w:rFonts w:ascii="Times New Roman" w:cs="Times New Roman" w:eastAsia="Times New Roman" w:hAnsi="Times New Roman"/>
                <w:sz w:val="24"/>
                <w:szCs w:val="24"/>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2,196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2,630</w:t>
            </w:r>
          </w:p>
        </w:tc>
      </w:tr>
      <w:tr>
        <w:trPr>
          <w:trHeight w:val="216"/>
        </w:trPr>
        <w:tc>
          <w:tcPr>
            <w:tcW w:w="39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Prepaid merchandise </w:t>
            </w:r>
            <w:r>
              <w:rPr>
                <w:rFonts w:ascii="Times New Roman" w:cs="Times New Roman" w:eastAsia="Times New Roman" w:hAnsi="Times New Roman"/>
                <w:sz w:val="25"/>
                <w:szCs w:val="25"/>
                <w:color w:val="auto"/>
                <w:vertAlign w:val="superscript"/>
              </w:rPr>
              <w:t>(2)</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6,047</w:t>
            </w: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insurance</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1,221</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213</w:t>
            </w: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gift card fees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835</w:t>
            </w: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206</w:t>
            </w: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royalties</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301</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1,202</w:t>
            </w:r>
          </w:p>
        </w:tc>
      </w:tr>
      <w:tr>
        <w:trPr>
          <w:trHeight w:val="216"/>
        </w:trPr>
        <w:tc>
          <w:tcPr>
            <w:tcW w:w="39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Prepaid taxes </w:t>
            </w:r>
            <w:r>
              <w:rPr>
                <w:rFonts w:ascii="Times New Roman" w:cs="Times New Roman" w:eastAsia="Times New Roman" w:hAnsi="Times New Roman"/>
                <w:sz w:val="25"/>
                <w:szCs w:val="25"/>
                <w:color w:val="auto"/>
                <w:vertAlign w:val="superscript"/>
              </w:rPr>
              <w:t>(3)</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493</w:t>
            </w:r>
          </w:p>
        </w:tc>
      </w:tr>
      <w:tr>
        <w:trPr>
          <w:trHeight w:val="216"/>
        </w:trPr>
        <w:tc>
          <w:tcPr>
            <w:tcW w:w="39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5"/>
                <w:szCs w:val="25"/>
                <w:color w:val="auto"/>
                <w:vertAlign w:val="superscript"/>
              </w:rPr>
              <w:t>(4)</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5,635</w:t>
            </w:r>
          </w:p>
        </w:tc>
      </w:tr>
      <w:tr>
        <w:trPr>
          <w:trHeight w:val="20"/>
        </w:trPr>
        <w:tc>
          <w:tcPr>
            <w:tcW w:w="39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13,592</w:t>
            </w:r>
          </w:p>
        </w:tc>
        <w:tc>
          <w:tcPr>
            <w:tcW w:w="18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19,374</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10,379</w:t>
            </w:r>
          </w:p>
        </w:tc>
      </w:tr>
      <w:tr>
        <w:trPr>
          <w:trHeight w:val="20"/>
        </w:trPr>
        <w:tc>
          <w:tcPr>
            <w:tcW w:w="3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920" w:hanging="359"/>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Prepaid occupancy consists of prepaid expenses related to variable non-lease components.</w:t>
      </w:r>
    </w:p>
    <w:p>
      <w:pPr>
        <w:spacing w:after="0" w:line="27" w:lineRule="exact"/>
        <w:rPr>
          <w:rFonts w:ascii="Times New Roman" w:cs="Times New Roman" w:eastAsia="Times New Roman" w:hAnsi="Times New Roman"/>
          <w:sz w:val="18"/>
          <w:szCs w:val="18"/>
          <w:color w:val="auto"/>
        </w:rPr>
      </w:pPr>
    </w:p>
    <w:p>
      <w:pPr>
        <w:ind w:left="920" w:hanging="359"/>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Prepaid merchandise consists of prepaid purchase orders of inventory that are not in transit.</w:t>
      </w:r>
    </w:p>
    <w:p>
      <w:pPr>
        <w:spacing w:after="0" w:line="9" w:lineRule="exact"/>
        <w:rPr>
          <w:rFonts w:ascii="Times New Roman" w:cs="Times New Roman" w:eastAsia="Times New Roman" w:hAnsi="Times New Roman"/>
          <w:sz w:val="18"/>
          <w:szCs w:val="18"/>
          <w:color w:val="auto"/>
        </w:rPr>
      </w:pPr>
    </w:p>
    <w:p>
      <w:pPr>
        <w:ind w:left="920" w:hanging="359"/>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Prepaid taxes consist of prepaid federal and state income tax.</w:t>
      </w:r>
    </w:p>
    <w:p>
      <w:pPr>
        <w:spacing w:after="0" w:line="9" w:lineRule="exact"/>
        <w:rPr>
          <w:rFonts w:ascii="Times New Roman" w:cs="Times New Roman" w:eastAsia="Times New Roman" w:hAnsi="Times New Roman"/>
          <w:sz w:val="18"/>
          <w:szCs w:val="18"/>
          <w:color w:val="auto"/>
        </w:rPr>
      </w:pPr>
    </w:p>
    <w:p>
      <w:pPr>
        <w:ind w:left="920" w:hanging="359"/>
        <w:spacing w:after="0"/>
        <w:tabs>
          <w:tab w:leader="none" w:pos="9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consists primarily of prepaid expense related to information technology maintenance contracts and software as a service.</w:t>
      </w:r>
    </w:p>
    <w:p>
      <w:pPr>
        <w:spacing w:after="0" w:line="20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non-current assets consist of the following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October 28,</w:t>
            </w:r>
          </w:p>
        </w:tc>
        <w:tc>
          <w:tcPr>
            <w:tcW w:w="20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January 28,</w:t>
            </w:r>
          </w:p>
        </w:tc>
        <w:tc>
          <w:tcPr>
            <w:tcW w:w="20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October 29,</w:t>
            </w:r>
          </w:p>
        </w:tc>
      </w:tr>
      <w:tr>
        <w:trPr>
          <w:trHeight w:val="238"/>
        </w:trPr>
        <w:tc>
          <w:tcPr>
            <w:tcW w:w="39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r>
      <w:tr>
        <w:trPr>
          <w:trHeight w:val="210"/>
        </w:trPr>
        <w:tc>
          <w:tcPr>
            <w:tcW w:w="396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5"/>
                <w:szCs w:val="15"/>
                <w:color w:val="auto"/>
              </w:rPr>
              <w:t xml:space="preserve">Entertainment production asset </w:t>
            </w:r>
            <w:r>
              <w:rPr>
                <w:rFonts w:ascii="Times New Roman" w:cs="Times New Roman" w:eastAsia="Times New Roman" w:hAnsi="Times New Roman"/>
                <w:sz w:val="24"/>
                <w:szCs w:val="24"/>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2,939</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2,126</w:t>
            </w:r>
          </w:p>
        </w:tc>
      </w:tr>
      <w:tr>
        <w:trPr>
          <w:trHeight w:val="216"/>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w:t>
            </w:r>
          </w:p>
        </w:tc>
        <w:tc>
          <w:tcPr>
            <w:tcW w:w="22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875</w:t>
            </w: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853</w:t>
            </w: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544</w:t>
            </w:r>
          </w:p>
        </w:tc>
      </w:tr>
      <w:tr>
        <w:trPr>
          <w:trHeight w:val="216"/>
        </w:trPr>
        <w:tc>
          <w:tcPr>
            <w:tcW w:w="39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5"/>
                <w:szCs w:val="25"/>
                <w:color w:val="auto"/>
                <w:vertAlign w:val="superscript"/>
              </w:rPr>
              <w:t>(2)</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429</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435</w:t>
            </w:r>
          </w:p>
        </w:tc>
      </w:tr>
      <w:tr>
        <w:trPr>
          <w:trHeight w:val="20"/>
        </w:trPr>
        <w:tc>
          <w:tcPr>
            <w:tcW w:w="39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7,273</w:t>
            </w:r>
          </w:p>
        </w:tc>
        <w:tc>
          <w:tcPr>
            <w:tcW w:w="18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4,221</w:t>
            </w:r>
          </w:p>
        </w:tc>
        <w:tc>
          <w:tcPr>
            <w:tcW w:w="1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3,105</w:t>
            </w:r>
          </w:p>
        </w:tc>
      </w:tr>
      <w:tr>
        <w:trPr>
          <w:trHeight w:val="20"/>
        </w:trPr>
        <w:tc>
          <w:tcPr>
            <w:tcW w:w="3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920" w:hanging="359"/>
        <w:spacing w:after="0" w:line="261" w:lineRule="auto"/>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Entertainment production asset includes the direct costs, production overhead and development costs in producing entertainment assets such as films or music.</w:t>
      </w:r>
    </w:p>
    <w:p>
      <w:pPr>
        <w:ind w:left="920" w:hanging="359"/>
        <w:spacing w:after="0"/>
        <w:tabs>
          <w:tab w:leader="none" w:pos="9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consists primarily of deferred financing costs related to the Company's credit facility.</w:t>
      </w:r>
    </w:p>
    <w:p>
      <w:pPr>
        <w:spacing w:after="0" w:line="200" w:lineRule="exact"/>
        <w:rPr>
          <w:rFonts w:ascii="Times New Roman" w:cs="Times New Roman" w:eastAsia="Times New Roman" w:hAnsi="Times New Roman"/>
          <w:sz w:val="18"/>
          <w:szCs w:val="18"/>
          <w:color w:val="auto"/>
        </w:rPr>
      </w:pPr>
    </w:p>
    <w:p>
      <w:pPr>
        <w:spacing w:after="0" w:line="24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4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October 28,</w:t>
            </w:r>
          </w:p>
        </w:tc>
        <w:tc>
          <w:tcPr>
            <w:tcW w:w="200" w:type="dxa"/>
            <w:vAlign w:val="bottom"/>
          </w:tcPr>
          <w:p>
            <w:pPr>
              <w:spacing w:after="0"/>
              <w:rPr>
                <w:sz w:val="24"/>
                <w:szCs w:val="24"/>
                <w:color w:val="auto"/>
              </w:rPr>
            </w:pP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January 28,</w:t>
            </w:r>
          </w:p>
        </w:tc>
        <w:tc>
          <w:tcPr>
            <w:tcW w:w="20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October 29,</w:t>
            </w:r>
          </w:p>
        </w:tc>
      </w:tr>
      <w:tr>
        <w:trPr>
          <w:trHeight w:val="238"/>
        </w:trPr>
        <w:tc>
          <w:tcPr>
            <w:tcW w:w="46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r>
      <w:tr>
        <w:trPr>
          <w:trHeight w:val="210"/>
        </w:trPr>
        <w:tc>
          <w:tcPr>
            <w:tcW w:w="460" w:type="dxa"/>
            <w:vAlign w:val="bottom"/>
          </w:tcPr>
          <w:p>
            <w:pPr>
              <w:spacing w:after="0"/>
              <w:rPr>
                <w:sz w:val="18"/>
                <w:szCs w:val="18"/>
                <w:color w:val="auto"/>
              </w:rPr>
            </w:pPr>
          </w:p>
        </w:tc>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wages, bonuses and related expenses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23,767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17,174</w:t>
            </w:r>
          </w:p>
        </w:tc>
      </w:tr>
      <w:tr>
        <w:trPr>
          <w:trHeight w:val="216"/>
        </w:trPr>
        <w:tc>
          <w:tcPr>
            <w:tcW w:w="460" w:type="dxa"/>
            <w:vAlign w:val="bottom"/>
          </w:tcPr>
          <w:p>
            <w:pPr>
              <w:spacing w:after="0"/>
              <w:rPr>
                <w:sz w:val="18"/>
                <w:szCs w:val="18"/>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value added taxes payable</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4,561</w:t>
            </w: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2,209</w:t>
            </w:r>
          </w:p>
        </w:tc>
      </w:tr>
      <w:tr>
        <w:trPr>
          <w:trHeight w:val="216"/>
        </w:trPr>
        <w:tc>
          <w:tcPr>
            <w:tcW w:w="460" w:type="dxa"/>
            <w:vAlign w:val="bottom"/>
          </w:tcPr>
          <w:p>
            <w:pPr>
              <w:spacing w:after="0"/>
              <w:rPr>
                <w:sz w:val="18"/>
                <w:szCs w:val="18"/>
                <w:color w:val="auto"/>
              </w:rPr>
            </w:pPr>
          </w:p>
        </w:tc>
        <w:tc>
          <w:tcPr>
            <w:tcW w:w="39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Accrued rent and related expenses </w:t>
            </w:r>
            <w:r>
              <w:rPr>
                <w:rFonts w:ascii="Times New Roman" w:cs="Times New Roman" w:eastAsia="Times New Roman" w:hAnsi="Times New Roman"/>
                <w:sz w:val="25"/>
                <w:szCs w:val="25"/>
                <w:color w:val="auto"/>
                <w:vertAlign w:val="superscript"/>
              </w:rPr>
              <w:t>(1)</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1,512</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899</w:t>
            </w:r>
          </w:p>
        </w:tc>
      </w:tr>
      <w:tr>
        <w:trPr>
          <w:trHeight w:val="229"/>
        </w:trPr>
        <w:tc>
          <w:tcPr>
            <w:tcW w:w="460" w:type="dxa"/>
            <w:vAlign w:val="bottom"/>
          </w:tcPr>
          <w:p>
            <w:pPr>
              <w:spacing w:after="0"/>
              <w:rPr>
                <w:sz w:val="19"/>
                <w:szCs w:val="19"/>
                <w:color w:val="auto"/>
              </w:rPr>
            </w:pPr>
          </w:p>
        </w:tc>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income taxes payable</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3,418</w:t>
            </w:r>
          </w:p>
        </w:tc>
        <w:tc>
          <w:tcPr>
            <w:tcW w:w="20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1,382</w:t>
            </w:r>
          </w:p>
        </w:tc>
      </w:tr>
      <w:tr>
        <w:trPr>
          <w:trHeight w:val="216"/>
        </w:trPr>
        <w:tc>
          <w:tcPr>
            <w:tcW w:w="460" w:type="dxa"/>
            <w:vAlign w:val="bottom"/>
          </w:tcPr>
          <w:p>
            <w:pPr>
              <w:spacing w:after="0"/>
              <w:rPr>
                <w:sz w:val="18"/>
                <w:szCs w:val="18"/>
                <w:color w:val="auto"/>
              </w:rPr>
            </w:pPr>
          </w:p>
        </w:tc>
        <w:tc>
          <w:tcPr>
            <w:tcW w:w="39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Accrued expense - other </w:t>
            </w:r>
            <w:r>
              <w:rPr>
                <w:rFonts w:ascii="Times New Roman" w:cs="Times New Roman" w:eastAsia="Times New Roman" w:hAnsi="Times New Roman"/>
                <w:sz w:val="25"/>
                <w:szCs w:val="25"/>
                <w:color w:val="auto"/>
                <w:vertAlign w:val="superscript"/>
              </w:rPr>
              <w:t>(2)</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4,100</w:t>
            </w:r>
          </w:p>
        </w:tc>
      </w:tr>
      <w:tr>
        <w:trPr>
          <w:trHeight w:val="20"/>
        </w:trPr>
        <w:tc>
          <w:tcPr>
            <w:tcW w:w="460" w:type="dxa"/>
            <w:vAlign w:val="bottom"/>
          </w:tcPr>
          <w:p>
            <w:pPr>
              <w:spacing w:after="0" w:line="20" w:lineRule="exact"/>
              <w:rPr>
                <w:sz w:val="1"/>
                <w:szCs w:val="1"/>
                <w:color w:val="auto"/>
              </w:rPr>
            </w:pPr>
          </w:p>
        </w:tc>
        <w:tc>
          <w:tcPr>
            <w:tcW w:w="39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460" w:type="dxa"/>
            <w:vAlign w:val="bottom"/>
          </w:tcPr>
          <w:p>
            <w:pPr>
              <w:spacing w:after="0"/>
              <w:rPr>
                <w:sz w:val="18"/>
                <w:szCs w:val="18"/>
                <w:color w:val="auto"/>
              </w:rPr>
            </w:pPr>
          </w:p>
        </w:tc>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25,319</w:t>
            </w:r>
          </w:p>
        </w:tc>
        <w:tc>
          <w:tcPr>
            <w:tcW w:w="180" w:type="dxa"/>
            <w:vAlign w:val="bottom"/>
          </w:tcPr>
          <w:p>
            <w:pPr>
              <w:spacing w:after="0"/>
              <w:rPr>
                <w:sz w:val="18"/>
                <w:szCs w:val="18"/>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37,358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25,764</w:t>
            </w:r>
          </w:p>
        </w:tc>
      </w:tr>
      <w:tr>
        <w:trPr>
          <w:trHeight w:val="20"/>
        </w:trPr>
        <w:tc>
          <w:tcPr>
            <w:tcW w:w="4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920" w:hanging="359"/>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rent and related expenses consist of accrued costs associated with non-lease components.</w:t>
      </w:r>
    </w:p>
    <w:p>
      <w:pPr>
        <w:spacing w:after="0" w:line="27" w:lineRule="exact"/>
        <w:rPr>
          <w:rFonts w:ascii="Times New Roman" w:cs="Times New Roman" w:eastAsia="Times New Roman" w:hAnsi="Times New Roman"/>
          <w:sz w:val="18"/>
          <w:szCs w:val="18"/>
          <w:color w:val="auto"/>
        </w:rPr>
      </w:pPr>
    </w:p>
    <w:p>
      <w:pPr>
        <w:ind w:left="920" w:hanging="359"/>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expense - other consists of accrued costs associated with a legal reserve accrual.</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Stock-based Compensation</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April 14, 2020, the Board of Directors (the “Board”) of Build-A-Bear Workshop, Inc. (the “Company”) adopted, subject to stockholder approval, the Build-A-Bear Workshop, Inc. 2020 Omnibus Incentive Plan (the “2020 Incentive Plan”). On June 11, 2020, the Company’s stockholders approved the 2020 Incentive Plan. On April 11, 2023, the Board adopted, subject to stockholder approval, the Build-A-Bear Workshop, Inc. Amended and Restated 2020 Omnibus Incentive Plan (the “Restated 2020 Incentive Plan”). On June 8, 2023, at the Company’s 2023 Annual Meeting of Stockholders (the “Annual Meeting”), the Company’s stockholders approved the Restated 2020 Incentive Plan. The Restated 2020 Incentive Plan, which is administered by the Compensation and Development Committee of the Board, permits the grant of stock options (including both incentive and non-qualified stock options), stock appreciation rights, other stock-based awards, including restricted stock and restricted stock units, cash-based awards, and performance awards pursuant to the terms of the Restated 2020 Incentive Plan. The Restated 2020 Incentive Plan will terminate on April 11, 2033, unless earlier terminated by the Board. The total number of shares of the Company’s common stock authorized for issuance under the Restated 2020 Incentive Plan increased by 800,000 to a maximum of 1,800,000 since its inception as the 2020 Incentive Plan, subject to customary capitalization adjustments, substitutions of acquired company awards and certain additions of acquired company plan shares, plus shares that are subject to outstanding awards made under the Build-A-Bear Workshop, Inc. 2017 Omnibus Incentive Plan (the “2017 Plan”) that on or after April 14, 2020 may be forfeited, expire or be settled for cash.</w:t>
      </w:r>
    </w:p>
    <w:p>
      <w:pPr>
        <w:spacing w:after="0" w:line="187"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For the thirteen weeks ended October 28, 2023 and October 29, 2022, selling, general and administrative expense included stock-based compensation expense of $0.7 million and $0.6 million, respectively. For the thirty-nine weeks ended October 28, 2023 and October 29, 2022 selling, general, and administrative expense included stock-based compensation expense of $2.5 million and $1.9 million, respectively. As of October 28, 2023, there was $1.7 million of total unrecognized compensation expense related to unvested restricted stock awards which is expected to be recognized over a weighted-average period of 1.7 years.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is a summary of the balances and activity for stock options for the thirty-nine weeks ended October 28, 2023:</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p>
        </w:tc>
        <w:tc>
          <w:tcPr>
            <w:tcW w:w="3120" w:type="dxa"/>
            <w:vAlign w:val="bottom"/>
            <w:gridSpan w:val="5"/>
          </w:tcPr>
          <w:p>
            <w:pPr>
              <w:jc w:val="right"/>
              <w:ind w:right="1300"/>
              <w:spacing w:after="0"/>
              <w:rPr>
                <w:sz w:val="20"/>
                <w:szCs w:val="20"/>
                <w:color w:val="auto"/>
              </w:rPr>
            </w:pPr>
            <w:r>
              <w:rPr>
                <w:rFonts w:ascii="Times New Roman" w:cs="Times New Roman" w:eastAsia="Times New Roman" w:hAnsi="Times New Roman"/>
                <w:sz w:val="18"/>
                <w:szCs w:val="18"/>
                <w:b w:val="1"/>
                <w:bCs w:val="1"/>
                <w:color w:val="auto"/>
              </w:rPr>
              <w:t>Options</w:t>
            </w:r>
          </w:p>
        </w:tc>
      </w:tr>
      <w:tr>
        <w:trPr>
          <w:trHeight w:val="187"/>
        </w:trPr>
        <w:tc>
          <w:tcPr>
            <w:tcW w:w="5860" w:type="dxa"/>
            <w:vAlign w:val="bottom"/>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w w:val="96"/>
              </w:rPr>
              <w:t>Weighted Average</w:t>
            </w:r>
          </w:p>
        </w:tc>
        <w:tc>
          <w:tcPr>
            <w:tcW w:w="80" w:type="dxa"/>
            <w:vAlign w:val="bottom"/>
          </w:tcPr>
          <w:p>
            <w:pPr>
              <w:spacing w:after="0"/>
              <w:rPr>
                <w:sz w:val="16"/>
                <w:szCs w:val="16"/>
                <w:color w:val="auto"/>
              </w:rPr>
            </w:pPr>
          </w:p>
        </w:tc>
      </w:tr>
      <w:tr>
        <w:trPr>
          <w:trHeight w:val="238"/>
        </w:trPr>
        <w:tc>
          <w:tcPr>
            <w:tcW w:w="5860" w:type="dxa"/>
            <w:vAlign w:val="bottom"/>
          </w:tcPr>
          <w:p>
            <w:pPr>
              <w:spacing w:after="0"/>
              <w:rPr>
                <w:sz w:val="20"/>
                <w:szCs w:val="20"/>
                <w:color w:val="auto"/>
              </w:rPr>
            </w:pPr>
          </w:p>
        </w:tc>
        <w:tc>
          <w:tcPr>
            <w:tcW w:w="14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80" w:type="dxa"/>
            <w:vAlign w:val="bottom"/>
          </w:tcPr>
          <w:p>
            <w:pPr>
              <w:spacing w:after="0"/>
              <w:rPr>
                <w:sz w:val="20"/>
                <w:szCs w:val="20"/>
                <w:color w:val="auto"/>
              </w:rPr>
            </w:pPr>
          </w:p>
        </w:tc>
      </w:tr>
      <w:tr>
        <w:trPr>
          <w:trHeight w:val="20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January 28, 2023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177,519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14.20</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(143,115)</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12.87</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Canceled or expired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60" w:type="dxa"/>
            <w:vAlign w:val="bottom"/>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October 28, 2023</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34,404</w:t>
            </w:r>
          </w:p>
        </w:tc>
        <w:tc>
          <w:tcPr>
            <w:tcW w:w="1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19.73</w:t>
            </w:r>
          </w:p>
        </w:tc>
      </w:tr>
      <w:tr>
        <w:trPr>
          <w:trHeight w:val="20"/>
        </w:trPr>
        <w:tc>
          <w:tcPr>
            <w:tcW w:w="586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the balances and activity related to time-based and performance-based restricted stock for the thirty-nine weeks ended October 28, 2023:</w:t>
      </w:r>
    </w:p>
    <w:p>
      <w:pPr>
        <w:spacing w:after="0" w:line="158"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gridSpan w:val="5"/>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Performance-Based Restricted</w:t>
            </w:r>
          </w:p>
        </w:tc>
      </w:tr>
      <w:tr>
        <w:trPr>
          <w:trHeight w:val="238"/>
        </w:trPr>
        <w:tc>
          <w:tcPr>
            <w:tcW w:w="3340" w:type="dxa"/>
            <w:vAlign w:val="bottom"/>
          </w:tcPr>
          <w:p>
            <w:pPr>
              <w:spacing w:after="0"/>
              <w:rPr>
                <w:sz w:val="20"/>
                <w:szCs w:val="20"/>
                <w:color w:val="auto"/>
              </w:rPr>
            </w:pPr>
          </w:p>
        </w:tc>
        <w:tc>
          <w:tcPr>
            <w:tcW w:w="290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Time-Based Restricted Stock</w:t>
            </w:r>
          </w:p>
        </w:tc>
        <w:tc>
          <w:tcPr>
            <w:tcW w:w="1620" w:type="dxa"/>
            <w:vAlign w:val="bottom"/>
            <w:gridSpan w:val="3"/>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87"/>
        </w:trPr>
        <w:tc>
          <w:tcPr>
            <w:tcW w:w="334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6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80" w:type="dxa"/>
            <w:vAlign w:val="bottom"/>
          </w:tcPr>
          <w:p>
            <w:pPr>
              <w:spacing w:after="0"/>
              <w:rPr>
                <w:sz w:val="16"/>
                <w:szCs w:val="16"/>
                <w:color w:val="auto"/>
              </w:rPr>
            </w:pPr>
          </w:p>
        </w:tc>
      </w:tr>
      <w:tr>
        <w:trPr>
          <w:trHeight w:val="216"/>
        </w:trPr>
        <w:tc>
          <w:tcPr>
            <w:tcW w:w="3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Average Grant</w:t>
            </w: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Average Grant</w:t>
            </w:r>
          </w:p>
        </w:tc>
      </w:tr>
      <w:tr>
        <w:trPr>
          <w:trHeight w:val="238"/>
        </w:trPr>
        <w:tc>
          <w:tcPr>
            <w:tcW w:w="3340" w:type="dxa"/>
            <w:vAlign w:val="bottom"/>
          </w:tcPr>
          <w:p>
            <w:pPr>
              <w:spacing w:after="0"/>
              <w:rPr>
                <w:sz w:val="20"/>
                <w:szCs w:val="20"/>
                <w:color w:val="auto"/>
              </w:rPr>
            </w:pPr>
          </w:p>
        </w:tc>
        <w:tc>
          <w:tcPr>
            <w:tcW w:w="12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20"/>
                <w:szCs w:val="20"/>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 Fair Value</w:t>
            </w:r>
          </w:p>
        </w:tc>
        <w:tc>
          <w:tcPr>
            <w:tcW w:w="160" w:type="dxa"/>
            <w:vAlign w:val="bottom"/>
          </w:tcPr>
          <w:p>
            <w:pPr>
              <w:spacing w:after="0"/>
              <w:rPr>
                <w:sz w:val="20"/>
                <w:szCs w:val="20"/>
                <w:color w:val="auto"/>
              </w:rPr>
            </w:pPr>
          </w:p>
        </w:tc>
        <w:tc>
          <w:tcPr>
            <w:tcW w:w="12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Pr>
          <w:p>
            <w:pPr>
              <w:spacing w:after="0"/>
              <w:rPr>
                <w:sz w:val="20"/>
                <w:szCs w:val="20"/>
                <w:color w:val="auto"/>
              </w:rPr>
            </w:pPr>
          </w:p>
        </w:tc>
        <w:tc>
          <w:tcPr>
            <w:tcW w:w="12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7"/>
              </w:rPr>
              <w:t>Date Fair Value</w:t>
            </w:r>
          </w:p>
        </w:tc>
        <w:tc>
          <w:tcPr>
            <w:tcW w:w="80" w:type="dxa"/>
            <w:vAlign w:val="bottom"/>
          </w:tcPr>
          <w:p>
            <w:pPr>
              <w:spacing w:after="0"/>
              <w:rPr>
                <w:sz w:val="20"/>
                <w:szCs w:val="20"/>
                <w:color w:val="auto"/>
              </w:rPr>
            </w:pPr>
          </w:p>
        </w:tc>
      </w:tr>
      <w:tr>
        <w:trPr>
          <w:trHeight w:val="210"/>
        </w:trPr>
        <w:tc>
          <w:tcPr>
            <w:tcW w:w="334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5"/>
                <w:szCs w:val="15"/>
                <w:color w:val="auto"/>
              </w:rPr>
              <w:t xml:space="preserve">Outstanding, January 28, 2023 </w:t>
            </w:r>
            <w:r>
              <w:rPr>
                <w:rFonts w:ascii="Times New Roman" w:cs="Times New Roman" w:eastAsia="Times New Roman" w:hAnsi="Times New Roman"/>
                <w:sz w:val="24"/>
                <w:szCs w:val="24"/>
                <w:color w:val="auto"/>
                <w:vertAlign w:val="superscript"/>
              </w:rPr>
              <w:t>(1)</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287,983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8.78</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295,048</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8.13</w:t>
            </w:r>
          </w:p>
        </w:tc>
      </w:tr>
      <w:tr>
        <w:trPr>
          <w:trHeight w:val="216"/>
        </w:trPr>
        <w:tc>
          <w:tcPr>
            <w:tcW w:w="334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Granted </w:t>
            </w:r>
            <w:r>
              <w:rPr>
                <w:rFonts w:ascii="Times New Roman" w:cs="Times New Roman" w:eastAsia="Times New Roman" w:hAnsi="Times New Roman"/>
                <w:sz w:val="25"/>
                <w:szCs w:val="25"/>
                <w:color w:val="auto"/>
                <w:vertAlign w:val="superscript"/>
              </w:rPr>
              <w:t>(1)</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65,759</w:t>
            </w:r>
          </w:p>
        </w:tc>
        <w:tc>
          <w:tcPr>
            <w:tcW w:w="1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23.52</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65,254</w:t>
            </w: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24.75</w:t>
            </w: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(208,620)</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7.20</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 for performance achievement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57,756</w:t>
            </w:r>
          </w:p>
        </w:tc>
        <w:tc>
          <w:tcPr>
            <w:tcW w:w="2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2.87</w:t>
            </w: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Earned and Vested</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(215,130)</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2.78</w:t>
            </w:r>
          </w:p>
        </w:tc>
      </w:tr>
      <w:tr>
        <w:trPr>
          <w:trHeight w:val="216"/>
        </w:trPr>
        <w:tc>
          <w:tcPr>
            <w:tcW w:w="334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Forfeited </w:t>
            </w:r>
            <w:r>
              <w:rPr>
                <w:rFonts w:ascii="Times New Roman" w:cs="Times New Roman" w:eastAsia="Times New Roman" w:hAnsi="Times New Roman"/>
                <w:sz w:val="25"/>
                <w:szCs w:val="25"/>
                <w:color w:val="auto"/>
                <w:vertAlign w:val="superscript"/>
              </w:rPr>
              <w:t>(1)</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(4,838)</w:t>
            </w:r>
          </w:p>
        </w:tc>
        <w:tc>
          <w:tcPr>
            <w:tcW w:w="1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12.91</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(3,466)</w:t>
            </w:r>
          </w:p>
        </w:tc>
        <w:tc>
          <w:tcPr>
            <w:tcW w:w="2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18.03</w:t>
            </w:r>
          </w:p>
        </w:tc>
      </w:tr>
      <w:tr>
        <w:trPr>
          <w:trHeight w:val="20"/>
        </w:trPr>
        <w:tc>
          <w:tcPr>
            <w:tcW w:w="33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334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5"/>
                <w:szCs w:val="15"/>
                <w:color w:val="auto"/>
              </w:rPr>
              <w:t xml:space="preserve">Outstanding, October 28, 2023 </w:t>
            </w:r>
            <w:r>
              <w:rPr>
                <w:rFonts w:ascii="Times New Roman" w:cs="Times New Roman" w:eastAsia="Times New Roman" w:hAnsi="Times New Roman"/>
                <w:sz w:val="24"/>
                <w:szCs w:val="24"/>
                <w:color w:val="auto"/>
                <w:vertAlign w:val="superscript"/>
              </w:rPr>
              <w:t>(1)</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140,284</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17.89</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199,462</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17.62</w:t>
            </w:r>
          </w:p>
        </w:tc>
      </w:tr>
      <w:tr>
        <w:trPr>
          <w:trHeight w:val="20"/>
        </w:trPr>
        <w:tc>
          <w:tcPr>
            <w:tcW w:w="33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  Performance-based restricted stock outstanding, granted, and forfeited are presented at 100% of target.</w:t>
      </w:r>
    </w:p>
    <w:p>
      <w:pPr>
        <w:spacing w:after="0" w:line="225"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The total fair value of shares vested during the thirty-nine weeks ended October 28, 2023 and October 29, 2022 was $2.1 million and $2.0 million, respectively.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outstanding performance shares as of October 28, 2023 consist of the following:</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Performance</w:t>
            </w:r>
          </w:p>
        </w:tc>
      </w:tr>
      <w:tr>
        <w:trPr>
          <w:trHeight w:val="238"/>
        </w:trPr>
        <w:tc>
          <w:tcPr>
            <w:tcW w:w="56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15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r>
      <w:tr>
        <w:trPr>
          <w:trHeight w:val="210"/>
        </w:trPr>
        <w:tc>
          <w:tcPr>
            <w:tcW w:w="7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shares subject to performance-based restrictions at target:</w:t>
            </w:r>
          </w:p>
        </w:tc>
        <w:tc>
          <w:tcPr>
            <w:tcW w:w="14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5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w w:val="99"/>
              </w:rPr>
              <w:t>2021</w:t>
            </w:r>
          </w:p>
        </w:tc>
        <w:tc>
          <w:tcPr>
            <w:tcW w:w="69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- 2023 consolidated, cumulative earnings before interest, taxes, depreciation and</w:t>
            </w: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7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(EBITDA) objectives</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39,821</w:t>
            </w:r>
          </w:p>
        </w:tc>
      </w:tr>
      <w:tr>
        <w:trPr>
          <w:trHeight w:val="229"/>
        </w:trPr>
        <w:tc>
          <w:tcPr>
            <w:tcW w:w="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2021</w:t>
            </w:r>
          </w:p>
        </w:tc>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- 2023 consolidated revenue growth objectives</w:t>
            </w: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13,274</w:t>
            </w:r>
          </w:p>
        </w:tc>
      </w:tr>
      <w:tr>
        <w:trPr>
          <w:trHeight w:val="198"/>
        </w:trPr>
        <w:tc>
          <w:tcPr>
            <w:tcW w:w="5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w w:val="99"/>
              </w:rPr>
              <w:t>2022</w:t>
            </w:r>
          </w:p>
        </w:tc>
        <w:tc>
          <w:tcPr>
            <w:tcW w:w="692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  2024  consolidated,  earnings  before  interest,  taxes,  depreciation  and  amortization</w:t>
            </w: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7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(EBITDA) growth objectives</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60,835</w:t>
            </w:r>
          </w:p>
        </w:tc>
      </w:tr>
      <w:tr>
        <w:trPr>
          <w:trHeight w:val="216"/>
        </w:trPr>
        <w:tc>
          <w:tcPr>
            <w:tcW w:w="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2022</w:t>
            </w:r>
          </w:p>
        </w:tc>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- 2024 consolidated revenue growth objectives</w:t>
            </w: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20,278</w:t>
            </w:r>
          </w:p>
        </w:tc>
      </w:tr>
      <w:tr>
        <w:trPr>
          <w:trHeight w:val="216"/>
        </w:trPr>
        <w:tc>
          <w:tcPr>
            <w:tcW w:w="5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2023</w:t>
            </w:r>
          </w:p>
        </w:tc>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- 2025 consolidated pre-tax income growth objectives</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42,415</w:t>
            </w:r>
          </w:p>
        </w:tc>
      </w:tr>
      <w:tr>
        <w:trPr>
          <w:trHeight w:val="216"/>
        </w:trPr>
        <w:tc>
          <w:tcPr>
            <w:tcW w:w="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2023</w:t>
            </w:r>
          </w:p>
        </w:tc>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- 2025 consolidated revenue growth objectives</w:t>
            </w: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22,839</w:t>
            </w:r>
          </w:p>
        </w:tc>
      </w:tr>
      <w:tr>
        <w:trPr>
          <w:trHeight w:val="209"/>
        </w:trPr>
        <w:tc>
          <w:tcPr>
            <w:tcW w:w="7480" w:type="dxa"/>
            <w:vAlign w:val="bottom"/>
            <w:tcBorders>
              <w:top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Performance shares outstanding, October 28, 2023</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199,462</w:t>
            </w:r>
          </w:p>
        </w:tc>
        <w:tc>
          <w:tcPr>
            <w:tcW w:w="80" w:type="dxa"/>
            <w:vAlign w:val="bottom"/>
            <w:tcBorders>
              <w:top w:val="single" w:sz="8" w:color="CCEEFF"/>
            </w:tcBorders>
          </w:tcPr>
          <w:p>
            <w:pPr>
              <w:spacing w:after="0"/>
              <w:rPr>
                <w:sz w:val="18"/>
                <w:szCs w:val="18"/>
                <w:color w:val="auto"/>
              </w:rPr>
            </w:pPr>
          </w:p>
        </w:tc>
      </w:tr>
      <w:tr>
        <w:trPr>
          <w:trHeight w:val="20"/>
        </w:trPr>
        <w:tc>
          <w:tcPr>
            <w:tcW w:w="56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Taxes</w:t>
      </w:r>
    </w:p>
    <w:p>
      <w:pPr>
        <w:sectPr>
          <w:pgSz w:w="11900" w:h="16838" w:orient="portrait"/>
          <w:cols w:equalWidth="0" w:num="1">
            <w:col w:w="11200"/>
          </w:cols>
          <w:pgMar w:left="320" w:top="121" w:right="379" w:bottom="0" w:gutter="0" w:footer="0" w:header="0"/>
        </w:sectPr>
      </w:pPr>
    </w:p>
    <w:bookmarkStart w:id="11" w:name="page12"/>
    <w:bookmarkEnd w:id="1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effective tax rate was 26.7% and 24.0% for the thirteen and thirty-nine weeks ended October 28, 2023, respectively, compared to 24.6% and 23.1% for the thirteen and thirty-nine weeks ended October 29, 2022, respectively. The 2023 and 2022 effective tax rates differed from the statutory rate of 21% primarily due to state income tax expense partially offset by the tax impact of equity awards vesting. In addition, in the third quarter of fiscal 2023 and 2022, the Company remains in a full valuation allowance in certain foreign jurisdictions.</w:t>
      </w:r>
    </w:p>
    <w:p>
      <w:pPr>
        <w:spacing w:after="0" w:line="18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Stockholders’ Equity</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changes in stockholders’ equity (in thousands) for the thirteen weeks ended October 28, 2023 and October 29, 2022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gridSpan w:val="12"/>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For the thirteen weeks ended October 28, 2023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12"/>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thirteen weeks ended October 29, 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5"/>
        </w:trPr>
        <w:tc>
          <w:tcPr>
            <w:tcW w:w="320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80" w:type="dxa"/>
            <w:vAlign w:val="bottom"/>
          </w:tcPr>
          <w:p>
            <w:pPr>
              <w:spacing w:after="0"/>
              <w:rPr>
                <w:sz w:val="24"/>
                <w:szCs w:val="24"/>
                <w:color w:val="auto"/>
              </w:rPr>
            </w:pPr>
          </w:p>
        </w:tc>
        <w:tc>
          <w:tcPr>
            <w:tcW w:w="7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APIC</w:t>
            </w:r>
          </w:p>
        </w:tc>
        <w:tc>
          <w:tcPr>
            <w:tcW w:w="7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AOCI</w:t>
            </w:r>
          </w:p>
        </w:tc>
        <w:tc>
          <w:tcPr>
            <w:tcW w:w="90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7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APIC</w:t>
            </w:r>
          </w:p>
        </w:tc>
        <w:tc>
          <w:tcPr>
            <w:tcW w:w="80" w:type="dxa"/>
            <w:vAlign w:val="bottom"/>
          </w:tcPr>
          <w:p>
            <w:pPr>
              <w:spacing w:after="0"/>
              <w:rPr>
                <w:sz w:val="24"/>
                <w:szCs w:val="24"/>
                <w:color w:val="auto"/>
              </w:rPr>
            </w:pPr>
          </w:p>
        </w:tc>
        <w:tc>
          <w:tcPr>
            <w:tcW w:w="8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AOCI</w:t>
            </w:r>
          </w:p>
        </w:tc>
        <w:tc>
          <w:tcPr>
            <w:tcW w:w="7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3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w:t>
            </w:r>
          </w:p>
        </w:tc>
        <w:tc>
          <w:tcPr>
            <w:tcW w:w="220" w:type="dxa"/>
            <w:vAlign w:val="bottom"/>
          </w:tcPr>
          <w:p>
            <w:pPr>
              <w:spacing w:after="0"/>
              <w:rPr>
                <w:sz w:val="18"/>
                <w:szCs w:val="18"/>
                <w:color w:val="auto"/>
              </w:rPr>
            </w:pPr>
          </w:p>
        </w:tc>
        <w:tc>
          <w:tcPr>
            <w:tcW w:w="6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8"/>
              </w:rPr>
              <w:t>earnings</w:t>
            </w:r>
          </w:p>
        </w:tc>
        <w:tc>
          <w:tcPr>
            <w:tcW w:w="220" w:type="dxa"/>
            <w:vAlign w:val="bottom"/>
          </w:tcPr>
          <w:p>
            <w:pPr>
              <w:spacing w:after="0"/>
              <w:rPr>
                <w:sz w:val="18"/>
                <w:szCs w:val="18"/>
                <w:color w:val="auto"/>
              </w:rPr>
            </w:pPr>
          </w:p>
        </w:tc>
        <w:tc>
          <w:tcPr>
            <w:tcW w:w="6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20" w:type="dxa"/>
            <w:vAlign w:val="bottom"/>
          </w:tcPr>
          <w:p>
            <w:pPr>
              <w:spacing w:after="0"/>
              <w:rPr>
                <w:sz w:val="18"/>
                <w:szCs w:val="18"/>
                <w:color w:val="auto"/>
              </w:rPr>
            </w:pPr>
          </w:p>
        </w:tc>
        <w:tc>
          <w:tcPr>
            <w:tcW w:w="5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(2)</w:t>
            </w:r>
          </w:p>
        </w:tc>
        <w:tc>
          <w:tcPr>
            <w:tcW w:w="220" w:type="dxa"/>
            <w:vAlign w:val="bottom"/>
          </w:tcPr>
          <w:p>
            <w:pPr>
              <w:spacing w:after="0"/>
              <w:rPr>
                <w:sz w:val="18"/>
                <w:szCs w:val="18"/>
                <w:color w:val="auto"/>
              </w:rPr>
            </w:pPr>
          </w:p>
        </w:tc>
        <w:tc>
          <w:tcPr>
            <w:tcW w:w="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8"/>
              </w:rPr>
              <w:t>earnings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beginning</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4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$ 66,773</w:t>
            </w: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5"/>
              </w:rPr>
              <w:t>$ (12,017)</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52,965</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$ 107,866</w:t>
            </w: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150</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$ 69,409</w:t>
            </w:r>
          </w:p>
        </w:tc>
        <w:tc>
          <w:tcPr>
            <w:tcW w:w="14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(12,385)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36,690</w:t>
            </w:r>
          </w:p>
        </w:tc>
        <w:tc>
          <w:tcPr>
            <w:tcW w:w="14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$ 93,864</w:t>
            </w:r>
          </w:p>
        </w:tc>
        <w:tc>
          <w:tcPr>
            <w:tcW w:w="0" w:type="dxa"/>
            <w:vAlign w:val="bottom"/>
          </w:tcPr>
          <w:p>
            <w:pPr>
              <w:spacing w:after="0"/>
              <w:rPr>
                <w:sz w:val="1"/>
                <w:szCs w:val="1"/>
                <w:color w:val="auto"/>
              </w:rPr>
            </w:pPr>
          </w:p>
        </w:tc>
      </w:tr>
      <w:tr>
        <w:trPr>
          <w:trHeight w:val="203"/>
        </w:trPr>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Issuance of Restricted Stock</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issued under employee stock plans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175</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194</w:t>
            </w:r>
          </w:p>
        </w:tc>
        <w:tc>
          <w:tcPr>
            <w:tcW w:w="0" w:type="dxa"/>
            <w:vAlign w:val="bottom"/>
          </w:tcPr>
          <w:p>
            <w:pPr>
              <w:spacing w:after="0"/>
              <w:rPr>
                <w:sz w:val="1"/>
                <w:szCs w:val="1"/>
                <w:color w:val="auto"/>
              </w:rPr>
            </w:pPr>
          </w:p>
        </w:tc>
      </w:tr>
      <w:tr>
        <w:trPr>
          <w:trHeight w:val="203"/>
        </w:trPr>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363</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368</w:t>
            </w:r>
          </w:p>
        </w:tc>
        <w:tc>
          <w:tcPr>
            <w:tcW w:w="0" w:type="dxa"/>
            <w:vAlign w:val="bottom"/>
          </w:tcPr>
          <w:p>
            <w:pPr>
              <w:spacing w:after="0"/>
              <w:rPr>
                <w:sz w:val="1"/>
                <w:szCs w:val="1"/>
                <w:color w:val="auto"/>
              </w:rPr>
            </w:pPr>
          </w:p>
        </w:tc>
      </w:tr>
      <w:tr>
        <w:trPr>
          <w:trHeight w:val="20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withheld in lieu of tax withholdings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Share Repurchase</w:t>
            </w:r>
          </w:p>
        </w:tc>
        <w:tc>
          <w:tcPr>
            <w:tcW w:w="10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(670)</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(3,369)</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(4,040)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(1,553)</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(3,233)</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(4,789)</w:t>
            </w:r>
          </w:p>
        </w:tc>
        <w:tc>
          <w:tcPr>
            <w:tcW w:w="0" w:type="dxa"/>
            <w:vAlign w:val="bottom"/>
          </w:tcPr>
          <w:p>
            <w:pPr>
              <w:spacing w:after="0"/>
              <w:rPr>
                <w:sz w:val="1"/>
                <w:szCs w:val="1"/>
                <w:color w:val="auto"/>
              </w:rPr>
            </w:pPr>
          </w:p>
        </w:tc>
      </w:tr>
      <w:tr>
        <w:trPr>
          <w:trHeight w:val="20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Dividends</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(47)</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(43)</w:t>
            </w:r>
          </w:p>
        </w:tc>
        <w:tc>
          <w:tcPr>
            <w:tcW w:w="0" w:type="dxa"/>
            <w:vAlign w:val="bottom"/>
          </w:tcPr>
          <w:p>
            <w:pPr>
              <w:spacing w:after="0"/>
              <w:rPr>
                <w:sz w:val="1"/>
                <w:szCs w:val="1"/>
                <w:color w:val="auto"/>
              </w:rPr>
            </w:pPr>
          </w:p>
        </w:tc>
      </w:tr>
      <w:tr>
        <w:trPr>
          <w:trHeight w:val="20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(302)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(302)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03"/>
        </w:trPr>
        <w:tc>
          <w:tcPr>
            <w:tcW w:w="320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7,586</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7,455</w:t>
            </w:r>
          </w:p>
        </w:tc>
        <w:tc>
          <w:tcPr>
            <w:tcW w:w="140" w:type="dxa"/>
            <w:vAlign w:val="bottom"/>
          </w:tcPr>
          <w:p>
            <w:pPr>
              <w:spacing w:after="0"/>
              <w:rPr>
                <w:sz w:val="17"/>
                <w:szCs w:val="17"/>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7,455</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ending</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$ 66,641</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5"/>
              </w:rPr>
              <w:t>$ (12,319)</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57,182</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$ 111,648</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147</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$ 68,422</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(12,336)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40,865</w:t>
            </w: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$ 97,098</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paid-in capital (“APIC”)</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Accumulated other comprehensive loss (“AOCI”)</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changes in stockholders’ equity (in thousands) for the thirty-nine weeks ended October 28, 2023 and October 29, 2022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gridSpan w:val="11"/>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For the thirty-nine weeks ended October 28, 2023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11"/>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For the thirty-nine weeks ended October 29, 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5"/>
        </w:trPr>
        <w:tc>
          <w:tcPr>
            <w:tcW w:w="3020" w:type="dxa"/>
            <w:vAlign w:val="bottom"/>
          </w:tcPr>
          <w:p>
            <w:pPr>
              <w:spacing w:after="0"/>
              <w:rPr>
                <w:sz w:val="24"/>
                <w:szCs w:val="24"/>
                <w:color w:val="auto"/>
              </w:rPr>
            </w:pPr>
          </w:p>
        </w:tc>
        <w:tc>
          <w:tcPr>
            <w:tcW w:w="1100" w:type="dxa"/>
            <w:vAlign w:val="bottom"/>
            <w:gridSpan w:val="4"/>
          </w:tcPr>
          <w:p>
            <w:pPr>
              <w:ind w:left="24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6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APIC</w:t>
            </w:r>
          </w:p>
        </w:tc>
        <w:tc>
          <w:tcPr>
            <w:tcW w:w="80" w:type="dxa"/>
            <w:vAlign w:val="bottom"/>
          </w:tcPr>
          <w:p>
            <w:pPr>
              <w:spacing w:after="0"/>
              <w:rPr>
                <w:sz w:val="24"/>
                <w:szCs w:val="24"/>
                <w:color w:val="auto"/>
              </w:rPr>
            </w:pPr>
          </w:p>
        </w:tc>
        <w:tc>
          <w:tcPr>
            <w:tcW w:w="8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AOCI</w:t>
            </w:r>
          </w:p>
        </w:tc>
        <w:tc>
          <w:tcPr>
            <w:tcW w:w="8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7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APIC</w:t>
            </w:r>
          </w:p>
        </w:tc>
        <w:tc>
          <w:tcPr>
            <w:tcW w:w="80" w:type="dxa"/>
            <w:vAlign w:val="bottom"/>
          </w:tcPr>
          <w:p>
            <w:pPr>
              <w:spacing w:after="0"/>
              <w:rPr>
                <w:sz w:val="24"/>
                <w:szCs w:val="24"/>
                <w:color w:val="auto"/>
              </w:rPr>
            </w:pPr>
          </w:p>
        </w:tc>
        <w:tc>
          <w:tcPr>
            <w:tcW w:w="8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AOCI</w:t>
            </w:r>
          </w:p>
        </w:tc>
        <w:tc>
          <w:tcPr>
            <w:tcW w:w="7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3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20" w:type="dxa"/>
            <w:vAlign w:val="bottom"/>
          </w:tcPr>
          <w:p>
            <w:pPr>
              <w:spacing w:after="0"/>
              <w:rPr>
                <w:sz w:val="18"/>
                <w:szCs w:val="18"/>
                <w:color w:val="auto"/>
              </w:rPr>
            </w:pPr>
          </w:p>
        </w:tc>
        <w:tc>
          <w:tcPr>
            <w:tcW w:w="5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w:t>
            </w:r>
          </w:p>
        </w:tc>
        <w:tc>
          <w:tcPr>
            <w:tcW w:w="220" w:type="dxa"/>
            <w:vAlign w:val="bottom"/>
          </w:tcPr>
          <w:p>
            <w:pPr>
              <w:spacing w:after="0"/>
              <w:rPr>
                <w:sz w:val="18"/>
                <w:szCs w:val="18"/>
                <w:color w:val="auto"/>
              </w:rPr>
            </w:pPr>
          </w:p>
        </w:tc>
        <w:tc>
          <w:tcPr>
            <w:tcW w:w="6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earnings</w:t>
            </w:r>
          </w:p>
        </w:tc>
        <w:tc>
          <w:tcPr>
            <w:tcW w:w="220" w:type="dxa"/>
            <w:vAlign w:val="bottom"/>
          </w:tcPr>
          <w:p>
            <w:pPr>
              <w:spacing w:after="0"/>
              <w:rPr>
                <w:sz w:val="18"/>
                <w:szCs w:val="18"/>
                <w:color w:val="auto"/>
              </w:rPr>
            </w:pPr>
          </w:p>
        </w:tc>
        <w:tc>
          <w:tcPr>
            <w:tcW w:w="6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20" w:type="dxa"/>
            <w:vAlign w:val="bottom"/>
          </w:tcPr>
          <w:p>
            <w:pPr>
              <w:spacing w:after="0"/>
              <w:rPr>
                <w:sz w:val="18"/>
                <w:szCs w:val="18"/>
                <w:color w:val="auto"/>
              </w:rPr>
            </w:pPr>
          </w:p>
        </w:tc>
        <w:tc>
          <w:tcPr>
            <w:tcW w:w="5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w:t>
            </w:r>
          </w:p>
        </w:tc>
        <w:tc>
          <w:tcPr>
            <w:tcW w:w="220" w:type="dxa"/>
            <w:vAlign w:val="bottom"/>
          </w:tcPr>
          <w:p>
            <w:pPr>
              <w:spacing w:after="0"/>
              <w:rPr>
                <w:sz w:val="18"/>
                <w:szCs w:val="18"/>
                <w:color w:val="auto"/>
              </w:rPr>
            </w:pPr>
          </w:p>
        </w:tc>
        <w:tc>
          <w:tcPr>
            <w:tcW w:w="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beginning</w:t>
            </w:r>
          </w:p>
        </w:tc>
        <w:tc>
          <w:tcPr>
            <w:tcW w:w="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148</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2"/>
              </w:rPr>
              <w:t>$ 69,868</w:t>
            </w:r>
          </w:p>
        </w:tc>
        <w:tc>
          <w:tcPr>
            <w:tcW w:w="14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(12,274)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61,375</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$ 119,117</w:t>
            </w: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162</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$ 75,490</w:t>
            </w:r>
          </w:p>
        </w:tc>
        <w:tc>
          <w:tcPr>
            <w:tcW w:w="14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(12,470)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30,501</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$ 93,683</w:t>
            </w:r>
          </w:p>
        </w:tc>
        <w:tc>
          <w:tcPr>
            <w:tcW w:w="0" w:type="dxa"/>
            <w:vAlign w:val="bottom"/>
          </w:tcPr>
          <w:p>
            <w:pPr>
              <w:spacing w:after="0"/>
              <w:rPr>
                <w:sz w:val="1"/>
                <w:szCs w:val="1"/>
                <w:color w:val="auto"/>
              </w:rPr>
            </w:pPr>
          </w:p>
        </w:tc>
      </w:tr>
      <w:tr>
        <w:trPr>
          <w:trHeight w:val="203"/>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Adoption of new accounting standard</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(785)</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Subtotal</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2"/>
              </w:rPr>
              <w:t>$ 69,868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5"/>
              </w:rPr>
              <w:t>$ (12,274)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60,590</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96"/>
              </w:rPr>
              <w:t>$ 118,332</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162</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$ 75,490</w:t>
            </w:r>
          </w:p>
        </w:tc>
        <w:tc>
          <w:tcPr>
            <w:tcW w:w="14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(12,470)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30,501</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$ 93,683</w:t>
            </w:r>
          </w:p>
        </w:tc>
        <w:tc>
          <w:tcPr>
            <w:tcW w:w="0" w:type="dxa"/>
            <w:vAlign w:val="bottom"/>
          </w:tcPr>
          <w:p>
            <w:pPr>
              <w:spacing w:after="0"/>
              <w:rPr>
                <w:sz w:val="1"/>
                <w:szCs w:val="1"/>
                <w:color w:val="auto"/>
              </w:rPr>
            </w:pPr>
          </w:p>
        </w:tc>
      </w:tr>
      <w:tr>
        <w:trPr>
          <w:trHeight w:val="202"/>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Issuance of Restricted Stock</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issued under employee stock plans</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1,006</w:t>
            </w:r>
          </w:p>
        </w:tc>
        <w:tc>
          <w:tcPr>
            <w:tcW w:w="0" w:type="dxa"/>
            <w:vAlign w:val="bottom"/>
          </w:tcPr>
          <w:p>
            <w:pPr>
              <w:spacing w:after="0"/>
              <w:rPr>
                <w:sz w:val="1"/>
                <w:szCs w:val="1"/>
                <w:color w:val="auto"/>
              </w:rPr>
            </w:pPr>
          </w:p>
        </w:tc>
      </w:tr>
      <w:tr>
        <w:trPr>
          <w:trHeight w:val="203"/>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1,175</w:t>
            </w:r>
          </w:p>
        </w:tc>
        <w:tc>
          <w:tcPr>
            <w:tcW w:w="0" w:type="dxa"/>
            <w:vAlign w:val="bottom"/>
          </w:tcPr>
          <w:p>
            <w:pPr>
              <w:spacing w:after="0"/>
              <w:rPr>
                <w:sz w:val="1"/>
                <w:szCs w:val="1"/>
                <w:color w:val="auto"/>
              </w:rPr>
            </w:pPr>
          </w:p>
        </w:tc>
      </w:tr>
      <w:tr>
        <w:trPr>
          <w:trHeight w:val="203"/>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Shares withheld in lieu of tax withholdings</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(3,638)</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(3,640)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(2,178)</w:t>
            </w: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(2,179)</w:t>
            </w:r>
          </w:p>
        </w:tc>
        <w:tc>
          <w:tcPr>
            <w:tcW w:w="0" w:type="dxa"/>
            <w:vAlign w:val="bottom"/>
          </w:tcPr>
          <w:p>
            <w:pPr>
              <w:spacing w:after="0"/>
              <w:rPr>
                <w:sz w:val="1"/>
                <w:szCs w:val="1"/>
                <w:color w:val="auto"/>
              </w:rPr>
            </w:pPr>
          </w:p>
        </w:tc>
      </w:tr>
      <w:tr>
        <w:trPr>
          <w:trHeight w:val="203"/>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Share Repurchase</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(3,146)</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(12,087)</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(15,239)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(7,073)</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(17,083)</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(24,172)</w:t>
            </w:r>
          </w:p>
        </w:tc>
        <w:tc>
          <w:tcPr>
            <w:tcW w:w="0" w:type="dxa"/>
            <w:vAlign w:val="bottom"/>
          </w:tcPr>
          <w:p>
            <w:pPr>
              <w:spacing w:after="0"/>
              <w:rPr>
                <w:sz w:val="1"/>
                <w:szCs w:val="1"/>
                <w:color w:val="auto"/>
              </w:rPr>
            </w:pPr>
          </w:p>
        </w:tc>
      </w:tr>
      <w:tr>
        <w:trPr>
          <w:trHeight w:val="203"/>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196</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03"/>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Dividend</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(22,049)</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(22,049)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203"/>
        </w:trPr>
        <w:tc>
          <w:tcPr>
            <w:tcW w:w="30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30,532</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30,532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27,475</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27,475</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ending</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2"/>
              </w:rPr>
              <w:t>$ 66,641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5"/>
              </w:rPr>
              <w:t>$ (12,319)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57,182</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$ 111,648</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147</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$ 68,422</w:t>
            </w:r>
          </w:p>
        </w:tc>
        <w:tc>
          <w:tcPr>
            <w:tcW w:w="1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(12,336)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40,865</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99"/>
              </w:rPr>
              <w:t>$ 97,098</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paid-in capital (“APIC”)</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Accumulated other comprehensive loss (“AOCI”)</w:t>
      </w:r>
    </w:p>
    <w:p>
      <w:pPr>
        <w:spacing w:after="0" w:line="207" w:lineRule="exact"/>
        <w:rPr>
          <w:sz w:val="20"/>
          <w:szCs w:val="20"/>
          <w:color w:val="auto"/>
        </w:rPr>
      </w:pPr>
    </w:p>
    <w:p>
      <w:pPr>
        <w:ind w:right="580" w:firstLine="486"/>
        <w:spacing w:after="0" w:line="282" w:lineRule="auto"/>
        <w:rPr>
          <w:sz w:val="20"/>
          <w:szCs w:val="20"/>
          <w:color w:val="auto"/>
        </w:rPr>
      </w:pPr>
      <w:r>
        <w:rPr>
          <w:rFonts w:ascii="Times New Roman" w:cs="Times New Roman" w:eastAsia="Times New Roman" w:hAnsi="Times New Roman"/>
          <w:sz w:val="18"/>
          <w:szCs w:val="18"/>
          <w:color w:val="auto"/>
        </w:rPr>
        <w:t>For the thirty-nine weeks ended October 28, 2023, the Company recorded credit impairment charges of $0.8 million on trade receivables into retained earnings as a result of the adoption of ASC 326 - Credit Impairment.</w:t>
      </w:r>
    </w:p>
    <w:p>
      <w:pPr>
        <w:spacing w:after="0" w:line="162"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During the thirteen and thirty-nine weeks ended October 28, 2023, the Company utilized $4.0 million in cash to repurchase 146,028 shares and utilized $15.2 million in cash to repurchase 672,734 shares, respectively, under its $50.0 million program that was authorized by its Board of Directors on August 31, 2022. The Company's Board of Directors also authorized a special cash dividend of $1.50 per share that was paid on April 6, 2023, to all stockholders of record as of March 23, 2023.</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per Share</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share (in thousands, except share and per share data):</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6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20" w:type="dxa"/>
            <w:vAlign w:val="bottom"/>
          </w:tcPr>
          <w:p>
            <w:pPr>
              <w:spacing w:after="0"/>
              <w:rPr>
                <w:sz w:val="20"/>
                <w:szCs w:val="20"/>
                <w:color w:val="auto"/>
              </w:rPr>
            </w:pPr>
          </w:p>
        </w:tc>
        <w:tc>
          <w:tcPr>
            <w:tcW w:w="262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c>
          <w:tcPr>
            <w:tcW w:w="0" w:type="dxa"/>
            <w:vAlign w:val="bottom"/>
          </w:tcPr>
          <w:p>
            <w:pPr>
              <w:spacing w:after="0"/>
              <w:rPr>
                <w:sz w:val="1"/>
                <w:szCs w:val="1"/>
                <w:color w:val="auto"/>
              </w:rPr>
            </w:pPr>
          </w:p>
        </w:tc>
      </w:tr>
      <w:tr>
        <w:trPr>
          <w:trHeight w:val="187"/>
        </w:trPr>
        <w:tc>
          <w:tcPr>
            <w:tcW w:w="33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October 28,</w:t>
            </w: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October 29,</w:t>
            </w: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October 28,</w:t>
            </w: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October 29,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7,586</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7,455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30,532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27,475</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3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Weighted average number of common</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outstanding - basic</w:t>
            </w: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14,362,702</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14,542,947</w:t>
            </w:r>
          </w:p>
        </w:tc>
        <w:tc>
          <w:tcPr>
            <w:tcW w:w="1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14,413,308</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15,097,816</w:t>
            </w:r>
          </w:p>
        </w:tc>
        <w:tc>
          <w:tcPr>
            <w:tcW w:w="0" w:type="dxa"/>
            <w:vAlign w:val="bottom"/>
          </w:tcPr>
          <w:p>
            <w:pPr>
              <w:spacing w:after="0"/>
              <w:rPr>
                <w:sz w:val="1"/>
                <w:szCs w:val="1"/>
                <w:color w:val="auto"/>
              </w:rPr>
            </w:pPr>
          </w:p>
        </w:tc>
      </w:tr>
      <w:tr>
        <w:trPr>
          <w:trHeight w:val="216"/>
        </w:trPr>
        <w:tc>
          <w:tcPr>
            <w:tcW w:w="3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Dilutive effect of share-based awards:</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76,093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217,639</w:t>
            </w: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150,666</w:t>
            </w:r>
          </w:p>
        </w:tc>
        <w:tc>
          <w:tcPr>
            <w:tcW w:w="14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314,314</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340" w:type="dxa"/>
            <w:vAlign w:val="bottom"/>
            <w:shd w:val="clear" w:color="auto" w:fill="CCEEFF"/>
          </w:tcPr>
          <w:p>
            <w:pPr>
              <w:ind w:left="180"/>
              <w:spacing w:after="0" w:line="191" w:lineRule="exact"/>
              <w:rPr>
                <w:sz w:val="20"/>
                <w:szCs w:val="20"/>
                <w:color w:val="auto"/>
              </w:rPr>
            </w:pPr>
            <w:r>
              <w:rPr>
                <w:rFonts w:ascii="Times New Roman" w:cs="Times New Roman" w:eastAsia="Times New Roman" w:hAnsi="Times New Roman"/>
                <w:sz w:val="18"/>
                <w:szCs w:val="18"/>
                <w:color w:val="auto"/>
              </w:rPr>
              <w:t>Weighted average number of common</w:t>
            </w:r>
          </w:p>
        </w:tc>
        <w:tc>
          <w:tcPr>
            <w:tcW w:w="14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14,438,795</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14,760,586</w:t>
            </w:r>
          </w:p>
        </w:tc>
        <w:tc>
          <w:tcPr>
            <w:tcW w:w="120" w:type="dxa"/>
            <w:vAlign w:val="bottom"/>
            <w:shd w:val="clear" w:color="auto" w:fill="CCEEFF"/>
          </w:tcPr>
          <w:p>
            <w:pPr>
              <w:spacing w:after="0"/>
              <w:rPr>
                <w:sz w:val="16"/>
                <w:szCs w:val="16"/>
                <w:color w:val="auto"/>
              </w:rPr>
            </w:pPr>
          </w:p>
        </w:tc>
        <w:tc>
          <w:tcPr>
            <w:tcW w:w="12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14,563,974</w:t>
            </w:r>
          </w:p>
        </w:tc>
        <w:tc>
          <w:tcPr>
            <w:tcW w:w="140" w:type="dxa"/>
            <w:vAlign w:val="bottom"/>
            <w:shd w:val="clear" w:color="auto" w:fill="CCEEFF"/>
          </w:tcPr>
          <w:p>
            <w:pPr>
              <w:spacing w:after="0"/>
              <w:rPr>
                <w:sz w:val="16"/>
                <w:szCs w:val="16"/>
                <w:color w:val="auto"/>
              </w:rPr>
            </w:pPr>
          </w:p>
        </w:tc>
        <w:tc>
          <w:tcPr>
            <w:tcW w:w="12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15,412,130</w:t>
            </w:r>
          </w:p>
        </w:tc>
        <w:tc>
          <w:tcPr>
            <w:tcW w:w="0" w:type="dxa"/>
            <w:vAlign w:val="bottom"/>
          </w:tcPr>
          <w:p>
            <w:pPr>
              <w:spacing w:after="0"/>
              <w:rPr>
                <w:sz w:val="1"/>
                <w:szCs w:val="1"/>
                <w:color w:val="auto"/>
              </w:rPr>
            </w:pPr>
          </w:p>
        </w:tc>
      </w:tr>
      <w:tr>
        <w:trPr>
          <w:trHeight w:val="234"/>
        </w:trPr>
        <w:tc>
          <w:tcPr>
            <w:tcW w:w="3340" w:type="dxa"/>
            <w:vAlign w:val="bottom"/>
            <w:shd w:val="clear" w:color="auto" w:fill="CCEEFF"/>
          </w:tcPr>
          <w:p>
            <w:pPr>
              <w:ind w:left="180"/>
              <w:spacing w:after="0" w:line="194" w:lineRule="exact"/>
              <w:rPr>
                <w:sz w:val="20"/>
                <w:szCs w:val="20"/>
                <w:color w:val="auto"/>
              </w:rPr>
            </w:pPr>
            <w:r>
              <w:rPr>
                <w:rFonts w:ascii="Times New Roman" w:cs="Times New Roman" w:eastAsia="Times New Roman" w:hAnsi="Times New Roman"/>
                <w:sz w:val="18"/>
                <w:szCs w:val="18"/>
                <w:color w:val="auto"/>
              </w:rPr>
              <w:t>shares outstanding - dilutive</w:t>
            </w:r>
          </w:p>
        </w:tc>
        <w:tc>
          <w:tcPr>
            <w:tcW w:w="140" w:type="dxa"/>
            <w:vAlign w:val="bottom"/>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34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income per common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0.51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 net income per common share</w:t>
            </w: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0.53</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0.51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2.10</w:t>
            </w:r>
          </w:p>
        </w:tc>
        <w:tc>
          <w:tcPr>
            <w:tcW w:w="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calculating the diluted income per share for the thirteen and thirty-nine weeks ended October 28, 2023, there were zero and 43,673 shares of common stock, respectively, that were outstanding at the end of the period that were not included in the computation of diluted income per share due to their anti-dilutive effect. For the thirteen and thirty-nine weeks ended October 29, 2022, there were 9,071 and 106,770 shares of common stock, respectively, that were outstanding at the end of the period that were not included in the computation of diluted income per share due to their anti-dilutive effect.</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Comprehensive Income</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difference between comprehensive income or loss and net income or loss is the result of foreign currency translation adjustments on the balance sheets of subsidiaries whose functional currency is not the U.S. dollar. The accumulated other comprehensive loss balance on October 28, 2023 and October 29, 2022 was comprised entirely of foreign currency translation. For the thirteen weeks ended October 28, 2023 and October 29, 2022, the Company had no reclassifications out of accumulated other comprehensive loss.</w:t>
      </w:r>
    </w:p>
    <w:p>
      <w:pPr>
        <w:spacing w:after="0" w:line="18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Information</w:t>
      </w:r>
    </w:p>
    <w:p>
      <w:pPr>
        <w:spacing w:after="0" w:line="229" w:lineRule="exact"/>
        <w:rPr>
          <w:sz w:val="20"/>
          <w:szCs w:val="20"/>
          <w:color w:val="auto"/>
        </w:rPr>
      </w:pPr>
    </w:p>
    <w:p>
      <w:pPr>
        <w:ind w:right="520" w:firstLine="648"/>
        <w:spacing w:after="0" w:line="261" w:lineRule="auto"/>
        <w:rPr>
          <w:sz w:val="20"/>
          <w:szCs w:val="20"/>
          <w:color w:val="auto"/>
        </w:rPr>
      </w:pPr>
      <w:r>
        <w:rPr>
          <w:rFonts w:ascii="Times New Roman" w:cs="Times New Roman" w:eastAsia="Times New Roman" w:hAnsi="Times New Roman"/>
          <w:sz w:val="18"/>
          <w:szCs w:val="18"/>
          <w:color w:val="auto"/>
        </w:rPr>
        <w:t>The Company’s operations are conducted through three operating segments consisting of direct-to-consumer (“DTC”), commercial and international franchising. The DTC segment includes the operating activities of corporately-operated locations and other retail delivery operations in</w:t>
      </w:r>
    </w:p>
    <w:p>
      <w:pPr>
        <w:spacing w:after="0" w:line="251" w:lineRule="auto"/>
        <w:rPr>
          <w:sz w:val="20"/>
          <w:szCs w:val="20"/>
          <w:color w:val="auto"/>
        </w:rPr>
      </w:pPr>
      <w:r>
        <w:rPr>
          <w:rFonts w:ascii="Times New Roman" w:cs="Times New Roman" w:eastAsia="Times New Roman" w:hAnsi="Times New Roman"/>
          <w:sz w:val="18"/>
          <w:szCs w:val="18"/>
          <w:color w:val="auto"/>
        </w:rPr>
        <w:t>the U.S., Canada, Ireland and the U.K., including the Company’s e-commerce sites and temporary stores. The commercial segment includes the Company’s transactions with other businesses, mainly comprised of licensing the Company’s intellectual properties for third-party use and wholesale activities. The international franchising segment includes the licensing activities of the Company’s franchise agreements with store locations in select countries in Asia, Australia, the Middle East, Africa, and South America. The operating segments have discrete sources of revenue, different capital structures and different cost structures. These operating segments represent the basis on which the Company’s chief operating decision maker regularly evaluates the business in assessing performance, determining the allocation of resources and the pursuit of future growth opportunities. Accordingly, the Company has determined that each of its operating segments represent a reportable segment. The three reportable segments follow the same accounting policies used for the Company’s consolidated financial statements.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Following is a summary of the financial information for the Company’s reportable segments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Direct-to-</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International</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3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Consumer</w:t>
            </w:r>
          </w:p>
        </w:tc>
        <w:tc>
          <w:tcPr>
            <w:tcW w:w="12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0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Franchising</w:t>
            </w:r>
          </w:p>
        </w:tc>
        <w:tc>
          <w:tcPr>
            <w:tcW w:w="28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Thirteen weeks ended October 28, 2023</w:t>
            </w: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100,411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6,020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1,131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107,562</w:t>
            </w: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7,233</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2,740</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375</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10,348</w:t>
            </w: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4,986</w:t>
            </w: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4,986</w:t>
            </w: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3,152</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3,231</w:t>
            </w:r>
          </w:p>
        </w:tc>
      </w:tr>
      <w:tr>
        <w:trPr>
          <w:trHeight w:val="216"/>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Thirteen weeks ended October 29, 2022</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99,229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1,126</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104,480</w:t>
            </w: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7,771</w:t>
            </w: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2,009</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108</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9,888</w:t>
            </w: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2,685</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2,685</w:t>
            </w: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2,924</w:t>
            </w: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3,019</w:t>
            </w:r>
          </w:p>
        </w:tc>
      </w:tr>
      <w:tr>
        <w:trPr>
          <w:trHeight w:val="216"/>
        </w:trPr>
        <w:tc>
          <w:tcPr>
            <w:tcW w:w="3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Thirty-nine weeks ended October 28, 2023</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315,972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17,685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3,180</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336,837</w:t>
            </w: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31,225</w:t>
            </w: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7,882</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1,073</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40,180</w:t>
            </w: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11,124</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11,124</w:t>
            </w: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9,266</w:t>
            </w: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9,540</w:t>
            </w:r>
          </w:p>
        </w:tc>
      </w:tr>
      <w:tr>
        <w:trPr>
          <w:trHeight w:val="216"/>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Thirty-nine weeks ended October 29, 2022</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308,001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12,465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2,361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322,827</w:t>
            </w: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29,174</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5,705</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843</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35,722</w:t>
            </w: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6,752</w:t>
            </w: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6,752</w:t>
            </w: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8,888</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9,295</w:t>
            </w:r>
          </w:p>
        </w:tc>
      </w:tr>
      <w:tr>
        <w:trPr>
          <w:trHeight w:val="216"/>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as of:</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October 28, 2023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238,604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10,753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1,186</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250,543</w:t>
            </w: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January 28, 2023</w:t>
            </w:r>
          </w:p>
        </w:tc>
        <w:tc>
          <w:tcPr>
            <w:tcW w:w="1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272,221</w:t>
            </w: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7,466</w:t>
            </w: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1,107</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280,794</w:t>
            </w: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October 29, 2022</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253,595</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5,045</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1,161</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259,801</w:t>
            </w:r>
          </w:p>
        </w:tc>
      </w:tr>
    </w:tbl>
    <w:p>
      <w:pPr>
        <w:spacing w:after="0" w:line="198"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Company’s reportable segments are primarily determined by the types of products and services that they offer. Each reportable segment may operate in many geographic areas. Revenues are recognized in the geographic areas based on the location of the customer or franchisee. The following schedule is a summary of the Company’s sales to external customers and long-lived assets by geographic area (in thousands):</w:t>
      </w:r>
    </w:p>
    <w:p>
      <w:pPr>
        <w:spacing w:after="0" w:line="172"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North</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America (1)</w:t>
            </w:r>
          </w:p>
        </w:tc>
        <w:tc>
          <w:tcPr>
            <w:tcW w:w="160" w:type="dxa"/>
            <w:vAlign w:val="bottom"/>
          </w:tcPr>
          <w:p>
            <w:pPr>
              <w:spacing w:after="0"/>
              <w:rPr>
                <w:sz w:val="20"/>
                <w:szCs w:val="20"/>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Europe (2)</w:t>
            </w:r>
          </w:p>
        </w:tc>
        <w:tc>
          <w:tcPr>
            <w:tcW w:w="180" w:type="dxa"/>
            <w:vAlign w:val="bottom"/>
          </w:tcPr>
          <w:p>
            <w:pPr>
              <w:spacing w:after="0"/>
              <w:rPr>
                <w:sz w:val="20"/>
                <w:szCs w:val="20"/>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Other (3)</w:t>
            </w:r>
          </w:p>
        </w:tc>
        <w:tc>
          <w:tcPr>
            <w:tcW w:w="28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Thirteen weeks ended October 28, 2023</w:t>
            </w: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93,431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13,037</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1,094</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107,562</w:t>
            </w:r>
          </w:p>
        </w:tc>
      </w:tr>
      <w:tr>
        <w:trPr>
          <w:trHeight w:val="216"/>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Thirteen weeks ended October 29, 2022</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90,515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12,851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1,114</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104,480</w:t>
            </w:r>
          </w:p>
        </w:tc>
      </w:tr>
      <w:tr>
        <w:trPr>
          <w:trHeight w:val="216"/>
        </w:trPr>
        <w:tc>
          <w:tcPr>
            <w:tcW w:w="3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Thirty-nine weeks ended October 28, 2023</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297,631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36,822</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2,384</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336,837</w:t>
            </w: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48,631</w:t>
            </w:r>
          </w:p>
        </w:tc>
        <w:tc>
          <w:tcPr>
            <w:tcW w:w="1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3,283</w:t>
            </w:r>
          </w:p>
        </w:tc>
        <w:tc>
          <w:tcPr>
            <w:tcW w:w="1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51,914</w:t>
            </w:r>
          </w:p>
        </w:tc>
      </w:tr>
      <w:tr>
        <w:trPr>
          <w:trHeight w:val="216"/>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Thirty-nine weeks ended October 29, 2022</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sales to external customers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282,706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37,754</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2,367</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322,827</w:t>
            </w:r>
          </w:p>
        </w:tc>
      </w:tr>
      <w:tr>
        <w:trPr>
          <w:trHeight w:val="216"/>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43,898</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2,366</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46,264</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table only:</w:t>
      </w:r>
    </w:p>
    <w:p>
      <w:pPr>
        <w:spacing w:after="0" w:line="27" w:lineRule="exact"/>
        <w:rPr>
          <w:sz w:val="20"/>
          <w:szCs w:val="20"/>
          <w:color w:val="auto"/>
        </w:rPr>
      </w:pPr>
    </w:p>
    <w:p>
      <w:pPr>
        <w:ind w:left="300" w:hanging="292"/>
        <w:spacing w:after="0"/>
        <w:tabs>
          <w:tab w:leader="none" w:pos="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 America includes corporately-operated locations in the United States and Canada.</w:t>
      </w:r>
    </w:p>
    <w:p>
      <w:pPr>
        <w:spacing w:after="0" w:line="9"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 includes corporately-operated locations in the U.K. and Ireland and sales to wholesale customers in Europe.</w:t>
      </w:r>
    </w:p>
    <w:p>
      <w:pPr>
        <w:spacing w:after="0" w:line="9"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includes franchise businesses outside of North America and Europe.</w:t>
      </w:r>
    </w:p>
    <w:p>
      <w:pPr>
        <w:sectPr>
          <w:pgSz w:w="11900" w:h="16838" w:orient="portrait"/>
          <w:cols w:equalWidth="0" w:num="1">
            <w:col w:w="11220"/>
          </w:cols>
          <w:pgMar w:left="320" w:top="121" w:right="359" w:bottom="744"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744"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Contingencies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legal proceedings, government inquiries and claims, and other commercial disputes. If one or more of these matters has an unfavorable resolution, it is possible that the results of operations, liquidity or financial position of the Company could be materially affected in any particular period. The Company accrues a liability for these types of contingencies when it believes that it is both probable that a liability has been incurred and that it can reasonably estimate the amount of the loss. Gain contingencies are recorded when the underlying uncertainty has been settled.</w:t>
      </w:r>
    </w:p>
    <w:p>
      <w:pPr>
        <w:spacing w:after="0" w:line="18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Assessments made by the U.K. customs authority in 2012 were appealed by the Company, which has paid the disputed duty, strictly under protest, pending the outcome of the continuing dispute, and this is included in receivables, net in the DTC segment. The U.K. customs authority contested the Company's appeal. Rulings by the First Tier Tribunal in November 2019 and Upper Tribunal in March 2021 held that duty was due on some, but not all, of the products at issue. The Company petitioned the Court of Appeal for permission to appeal certain elements of the Upper Tribunal decision and, in early November 2021, a judge granted the Company's petition for permission to appeal those elements of the Upper Tribunal decision on some, but not all, of the grounds of appeal that the Company had put forward. An appeal was heard by the Court of Appeal during the first quarter of fiscal 2022, and the Court of Appeal dismissed the appeal in the third quarter of fiscal 2022. During the fourth quarter of fiscal 2022</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UK Supreme Court declined to hear the appeal. The Company is engaging with the customs authority to attempt to resolve all outstanding issues following the application of the determined principles. The case will return to the lower tribunal for a final ruling if outstanding issues cannot be resolved. The Company maintains a provision against the related receivable, based on a current evaluation of collectability, using the latest facts available in the dispute. As of October 28, 2023, the Company had a gross receivable balance of $4.5 million and a reserve of $3.5 million, leaving a net receivable of $1.0 million. The Company believes that the outcome of this dispute will not have a material adverse impact on the results of operations, liquidity, or financial position of the Company.</w:t>
      </w:r>
    </w:p>
    <w:p>
      <w:pPr>
        <w:spacing w:after="0" w:line="19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August 2021, a putative class action lawsuit was filed against Build-A-Bear Workshop, Inc., asserting claims under the Telephone Consumer Protection Act (the "TCPA") alleging that the Company continued to send marketing text messages to mobile phone numbers registered on the National Do Not Call Registry after allegedly opting-out of receiving them. Statutory damages under the TCPA are assessed at $500 per violation (i.e., per text message), and up to $1,500 per violation if the violation was knowing or willful. The Company has reached a settlement with the Plaintiff and an insurance carrier which has been approved by the Court and did not result in a significant expense for the Company.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Notice Regarding Forward-Looking Statements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contains forward-looking statements that involve risks and uncertainties, and we undertake no obligation to update these statements except as required by the federal securities laws. Our actual results may differ materially from the results discussed in the forward-looking statements. These risks and uncertainties include, without limitation, those detailed under the caption “Risk Factors” in our Annual Report on Form 10-K for the fiscal year ended January 28, 2023, as filed with the SEC, and include the following:</w:t>
      </w:r>
    </w:p>
    <w:p>
      <w:pPr>
        <w:spacing w:after="0" w:line="180" w:lineRule="exact"/>
        <w:rPr>
          <w:sz w:val="20"/>
          <w:szCs w:val="20"/>
          <w:color w:val="auto"/>
        </w:rPr>
      </w:pPr>
    </w:p>
    <w:p>
      <w:pPr>
        <w:ind w:left="480" w:right="240" w:hanging="175"/>
        <w:spacing w:after="0" w:line="257" w:lineRule="auto"/>
        <w:tabs>
          <w:tab w:leader="none" w:pos="4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uncertainty or decline in general global economic conditions, caused by inflation, rising interest rates, geo-political conflicts, or other external factors, could lead to disproportionately reduced discretionary consumer spending and a corresponding reduction in demand for our products and have an adverse effect on our liquidity and profitability;</w:t>
      </w:r>
    </w:p>
    <w:p>
      <w:pPr>
        <w:spacing w:after="0" w:line="1" w:lineRule="exact"/>
        <w:rPr>
          <w:rFonts w:ascii="Times New Roman" w:cs="Times New Roman" w:eastAsia="Times New Roman" w:hAnsi="Times New Roman"/>
          <w:sz w:val="18"/>
          <w:szCs w:val="18"/>
          <w:color w:val="auto"/>
        </w:rPr>
      </w:pPr>
    </w:p>
    <w:p>
      <w:pPr>
        <w:ind w:left="480" w:right="660" w:hanging="175"/>
        <w:spacing w:after="0" w:line="250" w:lineRule="auto"/>
        <w:tabs>
          <w:tab w:leader="none" w:pos="4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interests can change rapidly, and our success depends on the ongoing effectiveness of our marketing and online initiatives to build consumer affinity for our brand and drive consumer demand for our products and services;</w:t>
      </w:r>
    </w:p>
    <w:p>
      <w:pPr>
        <w:ind w:left="480" w:right="380" w:hanging="175"/>
        <w:spacing w:after="0" w:line="250" w:lineRule="auto"/>
        <w:tabs>
          <w:tab w:leader="none" w:pos="4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upon the shopping malls and tourist locations in which our stores are located to attract guests. Continued or further volatility in retail consumer traffic could adversely affect our financial performance and profitability;</w:t>
      </w:r>
    </w:p>
    <w:p>
      <w:pPr>
        <w:ind w:left="480" w:right="320" w:hanging="175"/>
        <w:spacing w:after="0" w:line="250" w:lineRule="auto"/>
        <w:tabs>
          <w:tab w:leader="none" w:pos="4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or regional health pandemics or epidemics, such as the COVID-19 pandemic, could negatively impact our business, financial position and results of operations;</w:t>
      </w:r>
    </w:p>
    <w:p>
      <w:pPr>
        <w:ind w:left="480" w:hanging="175"/>
        <w:spacing w:after="0"/>
        <w:tabs>
          <w:tab w:leader="none" w:pos="4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profitability could be adversely affected by fluctuations in petroleum products prices;</w:t>
      </w:r>
    </w:p>
    <w:p>
      <w:pPr>
        <w:spacing w:after="0" w:line="9" w:lineRule="exact"/>
        <w:rPr>
          <w:rFonts w:ascii="Times New Roman" w:cs="Times New Roman" w:eastAsia="Times New Roman" w:hAnsi="Times New Roman"/>
          <w:sz w:val="18"/>
          <w:szCs w:val="18"/>
          <w:color w:val="auto"/>
        </w:rPr>
      </w:pPr>
    </w:p>
    <w:p>
      <w:pPr>
        <w:ind w:left="480" w:hanging="175"/>
        <w:spacing w:after="0"/>
        <w:tabs>
          <w:tab w:leader="none" w:pos="4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adversely impacted at any time by a variety of significant competitive threats;</w:t>
      </w:r>
    </w:p>
    <w:p>
      <w:pPr>
        <w:spacing w:after="0" w:line="9" w:lineRule="exact"/>
        <w:rPr>
          <w:rFonts w:ascii="Times New Roman" w:cs="Times New Roman" w:eastAsia="Times New Roman" w:hAnsi="Times New Roman"/>
          <w:sz w:val="18"/>
          <w:szCs w:val="18"/>
          <w:color w:val="auto"/>
        </w:rPr>
      </w:pPr>
    </w:p>
    <w:p>
      <w:pPr>
        <w:ind w:left="480" w:right="80" w:hanging="175"/>
        <w:spacing w:after="0" w:line="250" w:lineRule="auto"/>
        <w:tabs>
          <w:tab w:leader="none" w:pos="4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generate interest in and demand for our interactive retail experience and products, including being able to identify and respond to consumer preferences in a timely manner, our sales, financial condition and profitability could be adversely affected;</w:t>
      </w:r>
    </w:p>
    <w:p>
      <w:pPr>
        <w:ind w:left="480" w:right="960" w:hanging="175"/>
        <w:spacing w:after="0" w:line="250" w:lineRule="auto"/>
        <w:tabs>
          <w:tab w:leader="none" w:pos="4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execute our omnichannel and brand expansion strategy and the cost of our investments in e-commerce and digital transformation may materially adversely affect our financial condition and profitability;</w:t>
      </w:r>
    </w:p>
    <w:p>
      <w:pPr>
        <w:ind w:left="480" w:right="340" w:hanging="175"/>
        <w:spacing w:after="0" w:line="250" w:lineRule="auto"/>
        <w:tabs>
          <w:tab w:leader="none" w:pos="4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renew, renegotiate or replace our store leases or enter into leases for new stores on favorable terms, or if we violate any of the terms of our current leases, our revenue and profitability could be harmed;</w:t>
      </w:r>
    </w:p>
    <w:p>
      <w:pPr>
        <w:ind w:left="480" w:hanging="175"/>
        <w:spacing w:after="0"/>
        <w:tabs>
          <w:tab w:leader="none" w:pos="4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associated with technology and digital operations;</w:t>
      </w:r>
    </w:p>
    <w:p>
      <w:pPr>
        <w:spacing w:after="0" w:line="9" w:lineRule="exact"/>
        <w:rPr>
          <w:rFonts w:ascii="Times New Roman" w:cs="Times New Roman" w:eastAsia="Times New Roman" w:hAnsi="Times New Roman"/>
          <w:sz w:val="18"/>
          <w:szCs w:val="18"/>
          <w:color w:val="auto"/>
        </w:rPr>
      </w:pPr>
    </w:p>
    <w:p>
      <w:pPr>
        <w:ind w:left="480" w:hanging="175"/>
        <w:spacing w:after="0"/>
        <w:tabs>
          <w:tab w:leader="none" w:pos="4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evolve our store locations over time to align with market trends, successfully diversify our store formats and business</w:t>
      </w:r>
    </w:p>
    <w:p>
      <w:pPr>
        <w:spacing w:after="0" w:line="9" w:lineRule="exact"/>
        <w:rPr>
          <w:rFonts w:ascii="Times New Roman" w:cs="Times New Roman" w:eastAsia="Times New Roman" w:hAnsi="Times New Roman"/>
          <w:sz w:val="18"/>
          <w:szCs w:val="18"/>
          <w:color w:val="auto"/>
        </w:rPr>
      </w:pPr>
    </w:p>
    <w:p>
      <w:pPr>
        <w:ind w:left="480" w:right="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models in accordance with our strategic goals or otherwise effectively manage our overall portfolio of stores which could adversely affect our ability to grow and could significantly harm our profitability;</w:t>
      </w:r>
    </w:p>
    <w:p>
      <w:pPr>
        <w:ind w:left="480" w:right="320" w:hanging="175"/>
        <w:spacing w:after="0" w:line="250" w:lineRule="auto"/>
        <w:tabs>
          <w:tab w:leader="none" w:pos="4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company-owned distribution center that services the majority of our stores in North America and our third-party distribution center providers used in the western U.S. and Europe may be required to close and operations may experience disruptions or may operate inefficiently;</w:t>
      </w:r>
    </w:p>
    <w:p>
      <w:pPr>
        <w:ind w:left="480" w:right="400" w:hanging="175"/>
        <w:spacing w:after="0" w:line="250" w:lineRule="auto"/>
        <w:tabs>
          <w:tab w:leader="none" w:pos="4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few global supply chain vendors to supply substantially all of our materials and merchandise, and significant price increases or any disruption in their ability to deliver materials and merchandise could harm our ability to source products and supply inventory to our stores;</w:t>
      </w:r>
    </w:p>
    <w:p>
      <w:pPr>
        <w:ind w:left="480" w:hanging="175"/>
        <w:spacing w:after="0"/>
        <w:tabs>
          <w:tab w:leader="none" w:pos="4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operate our international corporately-operated locations profitability;</w:t>
      </w:r>
    </w:p>
    <w:p>
      <w:pPr>
        <w:spacing w:after="0" w:line="9" w:lineRule="exact"/>
        <w:rPr>
          <w:rFonts w:ascii="Times New Roman" w:cs="Times New Roman" w:eastAsia="Times New Roman" w:hAnsi="Times New Roman"/>
          <w:sz w:val="18"/>
          <w:szCs w:val="18"/>
          <w:color w:val="auto"/>
        </w:rPr>
      </w:pPr>
    </w:p>
    <w:p>
      <w:pPr>
        <w:ind w:left="480" w:right="220" w:hanging="175"/>
        <w:spacing w:after="0" w:line="250" w:lineRule="auto"/>
        <w:tabs>
          <w:tab w:leader="none" w:pos="4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merchandise is manufactured by foreign manufacturers and we transact business in various foreign countries, and the availability and costs of our products, as well as our product pricing, may be negatively affected by risks associated with international manufacturing and trade and foreign currency fluctuations;</w:t>
      </w:r>
    </w:p>
    <w:p>
      <w:pPr>
        <w:spacing w:after="0" w:line="1" w:lineRule="exact"/>
        <w:rPr>
          <w:rFonts w:ascii="Times New Roman" w:cs="Times New Roman" w:eastAsia="Times New Roman" w:hAnsi="Times New Roman"/>
          <w:sz w:val="18"/>
          <w:szCs w:val="18"/>
          <w:color w:val="auto"/>
        </w:rPr>
      </w:pPr>
    </w:p>
    <w:p>
      <w:pPr>
        <w:ind w:left="480" w:right="480" w:hanging="175"/>
        <w:spacing w:after="0" w:line="250" w:lineRule="auto"/>
        <w:tabs>
          <w:tab w:leader="none" w:pos="4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effectively manage our international franchises, attract new franchisees or if the laws relating to our international franchises change, our growth and profitability could be adversely affected, and we could be exposed to additional liability;</w:t>
      </w:r>
    </w:p>
    <w:p>
      <w:pPr>
        <w:ind w:left="460" w:right="40" w:hanging="169"/>
        <w:spacing w:after="0" w:line="250"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a number of risks related to disruptions, failures or security breaches of our information technology infrastructure. If we improperly obtain or are unable to protect our data or violate privacy or security laws or expectations, we could be subject to liability as well as damage to our reputation;</w:t>
      </w:r>
    </w:p>
    <w:p>
      <w:pPr>
        <w:spacing w:after="0" w:line="1" w:lineRule="exact"/>
        <w:rPr>
          <w:rFonts w:ascii="Times New Roman" w:cs="Times New Roman" w:eastAsia="Times New Roman" w:hAnsi="Times New Roman"/>
          <w:sz w:val="18"/>
          <w:szCs w:val="18"/>
          <w:color w:val="auto"/>
        </w:rPr>
      </w:pPr>
    </w:p>
    <w:p>
      <w:pPr>
        <w:ind w:left="460" w:right="60" w:hanging="169"/>
        <w:spacing w:after="0" w:line="250"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renew, register or otherwise protect our trademarks or other intellectual property and may be sued by third parties for infringement or misappropriation of their proprietary rights, which could be costly, distract our management and personnel and result in the diminution in value of our trademarks and other important intellectual property;</w:t>
      </w:r>
    </w:p>
    <w:p>
      <w:pPr>
        <w:spacing w:after="0" w:line="1" w:lineRule="exact"/>
        <w:rPr>
          <w:rFonts w:ascii="Times New Roman" w:cs="Times New Roman" w:eastAsia="Times New Roman" w:hAnsi="Times New Roman"/>
          <w:sz w:val="18"/>
          <w:szCs w:val="18"/>
          <w:color w:val="auto"/>
        </w:rPr>
      </w:pPr>
    </w:p>
    <w:p>
      <w:pPr>
        <w:ind w:left="460" w:right="140" w:hanging="169"/>
        <w:spacing w:after="0" w:line="250"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suffer negative publicity or be sued if the manufacturers of our merchandise or of Build-A-Bear branded merchandise sold by our licensees ship any products that do not meet current safety standards or production requirements or if such products are recalled or cause injuries;</w:t>
      </w:r>
    </w:p>
    <w:p>
      <w:pPr>
        <w:ind w:left="460" w:right="60" w:hanging="169"/>
        <w:spacing w:after="0" w:line="250"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suffer negative publicity or be sued if the manufacturers of our merchandise violate labor laws or engage in practices that consumers believe are unethical;</w:t>
      </w:r>
    </w:p>
    <w:p>
      <w:pPr>
        <w:ind w:left="460" w:right="60" w:hanging="169"/>
        <w:spacing w:after="0" w:line="250"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suffer negative publicity or a decrease in sales or profitability if the products from other companies that we sell in our stores do not meet our quality standards or fail to achieve our sales expectations;</w:t>
      </w:r>
    </w:p>
    <w:p>
      <w:pPr>
        <w:ind w:left="460" w:right="80" w:hanging="169"/>
        <w:spacing w:after="0" w:line="250"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suffer negative publicity and damage to our reputation if we do not continue to evolve environmental, social, and governance initiatives in a timely manner;</w:t>
      </w:r>
    </w:p>
    <w:p>
      <w:pPr>
        <w:ind w:left="460" w:hanging="169"/>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quarterly results of operations could cause the price of our common stock to substantially decline;</w:t>
      </w:r>
    </w:p>
    <w:p>
      <w:pPr>
        <w:spacing w:after="0" w:line="9" w:lineRule="exact"/>
        <w:rPr>
          <w:rFonts w:ascii="Times New Roman" w:cs="Times New Roman" w:eastAsia="Times New Roman" w:hAnsi="Times New Roman"/>
          <w:sz w:val="18"/>
          <w:szCs w:val="18"/>
          <w:color w:val="auto"/>
        </w:rPr>
      </w:pPr>
    </w:p>
    <w:p>
      <w:pPr>
        <w:ind w:left="460" w:right="360" w:hanging="169"/>
        <w:spacing w:after="0" w:line="250"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 could reduce our cash flow, or trigger restrictions under our credit agreement, and we may be unable to repurchase shares at all or at the times or in the amounts we desire, or the results of our share repurchase program may not be as beneficial as we would like;</w:t>
      </w:r>
    </w:p>
    <w:p>
      <w:pPr>
        <w:spacing w:after="0" w:line="1" w:lineRule="exact"/>
        <w:rPr>
          <w:rFonts w:ascii="Times New Roman" w:cs="Times New Roman" w:eastAsia="Times New Roman" w:hAnsi="Times New Roman"/>
          <w:sz w:val="18"/>
          <w:szCs w:val="18"/>
          <w:color w:val="auto"/>
        </w:rPr>
      </w:pPr>
    </w:p>
    <w:p>
      <w:pPr>
        <w:ind w:left="460" w:hanging="169"/>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relatively low market capitalization can cause the market price of our common stock to become volatile;</w:t>
      </w:r>
    </w:p>
    <w:p>
      <w:pPr>
        <w:spacing w:after="0" w:line="9" w:lineRule="exact"/>
        <w:rPr>
          <w:rFonts w:ascii="Times New Roman" w:cs="Times New Roman" w:eastAsia="Times New Roman" w:hAnsi="Times New Roman"/>
          <w:sz w:val="18"/>
          <w:szCs w:val="18"/>
          <w:color w:val="auto"/>
        </w:rPr>
      </w:pPr>
    </w:p>
    <w:p>
      <w:pPr>
        <w:ind w:left="460" w:right="420" w:hanging="169"/>
        <w:spacing w:after="0" w:line="250"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certificate of incorporation and bylaws and Delaware law contain provisions that may prevent or frustrate attempts to replace or remove our current management by our stockholders, even if such replacement or removal may be in our stockholders’ best interests;</w:t>
      </w:r>
    </w:p>
    <w:p>
      <w:pPr>
        <w:ind w:left="460" w:right="160" w:hanging="169"/>
        <w:spacing w:after="0" w:line="250"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operate successfully if we lose key personnel, are unable to hire qualified additional personnel, or experience turnover of our management team;</w:t>
      </w:r>
    </w:p>
    <w:p>
      <w:pPr>
        <w:ind w:left="460" w:right="140" w:hanging="169"/>
        <w:spacing w:after="0" w:line="260"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unsuccessful in acquiring businesses or engaging in other strategic transactions, which may negatively affect our financial condition and profitability.</w:t>
      </w:r>
    </w:p>
    <w:p>
      <w:pPr>
        <w:sectPr>
          <w:pgSz w:w="11900" w:h="16838" w:orient="portrait"/>
          <w:cols w:equalWidth="0" w:num="1">
            <w:col w:w="11240"/>
          </w:cols>
          <w:pgMar w:left="320" w:top="121" w:right="339" w:bottom="798"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798" w:gutter="0" w:footer="0" w:header="0"/>
          <w:type w:val="continuous"/>
        </w:sectPr>
      </w:pPr>
    </w:p>
    <w:bookmarkStart w:id="17" w:name="page18"/>
    <w:bookmarkEnd w:id="17"/>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20" w:right="20" w:firstLine="648"/>
        <w:spacing w:after="0" w:line="253" w:lineRule="auto"/>
        <w:rPr>
          <w:sz w:val="20"/>
          <w:szCs w:val="20"/>
          <w:color w:val="auto"/>
        </w:rPr>
      </w:pPr>
      <w:r>
        <w:rPr>
          <w:rFonts w:ascii="Times New Roman" w:cs="Times New Roman" w:eastAsia="Times New Roman" w:hAnsi="Times New Roman"/>
          <w:sz w:val="18"/>
          <w:szCs w:val="18"/>
          <w:color w:val="auto"/>
        </w:rPr>
        <w:t>Build-A-Bear Workshop, Inc., a Delaware corporation, was formed in 1997 as a mall-based, experiential specialty retailer where children and their families could create their own stuffed animals. Over the last 25 years, Build-A-Bear has become a brand with high consumer awareness and positive affinity with over 225 million furry friends made by guests. We are leveraging this brand strength to strategically evolve our brick-and-mortar retail footprint beyond traditional malls with a versatile range of formats and locations including tourist destinations, expand into international markets primarily via a franchise model, and broaden the total addressable market beyond children by adding teens and adults with entertainment/sports licensing, collectible and gifting offerings. Build-A-Bear's pop-culture and multi-generational appeal have also played a key role in our digital transformation which includes a meaningful e-commerce/omni-channel business that has delivered sustained growth, engaging consumer loyalty program and robust digital marketing and content capabilities with industry-leading partners. As of October 28, 2023, we had 356 corporately-operated stores globally and 3 seasonal locations,</w:t>
      </w:r>
    </w:p>
    <w:p>
      <w:pPr>
        <w:spacing w:after="0" w:line="1" w:lineRule="exact"/>
        <w:rPr>
          <w:sz w:val="20"/>
          <w:szCs w:val="20"/>
          <w:color w:val="auto"/>
        </w:rPr>
      </w:pPr>
    </w:p>
    <w:p>
      <w:pPr>
        <w:ind w:left="20" w:right="180"/>
        <w:spacing w:after="0" w:line="253" w:lineRule="auto"/>
        <w:rPr>
          <w:sz w:val="20"/>
          <w:szCs w:val="20"/>
          <w:color w:val="auto"/>
        </w:rPr>
      </w:pPr>
      <w:r>
        <w:rPr>
          <w:rFonts w:ascii="Times New Roman" w:cs="Times New Roman" w:eastAsia="Times New Roman" w:hAnsi="Times New Roman"/>
          <w:sz w:val="18"/>
          <w:szCs w:val="18"/>
          <w:color w:val="auto"/>
        </w:rPr>
        <w:t>85 partner-operated locations operating through our "third-party retail" model in which we sell our products on a wholesale basis to other companies that then, in turn, execute our retail experience, and 70 international franchised stores under the Build-A-Bear Workshop brand. In addition to these stores, we sell products on our company-owned e-commerce sites and third-party marketplace sites, our franchisees sell products through sites that they manage as well as other third-party marketplace sites and other parties sell products on their sites under wholesale agreements.</w:t>
      </w:r>
    </w:p>
    <w:p>
      <w:pPr>
        <w:spacing w:after="0" w:line="189" w:lineRule="exact"/>
        <w:rPr>
          <w:sz w:val="20"/>
          <w:szCs w:val="20"/>
          <w:color w:val="auto"/>
        </w:rPr>
      </w:pPr>
    </w:p>
    <w:p>
      <w:pPr>
        <w:ind w:left="20" w:right="420" w:firstLine="648"/>
        <w:spacing w:after="0" w:line="282" w:lineRule="auto"/>
        <w:rPr>
          <w:sz w:val="20"/>
          <w:szCs w:val="20"/>
          <w:color w:val="auto"/>
        </w:rPr>
      </w:pPr>
      <w:r>
        <w:rPr>
          <w:rFonts w:ascii="Times New Roman" w:cs="Times New Roman" w:eastAsia="Times New Roman" w:hAnsi="Times New Roman"/>
          <w:sz w:val="18"/>
          <w:szCs w:val="18"/>
          <w:color w:val="auto"/>
        </w:rPr>
        <w:t>We operate in three segments that share the same infrastructure, including management, systems, merchandising and marketing, and generate revenues as follows:</w:t>
      </w:r>
    </w:p>
    <w:p>
      <w:pPr>
        <w:spacing w:after="0" w:line="143" w:lineRule="exact"/>
        <w:rPr>
          <w:sz w:val="20"/>
          <w:szCs w:val="20"/>
          <w:color w:val="auto"/>
        </w:rPr>
      </w:pPr>
    </w:p>
    <w:p>
      <w:pPr>
        <w:ind w:left="500" w:hanging="162"/>
        <w:spacing w:after="0"/>
        <w:tabs>
          <w:tab w:leader="none" w:pos="5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Direct-to-Consumer (“DTC”) – Corporately-operated retail stores located in the U.S., Canada, the U.K., and Ireland and two e-commerce sites;</w:t>
      </w:r>
    </w:p>
    <w:p>
      <w:pPr>
        <w:spacing w:after="0" w:line="28" w:lineRule="exact"/>
        <w:rPr>
          <w:rFonts w:ascii="Times New Roman" w:cs="Times New Roman" w:eastAsia="Times New Roman" w:hAnsi="Times New Roman"/>
          <w:sz w:val="22"/>
          <w:szCs w:val="22"/>
          <w:color w:val="auto"/>
        </w:rPr>
      </w:pPr>
    </w:p>
    <w:p>
      <w:pPr>
        <w:ind w:left="500" w:right="100" w:hanging="162"/>
        <w:spacing w:after="0" w:line="224" w:lineRule="auto"/>
        <w:tabs>
          <w:tab w:leader="none" w:pos="5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Commercial – Transactions with other businesses, mainly comprised of wholesale product sales to third-party retailers and licensing our intellectual property, including entertainment properties, for third-party use; and</w:t>
      </w:r>
    </w:p>
    <w:p>
      <w:pPr>
        <w:spacing w:after="0" w:line="1" w:lineRule="exact"/>
        <w:rPr>
          <w:rFonts w:ascii="Times New Roman" w:cs="Times New Roman" w:eastAsia="Times New Roman" w:hAnsi="Times New Roman"/>
          <w:sz w:val="22"/>
          <w:szCs w:val="22"/>
          <w:color w:val="auto"/>
        </w:rPr>
      </w:pPr>
    </w:p>
    <w:p>
      <w:pPr>
        <w:ind w:left="500" w:hanging="162"/>
        <w:spacing w:after="0" w:line="204" w:lineRule="auto"/>
        <w:tabs>
          <w:tab w:leader="none" w:pos="5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International franchising – Royalties as well as products and fixtures sales from other international operations under franchise agreements.</w:t>
      </w:r>
    </w:p>
    <w:p>
      <w:pPr>
        <w:spacing w:after="0" w:line="226" w:lineRule="exact"/>
        <w:rPr>
          <w:sz w:val="20"/>
          <w:szCs w:val="20"/>
          <w:color w:val="auto"/>
        </w:rPr>
      </w:pPr>
    </w:p>
    <w:p>
      <w:pPr>
        <w:ind w:left="20" w:right="280" w:firstLine="648"/>
        <w:spacing w:after="0" w:line="282" w:lineRule="auto"/>
        <w:rPr>
          <w:sz w:val="20"/>
          <w:szCs w:val="20"/>
          <w:color w:val="auto"/>
        </w:rPr>
      </w:pPr>
      <w:r>
        <w:rPr>
          <w:rFonts w:ascii="Times New Roman" w:cs="Times New Roman" w:eastAsia="Times New Roman" w:hAnsi="Times New Roman"/>
          <w:sz w:val="18"/>
          <w:szCs w:val="18"/>
          <w:color w:val="auto"/>
        </w:rPr>
        <w:t>Selected financial data attributable to each segment for the thirteen and thirty-nine weeks ended October 28, 2023 and October 29, 2022 are set forth in the notes to our condensed consolidated financial statements included elsewhere in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Update</w:t>
      </w:r>
    </w:p>
    <w:p>
      <w:pPr>
        <w:spacing w:after="0" w:line="229" w:lineRule="exact"/>
        <w:rPr>
          <w:sz w:val="20"/>
          <w:szCs w:val="20"/>
          <w:color w:val="auto"/>
        </w:rPr>
      </w:pPr>
    </w:p>
    <w:p>
      <w:pPr>
        <w:ind w:left="20" w:right="20" w:firstLine="648"/>
        <w:spacing w:after="0" w:line="254" w:lineRule="auto"/>
        <w:rPr>
          <w:sz w:val="20"/>
          <w:szCs w:val="20"/>
          <w:color w:val="auto"/>
        </w:rPr>
      </w:pPr>
      <w:r>
        <w:rPr>
          <w:rFonts w:ascii="Times New Roman" w:cs="Times New Roman" w:eastAsia="Times New Roman" w:hAnsi="Times New Roman"/>
          <w:sz w:val="18"/>
          <w:szCs w:val="18"/>
          <w:color w:val="auto"/>
        </w:rPr>
        <w:t>Build-A-Bear Workshop offers interactive entertainment experiences via both physical and e-commerce engagement, targeting a range of consumer segments and purchasing occasions through digitally-driven, diversified omnichannel capabilities. We operate a vertical retail channel with stores that feature a unique combination of experience and product in which guests can "make their own stuffed animals" by participating in the stuffing, fluffing, dressing, accessorizing, and naming of their teddy bears and other stuffed animals. We also operate e-commerce sites that focus on gift-giving, collectible merchandise and licensed products that appeal to consumers that have an affinity for characters from a range of licensed properties. Over the last 25 years, Build-A-Bear has become a brand with high consumer awareness and positive affinity. We believe there are opportunities to leverage this brand strength, pop-culture status and multi-generational appeal and generate incremental revenue and profits through licensing our intellectual properties through content and entertainment development for kids and adults while also offering products at wholesale and in non-plush consumer categories through outbound licensing agreements with leading manufacturers.</w:t>
      </w:r>
    </w:p>
    <w:p>
      <w:pPr>
        <w:spacing w:after="0" w:line="188" w:lineRule="exact"/>
        <w:rPr>
          <w:sz w:val="20"/>
          <w:szCs w:val="20"/>
          <w:color w:val="auto"/>
        </w:rPr>
      </w:pPr>
    </w:p>
    <w:p>
      <w:pPr>
        <w:ind w:left="20" w:right="100" w:firstLine="648"/>
        <w:spacing w:after="0" w:line="258" w:lineRule="auto"/>
        <w:rPr>
          <w:sz w:val="20"/>
          <w:szCs w:val="20"/>
          <w:color w:val="auto"/>
        </w:rPr>
      </w:pPr>
      <w:r>
        <w:rPr>
          <w:rFonts w:ascii="Times New Roman" w:cs="Times New Roman" w:eastAsia="Times New Roman" w:hAnsi="Times New Roman"/>
          <w:sz w:val="18"/>
          <w:szCs w:val="18"/>
          <w:color w:val="auto"/>
        </w:rPr>
        <w:t>We seek to provide outstanding guest service and experiences across all channels and touch points including our retail locations, our e-commerce sites, our mobile sites and apps as well as traditional, digital and social media. We believe the hands-on and interactive nature of our experience locations, our personal service model and engaging digital shopping experiences result in guests forming an emotional connection with our brand which has multi-generational appeal that captures today’s zeitgeist including desire for engaging experiences, personalization and “DIY” while being recognized as trusted, giving, and a part of pop culture.</w:t>
      </w:r>
    </w:p>
    <w:p>
      <w:pPr>
        <w:spacing w:after="0" w:line="18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We believe there are opportunities to extend the reach and size of our diverse consumer segments through expanded products and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licensing relationships, evolved experiences, and incremental occasions, partnerships, and marketing activities. We believe we can further develop our</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business by creating a continuous circle of engagement with expanded programs including outbound branded licensing and entertainment that drives retail</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performance and leverages our brand equity which may in turn positively impact other channels of distribution. We remain focused on our strategic</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priorities which are centered on three key areas:</w:t>
      </w:r>
    </w:p>
    <w:p>
      <w:pPr>
        <w:spacing w:after="0" w:line="207" w:lineRule="exact"/>
        <w:rPr>
          <w:sz w:val="20"/>
          <w:szCs w:val="20"/>
          <w:color w:val="auto"/>
        </w:rPr>
      </w:pPr>
    </w:p>
    <w:p>
      <w:pPr>
        <w:ind w:left="600" w:right="20" w:hanging="235"/>
        <w:spacing w:after="0" w:line="254" w:lineRule="auto"/>
        <w:tabs>
          <w:tab w:leader="none" w:pos="6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Drive continued digital transformation and broaden our total addressable market while leveraging enhanced omni-channel capabilities</w:t>
      </w:r>
      <w:r>
        <w:rPr>
          <w:rFonts w:ascii="Times New Roman" w:cs="Times New Roman" w:eastAsia="Times New Roman" w:hAnsi="Times New Roman"/>
          <w:sz w:val="18"/>
          <w:szCs w:val="18"/>
          <w:color w:val="auto"/>
        </w:rPr>
        <w:t>. We expect to more effectively use our expanded digital capabilities and platforms to inform and drive marketing and content campaigns and deliver personalized experiences and promotional messaging to both acquire new guests and increase repeat purchases from existing consumers. We also plan to leverage the expansion of our total addressable market by reaching beyond the core kid base and continuing to acquire new tween, teen, and adult consumers by offering unique affinity offerings, expanding gift-giving and adding new purchase occasions. We prepared for and launched the planned update to our e-commerce site with extended testing and algorithm refinements being made throughout the year on multiple points from the landing page to checkout. In addition, we plan to grow our core kids and family business with new product launches, incremental purchase occasions and engaging digital marketing content.</w:t>
      </w:r>
    </w:p>
    <w:p>
      <w:pPr>
        <w:spacing w:after="0" w:line="191" w:lineRule="exact"/>
        <w:rPr>
          <w:rFonts w:ascii="Times New Roman" w:cs="Times New Roman" w:eastAsia="Times New Roman" w:hAnsi="Times New Roman"/>
          <w:sz w:val="18"/>
          <w:szCs w:val="18"/>
          <w:color w:val="auto"/>
        </w:rPr>
      </w:pPr>
    </w:p>
    <w:p>
      <w:pPr>
        <w:ind w:left="600" w:hanging="235"/>
        <w:spacing w:after="0" w:line="253" w:lineRule="auto"/>
        <w:tabs>
          <w:tab w:leader="none" w:pos="6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Expand brand access with additional experience locations and increase brand engagement leveraging strategic partnerships, pop-culture status and digital media, content and entertainment</w:t>
      </w:r>
      <w:r>
        <w:rPr>
          <w:rFonts w:ascii="Times New Roman" w:cs="Times New Roman" w:eastAsia="Times New Roman" w:hAnsi="Times New Roman"/>
          <w:sz w:val="18"/>
          <w:szCs w:val="18"/>
          <w:color w:val="auto"/>
        </w:rPr>
        <w:t>. In fiscal 2023, we expect a net increase in the number of stores in North America inclusive of third-party retail sites and to have more corporately-operated locations in Europe compared to the end of fiscal 2022. Combined across geographies and business models, we plan to have more total locations at the end of fiscal 2023 compared to the end of fiscal 2022. We have made a concerted effort to shift to non-traditional locations including family-centric tourist and hospitality sites and now have approximately 35% of our total retail locations in non-traditional settings. While tourist sites have been and will remain a critical part of our overarching location expansion strategy, recent research data supports our opportunity to reengage in profitable expansion of our corporately-operated experience locations on a more localized level, particularly given the numerous and flexible models we have developed in the past few years. We also continue to develop innovative experiences to expand our brand reach. This includes Build-A-Bear vending machines, also known as ATMs or automatic teddy machines. In addition, we plan to continue to utilize digital media, content and entertainment as marketing and brand-building tools to engage consumers, create incremental value and drive in-person and online traffic and demand.</w:t>
      </w:r>
    </w:p>
    <w:p>
      <w:pPr>
        <w:spacing w:after="0" w:line="191" w:lineRule="exact"/>
        <w:rPr>
          <w:rFonts w:ascii="Times New Roman" w:cs="Times New Roman" w:eastAsia="Times New Roman" w:hAnsi="Times New Roman"/>
          <w:sz w:val="18"/>
          <w:szCs w:val="18"/>
          <w:color w:val="auto"/>
        </w:rPr>
      </w:pPr>
    </w:p>
    <w:p>
      <w:pPr>
        <w:ind w:left="600" w:right="60" w:hanging="235"/>
        <w:spacing w:after="0" w:line="289" w:lineRule="auto"/>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Optimize our solid financial position including a strong balance sheet to support our business, make investments that drive sustained profitable growth and continue to deliver value to shareholders</w:t>
      </w:r>
      <w:r>
        <w:rPr>
          <w:rFonts w:ascii="Times New Roman" w:cs="Times New Roman" w:eastAsia="Times New Roman" w:hAnsi="Times New Roman"/>
          <w:sz w:val="17"/>
          <w:szCs w:val="17"/>
          <w:color w:val="auto"/>
        </w:rPr>
        <w:t>. We plan to maintain disciplined expense management particularly in light of changes in overall consumer shopping trends, recent inflationary pressures, wage increases and supply chain challenges. We are also focused on ongoing lease</w:t>
      </w:r>
    </w:p>
    <w:p>
      <w:pPr>
        <w:sectPr>
          <w:pgSz w:w="11900" w:h="16850" w:orient="portrait"/>
          <w:cols w:equalWidth="0" w:num="1">
            <w:col w:w="11260"/>
          </w:cols>
          <w:pgMar w:left="300" w:top="121" w:right="339" w:bottom="0" w:gutter="0" w:footer="0" w:header="0"/>
        </w:sectPr>
      </w:pPr>
    </w:p>
    <w:bookmarkStart w:id="18" w:name="page19"/>
    <w:bookmarkEnd w:id="18"/>
    <w:p>
      <w:pPr>
        <w:ind w:left="580" w:right="20"/>
        <w:spacing w:after="0" w:line="258" w:lineRule="auto"/>
        <w:rPr>
          <w:sz w:val="20"/>
          <w:szCs w:val="20"/>
          <w:color w:val="auto"/>
        </w:rPr>
      </w:pPr>
      <w:r>
        <w:rPr>
          <w:rFonts w:ascii="Times New Roman" w:cs="Times New Roman" w:eastAsia="Times New Roman" w:hAnsi="Times New Roman"/>
          <w:sz w:val="18"/>
          <w:szCs w:val="18"/>
          <w:color w:val="auto"/>
        </w:rPr>
        <w:t>negotiations as we continue to evolve our real estate portfolio with new locations, formats and business models. In addition, we expect to continue to strategically manage our capital to support key initiatives and innovative developments designed to deliver long-term profitable growth while returning value to shareholders through actions such as the dividends announced by our Board of Directors and paid in fiscal 2021 and 2023 totaling $41.5 million as well as share repurchase programs authorized by the Board of Directors in fiscal 2021 and 2022 where we have utilized $43.7 million under both programs to repurchase nearly 2.5 million shares through the end of the fiscal third quarter fiscal 2023.</w:t>
      </w:r>
    </w:p>
    <w:p>
      <w:pPr>
        <w:spacing w:after="0" w:line="18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During the last two weeks of our fiscal third quarter, revenues were negatively impacted simultaneous with the widely reported consumer spending softness. The effects of this decline in consumer spending persisted into November 2023, the beginning of our fiscal fourth quarter, continuing to negatively impact our revenues.</w:t>
      </w: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9" w:name="page20"/>
    <w:bookmarkEnd w:id="19"/>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Retail Stores: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Corporately-Operated Locations:</w:t>
      </w:r>
    </w:p>
    <w:p>
      <w:pPr>
        <w:spacing w:after="0" w:line="229" w:lineRule="exact"/>
        <w:rPr>
          <w:sz w:val="20"/>
          <w:szCs w:val="20"/>
          <w:color w:val="auto"/>
        </w:rPr>
      </w:pPr>
    </w:p>
    <w:p>
      <w:pPr>
        <w:ind w:left="20" w:right="520" w:firstLine="648"/>
        <w:spacing w:after="0" w:line="282" w:lineRule="auto"/>
        <w:rPr>
          <w:sz w:val="20"/>
          <w:szCs w:val="20"/>
          <w:color w:val="auto"/>
        </w:rPr>
      </w:pPr>
      <w:r>
        <w:rPr>
          <w:rFonts w:ascii="Times New Roman" w:cs="Times New Roman" w:eastAsia="Times New Roman" w:hAnsi="Times New Roman"/>
          <w:sz w:val="18"/>
          <w:szCs w:val="18"/>
          <w:color w:val="auto"/>
        </w:rPr>
        <w:t>The table below sets forth the number of Build-A-Bear Workshop corporately-operated stores in North America and Europe for the periods presented:</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20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c>
          <w:tcPr>
            <w:tcW w:w="9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20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October 28, 2023</w:t>
            </w:r>
          </w:p>
        </w:tc>
        <w:tc>
          <w:tcPr>
            <w:tcW w:w="10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October 29, 2022</w:t>
            </w:r>
          </w:p>
        </w:tc>
        <w:tc>
          <w:tcPr>
            <w:tcW w:w="9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87"/>
        </w:trPr>
        <w:tc>
          <w:tcPr>
            <w:tcW w:w="2080" w:type="dxa"/>
            <w:vAlign w:val="bottom"/>
          </w:tcPr>
          <w:p>
            <w:pPr>
              <w:spacing w:after="0"/>
              <w:rPr>
                <w:sz w:val="16"/>
                <w:szCs w:val="16"/>
                <w:color w:val="auto"/>
              </w:rPr>
            </w:pPr>
          </w:p>
        </w:tc>
        <w:tc>
          <w:tcPr>
            <w:tcW w:w="1000" w:type="dxa"/>
            <w:vAlign w:val="bottom"/>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North</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420"/>
              <w:spacing w:after="0" w:line="188" w:lineRule="exact"/>
              <w:rPr>
                <w:sz w:val="20"/>
                <w:szCs w:val="20"/>
                <w:color w:val="auto"/>
              </w:rPr>
            </w:pPr>
            <w:r>
              <w:rPr>
                <w:rFonts w:ascii="Times New Roman" w:cs="Times New Roman" w:eastAsia="Times New Roman" w:hAnsi="Times New Roman"/>
                <w:sz w:val="18"/>
                <w:szCs w:val="18"/>
                <w:b w:val="1"/>
                <w:bCs w:val="1"/>
                <w:color w:val="auto"/>
              </w:rPr>
              <w:t>North</w:t>
            </w: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8"/>
        </w:trPr>
        <w:tc>
          <w:tcPr>
            <w:tcW w:w="2080" w:type="dxa"/>
            <w:vAlign w:val="bottom"/>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America</w:t>
            </w:r>
          </w:p>
        </w:tc>
        <w:tc>
          <w:tcPr>
            <w:tcW w:w="200" w:type="dxa"/>
            <w:vAlign w:val="bottom"/>
          </w:tcPr>
          <w:p>
            <w:pPr>
              <w:spacing w:after="0"/>
              <w:rPr>
                <w:sz w:val="20"/>
                <w:szCs w:val="20"/>
                <w:color w:val="auto"/>
              </w:rPr>
            </w:pPr>
          </w:p>
        </w:tc>
        <w:tc>
          <w:tcPr>
            <w:tcW w:w="10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180" w:type="dxa"/>
            <w:vAlign w:val="bottom"/>
          </w:tcPr>
          <w:p>
            <w:pPr>
              <w:spacing w:after="0"/>
              <w:rPr>
                <w:sz w:val="20"/>
                <w:szCs w:val="20"/>
                <w:color w:val="auto"/>
              </w:rPr>
            </w:pPr>
          </w:p>
        </w:tc>
        <w:tc>
          <w:tcPr>
            <w:tcW w:w="10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Pr>
          <w:p>
            <w:pPr>
              <w:spacing w:after="0"/>
              <w:rPr>
                <w:sz w:val="20"/>
                <w:szCs w:val="20"/>
                <w:color w:val="auto"/>
              </w:rPr>
            </w:pPr>
          </w:p>
        </w:tc>
        <w:tc>
          <w:tcPr>
            <w:tcW w:w="9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America</w:t>
            </w:r>
          </w:p>
        </w:tc>
        <w:tc>
          <w:tcPr>
            <w:tcW w:w="160" w:type="dxa"/>
            <w:vAlign w:val="bottom"/>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160" w:type="dxa"/>
            <w:vAlign w:val="bottom"/>
          </w:tcPr>
          <w:p>
            <w:pPr>
              <w:spacing w:after="0"/>
              <w:rPr>
                <w:sz w:val="20"/>
                <w:szCs w:val="20"/>
                <w:color w:val="auto"/>
              </w:rPr>
            </w:pPr>
          </w:p>
        </w:tc>
        <w:tc>
          <w:tcPr>
            <w:tcW w:w="9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20"/>
                <w:szCs w:val="20"/>
                <w:color w:val="auto"/>
              </w:rPr>
            </w:pPr>
          </w:p>
        </w:tc>
      </w:tr>
      <w:tr>
        <w:trPr>
          <w:trHeight w:val="210"/>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350</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305</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346</w:t>
            </w:r>
          </w:p>
        </w:tc>
      </w:tr>
      <w:tr>
        <w:trPr>
          <w:trHeight w:val="216"/>
        </w:trPr>
        <w:tc>
          <w:tcPr>
            <w:tcW w:w="2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Opened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2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Closed</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20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356</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312</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347</w:t>
            </w:r>
          </w:p>
        </w:tc>
      </w:tr>
      <w:tr>
        <w:trPr>
          <w:trHeight w:val="20"/>
        </w:trPr>
        <w:tc>
          <w:tcPr>
            <w:tcW w:w="20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 w:right="80" w:firstLine="648"/>
        <w:spacing w:after="0" w:line="261" w:lineRule="auto"/>
        <w:rPr>
          <w:sz w:val="20"/>
          <w:szCs w:val="20"/>
          <w:color w:val="auto"/>
        </w:rPr>
      </w:pPr>
      <w:r>
        <w:rPr>
          <w:rFonts w:ascii="Times New Roman" w:cs="Times New Roman" w:eastAsia="Times New Roman" w:hAnsi="Times New Roman"/>
          <w:sz w:val="18"/>
          <w:szCs w:val="18"/>
          <w:color w:val="auto"/>
        </w:rPr>
        <w:t>As of October 28, 2023, 47% of our corporately-operated stores were in an updated Discovery format. We also expect to close certain stores in accordance with natural lease events as an ongoing part of our real estate management and day-to-day operational plans. The future of our retail store fleet may include expansion into more non-traditional locations, including concourse format shops and by expansion in other locations outside of traditional malls.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Retail Locations: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number of third-party retail locations opened and closed for the periods presented below is summarized as follows: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3300" w:type="dxa"/>
            <w:vAlign w:val="bottom"/>
            <w:gridSpan w:val="4"/>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09"/>
        </w:trPr>
        <w:tc>
          <w:tcPr>
            <w:tcW w:w="5680" w:type="dxa"/>
            <w:vAlign w:val="bottom"/>
          </w:tcPr>
          <w:p>
            <w:pPr>
              <w:spacing w:after="0"/>
              <w:rPr>
                <w:sz w:val="18"/>
                <w:szCs w:val="18"/>
                <w:color w:val="auto"/>
              </w:rPr>
            </w:pPr>
          </w:p>
        </w:tc>
        <w:tc>
          <w:tcPr>
            <w:tcW w:w="15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October 28, 2023</w:t>
            </w: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October 29, 2022</w:t>
            </w:r>
          </w:p>
        </w:tc>
        <w:tc>
          <w:tcPr>
            <w:tcW w:w="80" w:type="dxa"/>
            <w:vAlign w:val="bottom"/>
          </w:tcPr>
          <w:p>
            <w:pPr>
              <w:spacing w:after="0"/>
              <w:rPr>
                <w:sz w:val="18"/>
                <w:szCs w:val="18"/>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Opened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Closed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568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8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w:t>
            </w:r>
          </w:p>
        </w:tc>
      </w:tr>
      <w:tr>
        <w:trPr>
          <w:trHeight w:val="20"/>
        </w:trPr>
        <w:tc>
          <w:tcPr>
            <w:tcW w:w="56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 w:firstLine="648"/>
        <w:spacing w:after="0" w:line="258" w:lineRule="auto"/>
        <w:rPr>
          <w:sz w:val="20"/>
          <w:szCs w:val="20"/>
          <w:color w:val="auto"/>
        </w:rPr>
      </w:pPr>
      <w:r>
        <w:rPr>
          <w:rFonts w:ascii="Times New Roman" w:cs="Times New Roman" w:eastAsia="Times New Roman" w:hAnsi="Times New Roman"/>
          <w:sz w:val="18"/>
          <w:szCs w:val="18"/>
          <w:color w:val="auto"/>
        </w:rPr>
        <w:t>Through our partner-operated third-party retail model, there were 85 stores in operation at the end of the third quarter of fiscal 2023 with relationships that included Carnival Cruise Line, Great Wolf Lodge Resorts, Landry's, Beaches Family Resorts, and Kalahari. This model is capital light for us, with the partner company building out and operating the workshops including providing the real estate location and covering the cost of labor and inventory, which is purchased on a wholesale basis. These locations are heavily weighted to the hospitality industry, which allow us to further advance our focus on experience location expansion in non-traditional and tourist areas, as well as shop-in-shop arrangements within other retailers’ stores.</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International Franchise Stores:</w:t>
      </w:r>
    </w:p>
    <w:p>
      <w:pPr>
        <w:spacing w:after="0" w:line="229" w:lineRule="exact"/>
        <w:rPr>
          <w:sz w:val="20"/>
          <w:szCs w:val="20"/>
          <w:color w:val="auto"/>
        </w:rPr>
      </w:pPr>
    </w:p>
    <w:p>
      <w:pPr>
        <w:ind w:left="20" w:right="120" w:firstLine="648"/>
        <w:spacing w:after="0" w:line="266" w:lineRule="auto"/>
        <w:rPr>
          <w:sz w:val="20"/>
          <w:szCs w:val="20"/>
          <w:color w:val="auto"/>
        </w:rPr>
      </w:pPr>
      <w:r>
        <w:rPr>
          <w:rFonts w:ascii="Times New Roman" w:cs="Times New Roman" w:eastAsia="Times New Roman" w:hAnsi="Times New Roman"/>
          <w:sz w:val="18"/>
          <w:szCs w:val="18"/>
          <w:color w:val="auto"/>
        </w:rPr>
        <w:t>Our first franchisee location was opened in November 2003. All franchised stores have similar signage, store layout, merchandise characteristics and guest experience as our corporately-operated stores. As of October 28, 2023, we had 5 master franchise agreements, which typically grant franchise rights for a particular country or group of countries, covering an aggregate of 8 countries.</w:t>
      </w:r>
    </w:p>
    <w:p>
      <w:pPr>
        <w:spacing w:after="0" w:line="17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number of franchised stores opened and closed for the periods presented below are summarized as follows: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3300" w:type="dxa"/>
            <w:vAlign w:val="bottom"/>
            <w:gridSpan w:val="4"/>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210"/>
        </w:trPr>
        <w:tc>
          <w:tcPr>
            <w:tcW w:w="5680" w:type="dxa"/>
            <w:vAlign w:val="bottom"/>
          </w:tcPr>
          <w:p>
            <w:pPr>
              <w:spacing w:after="0"/>
              <w:rPr>
                <w:sz w:val="18"/>
                <w:szCs w:val="18"/>
                <w:color w:val="auto"/>
              </w:rPr>
            </w:pPr>
          </w:p>
        </w:tc>
        <w:tc>
          <w:tcPr>
            <w:tcW w:w="15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October 28, 2023</w:t>
            </w: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October 29, 2022</w:t>
            </w:r>
          </w:p>
        </w:tc>
        <w:tc>
          <w:tcPr>
            <w:tcW w:w="80" w:type="dxa"/>
            <w:vAlign w:val="bottom"/>
          </w:tcPr>
          <w:p>
            <w:pPr>
              <w:spacing w:after="0"/>
              <w:rPr>
                <w:sz w:val="18"/>
                <w:szCs w:val="18"/>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Opened</w:t>
            </w: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Closed</w:t>
            </w:r>
          </w:p>
        </w:tc>
        <w:tc>
          <w:tcPr>
            <w:tcW w:w="1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568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w:t>
            </w:r>
          </w:p>
        </w:tc>
      </w:tr>
      <w:tr>
        <w:trPr>
          <w:trHeight w:val="20"/>
        </w:trPr>
        <w:tc>
          <w:tcPr>
            <w:tcW w:w="56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we anticipate signing additional master franchise agreements in the future and terminating other such agreements. We source fixtures and other supplies for our franchisees from China which significantly reduces the capital and lowers the expenses required to open franchises. We are leveraging new formats that have been developed for our corporately-operated locations such as concourses and shop-in-shops with our franchisees.</w:t>
      </w:r>
    </w:p>
    <w:p>
      <w:pPr>
        <w:sectPr>
          <w:pgSz w:w="11900" w:h="16838" w:orient="portrait"/>
          <w:cols w:equalWidth="0" w:num="1">
            <w:col w:w="11220"/>
          </w:cols>
          <w:pgMar w:left="300" w:top="121" w:right="379" w:bottom="1440" w:gutter="0" w:footer="0" w:header="0"/>
        </w:sectPr>
      </w:pP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00" w:top="121" w:right="37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for the periods indicated, selected income statement data expressed as a percentage of total revenues, except where otherwise indicated. Percentages will not total due to cost of merchandise sold being expressed as a percentage of net retail sales, commercial revenue, international franchising, respectively, as well as immaterial rounding:</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BUILD-A-BEAR WORKSHOP, INC. AND SUBSIDIARIES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2920" w:type="dxa"/>
            <w:vAlign w:val="bottom"/>
            <w:gridSpan w:val="4"/>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2860" w:type="dxa"/>
            <w:vAlign w:val="bottom"/>
            <w:gridSpan w:val="4"/>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187"/>
        </w:trPr>
        <w:tc>
          <w:tcPr>
            <w:tcW w:w="3200" w:type="dxa"/>
            <w:vAlign w:val="bottom"/>
          </w:tcPr>
          <w:p>
            <w:pPr>
              <w:spacing w:after="0"/>
              <w:rPr>
                <w:sz w:val="16"/>
                <w:szCs w:val="16"/>
                <w:color w:val="auto"/>
              </w:rPr>
            </w:pPr>
          </w:p>
        </w:tc>
        <w:tc>
          <w:tcPr>
            <w:tcW w:w="1460" w:type="dxa"/>
            <w:vAlign w:val="bottom"/>
            <w:tcBorders>
              <w:top w:val="single" w:sz="8" w:color="auto"/>
            </w:tcBorders>
            <w:gridSpan w:val="2"/>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October 28,</w:t>
            </w:r>
          </w:p>
        </w:tc>
        <w:tc>
          <w:tcPr>
            <w:tcW w:w="1220" w:type="dxa"/>
            <w:vAlign w:val="bottom"/>
            <w:tcBorders>
              <w:top w:val="single" w:sz="8" w:color="auto"/>
            </w:tcBorders>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October 29,</w:t>
            </w:r>
          </w:p>
        </w:tc>
        <w:tc>
          <w:tcPr>
            <w:tcW w:w="240" w:type="dxa"/>
            <w:vAlign w:val="bottom"/>
          </w:tcPr>
          <w:p>
            <w:pPr>
              <w:spacing w:after="0"/>
              <w:rPr>
                <w:sz w:val="16"/>
                <w:szCs w:val="16"/>
                <w:color w:val="auto"/>
              </w:rPr>
            </w:pPr>
          </w:p>
        </w:tc>
        <w:tc>
          <w:tcPr>
            <w:tcW w:w="1480" w:type="dxa"/>
            <w:vAlign w:val="bottom"/>
            <w:tcBorders>
              <w:top w:val="single" w:sz="8" w:color="auto"/>
            </w:tcBorders>
            <w:gridSpan w:val="2"/>
          </w:tcPr>
          <w:p>
            <w:pPr>
              <w:jc w:val="right"/>
              <w:ind w:right="400"/>
              <w:spacing w:after="0" w:line="188" w:lineRule="exact"/>
              <w:rPr>
                <w:sz w:val="20"/>
                <w:szCs w:val="20"/>
                <w:color w:val="auto"/>
              </w:rPr>
            </w:pPr>
            <w:r>
              <w:rPr>
                <w:rFonts w:ascii="Times New Roman" w:cs="Times New Roman" w:eastAsia="Times New Roman" w:hAnsi="Times New Roman"/>
                <w:sz w:val="18"/>
                <w:szCs w:val="18"/>
                <w:b w:val="1"/>
                <w:bCs w:val="1"/>
                <w:color w:val="auto"/>
              </w:rPr>
              <w:t>October 28,</w:t>
            </w:r>
          </w:p>
        </w:tc>
        <w:tc>
          <w:tcPr>
            <w:tcW w:w="1220" w:type="dxa"/>
            <w:vAlign w:val="bottom"/>
            <w:tcBorders>
              <w:top w:val="single" w:sz="8" w:color="auto"/>
            </w:tcBorders>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October 29,</w:t>
            </w:r>
          </w:p>
        </w:tc>
        <w:tc>
          <w:tcPr>
            <w:tcW w:w="160" w:type="dxa"/>
            <w:vAlign w:val="bottom"/>
          </w:tcPr>
          <w:p>
            <w:pPr>
              <w:spacing w:after="0"/>
              <w:rPr>
                <w:sz w:val="16"/>
                <w:szCs w:val="16"/>
                <w:color w:val="auto"/>
              </w:rPr>
            </w:pPr>
          </w:p>
        </w:tc>
      </w:tr>
      <w:tr>
        <w:trPr>
          <w:trHeight w:val="238"/>
        </w:trPr>
        <w:tc>
          <w:tcPr>
            <w:tcW w:w="3200" w:type="dxa"/>
            <w:vAlign w:val="bottom"/>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20"/>
                <w:szCs w:val="20"/>
                <w:color w:val="auto"/>
              </w:rPr>
            </w:pPr>
          </w:p>
        </w:tc>
      </w:tr>
      <w:tr>
        <w:trPr>
          <w:trHeight w:val="20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retail sales</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93.4%</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95.0%</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95.4%</w:t>
            </w:r>
          </w:p>
        </w:tc>
      </w:tr>
      <w:tr>
        <w:trPr>
          <w:trHeight w:val="216"/>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revenue</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International franchising</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0.9</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0.7</w:t>
            </w:r>
          </w:p>
        </w:tc>
      </w:tr>
      <w:tr>
        <w:trPr>
          <w:trHeight w:val="20"/>
        </w:trPr>
        <w:tc>
          <w:tcPr>
            <w:tcW w:w="32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3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32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20"/>
          </w:cols>
          <w:pgMar w:left="320" w:top="121" w:right="359" w:bottom="169" w:gutter="0" w:footer="0" w:header="0"/>
        </w:sectPr>
      </w:pPr>
    </w:p>
    <w:p>
      <w:pPr>
        <w:ind w:left="1140"/>
        <w:spacing w:after="0"/>
        <w:rPr>
          <w:sz w:val="20"/>
          <w:szCs w:val="20"/>
          <w:color w:val="auto"/>
        </w:rPr>
      </w:pPr>
      <w:r>
        <w:rPr>
          <w:rFonts w:ascii="Times New Roman" w:cs="Times New Roman" w:eastAsia="Times New Roman" w:hAnsi="Times New Roman"/>
          <w:sz w:val="18"/>
          <w:szCs w:val="18"/>
          <w:color w:val="auto"/>
        </w:rPr>
        <w:t>Costs and expenses:</w:t>
      </w:r>
    </w:p>
    <w:p>
      <w:pPr>
        <w:spacing w:after="0" w:line="27" w:lineRule="exact"/>
        <w:rPr>
          <w:sz w:val="20"/>
          <w:szCs w:val="20"/>
          <w:color w:val="auto"/>
        </w:rPr>
      </w:pPr>
    </w:p>
    <w:p>
      <w:pPr>
        <w:ind w:left="1300" w:right="400"/>
        <w:spacing w:after="0" w:line="200" w:lineRule="auto"/>
        <w:rPr>
          <w:sz w:val="20"/>
          <w:szCs w:val="20"/>
          <w:color w:val="auto"/>
        </w:rPr>
      </w:pPr>
      <w:r>
        <w:rPr>
          <w:rFonts w:ascii="Times New Roman" w:cs="Times New Roman" w:eastAsia="Times New Roman" w:hAnsi="Times New Roman"/>
          <w:sz w:val="17"/>
          <w:szCs w:val="17"/>
          <w:color w:val="auto"/>
        </w:rPr>
        <w:t xml:space="preserve">Cost of merchandise sold - retail </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 xml:space="preserve"> Cost of merchandise sold - commercial</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(1)</w:t>
      </w:r>
    </w:p>
    <w:p>
      <w:pPr>
        <w:spacing w:after="0" w:line="5" w:lineRule="exact"/>
        <w:rPr>
          <w:sz w:val="20"/>
          <w:szCs w:val="20"/>
          <w:color w:val="auto"/>
        </w:rPr>
      </w:pPr>
    </w:p>
    <w:p>
      <w:pPr>
        <w:ind w:left="1300" w:right="340"/>
        <w:spacing w:after="0" w:line="185" w:lineRule="auto"/>
        <w:rPr>
          <w:sz w:val="20"/>
          <w:szCs w:val="20"/>
          <w:color w:val="auto"/>
        </w:rPr>
      </w:pPr>
      <w:r>
        <w:rPr>
          <w:rFonts w:ascii="Times New Roman" w:cs="Times New Roman" w:eastAsia="Times New Roman" w:hAnsi="Times New Roman"/>
          <w:sz w:val="18"/>
          <w:szCs w:val="18"/>
          <w:color w:val="auto"/>
        </w:rPr>
        <w:t xml:space="preserve">Cost of merchandise sold - international franchising </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47.4</w:t>
            </w:r>
          </w:p>
        </w:tc>
        <w:tc>
          <w:tcPr>
            <w:tcW w:w="14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47.7</w:t>
            </w:r>
          </w:p>
        </w:tc>
        <w:tc>
          <w:tcPr>
            <w:tcW w:w="14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46.3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r>
      <w:tr>
        <w:trPr>
          <w:trHeight w:val="392"/>
        </w:trPr>
        <w:tc>
          <w:tcPr>
            <w:tcW w:w="8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44.4</w:t>
            </w:r>
          </w:p>
        </w:tc>
        <w:tc>
          <w:tcPr>
            <w:tcW w:w="14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46.8</w:t>
            </w:r>
          </w:p>
        </w:tc>
        <w:tc>
          <w:tcPr>
            <w:tcW w:w="14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47.8</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418"/>
        </w:trPr>
        <w:tc>
          <w:tcPr>
            <w:tcW w:w="8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62.2</w:t>
            </w:r>
          </w:p>
        </w:tc>
        <w:tc>
          <w:tcPr>
            <w:tcW w:w="14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77.0</w:t>
            </w:r>
          </w:p>
        </w:tc>
        <w:tc>
          <w:tcPr>
            <w:tcW w:w="14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64.2</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-788035</wp:posOffset>
            </wp:positionV>
            <wp:extent cx="570039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-513715</wp:posOffset>
            </wp:positionV>
            <wp:extent cx="5700395" cy="2482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00395" cy="24828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4520" w:space="720"/>
            <w:col w:w="5980"/>
          </w:cols>
          <w:pgMar w:left="320" w:top="121" w:right="359" w:bottom="169" w:gutter="0" w:footer="0" w:header="0"/>
          <w:type w:val="continuous"/>
        </w:sectPr>
      </w:pPr>
    </w:p>
    <w:tbl>
      <w:tblPr>
        <w:tblLayout w:type="fixed"/>
        <w:tblInd w:w="1120" w:type="dxa"/>
        <w:tblCellMar>
          <w:top w:w="0" w:type="dxa"/>
          <w:left w:w="0" w:type="dxa"/>
          <w:bottom w:w="0" w:type="dxa"/>
          <w:right w:w="0" w:type="dxa"/>
        </w:tblCellMar>
      </w:tblPr>
      <w:tr>
        <w:trPr>
          <w:trHeight w:val="20"/>
        </w:trPr>
        <w:tc>
          <w:tcPr>
            <w:tcW w:w="32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9"/>
        </w:trPr>
        <w:tc>
          <w:tcPr>
            <w:tcW w:w="3200" w:type="dxa"/>
            <w:vAlign w:val="bottom"/>
            <w:shd w:val="clear" w:color="auto" w:fill="CCEEFF"/>
          </w:tcPr>
          <w:p>
            <w:pPr>
              <w:ind w:left="340"/>
              <w:spacing w:after="0" w:line="189" w:lineRule="exact"/>
              <w:rPr>
                <w:sz w:val="20"/>
                <w:szCs w:val="20"/>
                <w:color w:val="auto"/>
              </w:rPr>
            </w:pPr>
            <w:r>
              <w:rPr>
                <w:rFonts w:ascii="Times New Roman" w:cs="Times New Roman" w:eastAsia="Times New Roman" w:hAnsi="Times New Roman"/>
                <w:sz w:val="18"/>
                <w:szCs w:val="18"/>
                <w:color w:val="auto"/>
              </w:rPr>
              <w:t>Total cost of merchandise sold</w:t>
            </w:r>
          </w:p>
        </w:tc>
        <w:tc>
          <w:tcPr>
            <w:tcW w:w="1460" w:type="dxa"/>
            <w:vAlign w:val="bottom"/>
            <w:gridSpan w:val="2"/>
            <w:shd w:val="clear" w:color="auto" w:fill="CCEEFF"/>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47.3</w:t>
            </w:r>
          </w:p>
        </w:tc>
        <w:tc>
          <w:tcPr>
            <w:tcW w:w="1460" w:type="dxa"/>
            <w:vAlign w:val="bottom"/>
            <w:gridSpan w:val="2"/>
            <w:shd w:val="clear" w:color="auto" w:fill="CCEEFF"/>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48.0</w:t>
            </w:r>
          </w:p>
        </w:tc>
        <w:tc>
          <w:tcPr>
            <w:tcW w:w="1480" w:type="dxa"/>
            <w:vAlign w:val="bottom"/>
            <w:gridSpan w:val="2"/>
            <w:shd w:val="clear" w:color="auto" w:fill="CCEEFF"/>
          </w:tcPr>
          <w:p>
            <w:pPr>
              <w:jc w:val="right"/>
              <w:ind w:right="240"/>
              <w:spacing w:after="0" w:line="189" w:lineRule="exact"/>
              <w:rPr>
                <w:sz w:val="20"/>
                <w:szCs w:val="20"/>
                <w:color w:val="auto"/>
              </w:rPr>
            </w:pPr>
            <w:r>
              <w:rPr>
                <w:rFonts w:ascii="Times New Roman" w:cs="Times New Roman" w:eastAsia="Times New Roman" w:hAnsi="Times New Roman"/>
                <w:sz w:val="18"/>
                <w:szCs w:val="18"/>
                <w:color w:val="auto"/>
              </w:rPr>
              <w:t>46.5</w:t>
            </w:r>
          </w:p>
        </w:tc>
        <w:tc>
          <w:tcPr>
            <w:tcW w:w="138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48.6</w:t>
            </w:r>
          </w:p>
        </w:tc>
      </w:tr>
      <w:tr>
        <w:trPr>
          <w:trHeight w:val="20"/>
        </w:trPr>
        <w:tc>
          <w:tcPr>
            <w:tcW w:w="320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gross profit</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52.7</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51.9</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53.5</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51.4</w:t>
            </w:r>
          </w:p>
        </w:tc>
      </w:tr>
      <w:tr>
        <w:trPr>
          <w:trHeight w:val="20"/>
        </w:trPr>
        <w:tc>
          <w:tcPr>
            <w:tcW w:w="32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43.3</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42.5</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41.7</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40.4</w:t>
            </w:r>
          </w:p>
        </w:tc>
      </w:tr>
      <w:tr>
        <w:trPr>
          <w:trHeight w:val="216"/>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(0.3)</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(0.2)</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r>
      <w:tr>
        <w:trPr>
          <w:trHeight w:val="20"/>
        </w:trPr>
        <w:tc>
          <w:tcPr>
            <w:tcW w:w="32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9.6</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9.5</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11.9</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3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w:t>
            </w: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32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3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7.1</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7.1</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9.1</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w:t>
            </w:r>
          </w:p>
        </w:tc>
      </w:tr>
      <w:tr>
        <w:trPr>
          <w:trHeight w:val="196"/>
        </w:trPr>
        <w:tc>
          <w:tcPr>
            <w:tcW w:w="3200" w:type="dxa"/>
            <w:vAlign w:val="bottom"/>
            <w:tcBorders>
              <w:top w:val="single" w:sz="8" w:color="CCEEFF"/>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16"/>
        </w:trPr>
        <w:tc>
          <w:tcPr>
            <w:tcW w:w="32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Retail Gross Margin </w:t>
            </w:r>
            <w:r>
              <w:rPr>
                <w:rFonts w:ascii="Times New Roman" w:cs="Times New Roman" w:eastAsia="Times New Roman" w:hAnsi="Times New Roman"/>
                <w:sz w:val="25"/>
                <w:szCs w:val="25"/>
                <w:color w:val="auto"/>
                <w:vertAlign w:val="superscript"/>
              </w:rPr>
              <w:t>(2)</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52.6%</w:t>
            </w: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52.3%</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53.7%</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r>
    </w:tbl>
    <w:p>
      <w:pPr>
        <w:spacing w:after="0" w:line="198" w:lineRule="exact"/>
        <w:rPr>
          <w:sz w:val="20"/>
          <w:szCs w:val="20"/>
          <w:color w:val="auto"/>
        </w:rPr>
      </w:pPr>
    </w:p>
    <w:p>
      <w:pPr>
        <w:ind w:left="380" w:right="120" w:hanging="372"/>
        <w:spacing w:after="0" w:line="261"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merchandise sold – retail is expressed as a percentage of net retail sales. Cost of merchandise sold – commercial is expressed as a percentage of commercial revenue. Cost of merchandise sold – international franchising is expressed as a percentage of international franchising revenue.</w:t>
      </w:r>
    </w:p>
    <w:p>
      <w:pPr>
        <w:ind w:left="380" w:right="480" w:hanging="372"/>
        <w:spacing w:after="0" w:line="260" w:lineRule="auto"/>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gross margin represents net retail sales less cost of merchandise sold - retail; retail gross margin percentage represents retail gross margin divided by net retail sales.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Thirteen weeks ended October 28, 2023 compared to thirteen weeks ended October 29, 2022</w:t>
      </w:r>
    </w:p>
    <w:p>
      <w:pPr>
        <w:spacing w:after="0" w:line="227" w:lineRule="exact"/>
        <w:rPr>
          <w:sz w:val="20"/>
          <w:szCs w:val="20"/>
          <w:color w:val="auto"/>
        </w:rPr>
      </w:pPr>
    </w:p>
    <w:p>
      <w:pPr>
        <w:ind w:right="3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Total revenues. </w:t>
      </w:r>
      <w:r>
        <w:rPr>
          <w:rFonts w:ascii="Times New Roman" w:cs="Times New Roman" w:eastAsia="Times New Roman" w:hAnsi="Times New Roman"/>
          <w:sz w:val="18"/>
          <w:szCs w:val="18"/>
          <w:color w:val="auto"/>
        </w:rPr>
        <w:t>Consolidated revenues increased 2.9%, primarily fueled by growth in commercial segment revenues as well as increased retail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from increased retail transactions in North American brick-and-mortar stores driven by an increase in transaction volume and growth in international franchising revenue.</w:t>
      </w:r>
    </w:p>
    <w:p>
      <w:pPr>
        <w:spacing w:after="0" w:line="175" w:lineRule="exact"/>
        <w:rPr>
          <w:sz w:val="20"/>
          <w:szCs w:val="20"/>
          <w:color w:val="auto"/>
        </w:rPr>
      </w:pPr>
    </w:p>
    <w:p>
      <w:pPr>
        <w:jc w:val="both"/>
        <w:ind w:right="540" w:firstLine="648"/>
        <w:spacing w:after="0" w:line="266" w:lineRule="auto"/>
        <w:rPr>
          <w:sz w:val="20"/>
          <w:szCs w:val="20"/>
          <w:color w:val="auto"/>
        </w:rPr>
      </w:pPr>
      <w:r>
        <w:rPr>
          <w:rFonts w:ascii="Times New Roman" w:cs="Times New Roman" w:eastAsia="Times New Roman" w:hAnsi="Times New Roman"/>
          <w:sz w:val="18"/>
          <w:szCs w:val="18"/>
          <w:color w:val="auto"/>
        </w:rPr>
        <w:t>Net retail sales for the thirteen weeks ended October 28, 2023 were $100.4 million, compared to $99.2 million for the thirteen weeks ended October 29, 2022, an increase of $1.2 million, or 1.2%, compared to the prior year period. The components of this increase are as follows (dollars in thousands):</w:t>
      </w:r>
    </w:p>
    <w:p>
      <w:pPr>
        <w:spacing w:after="0" w:line="172"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7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Thirteen weeks</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38"/>
        </w:trPr>
        <w:tc>
          <w:tcPr>
            <w:tcW w:w="74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Impact from:</w:t>
            </w:r>
          </w:p>
        </w:tc>
        <w:tc>
          <w:tcPr>
            <w:tcW w:w="15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October 28, 2023</w:t>
            </w:r>
          </w:p>
        </w:tc>
        <w:tc>
          <w:tcPr>
            <w:tcW w:w="0" w:type="dxa"/>
            <w:vAlign w:val="bottom"/>
          </w:tcPr>
          <w:p>
            <w:pPr>
              <w:spacing w:after="0"/>
              <w:rPr>
                <w:sz w:val="1"/>
                <w:szCs w:val="1"/>
                <w:color w:val="auto"/>
              </w:rPr>
            </w:pPr>
          </w:p>
        </w:tc>
      </w:tr>
      <w:tr>
        <w:trPr>
          <w:trHeight w:val="209"/>
        </w:trPr>
        <w:tc>
          <w:tcPr>
            <w:tcW w:w="7480" w:type="dxa"/>
            <w:vAlign w:val="bottom"/>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Existing stores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(1,243)</w:t>
            </w: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Digital sales</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stores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Store closures</w:t>
            </w:r>
          </w:p>
        </w:tc>
        <w:tc>
          <w:tcPr>
            <w:tcW w:w="1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(965)</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Gift card breakage</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0"/>
        </w:trPr>
        <w:tc>
          <w:tcPr>
            <w:tcW w:w="748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Change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81" w:lineRule="auto"/>
        <w:rPr>
          <w:sz w:val="20"/>
          <w:szCs w:val="20"/>
          <w:color w:val="auto"/>
        </w:rPr>
      </w:pPr>
      <w:r>
        <w:rPr>
          <w:rFonts w:ascii="Times New Roman" w:cs="Times New Roman" w:eastAsia="Times New Roman" w:hAnsi="Times New Roman"/>
          <w:sz w:val="17"/>
          <w:szCs w:val="17"/>
          <w:color w:val="auto"/>
        </w:rPr>
        <w:t>The retail revenue increase was primarily the result of an increase in sales from corporately-operated retail locations through growth in the number of transactions through the majority of the quarter, including from the opening of a net five corporately-managed locations in the quarter, an increase in digital demand, and the strengthening of the British Pound compared to the same period in the prior year. Our retail revenue during the quarter was negatively impacted by a decline in our dollars per transaction during the period and consumer spending softness during the last two weeks of the period.</w:t>
      </w:r>
    </w:p>
    <w:p>
      <w:pPr>
        <w:spacing w:after="0" w:line="164"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Commercial revenue was $6.0 million for the thirteen weeks ended October 28, 2023 compared to $4.1 million for the thirteen weeks ended October 29, 2022. The $1.9 million increase is primarily the result of increased sales volume from our commercial accounts through our partner-operated third-party retail model.</w:t>
      </w:r>
    </w:p>
    <w:p>
      <w:pPr>
        <w:sectPr>
          <w:pgSz w:w="11900" w:h="16838" w:orient="portrait"/>
          <w:cols w:equalWidth="0" w:num="1">
            <w:col w:w="11220"/>
          </w:cols>
          <w:pgMar w:left="320" w:top="121" w:right="359" w:bottom="169" w:gutter="0" w:footer="0" w:header="0"/>
          <w:type w:val="continuous"/>
        </w:sectPr>
      </w:pPr>
    </w:p>
    <w:bookmarkStart w:id="21" w:name="page22"/>
    <w:bookmarkEnd w:id="21"/>
    <w:p>
      <w:pPr>
        <w:ind w:firstLine="648"/>
        <w:spacing w:after="0" w:line="282" w:lineRule="auto"/>
        <w:rPr>
          <w:sz w:val="20"/>
          <w:szCs w:val="20"/>
          <w:color w:val="auto"/>
        </w:rPr>
      </w:pPr>
      <w:r>
        <w:rPr>
          <w:rFonts w:ascii="Times New Roman" w:cs="Times New Roman" w:eastAsia="Times New Roman" w:hAnsi="Times New Roman"/>
          <w:sz w:val="18"/>
          <w:szCs w:val="18"/>
          <w:color w:val="auto"/>
        </w:rPr>
        <w:t>International franchising revenue was $1.1 million for the thirteen weeks ended October 28, 2023 compared to $1.1 million for the thirteen weeks ended October 29, 2022. The lack of change is the result of decreased transactions offset by increased location count.</w:t>
      </w:r>
    </w:p>
    <w:p>
      <w:pPr>
        <w:spacing w:after="0" w:line="160" w:lineRule="exact"/>
        <w:rPr>
          <w:sz w:val="20"/>
          <w:szCs w:val="20"/>
          <w:color w:val="auto"/>
        </w:rPr>
      </w:pPr>
    </w:p>
    <w:p>
      <w:pPr>
        <w:ind w:right="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Retail gross margin. </w:t>
      </w:r>
      <w:r>
        <w:rPr>
          <w:rFonts w:ascii="Times New Roman" w:cs="Times New Roman" w:eastAsia="Times New Roman" w:hAnsi="Times New Roman"/>
          <w:sz w:val="18"/>
          <w:szCs w:val="18"/>
          <w:color w:val="auto"/>
        </w:rPr>
        <w:t>Retail gross margin dollars increased $1.0 million to $52.9 million from $51.9 million for the thirteen weeks ended October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29, 2022. The retail gross margin rate increased 30 basis points compared to the prior year primarily driven by lower freight costs compared to the fiscal 2022 third quarter.</w:t>
      </w:r>
    </w:p>
    <w:p>
      <w:pPr>
        <w:spacing w:after="0" w:line="1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right="1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SG&amp;A expenses were $46.6 million, or 43.3% of consolidated revenue, for the thirteen weeks ended October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28, 2023, compared to $44.4 million, or 42.5% of consolidated revenue, for the thirteen weeks ended October 29, 2022. The increase in overall expense was driven by higher store-level wages due to inflation, the planned addition of talent, marketing, and other investments to support future growth.</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Interest (income) expense, net. </w:t>
      </w:r>
      <w:r>
        <w:rPr>
          <w:rFonts w:ascii="Times New Roman" w:cs="Times New Roman" w:eastAsia="Times New Roman" w:hAnsi="Times New Roman"/>
          <w:sz w:val="18"/>
          <w:szCs w:val="18"/>
          <w:color w:val="auto"/>
        </w:rPr>
        <w:t>Interest income was $281,000 for the thirteen weeks ended October 28, 2023 compared to interest expense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$6,000 for the thirteen weeks ended October 29, 2022. The increase in interest income compared to expense in the prior year is the result of the Company's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management strategy to invest cash on-hand in short-term, highly liquid investments.</w:t>
      </w:r>
    </w:p>
    <w:p>
      <w:pPr>
        <w:spacing w:after="0" w:line="205"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Income tax expense was $2.8 million with a tax rate of 26.7% for the thirteen weeks ended October 28, 2023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$2.4 million with a tax rate of 24.6% for the thirteen weeks ended October 29, 2022. In the third quarter of 2023 and 2022, the effective tax rate differed from the statutory rate of 21% primarily due to state income tax expense partially offset by the tax impact of equity awards vesting. In addition, the Company remains in a full valuation allowance in certain foreign jurisdictions.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Thirty-nine weeks ended October 28, 2023 compared to thirty-nine weeks ended October 29, 2022</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Total revenues. </w:t>
      </w:r>
      <w:r>
        <w:rPr>
          <w:rFonts w:ascii="Times New Roman" w:cs="Times New Roman" w:eastAsia="Times New Roman" w:hAnsi="Times New Roman"/>
          <w:sz w:val="18"/>
          <w:szCs w:val="18"/>
          <w:color w:val="auto"/>
        </w:rPr>
        <w:t>Consolidated revenues increased 4.3%, primarily driven by a 5.3% increase in North America and partially offset</w:t>
      </w:r>
    </w:p>
    <w:p>
      <w:pPr>
        <w:spacing w:after="0" w:line="2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by a 2.5% decrease in Europe. The overall revenue growth was primarily fueled by increased retail transactions in North American brick-and-mortar stores driven by an increase in consumer traffic, as well as growth in the commercial and international franchising segments' revenue.</w:t>
      </w:r>
    </w:p>
    <w:p>
      <w:pPr>
        <w:spacing w:after="0" w:line="181"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Net retail sales for the thirty-nine weeks ended October 28, 2023 were $316.0 million, compared to $308.0 million for the thirty-nine weeks ended October 29, 2022, an increase of $8.0 million, or 2.6%, compared to the prior year period. The components of this increase are as follows (dollars in thousands):</w:t>
      </w:r>
    </w:p>
    <w:p>
      <w:pPr>
        <w:spacing w:after="0" w:line="172"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7380" w:type="dxa"/>
            <w:vAlign w:val="bottom"/>
          </w:tcPr>
          <w:p>
            <w:pPr>
              <w:spacing w:after="0"/>
              <w:rPr>
                <w:sz w:val="18"/>
                <w:szCs w:val="18"/>
                <w:color w:val="auto"/>
              </w:rPr>
            </w:pPr>
          </w:p>
        </w:tc>
        <w:tc>
          <w:tcPr>
            <w:tcW w:w="16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Thirty-nine weeks</w:t>
            </w:r>
          </w:p>
        </w:tc>
      </w:tr>
      <w:tr>
        <w:trPr>
          <w:trHeight w:val="216"/>
        </w:trPr>
        <w:tc>
          <w:tcPr>
            <w:tcW w:w="7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38"/>
        </w:trPr>
        <w:tc>
          <w:tcPr>
            <w:tcW w:w="7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October 28, 2023</w:t>
            </w:r>
          </w:p>
        </w:tc>
      </w:tr>
      <w:tr>
        <w:trPr>
          <w:trHeight w:val="20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Impact from:</w:t>
            </w:r>
          </w:p>
        </w:tc>
        <w:tc>
          <w:tcPr>
            <w:tcW w:w="1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Existing stores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6,294</w:t>
            </w: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Digital sales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stores</w:t>
            </w:r>
          </w:p>
        </w:tc>
        <w:tc>
          <w:tcPr>
            <w:tcW w:w="100" w:type="dxa"/>
            <w:vAlign w:val="bottom"/>
          </w:tcPr>
          <w:p>
            <w:pPr>
              <w:spacing w:after="0"/>
              <w:rPr>
                <w:sz w:val="18"/>
                <w:szCs w:val="18"/>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5,511</w:t>
            </w: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Store closures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(3,672)</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Gift card breakage</w:t>
            </w:r>
          </w:p>
        </w:tc>
        <w:tc>
          <w:tcPr>
            <w:tcW w:w="1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(276)</w:t>
            </w:r>
          </w:p>
        </w:tc>
      </w:t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7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Change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7,971</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retail revenue increase was primarily the result of an increase in sales from corporately-operated retail locations through growth in the number of transactions, as our traffic outpaced national retail traffic data, and the opening of a net six new corporately-managed locations in the fiscal year.</w:t>
      </w:r>
    </w:p>
    <w:p>
      <w:pPr>
        <w:spacing w:after="0" w:line="162"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Commercial revenue was $17.7 million for the thirty-nine weeks ended October 28, 2023 compared to $12.5 million for the thirty-nine weeks ended October 29, 2022. The $5.2 million increase is primarily the result of increased sales volume from our commercial accounts through our partner-operated third-party retail model.</w:t>
      </w:r>
    </w:p>
    <w:p>
      <w:pPr>
        <w:spacing w:after="0" w:line="17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International franchising revenue was $3.2 million for the thirty-nine weeks ended October 28, 2023 compared to $2.4 million for the thirty-nine weeks ended October 29, 2022. The $0.8 million increase is primarily due to an overall increase in sales from franchisees.</w:t>
      </w:r>
    </w:p>
    <w:p>
      <w:pPr>
        <w:spacing w:after="0" w:line="160" w:lineRule="exact"/>
        <w:rPr>
          <w:sz w:val="20"/>
          <w:szCs w:val="20"/>
          <w:color w:val="auto"/>
        </w:rPr>
      </w:pPr>
    </w:p>
    <w:p>
      <w:pPr>
        <w:ind w:right="2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Retail gross margin. </w:t>
      </w:r>
      <w:r>
        <w:rPr>
          <w:rFonts w:ascii="Times New Roman" w:cs="Times New Roman" w:eastAsia="Times New Roman" w:hAnsi="Times New Roman"/>
          <w:sz w:val="18"/>
          <w:szCs w:val="18"/>
          <w:color w:val="auto"/>
        </w:rPr>
        <w:t>Retail gross margin dollars increased $11.1 million to $169.8 million from $158.7 million for the thirty-nine weeks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29, 2022. The retail gross margin rate increased 220 basis points compared to the prior year primarily driven by lower freight costs, as expected, and leverage of warehouse costs compared to the same period in 2022.</w:t>
      </w:r>
    </w:p>
    <w:p>
      <w:pPr>
        <w:spacing w:after="0" w:line="173"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Selling, general and administrative. </w:t>
      </w:r>
      <w:r>
        <w:rPr>
          <w:rFonts w:ascii="Times New Roman" w:cs="Times New Roman" w:eastAsia="Times New Roman" w:hAnsi="Times New Roman"/>
          <w:sz w:val="18"/>
          <w:szCs w:val="18"/>
          <w:color w:val="auto"/>
        </w:rPr>
        <w:t>SG&amp;A expenses were $140.5 million, or 41.7% of consolidated revenue, for the thirty-nine weeks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28, 2023, compared to $130.3 million, or 40.4% of consolidated revenue, for the thirty-nine weeks ended October 29, 2022. The increase in overall expense was driven by higher wages due to inflation, the planned addition of talent, marketing, and other investments to support future growth.</w:t>
      </w:r>
    </w:p>
    <w:p>
      <w:pPr>
        <w:spacing w:after="0" w:line="173" w:lineRule="exact"/>
        <w:rPr>
          <w:sz w:val="20"/>
          <w:szCs w:val="20"/>
          <w:color w:val="auto"/>
        </w:rPr>
      </w:pPr>
    </w:p>
    <w:p>
      <w:pPr>
        <w:jc w:val="both"/>
        <w:ind w:right="4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(income) expense, net. </w:t>
      </w:r>
      <w:r>
        <w:rPr>
          <w:rFonts w:ascii="Times New Roman" w:cs="Times New Roman" w:eastAsia="Times New Roman" w:hAnsi="Times New Roman"/>
          <w:sz w:val="18"/>
          <w:szCs w:val="18"/>
          <w:color w:val="auto"/>
        </w:rPr>
        <w:t>Interest income was $524,000 for the thirty-nine weeks ended October 28, 2023 compared to interest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$27,000 for the thirty-nine weeks ended October 29, 2022. The increase in interest income compared to expense in the prior year is the result of the Company's cash management strategy to invest cash on-hand in short-term, highly liquid investments.</w:t>
      </w:r>
    </w:p>
    <w:p>
      <w:pPr>
        <w:spacing w:after="0" w:line="17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Income tax expense was $9.6 million with an effective tax rate of 24.0% for the thirty-nine weeks ended October 28,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as compared to $8.2 million with an effective tax rate of 23.1% for the thirty-nine weeks ended October 29, 2022. In the third quarter of fiscal 2023 and 2022, the effective tax rate differed from the statutory rate of 21% primarily due to state income tax expense partially offset by the tax impact of equity awards vesting. In addition, the Company remains in a full valuation allowance in certain foreign jurisdictions.</w:t>
      </w:r>
    </w:p>
    <w:p>
      <w:pPr>
        <w:sectPr>
          <w:pgSz w:w="11900" w:h="16838" w:orient="portrait"/>
          <w:cols w:equalWidth="0" w:num="1">
            <w:col w:w="11240"/>
          </w:cols>
          <w:pgMar w:left="320" w:top="121"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before Interest, Taxes, Depreciation, and Amortization</w:t>
      </w:r>
    </w:p>
    <w:p>
      <w:pPr>
        <w:spacing w:after="0" w:line="229" w:lineRule="exact"/>
        <w:rPr>
          <w:sz w:val="20"/>
          <w:szCs w:val="20"/>
          <w:color w:val="auto"/>
        </w:rPr>
      </w:pPr>
    </w:p>
    <w:p>
      <w:pPr>
        <w:ind w:firstLine="648"/>
        <w:spacing w:after="0" w:line="274" w:lineRule="auto"/>
        <w:rPr>
          <w:sz w:val="20"/>
          <w:szCs w:val="20"/>
          <w:color w:val="auto"/>
        </w:rPr>
      </w:pPr>
      <w:r>
        <w:rPr>
          <w:rFonts w:ascii="Times New Roman" w:cs="Times New Roman" w:eastAsia="Times New Roman" w:hAnsi="Times New Roman"/>
          <w:sz w:val="17"/>
          <w:szCs w:val="17"/>
          <w:color w:val="auto"/>
        </w:rPr>
        <w:t>We believe that earnings before interest, taxes, depreciation, and amortization ("EBITDA") provides meaningful information about our operational efficiency by excluding the impact of differences in tax jurisdictions and structures, debt levels, and capital investment. Additionally, this measure is the metric used for portions of the Company's incentive compensation structure. This measure is not in accordance with, or an alternative to, GAAP. The most comparable GAAP measure is income before income taxes, or pre-tax income. EBITDA should not be considered in isolation or as a substitution for analysis of our results as reported in accordance with GAAP. Other companies may calculate EBIT and EBITDA differently, limiting the usefulness of the measures for comparisons with other companies. The following table sets forth, for the periods indicated, the components of EBITDA (dollars in millions):</w:t>
      </w:r>
    </w:p>
    <w:p>
      <w:pPr>
        <w:spacing w:after="0" w:line="169"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6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Thirteen weeks ended</w:t>
            </w:r>
          </w:p>
        </w:tc>
        <w:tc>
          <w:tcPr>
            <w:tcW w:w="120" w:type="dxa"/>
            <w:vAlign w:val="bottom"/>
          </w:tcPr>
          <w:p>
            <w:pPr>
              <w:spacing w:after="0"/>
              <w:rPr>
                <w:sz w:val="20"/>
                <w:szCs w:val="20"/>
                <w:color w:val="auto"/>
              </w:rPr>
            </w:pPr>
          </w:p>
        </w:tc>
        <w:tc>
          <w:tcPr>
            <w:tcW w:w="262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c>
          <w:tcPr>
            <w:tcW w:w="0" w:type="dxa"/>
            <w:vAlign w:val="bottom"/>
          </w:tcPr>
          <w:p>
            <w:pPr>
              <w:spacing w:after="0"/>
              <w:rPr>
                <w:sz w:val="1"/>
                <w:szCs w:val="1"/>
                <w:color w:val="auto"/>
              </w:rPr>
            </w:pPr>
          </w:p>
        </w:tc>
      </w:tr>
      <w:tr>
        <w:trPr>
          <w:trHeight w:val="187"/>
        </w:trPr>
        <w:tc>
          <w:tcPr>
            <w:tcW w:w="33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jc w:val="right"/>
              <w:ind w:right="380"/>
              <w:spacing w:after="0" w:line="188" w:lineRule="exact"/>
              <w:rPr>
                <w:sz w:val="20"/>
                <w:szCs w:val="20"/>
                <w:color w:val="auto"/>
              </w:rPr>
            </w:pPr>
            <w:r>
              <w:rPr>
                <w:rFonts w:ascii="Times New Roman" w:cs="Times New Roman" w:eastAsia="Times New Roman" w:hAnsi="Times New Roman"/>
                <w:sz w:val="18"/>
                <w:szCs w:val="18"/>
                <w:b w:val="1"/>
                <w:bCs w:val="1"/>
                <w:color w:val="auto"/>
              </w:rPr>
              <w:t>October 28,</w:t>
            </w: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October 29,</w:t>
            </w: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October 28,</w:t>
            </w: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90"/>
              <w:spacing w:after="0" w:line="188" w:lineRule="exact"/>
              <w:rPr>
                <w:sz w:val="20"/>
                <w:szCs w:val="20"/>
                <w:color w:val="auto"/>
              </w:rPr>
            </w:pPr>
            <w:r>
              <w:rPr>
                <w:rFonts w:ascii="Times New Roman" w:cs="Times New Roman" w:eastAsia="Times New Roman" w:hAnsi="Times New Roman"/>
                <w:sz w:val="18"/>
                <w:szCs w:val="18"/>
                <w:b w:val="1"/>
                <w:bCs w:val="1"/>
                <w:color w:val="auto"/>
              </w:rPr>
              <w:t>October 29,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 (pre-tax)</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9,888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40,180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35,722</w:t>
            </w:r>
          </w:p>
        </w:tc>
        <w:tc>
          <w:tcPr>
            <w:tcW w:w="0" w:type="dxa"/>
            <w:vAlign w:val="bottom"/>
          </w:tcPr>
          <w:p>
            <w:pPr>
              <w:spacing w:after="0"/>
              <w:rPr>
                <w:sz w:val="1"/>
                <w:szCs w:val="1"/>
                <w:color w:val="auto"/>
              </w:rPr>
            </w:pPr>
          </w:p>
        </w:tc>
      </w:tr>
      <w:tr>
        <w:trPr>
          <w:trHeight w:val="216"/>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(281)</w:t>
            </w: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(524)</w:t>
            </w:r>
          </w:p>
        </w:tc>
        <w:tc>
          <w:tcPr>
            <w:tcW w:w="14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3,017</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9,540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9,295</w:t>
            </w:r>
          </w:p>
        </w:tc>
        <w:tc>
          <w:tcPr>
            <w:tcW w:w="0" w:type="dxa"/>
            <w:vAlign w:val="bottom"/>
          </w:tcPr>
          <w:p>
            <w:pPr>
              <w:spacing w:after="0"/>
              <w:rPr>
                <w:sz w:val="1"/>
                <w:szCs w:val="1"/>
                <w:color w:val="auto"/>
              </w:rPr>
            </w:pPr>
          </w:p>
        </w:tc>
      </w:tr>
      <w:tr>
        <w:trPr>
          <w:trHeight w:val="20"/>
        </w:trPr>
        <w:tc>
          <w:tcPr>
            <w:tcW w:w="33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3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Earnings before interest, taxes, depreciation,</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13,298</w:t>
            </w:r>
          </w:p>
        </w:tc>
        <w:tc>
          <w:tcPr>
            <w:tcW w:w="2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12,911</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49,196</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45,044</w:t>
            </w:r>
          </w:p>
        </w:tc>
        <w:tc>
          <w:tcPr>
            <w:tcW w:w="0" w:type="dxa"/>
            <w:vAlign w:val="bottom"/>
          </w:tcPr>
          <w:p>
            <w:pPr>
              <w:spacing w:after="0"/>
              <w:rPr>
                <w:sz w:val="1"/>
                <w:szCs w:val="1"/>
                <w:color w:val="auto"/>
              </w:rPr>
            </w:pPr>
          </w:p>
        </w:tc>
      </w:tr>
      <w:tr>
        <w:trPr>
          <w:trHeight w:val="194"/>
        </w:trPr>
        <w:tc>
          <w:tcPr>
            <w:tcW w:w="33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and amortization</w:t>
            </w:r>
          </w:p>
        </w:tc>
        <w:tc>
          <w:tcPr>
            <w:tcW w:w="14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EBITDA for the thirteen weeks ended October 28, 2023 increased $0.4 million to $13.3 million from $12.9 million for the thirteen weeks ended October 29, 2022. The slight increase in EBITDA is driven by a decrease in freight costs offset by higher store-level wages due to inflation, the planned addition of talent, marketing, and other investments to support future growth.</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EBITDA for the thirty-nine weeks ended October 28, 2023 increased $4.2 million from $45.0 million from the thirty-nine weeks ended October 29, 2022 The increase in EBITDA is primarily driven by a decrease in freight costs coupled with an increase in consolidated revenues, allowing for leverage of merchandise and distribution costs compared to the prior period, partially offset by higher wages due to inflation, the planned addition of talent, marketing, and other investments to support future growth.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Quarterly Results</w:t>
      </w:r>
    </w:p>
    <w:p>
      <w:pPr>
        <w:spacing w:after="0" w:line="22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Our operating results for one period may not be indicative of results for other periods, and may fluctuate significantly because of a variety of factors, including, but not limited to: (1) changes in general economic conditions (including as a result of the pandemic) and consumer spending patterns;</w:t>
      </w:r>
    </w:p>
    <w:p>
      <w:pPr>
        <w:ind w:firstLine="8"/>
        <w:spacing w:after="0" w:line="252"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store operations in response to the pandemic apart from its effect on the general economy, including temporary store closures required by local governments; (3) increases or decreases in our existing store and e-commerce sales; (4) fluctuations in the profitability of our stores; (5) the timing and frequency of the sales of licensed products tied to major theatrical releases (including the cancellation or delay of such releases due to the pandemic or other external factors) and our marketing initiatives, including national media and other public relations events; (6) changes in foreign currency exchange rates; (7) the timing of new store openings, closings, relocations and remodeling and related expenses; (8) changes in consumer preferences; (9) the effectiveness of our inventory management; (10) the actions of our competitors or mall anchors and co-tenants; (11) seasonal shopping patterns and holiday and vacation schedules; (12) disruptions in store operations due to civil unrest; and (13) weather conditions.</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timing of store closures, relocations, remodels, openings and re-openings may result in fluctuations in quarterly results based on the revenues and expenses associated with each store location. Expenses related to store closings are typically incurred in stages: when the decision is made to close the store typically associated with a lease event such as an expiration or lease triggered clause; when the closure is communicated to store associates; and at the time of closure. We typically incur most preopening costs for a new store in the three months immediately preceding the store’s opening.</w:t>
      </w:r>
    </w:p>
    <w:p>
      <w:pPr>
        <w:spacing w:after="0" w:line="180"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Because our retail operations include toy products which have sales that historically peak in relation to the holiday season as part of our revenue model, our sales have historically been highest in our fourth quarter. The timing of holidays and school vacations can impact our quarterly results. We cannot provide assurance that this will continue to be the case. In addition, for accounting purposes, the quarters of each fiscal year consist of 13 weeks, although we will have a 14-week quarter approximately once every six years. For example, the 2023 fiscal fourth quarter will have 14 weeks.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As of October 28, 2023, we had a consolidated cash balance of $24.8 million, 80% of which was domiciled within the U.S. Historically, our cash requirements have been primarily for the relocation and remodeling of existing stores in our new design, opening of new stores, investments in information technology infrastructure and working capital. Over the past several years, we have met these requirements through capital generated from cash flow provided by operations. Additionally, during 2023 we have used cash on-hand to invest in short-term, highly liquid investments with original maturities of three months or less resulting in interest income of $0.5 million during the fiscal year.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our operating, investing and financing activities is shown in the following table (dollars in thousands):</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38"/>
        </w:trPr>
        <w:tc>
          <w:tcPr>
            <w:tcW w:w="5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0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Thirty-nine weeks ended</w:t>
            </w:r>
          </w:p>
        </w:tc>
      </w:tr>
      <w:tr>
        <w:trPr>
          <w:trHeight w:val="187"/>
        </w:trPr>
        <w:tc>
          <w:tcPr>
            <w:tcW w:w="56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October 28,</w:t>
            </w:r>
          </w:p>
        </w:tc>
        <w:tc>
          <w:tcPr>
            <w:tcW w:w="2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October 29,</w:t>
            </w:r>
          </w:p>
        </w:tc>
        <w:tc>
          <w:tcPr>
            <w:tcW w:w="80" w:type="dxa"/>
            <w:vAlign w:val="bottom"/>
          </w:tcPr>
          <w:p>
            <w:pPr>
              <w:spacing w:after="0"/>
              <w:rPr>
                <w:sz w:val="16"/>
                <w:szCs w:val="16"/>
                <w:color w:val="auto"/>
              </w:rPr>
            </w:pPr>
          </w:p>
        </w:tc>
      </w:tr>
      <w:tr>
        <w:trPr>
          <w:trHeight w:val="238"/>
        </w:trPr>
        <w:tc>
          <w:tcPr>
            <w:tcW w:w="56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32,740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11,247</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(11,124)</w:t>
            </w:r>
          </w:p>
        </w:tc>
        <w:tc>
          <w:tcPr>
            <w:tcW w:w="2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(6,752)</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(39,134)</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(26,135)</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rates on cash</w:t>
            </w:r>
          </w:p>
        </w:tc>
        <w:tc>
          <w:tcPr>
            <w:tcW w:w="2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w:t>
            </w: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818</w:t>
            </w:r>
          </w:p>
        </w:tc>
      </w:tr>
      <w:tr>
        <w:trPr>
          <w:trHeight w:val="20"/>
        </w:trPr>
        <w:tc>
          <w:tcPr>
            <w:tcW w:w="5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 cash, cash equivalents, and restricted cash</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(17,398)</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(20,822)</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Cash provided by operating activities increased $21.5 million for the thirty-nine weeks ended October 28, 2023, as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thirty-nine weeks ended October 29, 2022. This increase in cash from operating activities was primarily driven by a decrease in cash spent on inventory purchases, as in the prior year, we proactively and strategically accelerated the timing of our order placement to mitigate the inflationary pressures experienced in the first half of fiscal 2022, coupled with increased sales volume, resulting in higher net income.</w:t>
      </w:r>
    </w:p>
    <w:p>
      <w:pPr>
        <w:sectPr>
          <w:pgSz w:w="11900" w:h="16838" w:orient="portrait"/>
          <w:cols w:equalWidth="0" w:num="1">
            <w:col w:w="11220"/>
          </w:cols>
          <w:pgMar w:left="320" w:top="121" w:right="359" w:bottom="12" w:gutter="0" w:footer="0" w:header="0"/>
        </w:sectPr>
      </w:pPr>
    </w:p>
    <w:bookmarkStart w:id="24" w:name="page25"/>
    <w:bookmarkEnd w:id="24"/>
    <w:p>
      <w:pPr>
        <w:ind w:right="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Cash used in investing activities increased $4.4 million for the thirty-nine weeks ended October 28, 2023 as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thirty-nine weeks ended October 29, 2022. This increase in cash used in investing activities was primarily driven by an increase in spending on capital expenditures related to information technology projects and new store openings.</w:t>
      </w:r>
    </w:p>
    <w:p>
      <w:pPr>
        <w:spacing w:after="0" w:line="173" w:lineRule="exact"/>
        <w:rPr>
          <w:sz w:val="20"/>
          <w:szCs w:val="20"/>
          <w:color w:val="auto"/>
        </w:rPr>
      </w:pPr>
    </w:p>
    <w:p>
      <w:pPr>
        <w:ind w:firstLine="648"/>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Financing Activities. </w:t>
      </w:r>
      <w:r>
        <w:rPr>
          <w:rFonts w:ascii="Times New Roman" w:cs="Times New Roman" w:eastAsia="Times New Roman" w:hAnsi="Times New Roman"/>
          <w:sz w:val="17"/>
          <w:szCs w:val="17"/>
          <w:color w:val="auto"/>
        </w:rPr>
        <w:t>Cash used in financing activities increased $13.0 million for the thirty-nine weeks ended October 28, 2023, as compared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thirty-nine weeks ended October 29, 2022. This increase in cash used in financing activities was driven primarily by the payment of the special cash dividend of $22.1 million and was partially offset by a decrease in repurchases of our common stock during the thirty-nine weeks ended October 28, 2023.</w:t>
      </w:r>
    </w:p>
    <w:p>
      <w:pPr>
        <w:spacing w:after="0" w:line="1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9"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Capital Resources: </w:t>
      </w:r>
      <w:r>
        <w:rPr>
          <w:rFonts w:ascii="Times New Roman" w:cs="Times New Roman" w:eastAsia="Times New Roman" w:hAnsi="Times New Roman"/>
          <w:sz w:val="18"/>
          <w:szCs w:val="18"/>
          <w:color w:val="auto"/>
        </w:rPr>
        <w:t>We have a revolving credit and security agreement with PNC Bank, as agent, that provides for a secured revolving loan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principal of up to $25.0 million, subject to a borrowing base formula. As of October 28, 2023, borrowings under the agreement would bear interest at (a) a base rate determined under the agreement, or (b) the borrower's option, at a rate based on SOFR, plus in either case a margin based on average undrawn availability as determined in accordance with the agreement. As of October 28, 2023, our borrowing base was $25.0 million. As a result of a $250,000 letter of credit outstanding against the line of credit, approximately $24.7 million was available for borrowing as of October 28, 2023. We had no outstanding borrowings as of October 28, 2023.</w:t>
      </w:r>
    </w:p>
    <w:p>
      <w:pPr>
        <w:spacing w:after="0" w:line="184"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Most of our corporately-operated retail stores are located within shopping malls and all are operated under leases classified as operating leases. Our leases in North America have shifted to shorter term leases to provide flexibility in aligning stores with market trends. Our leases typically require us to pay personal property taxes, our pro rata share of real property taxes of the shopping mall, our own utilities, repairs and maintenance in our store, a pro rata share of the malls’ common area maintenance and, in some instances, merchant association fees and media fund contributions. Many leases contain incentives to help defray the cost of construction of a new store. Typically, a portion of the incentive must be repaid to the landlord if we choose to terminate the lease prior to its contracted term. In addition, some of these leases contain various restrictions relating to change in control of our company. Our leases also subject us to risks relating to compliance with changing mall rules and the exercise of discretion by our landlords on various matters, including rights of termination in some cases. Rents are invoiced monthly and paid in advance.</w:t>
      </w:r>
    </w:p>
    <w:p>
      <w:pPr>
        <w:spacing w:after="0" w:line="19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leases in the U.K. and Ireland typically have terms of ten years and generally contain a provision whereby every fifth year the rental rate can be adjusted to reflect the current market rates. The leases typically provide the lessee with the first right for renewal at the end of the lease. We may also be required to make deposits and rent guarantees to secure new leases as we expand. Business rates also change according to government time schedules to reflect current market rental rates for the locations we lease. Rents are invoiced monthly or quarterly and paid in advance.</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Capital spending through the thirty-nine weeks ended October 28, 2023 totaled $11.1 million for information technology projects and new store openings, and we expect to spend approximately $16 to $18 million on capital expenditures in fiscal 2023.</w:t>
      </w:r>
    </w:p>
    <w:p>
      <w:pPr>
        <w:spacing w:after="0" w:line="162" w:lineRule="exact"/>
        <w:rPr>
          <w:sz w:val="20"/>
          <w:szCs w:val="20"/>
          <w:color w:val="auto"/>
        </w:rPr>
      </w:pPr>
    </w:p>
    <w:p>
      <w:pPr>
        <w:ind w:right="1000" w:firstLine="648"/>
        <w:spacing w:after="0" w:line="282" w:lineRule="auto"/>
        <w:rPr>
          <w:sz w:val="20"/>
          <w:szCs w:val="20"/>
          <w:color w:val="auto"/>
        </w:rPr>
      </w:pPr>
      <w:r>
        <w:rPr>
          <w:rFonts w:ascii="Times New Roman" w:cs="Times New Roman" w:eastAsia="Times New Roman" w:hAnsi="Times New Roman"/>
          <w:sz w:val="18"/>
          <w:szCs w:val="18"/>
          <w:color w:val="auto"/>
        </w:rPr>
        <w:t>Total inventory at quarter end was $64.5 million, a decrease of $23.9 million or 37% from the end of the fiscal 2022 third quarter. We are comfortable with the level and composition of our inventory.</w:t>
      </w:r>
    </w:p>
    <w:p>
      <w:pPr>
        <w:spacing w:after="0" w:line="162" w:lineRule="exact"/>
        <w:rPr>
          <w:sz w:val="20"/>
          <w:szCs w:val="20"/>
          <w:color w:val="auto"/>
        </w:rPr>
      </w:pPr>
    </w:p>
    <w:p>
      <w:pPr>
        <w:ind w:left="160" w:firstLine="486"/>
        <w:spacing w:after="0" w:line="266" w:lineRule="auto"/>
        <w:rPr>
          <w:sz w:val="20"/>
          <w:szCs w:val="20"/>
          <w:color w:val="auto"/>
        </w:rPr>
      </w:pPr>
      <w:r>
        <w:rPr>
          <w:rFonts w:ascii="Times New Roman" w:cs="Times New Roman" w:eastAsia="Times New Roman" w:hAnsi="Times New Roman"/>
          <w:sz w:val="18"/>
          <w:szCs w:val="18"/>
          <w:color w:val="auto"/>
        </w:rPr>
        <w:t>We have various contractual or other obligations, including operating lease commitments and obligations under deferred compensation plans. As of October 28, 2023, we had purchase obligations totaling approximately $79.4 million, of which $26.0 million are due in the next 12 months. We believe our operating cash flows are sufficient to meet our material cash requirements for at least the next 12 months.</w:t>
      </w:r>
    </w:p>
    <w:p>
      <w:pPr>
        <w:spacing w:after="0" w:line="176"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We utilized $4.0 million in cash to repurchase 146,028 shares during the thirteen weeks ended October 28, 2023 and fiscal year-to-date through December 6, 2023, the Company has utilized $17.3 million to repurchase 760,205 shares. As of December 6, 2023, we have $29.2 millionavailable under the current $50.0 million stock repurchase program adopted on August 31,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Global inflation is well above recent levels and global interest rates have risen in an effort to curb inflation. The impact of inflation 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business operations was seen throughout fiscal 2022 and continued to adversely affect our business in fiscal 2023, mainly through rising store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labor costs. However, we continue to take mitigating actions, such as select strategic price increases on highly sought-after products, and leveraging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costs. We expect the inflationary pressures experienced thus far in fiscal 2023 to continue throughout the rest of fiscal 2023, specifically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wage increases. We continue to monitor the impact of inflation on our business operations on an ongoing basis and may need to adjust our prices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to mitigate the impacts of changes to the rate of inflation during 2023 or in future years. Future volatility of general price inflation and the impact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inflation on costs and availability of materials, costs for shipping and warehousing and other operational overhead could adversely affect our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Inflationary pressures may be exacerbated by higher transportation costs due to war and other geopolitical conflicts, such as the current Russia-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Ukraine conflict, tension between China and Taiwan, and the Israel-Hamas conflict. We cannot provide an estimate or range of impact that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inflation may have on our future results of operations. However, if we are unable to recover the impact of these costs through price increases to our guests,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if consumer spending decreases as a result of inflation, our business, results of operations, financial condition and cash flows may be adversely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affected. In addition, ongoing inflation in product costs may result in lower gross margin rates if we elect to maintain higher inventory reserves to mitigate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anticipated higher costs.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appropriate application of certain accounting policies, which require us to make estimates and assumptions about future events and their impact on amounts reported in our financial statements and related notes. Since future events and their impact cannot be determined with certainty, the actual results will inevitably differ from our estimates. Such differences could be material to the financial statements.</w:t>
      </w:r>
    </w:p>
    <w:p>
      <w:pPr>
        <w:spacing w:after="0" w:line="180"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We believe our application of accounting policies, and the estimates inherently required therein, are reasonable. These accounting policies and estimates, including those related to long-lived assets, leases, revenue recognition and income taxes, are reevaluated on an ongoing basis, and adjustments are made when facts and circumstances dictate a change.</w:t>
      </w:r>
    </w:p>
    <w:p>
      <w:pPr>
        <w:spacing w:after="0" w:line="176"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Historically, we have found our application of accounting policies to be appropriate, and actual results have not differed materially from those determined using necessary estimates. Our critical accounting policies and estimates are discussed in and should be read in conjunction with our Annual Report on Form 10-K for the year ended January 28, 2023 as filed with the SEC on April 13, 2023, which includes audited consolidated financial statements for our 2022 and 2021 fiscal years. There have been no material changes to the critical accounting estimates disclosed in the 2022 Form 10-K.</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See Note 1 to the Condensed Consolidated Financial Statements — Basis of Presentation — Recent Accounting Pronouncements – Adopted in the Current Year as disclosed in our Annual Report on Form 10-K for the year ended January 28, 2023 as filed with the SEC on April 13,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Quantitative and Qualitative Disclosures About Market Risk as disclosed in our Annual Report on Form 10-K for the year ended January 28, 2023 as filed with the SEC on April 13,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President and Chief Executive Officer and Chief Financial Officer, has evaluated the effectiveness of our disclosure controls and procedures, as of the end of the period covered by this report. Our disclosure controls and procedures are designed to ensure that information required to be disclosed by us in the reports filed or submitted under the Exchange Act is recorded, processed, summarized and reported within the time periods specified in the SEC’s rules and forms and is accumulated and communicated to management, including our certifying officers, as appropriate to allow timely decisions regarding required disclosure. Based on the foregoing evaluation, our management, including the President and Chief Executive Officer and Chief Financial Officer, concluded that our disclosure controls and procedures were effective as of October 28, 2023, the end of the period covered by this Quarterly Report.</w:t>
      </w:r>
    </w:p>
    <w:p>
      <w:pPr>
        <w:spacing w:after="0" w:line="18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It should be noted that our management, including the President and Chief Executive Officer and Chief Financial Officer, does not expect that our disclosure controls and procedures or internal controls will prevent all error and all fraud. A control system, no matter how well conceived or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controls.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9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The Company’s management, with the participation of the Company’s President and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and Chief Financial Officer, also conducted an evaluation of the Company’s internal control over financial reporting to determine whether any changes occurred during the period covered by this report that have materially affected, or are reasonably likely to materially affect, the Company’s internal control over financial reporting. During the third quarter fiscal 2023, the Company finished its implementation of new software and control processes to manage inventory at its corporately-operated retail stores within its enterprise resource planning (ERP) system. The transition of this inventory management from the legacy system to the ERP system occurred in phases and was completed by the end of the third quarter fiscal 2023. This implementation has had and is expected to continue to have minimal effects on the Company's controls and processes over accounting for corporately-operated retail store inventory. Except for the changes to our inventory management process, no other changes in our internal control over financial reporting occurred during the quarter covered by this report that have materially affected, or are reasonably likely to materially affect, our internal control over financial reporting.</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risk factors as disclosed in our Annual Report on Form 10-K for the year ended January 28, 2023 as filed with the SEC on April 13,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u w:val="single" w:color="auto"/>
          <w:color w:val="auto"/>
        </w:rPr>
        <w:t>ISSUER PURCHASES OF EQUITY SECURITIES</w:t>
      </w:r>
    </w:p>
    <w:p>
      <w:pPr>
        <w:spacing w:after="0" w:line="225"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 Maximum</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4"/>
              </w:rPr>
              <w:t>(c) Total</w:t>
            </w:r>
          </w:p>
        </w:tc>
        <w:tc>
          <w:tcPr>
            <w:tcW w:w="1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Number (or</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Approximate</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Shares (or</w:t>
            </w:r>
          </w:p>
        </w:tc>
        <w:tc>
          <w:tcPr>
            <w:tcW w:w="13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Dollar Value) of</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1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Shares (or</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(a) Total</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Purchased as</w:t>
            </w:r>
          </w:p>
        </w:tc>
        <w:tc>
          <w:tcPr>
            <w:tcW w:w="13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Units) that May</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Part of Publicly</w:t>
            </w:r>
          </w:p>
        </w:tc>
        <w:tc>
          <w:tcPr>
            <w:tcW w:w="1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3"/>
              </w:rPr>
              <w:t>Yet Be</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Shares (or</w:t>
            </w:r>
          </w:p>
        </w:tc>
        <w:tc>
          <w:tcPr>
            <w:tcW w:w="14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(b) Average</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00" w:type="dxa"/>
            <w:vAlign w:val="bottom"/>
          </w:tcPr>
          <w:p>
            <w:pPr>
              <w:spacing w:after="0"/>
              <w:rPr>
                <w:sz w:val="18"/>
                <w:szCs w:val="18"/>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Purchased</w:t>
            </w: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4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Price Paid Per</w:t>
            </w: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Plans or</w:t>
            </w:r>
          </w:p>
        </w:tc>
        <w:tc>
          <w:tcPr>
            <w:tcW w:w="13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Under the Plans</w:t>
            </w:r>
          </w:p>
        </w:tc>
      </w:tr>
      <w:tr>
        <w:trPr>
          <w:trHeight w:val="238"/>
        </w:trPr>
        <w:tc>
          <w:tcPr>
            <w:tcW w:w="3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0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 (1)</w:t>
            </w:r>
          </w:p>
        </w:tc>
        <w:tc>
          <w:tcPr>
            <w:tcW w:w="180" w:type="dxa"/>
            <w:vAlign w:val="bottom"/>
          </w:tcPr>
          <w:p>
            <w:pPr>
              <w:spacing w:after="0"/>
              <w:rPr>
                <w:sz w:val="20"/>
                <w:szCs w:val="20"/>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 (or Unit)</w:t>
            </w:r>
          </w:p>
        </w:tc>
        <w:tc>
          <w:tcPr>
            <w:tcW w:w="16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Programs</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or Programs</w:t>
            </w:r>
          </w:p>
        </w:tc>
        <w:tc>
          <w:tcPr>
            <w:tcW w:w="80" w:type="dxa"/>
            <w:vAlign w:val="bottom"/>
          </w:tcPr>
          <w:p>
            <w:pPr>
              <w:spacing w:after="0"/>
              <w:rPr>
                <w:sz w:val="20"/>
                <w:szCs w:val="20"/>
                <w:color w:val="auto"/>
              </w:rPr>
            </w:pPr>
          </w:p>
        </w:tc>
      </w:tr>
      <w:tr>
        <w:trPr>
          <w:trHeight w:val="20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July 30, 2023 - August 26, 2023</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35,322,335</w:t>
            </w:r>
          </w:p>
        </w:tc>
      </w:tr>
      <w:tr>
        <w:trPr>
          <w:trHeight w:val="23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August 27, 2023 - September 30, 2023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68,911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29.04</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2,001,362</w:t>
            </w:r>
          </w:p>
        </w:tc>
        <w:tc>
          <w:tcPr>
            <w:tcW w:w="10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33,320,973</w:t>
            </w:r>
          </w:p>
        </w:tc>
      </w:tr>
      <w:tr>
        <w:trPr>
          <w:trHeight w:val="216"/>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October 1, 2023 - October 28, 2023</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25.95</w:t>
            </w: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2,001,470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31,319,503</w:t>
            </w:r>
          </w:p>
        </w:tc>
      </w:tr>
      <w:tr>
        <w:trPr>
          <w:trHeight w:val="20"/>
        </w:trPr>
        <w:tc>
          <w:tcPr>
            <w:tcW w:w="3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146,028</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27.41</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4,002,832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31,319,503</w:t>
            </w: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1480" w:right="1080" w:hanging="349"/>
        <w:spacing w:after="0" w:line="261" w:lineRule="auto"/>
        <w:tabs>
          <w:tab w:leader="none" w:pos="1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of our common stock delivered to us in satisfaction of the tax withholding obligation of holders of restricted shares which vested during the quarter. Our equity incentive plans provide that the value of shares delivered to us to pay the withholding tax obligations is calculated at the closing trading price of our common stock on the date the relevant transactions occur.</w:t>
      </w:r>
    </w:p>
    <w:p>
      <w:pPr>
        <w:spacing w:after="0" w:line="18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21" w:right="5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exhibits filed as a part of the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6200" w:type="dxa"/>
            <w:vAlign w:val="bottom"/>
            <w:tcBorders>
              <w:bottom w:val="single" w:sz="8" w:color="auto"/>
            </w:tcBorders>
            <w:gridSpan w:val="10"/>
          </w:tcPr>
          <w:p>
            <w:pPr>
              <w:ind w:left="6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100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Agreement and Plan of Merger dated April 3, 2000 between Build-A-Bear Workshop, L.L.C. and the Registrant (incorporated by reference</w:t>
              </w:r>
            </w:hyperlink>
          </w:p>
        </w:tc>
        <w:tc>
          <w:tcPr>
            <w:tcW w:w="200" w:type="dxa"/>
            <w:vAlign w:val="bottom"/>
            <w:gridSpan w:val="3"/>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from Exhibit 2.1 to our Registration Statement on Form S-1, filed on August 12, 2004, Registration No. 333-118142)</w:t>
              </w:r>
            </w:hyperlink>
          </w:p>
        </w:tc>
        <w:tc>
          <w:tcPr>
            <w:tcW w:w="1780" w:type="dxa"/>
            <w:vAlign w:val="bottom"/>
            <w:gridSpan w:val="9"/>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10220" w:type="dxa"/>
            <w:vAlign w:val="bottom"/>
            <w:gridSpan w:val="15"/>
          </w:tcPr>
          <w:p>
            <w:pPr>
              <w:spacing w:after="0"/>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Third Amended and Restated Certificate of Incorporation (incorporated by reference from Exhibit 3.1 of our Current Report on Form 8-K,</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60" w:type="dxa"/>
            <w:vAlign w:val="bottom"/>
            <w:tcBorders>
              <w:top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filed on November 11, 2004)</w:t>
              </w:r>
            </w:hyperlink>
          </w:p>
        </w:tc>
        <w:tc>
          <w:tcPr>
            <w:tcW w:w="260" w:type="dxa"/>
            <w:vAlign w:val="bottom"/>
            <w:gridSpan w:val="4"/>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2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10220" w:type="dxa"/>
            <w:vAlign w:val="bottom"/>
            <w:gridSpan w:val="15"/>
          </w:tcPr>
          <w:p>
            <w:pPr>
              <w:spacing w:after="0"/>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Amended and Restated Bylaws, as amended through February 23, 2016 (incorporated by reference from Exhibit 3.1 of our Current Report on</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8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Form 8-K, filed on February 24, 2016)</w:t>
              </w:r>
            </w:hyperlink>
          </w:p>
        </w:tc>
        <w:tc>
          <w:tcPr>
            <w:tcW w:w="4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2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10220" w:type="dxa"/>
            <w:vAlign w:val="bottom"/>
            <w:gridSpan w:val="15"/>
          </w:tcPr>
          <w:p>
            <w:pPr>
              <w:spacing w:after="0"/>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Specimen Stock Certificate (incorporated by reference from Exhibit 4.1 to Amendment No. 3 to our Registration Statement on Form S-1,</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43">
              <w:r>
                <w:rPr>
                  <w:rFonts w:ascii="Times New Roman" w:cs="Times New Roman" w:eastAsia="Times New Roman" w:hAnsi="Times New Roman"/>
                  <w:sz w:val="18"/>
                  <w:szCs w:val="18"/>
                  <w:color w:val="0000EE"/>
                  <w:w w:val="99"/>
                </w:rPr>
                <w:t>filed on October 1, 2004, Registration No. 333-118142)</w:t>
              </w:r>
            </w:hyperlink>
          </w:p>
        </w:tc>
        <w:tc>
          <w:tcPr>
            <w:tcW w:w="5860" w:type="dxa"/>
            <w:vAlign w:val="bottom"/>
            <w:tcBorders>
              <w:top w:val="single" w:sz="8" w:color="0000EE"/>
            </w:tcBorders>
            <w:gridSpan w:val="5"/>
          </w:tcPr>
          <w:p>
            <w:pPr>
              <w:spacing w:after="0"/>
              <w:rPr>
                <w:sz w:val="17"/>
                <w:szCs w:val="17"/>
                <w:color w:val="auto"/>
              </w:rPr>
            </w:pPr>
          </w:p>
        </w:tc>
        <w:tc>
          <w:tcPr>
            <w:tcW w:w="340" w:type="dxa"/>
            <w:vAlign w:val="bottom"/>
            <w:gridSpan w:val="5"/>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4"/>
                <w:szCs w:val="24"/>
                <w:color w:val="auto"/>
              </w:rPr>
            </w:pPr>
          </w:p>
        </w:tc>
        <w:tc>
          <w:tcPr>
            <w:tcW w:w="102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Rule 13a-14(a)/15d-14(a) certification (pursuant to Section 302 of the Sarbanes-Oxley Act of 2002, executed by the President and Chief</w:t>
            </w: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Executive Officer)</w:t>
            </w:r>
          </w:p>
        </w:tc>
        <w:tc>
          <w:tcPr>
            <w:tcW w:w="420" w:type="dxa"/>
            <w:vAlign w:val="bottom"/>
            <w:gridSpan w:val="6"/>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92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24"/>
                <w:szCs w:val="24"/>
                <w:color w:val="auto"/>
              </w:rPr>
            </w:pPr>
          </w:p>
        </w:tc>
        <w:tc>
          <w:tcPr>
            <w:tcW w:w="102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Rule 13a-14(a)/15d-14(a) certification (pursuant to Section 302 of the Sarbanes-Oxley Act of 2002, executed by the Chief Financial Officer)</w:t>
            </w: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972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Section 1350 Certification (pursuant to Section 906 of the Sarbanes-Oxley Act of 2002, executed by the President and Chief Executive</w:t>
            </w:r>
          </w:p>
        </w:tc>
        <w:tc>
          <w:tcPr>
            <w:tcW w:w="400" w:type="dxa"/>
            <w:vAlign w:val="bottom"/>
            <w:tcBorders>
              <w:top w:val="single" w:sz="8" w:color="0000EE"/>
            </w:tcBorders>
            <w:gridSpan w:val="5"/>
          </w:tcPr>
          <w:p>
            <w:pPr>
              <w:spacing w:after="0"/>
              <w:rPr>
                <w:sz w:val="24"/>
                <w:szCs w:val="24"/>
                <w:color w:val="auto"/>
              </w:rPr>
            </w:pPr>
          </w:p>
        </w:tc>
        <w:tc>
          <w:tcPr>
            <w:tcW w:w="100" w:type="dxa"/>
            <w:vAlign w:val="bottom"/>
            <w:gridSpan w:val="2"/>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Officer)</w:t>
            </w:r>
          </w:p>
        </w:tc>
        <w:tc>
          <w:tcPr>
            <w:tcW w:w="9640" w:type="dxa"/>
            <w:vAlign w:val="bottom"/>
            <w:gridSpan w:val="14"/>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Pr>
          <w:p>
            <w:pPr>
              <w:spacing w:after="0"/>
              <w:rPr>
                <w:sz w:val="24"/>
                <w:szCs w:val="24"/>
                <w:color w:val="auto"/>
              </w:rPr>
            </w:pPr>
          </w:p>
        </w:tc>
        <w:tc>
          <w:tcPr>
            <w:tcW w:w="1022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Section 1350 Certification (pursuant to Section 906 of the Sarbanes-Oxley Act of 2002, executed by the Chief Financial Officer)</w:t>
            </w: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60" w:type="dxa"/>
            <w:vAlign w:val="bottom"/>
            <w:gridSpan w:val="7"/>
            <w:shd w:val="clear" w:color="auto" w:fill="0000EE"/>
          </w:tcPr>
          <w:p>
            <w:pPr>
              <w:spacing w:after="0" w:line="20" w:lineRule="exact"/>
              <w:rPr>
                <w:sz w:val="1"/>
                <w:szCs w:val="1"/>
                <w:color w:val="auto"/>
              </w:rPr>
            </w:pPr>
          </w:p>
        </w:tc>
        <w:tc>
          <w:tcPr>
            <w:tcW w:w="960" w:type="dxa"/>
            <w:vAlign w:val="bottom"/>
            <w:gridSpan w:val="8"/>
          </w:tcPr>
          <w:p>
            <w:pPr>
              <w:spacing w:after="0" w:line="20" w:lineRule="exact"/>
              <w:rPr>
                <w:sz w:val="1"/>
                <w:szCs w:val="1"/>
                <w:color w:val="auto"/>
              </w:rPr>
            </w:pPr>
          </w:p>
        </w:tc>
      </w:tr>
      <w:tr>
        <w:trPr>
          <w:trHeight w:val="4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 w:type="dxa"/>
            <w:vAlign w:val="bottom"/>
          </w:tcPr>
          <w:p>
            <w:pPr>
              <w:spacing w:after="0"/>
              <w:rPr>
                <w:sz w:val="24"/>
                <w:szCs w:val="24"/>
                <w:color w:val="auto"/>
              </w:rPr>
            </w:pPr>
          </w:p>
        </w:tc>
        <w:tc>
          <w:tcPr>
            <w:tcW w:w="102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w:t>
            </w:r>
          </w:p>
        </w:tc>
      </w:tr>
      <w:tr>
        <w:trPr>
          <w:trHeight w:val="234"/>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 w:type="dxa"/>
            <w:vAlign w:val="bottom"/>
          </w:tcPr>
          <w:p>
            <w:pPr>
              <w:spacing w:after="0"/>
              <w:rPr>
                <w:sz w:val="24"/>
                <w:szCs w:val="24"/>
                <w:color w:val="auto"/>
              </w:rPr>
            </w:pPr>
          </w:p>
        </w:tc>
        <w:tc>
          <w:tcPr>
            <w:tcW w:w="102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0" w:type="dxa"/>
            <w:vAlign w:val="bottom"/>
          </w:tcPr>
          <w:p>
            <w:pPr>
              <w:spacing w:after="0"/>
              <w:rPr>
                <w:sz w:val="24"/>
                <w:szCs w:val="24"/>
                <w:color w:val="auto"/>
              </w:rPr>
            </w:pPr>
          </w:p>
        </w:tc>
        <w:tc>
          <w:tcPr>
            <w:tcW w:w="102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Extension Calculation Linkbase Document</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0" w:type="dxa"/>
            <w:vAlign w:val="bottom"/>
          </w:tcPr>
          <w:p>
            <w:pPr>
              <w:spacing w:after="0"/>
              <w:rPr>
                <w:sz w:val="24"/>
                <w:szCs w:val="24"/>
                <w:color w:val="auto"/>
              </w:rPr>
            </w:pPr>
          </w:p>
        </w:tc>
        <w:tc>
          <w:tcPr>
            <w:tcW w:w="102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Extension Definition Linkbase Document</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0" w:type="dxa"/>
            <w:vAlign w:val="bottom"/>
          </w:tcPr>
          <w:p>
            <w:pPr>
              <w:spacing w:after="0"/>
              <w:rPr>
                <w:sz w:val="24"/>
                <w:szCs w:val="24"/>
                <w:color w:val="auto"/>
              </w:rPr>
            </w:pPr>
          </w:p>
        </w:tc>
        <w:tc>
          <w:tcPr>
            <w:tcW w:w="102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Extension Label Linkbase Document</w:t>
            </w:r>
          </w:p>
        </w:tc>
      </w:tr>
      <w:tr>
        <w:trPr>
          <w:trHeight w:val="432"/>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0" w:type="dxa"/>
            <w:vAlign w:val="bottom"/>
          </w:tcPr>
          <w:p>
            <w:pPr>
              <w:spacing w:after="0"/>
              <w:rPr>
                <w:sz w:val="24"/>
                <w:szCs w:val="24"/>
                <w:color w:val="auto"/>
              </w:rPr>
            </w:pPr>
          </w:p>
        </w:tc>
        <w:tc>
          <w:tcPr>
            <w:tcW w:w="1022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Inline XBRL Extension Presentation Linkbase Document</w:t>
            </w:r>
          </w:p>
        </w:tc>
      </w:tr>
    </w:tbl>
    <w:p>
      <w:pPr>
        <w:spacing w:after="0" w:line="198" w:lineRule="exact"/>
        <w:rPr>
          <w:sz w:val="20"/>
          <w:szCs w:val="20"/>
          <w:color w:val="auto"/>
        </w:rPr>
      </w:pPr>
    </w:p>
    <w:p>
      <w:pPr>
        <w:ind w:right="3680" w:firstLine="8"/>
        <w:spacing w:after="0" w:line="500" w:lineRule="auto"/>
        <w:tabs>
          <w:tab w:leader="none" w:pos="101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Management contract or compensatory plan or arrangement.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7, 2023</w:t>
      </w:r>
    </w:p>
    <w:p>
      <w:pPr>
        <w:spacing w:after="0" w:line="200" w:lineRule="exact"/>
        <w:rPr>
          <w:sz w:val="20"/>
          <w:szCs w:val="20"/>
          <w:color w:val="auto"/>
        </w:rPr>
      </w:pPr>
    </w:p>
    <w:p>
      <w:pPr>
        <w:spacing w:after="0" w:line="241"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BUILD-A-BEAR WORKSHOP, INC.</w:t>
      </w:r>
    </w:p>
    <w:p>
      <w:pPr>
        <w:spacing w:after="0" w:line="2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By:/s/ 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Sharon John</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 (on behalf of</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the registrant and as principal executive officer)</w:t>
      </w:r>
    </w:p>
    <w:p>
      <w:pPr>
        <w:spacing w:after="0" w:line="20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By:/s/ 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Voin Todorovic</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(on behalf of the registrant and as principal</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00"/>
          </w:cols>
          <w:pgMar w:left="320" w:top="121" w:right="37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Sharon John, certify that:</w:t>
      </w:r>
    </w:p>
    <w:p>
      <w:pPr>
        <w:spacing w:after="0" w:line="225" w:lineRule="exact"/>
        <w:rPr>
          <w:sz w:val="20"/>
          <w:szCs w:val="20"/>
          <w:color w:val="auto"/>
        </w:rPr>
      </w:pPr>
    </w:p>
    <w:p>
      <w:pPr>
        <w:ind w:left="760" w:hanging="374"/>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Build-A-Bear Workshop, Inc.;</w:t>
      </w:r>
    </w:p>
    <w:p>
      <w:pPr>
        <w:spacing w:after="0" w:line="225" w:lineRule="exact"/>
        <w:rPr>
          <w:rFonts w:ascii="Times New Roman" w:cs="Times New Roman" w:eastAsia="Times New Roman" w:hAnsi="Times New Roman"/>
          <w:sz w:val="18"/>
          <w:szCs w:val="18"/>
          <w:color w:val="auto"/>
        </w:rPr>
      </w:pPr>
    </w:p>
    <w:p>
      <w:pPr>
        <w:jc w:val="both"/>
        <w:ind w:left="760" w:right="20" w:hanging="374"/>
        <w:spacing w:after="0" w:line="266"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right="260" w:hanging="374"/>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760" w:right="20" w:hanging="374"/>
        <w:spacing w:after="0" w:line="266"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140" w:right="80" w:hanging="376"/>
        <w:spacing w:after="0" w:line="266" w:lineRule="auto"/>
        <w:tabs>
          <w:tab w:leader="none" w:pos="11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140" w:right="200" w:hanging="376"/>
        <w:spacing w:after="0" w:line="266" w:lineRule="auto"/>
        <w:tabs>
          <w:tab w:leader="none" w:pos="11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140" w:right="380" w:hanging="376"/>
        <w:spacing w:after="0" w:line="312" w:lineRule="auto"/>
        <w:tabs>
          <w:tab w:leader="none" w:pos="114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140" w:right="80" w:hanging="376"/>
        <w:spacing w:after="0" w:line="266" w:lineRule="auto"/>
        <w:tabs>
          <w:tab w:leader="none" w:pos="11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right="180" w:hanging="374"/>
        <w:spacing w:after="0" w:line="312" w:lineRule="auto"/>
        <w:tabs>
          <w:tab w:leader="none" w:pos="7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1140" w:right="620" w:hanging="376"/>
        <w:spacing w:after="0" w:line="282" w:lineRule="auto"/>
        <w:tabs>
          <w:tab w:leader="none" w:pos="11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40" w:right="300" w:hanging="376"/>
        <w:spacing w:after="0" w:line="282" w:lineRule="auto"/>
        <w:tabs>
          <w:tab w:leader="none" w:pos="11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9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Sharon John</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Build-A-Bear Workshop, Inc.</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7, 2023</w:t>
      </w:r>
    </w:p>
    <w:p>
      <w:pPr>
        <w:sectPr>
          <w:pgSz w:w="11900" w:h="16838" w:orient="portrait"/>
          <w:cols w:equalWidth="0" w:num="1">
            <w:col w:w="11240"/>
          </w:cols>
          <w:pgMar w:left="320" w:top="117"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Voin Todorovic, certify that:</w:t>
      </w:r>
    </w:p>
    <w:p>
      <w:pPr>
        <w:spacing w:after="0" w:line="225" w:lineRule="exact"/>
        <w:rPr>
          <w:sz w:val="20"/>
          <w:szCs w:val="20"/>
          <w:color w:val="auto"/>
        </w:rPr>
      </w:pPr>
    </w:p>
    <w:p>
      <w:pPr>
        <w:ind w:left="760" w:hanging="374"/>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Build-A-Bear Workshop, Inc.;</w:t>
      </w:r>
    </w:p>
    <w:p>
      <w:pPr>
        <w:spacing w:after="0" w:line="225" w:lineRule="exact"/>
        <w:rPr>
          <w:rFonts w:ascii="Times New Roman" w:cs="Times New Roman" w:eastAsia="Times New Roman" w:hAnsi="Times New Roman"/>
          <w:sz w:val="18"/>
          <w:szCs w:val="18"/>
          <w:color w:val="auto"/>
        </w:rPr>
      </w:pPr>
    </w:p>
    <w:p>
      <w:pPr>
        <w:jc w:val="both"/>
        <w:ind w:left="760" w:right="20" w:hanging="374"/>
        <w:spacing w:after="0" w:line="266"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760" w:right="260" w:hanging="374"/>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760" w:right="20" w:hanging="374"/>
        <w:spacing w:after="0" w:line="266"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140" w:right="80" w:hanging="376"/>
        <w:spacing w:after="0" w:line="266" w:lineRule="auto"/>
        <w:tabs>
          <w:tab w:leader="none" w:pos="11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140" w:right="200" w:hanging="376"/>
        <w:spacing w:after="0" w:line="266" w:lineRule="auto"/>
        <w:tabs>
          <w:tab w:leader="none" w:pos="11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140" w:right="380" w:hanging="376"/>
        <w:spacing w:after="0" w:line="312" w:lineRule="auto"/>
        <w:tabs>
          <w:tab w:leader="none" w:pos="114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140" w:right="80" w:hanging="376"/>
        <w:spacing w:after="0" w:line="266" w:lineRule="auto"/>
        <w:tabs>
          <w:tab w:leader="none" w:pos="11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760" w:right="180" w:hanging="374"/>
        <w:spacing w:after="0" w:line="312" w:lineRule="auto"/>
        <w:tabs>
          <w:tab w:leader="none" w:pos="7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9" w:lineRule="exact"/>
        <w:rPr>
          <w:rFonts w:ascii="Times New Roman" w:cs="Times New Roman" w:eastAsia="Times New Roman" w:hAnsi="Times New Roman"/>
          <w:sz w:val="17"/>
          <w:szCs w:val="17"/>
          <w:color w:val="auto"/>
        </w:rPr>
      </w:pPr>
    </w:p>
    <w:p>
      <w:pPr>
        <w:ind w:left="1140" w:right="620" w:hanging="376"/>
        <w:spacing w:after="0" w:line="282" w:lineRule="auto"/>
        <w:tabs>
          <w:tab w:leader="none" w:pos="11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140" w:right="300" w:hanging="376"/>
        <w:spacing w:after="0" w:line="282" w:lineRule="auto"/>
        <w:tabs>
          <w:tab w:leader="none" w:pos="11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Voin Todorovic</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Build-A-Bear Workshop, Inc.</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7, 2023</w:t>
      </w:r>
    </w:p>
    <w:p>
      <w:pPr>
        <w:sectPr>
          <w:pgSz w:w="11900" w:h="16838" w:orient="portrait"/>
          <w:cols w:equalWidth="0" w:num="1">
            <w:col w:w="11240"/>
          </w:cols>
          <w:pgMar w:left="320" w:top="117"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Build-A-Bear Workshop, Inc. (the “Company”) on Form 10-Q for the period ended October 28, 2023 filed with the Securities and Exchange Commission on the date hereof (the “Report”), I, Sharon John, President and Chief Executive Officer of the Company, certify, to the best of my knowledge, pursuant to Rule 13a-14(b) and Section 1350 of Chapter 63 of Title 18 of the United States Code, as adopted pursuant to Section 906 of the Sarbanes-Oxley Act of 2002, that:</w:t>
      </w:r>
    </w:p>
    <w:p>
      <w:pPr>
        <w:spacing w:after="0" w:line="180" w:lineRule="exact"/>
        <w:rPr>
          <w:sz w:val="20"/>
          <w:szCs w:val="20"/>
          <w:color w:val="auto"/>
        </w:rPr>
      </w:pPr>
    </w:p>
    <w:p>
      <w:pPr>
        <w:ind w:left="920" w:hanging="264"/>
        <w:spacing w:after="0"/>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0" w:lineRule="exact"/>
        <w:rPr>
          <w:sz w:val="20"/>
          <w:szCs w:val="20"/>
          <w:color w:val="auto"/>
        </w:rPr>
      </w:pPr>
    </w:p>
    <w:p>
      <w:pPr>
        <w:spacing w:after="0" w:line="2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Sharon John</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Build-A-Bear Workshop, Inc.</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7, 2023</w:t>
      </w:r>
    </w:p>
    <w:p>
      <w:pPr>
        <w:sectPr>
          <w:pgSz w:w="11900" w:h="16838" w:orient="portrait"/>
          <w:cols w:equalWidth="0" w:num="1">
            <w:col w:w="11240"/>
          </w:cols>
          <w:pgMar w:left="320" w:top="117"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Build-A-Bear Workshop, Inc. (the “Company”) on Form 10-Q for the period ended October 28, 2023 as filed with the Securities and Exchange Commission on the date hereof (the “Report”), I, Voin Todorovic, Chief Financial Officer of the Company, certify, to the best of my knowledge, pursuant to Rule 13a-14(b) and Section 1350 of Chapter 63 of Title 18 of the United States Code, as adopted pursuant to Section 906 of the Sarbanes-Oxley Act of 2002, that:</w:t>
      </w:r>
    </w:p>
    <w:p>
      <w:pPr>
        <w:spacing w:after="0" w:line="180" w:lineRule="exact"/>
        <w:rPr>
          <w:sz w:val="20"/>
          <w:szCs w:val="20"/>
          <w:color w:val="auto"/>
        </w:rPr>
      </w:pPr>
    </w:p>
    <w:p>
      <w:pPr>
        <w:ind w:left="920" w:hanging="264"/>
        <w:spacing w:after="0"/>
        <w:tabs>
          <w:tab w:leader="none" w:pos="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0" w:lineRule="exact"/>
        <w:rPr>
          <w:sz w:val="20"/>
          <w:szCs w:val="20"/>
          <w:color w:val="auto"/>
        </w:rPr>
      </w:pPr>
    </w:p>
    <w:p>
      <w:pPr>
        <w:spacing w:after="0" w:line="2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Voin Todorovic</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Build-A-Bear Workshop, Inc</w:t>
      </w:r>
      <w:r>
        <w:rPr>
          <w:rFonts w:ascii="Times New Roman" w:cs="Times New Roman" w:eastAsia="Times New Roman" w:hAnsi="Times New Roman"/>
          <w:sz w:val="18"/>
          <w:szCs w:val="18"/>
          <w:i w:val="1"/>
          <w:iCs w:val="1"/>
          <w:color w:val="auto"/>
        </w:rPr>
        <w:t>.</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7, 2023</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lvl w:ilvl="1">
      <w:lvlJc w:val="left"/>
      <w:lvlText w:val="(%2)"/>
      <w:numFmt w:val="decimal"/>
      <w:start w:val="1"/>
    </w:lvl>
  </w:abstractNum>
  <w:abstractNum w:abstractNumId="5">
    <w:nsid w:val="109CF92E"/>
    <w:multiLevelType w:val="hybridMultilevel"/>
    <w:lvl w:ilvl="0">
      <w:lvlJc w:val="left"/>
      <w:lvlText w:val="%1."/>
      <w:numFmt w:val="decimal"/>
      <w:start w:val="5"/>
    </w:lvl>
    <w:lvl w:ilvl="1">
      <w:lvlJc w:val="left"/>
      <w:lvlText w:val="%2"/>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
      <w:numFmt w:val="bullet"/>
      <w:start w:val="1"/>
    </w:lvl>
    <w:lvl w:ilvl="1">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2"/>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104"/>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40" Type="http://schemas.openxmlformats.org/officeDocument/2006/relationships/hyperlink" Target="http://www.sec.gov/Archives/edgar/data/1113809/000095013704006634/c86750exv2w1.txt" TargetMode="External"/><Relationship Id="rId41" Type="http://schemas.openxmlformats.org/officeDocument/2006/relationships/hyperlink" Target="http://www.sec.gov/Archives/edgar/data/1113809/000095013804000748/exh3-1.htm" TargetMode="External"/><Relationship Id="rId42" Type="http://schemas.openxmlformats.org/officeDocument/2006/relationships/hyperlink" Target="http://www.sec.gov/Archives/edgar/data/1113809/000115752316004713/a51286063ex3_1.htm" TargetMode="External"/><Relationship Id="rId43" Type="http://schemas.openxmlformats.org/officeDocument/2006/relationships/hyperlink" Target="http://www.sec.gov/Archives/edgar/data/1113809/000095013704008227/c86750a3exv4w1.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2023-12-07T08:21:32Z</dcterms:created>
  <dcterms:modified xsi:type="dcterms:W3CDTF">2023-12-07T08:21:32Z</dcterms:modified>
</cp:coreProperties>
</file>