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238125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80" w:right="4120" w:hanging="572"/>
        <w:spacing w:after="0" w:line="493" w:lineRule="auto"/>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August 3,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1879600</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292100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279400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Incorporation or Organization)</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3140" w:type="dxa"/>
            <w:vAlign w:val="bottom"/>
          </w:tcPr>
          <w:p>
            <w:pPr>
              <w:spacing w:after="0"/>
              <w:rPr>
                <w:sz w:val="24"/>
                <w:szCs w:val="24"/>
                <w:color w:val="auto"/>
              </w:rPr>
            </w:pPr>
          </w:p>
        </w:tc>
      </w:t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St. Louis, Missouri</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280035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ind w:left="660"/>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0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0"/>
        </w:trPr>
        <w:tc>
          <w:tcPr>
            <w:tcW w:w="4980" w:type="dxa"/>
            <w:vAlign w:val="bottom"/>
            <w:tcBorders>
              <w:bottom w:val="single" w:sz="8" w:color="auto"/>
            </w:tcBorders>
          </w:tcPr>
          <w:p>
            <w:pPr>
              <w:jc w:val="center"/>
              <w:ind w:right="630"/>
              <w:spacing w:after="0"/>
              <w:rPr>
                <w:sz w:val="20"/>
                <w:szCs w:val="20"/>
                <w:color w:val="auto"/>
              </w:rPr>
            </w:pPr>
            <w:r>
              <w:rPr>
                <w:rFonts w:ascii="Arial" w:cs="Arial" w:eastAsia="Arial" w:hAnsi="Arial"/>
                <w:sz w:val="18"/>
                <w:szCs w:val="18"/>
                <w:color w:val="auto"/>
                <w:w w:val="90"/>
              </w:rPr>
              <w:t>Title of each class</w:t>
            </w:r>
          </w:p>
        </w:tc>
        <w:tc>
          <w:tcPr>
            <w:tcW w:w="20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1"/>
              </w:rPr>
              <w:t>Trading Symbol</w:t>
            </w:r>
          </w:p>
        </w:tc>
        <w:tc>
          <w:tcPr>
            <w:tcW w:w="44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80" w:type="dxa"/>
            <w:vAlign w:val="bottom"/>
          </w:tcPr>
          <w:p>
            <w:pPr>
              <w:jc w:val="center"/>
              <w:ind w:right="650"/>
              <w:spacing w:after="0"/>
              <w:rPr>
                <w:sz w:val="20"/>
                <w:szCs w:val="20"/>
                <w:color w:val="auto"/>
              </w:rPr>
            </w:pPr>
            <w:r>
              <w:rPr>
                <w:rFonts w:ascii="Arial" w:cs="Arial" w:eastAsia="Arial" w:hAnsi="Arial"/>
                <w:sz w:val="18"/>
                <w:szCs w:val="18"/>
                <w:color w:val="auto"/>
                <w:w w:val="89"/>
              </w:rPr>
              <w:t>Common stock</w:t>
            </w:r>
          </w:p>
        </w:tc>
        <w:tc>
          <w:tcPr>
            <w:tcW w:w="2040" w:type="dxa"/>
            <w:vAlign w:val="bottom"/>
          </w:tcPr>
          <w:p>
            <w:pPr>
              <w:jc w:val="center"/>
              <w:ind w:right="470"/>
              <w:spacing w:after="0"/>
              <w:rPr>
                <w:sz w:val="20"/>
                <w:szCs w:val="20"/>
                <w:color w:val="auto"/>
              </w:rPr>
            </w:pPr>
            <w:r>
              <w:rPr>
                <w:rFonts w:ascii="Arial" w:cs="Arial" w:eastAsia="Arial" w:hAnsi="Arial"/>
                <w:sz w:val="18"/>
                <w:szCs w:val="18"/>
                <w:color w:val="auto"/>
                <w:w w:val="97"/>
              </w:rPr>
              <w:t>BBW</w:t>
            </w:r>
          </w:p>
        </w:tc>
        <w:tc>
          <w:tcPr>
            <w:tcW w:w="4400" w:type="dxa"/>
            <w:vAlign w:val="bottom"/>
          </w:tcPr>
          <w:p>
            <w:pPr>
              <w:jc w:val="center"/>
              <w:ind w:left="9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80" w:type="dxa"/>
            <w:vAlign w:val="bottom"/>
          </w:tcPr>
          <w:p>
            <w:pPr>
              <w:spacing w:after="0"/>
              <w:rPr>
                <w:sz w:val="24"/>
                <w:szCs w:val="24"/>
                <w:color w:val="auto"/>
              </w:rPr>
            </w:pPr>
          </w:p>
        </w:tc>
        <w:tc>
          <w:tcPr>
            <w:tcW w:w="2040" w:type="dxa"/>
            <w:vAlign w:val="bottom"/>
          </w:tcPr>
          <w:p>
            <w:pPr>
              <w:jc w:val="center"/>
              <w:ind w:right="490"/>
              <w:spacing w:after="0"/>
              <w:rPr>
                <w:sz w:val="20"/>
                <w:szCs w:val="20"/>
                <w:color w:val="auto"/>
              </w:rPr>
            </w:pPr>
            <w:r>
              <w:rPr>
                <w:rFonts w:ascii="Arial" w:cs="Arial" w:eastAsia="Arial" w:hAnsi="Arial"/>
                <w:sz w:val="18"/>
                <w:szCs w:val="18"/>
                <w:color w:val="auto"/>
                <w:w w:val="99"/>
              </w:rPr>
              <w:t>1</w:t>
            </w:r>
          </w:p>
        </w:tc>
        <w:tc>
          <w:tcPr>
            <w:tcW w:w="4400" w:type="dxa"/>
            <w:vAlign w:val="bottom"/>
          </w:tcPr>
          <w:p>
            <w:pPr>
              <w:spacing w:after="0"/>
              <w:rPr>
                <w:sz w:val="24"/>
                <w:szCs w:val="24"/>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472" w:right="239" w:bottom="1440" w:gutter="0" w:footer="0" w:header="0"/>
        </w:sectPr>
      </w:pPr>
    </w:p>
    <w:bookmarkStart w:id="1" w:name="page2"/>
    <w:bookmarkEnd w:id="1"/>
    <w:p>
      <w:pPr>
        <w:jc w:val="both"/>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584" w:right="27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620" w:space="100"/>
            <w:col w:w="5360" w:space="720"/>
            <w:col w:w="3580"/>
          </w:cols>
          <w:pgMar w:left="240" w:top="584" w:right="279" w:bottom="1440" w:gutter="0" w:footer="0" w:header="0"/>
          <w:type w:val="continuous"/>
        </w:sectPr>
      </w:pPr>
    </w:p>
    <w:p>
      <w:pPr>
        <w:spacing w:after="0" w:line="1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7080" w:space="720"/>
            <w:col w:w="3580"/>
          </w:cols>
          <w:pgMar w:left="240" w:top="584" w:right="279" w:bottom="1440" w:gutter="0" w:footer="0" w:header="0"/>
          <w:type w:val="continuous"/>
        </w:sectPr>
      </w:pPr>
    </w:p>
    <w:p>
      <w:pPr>
        <w:spacing w:after="0" w:line="32" w:lineRule="exact"/>
        <w:rPr>
          <w:sz w:val="20"/>
          <w:szCs w:val="20"/>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9, 2019, there were 15,220,252 issued and outstanding shares of the registrant’s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2140" w:type="dxa"/>
            <w:vAlign w:val="bottom"/>
            <w:gridSpan w:val="3"/>
          </w:tcPr>
          <w:p>
            <w:pPr>
              <w:ind w:left="1760"/>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99"/>
              </w:rPr>
              <w:t>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Arial" w:cs="Arial" w:eastAsia="Arial" w:hAnsi="Arial"/>
                <w:sz w:val="18"/>
                <w:szCs w:val="18"/>
                <w:color w:val="auto"/>
              </w:rPr>
              <w:t>Condensed Consolidated Balance Sheets</w:t>
            </w:r>
          </w:p>
        </w:tc>
        <w:tc>
          <w:tcPr>
            <w:tcW w:w="2100" w:type="dxa"/>
            <w:vAlign w:val="bottom"/>
            <w:gridSpan w:val="2"/>
          </w:tcPr>
          <w:p>
            <w:pPr>
              <w:jc w:val="center"/>
              <w:ind w:left="167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Condensed Consolidated Statements of Operations and Comprehensive Income (Loss)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99"/>
              </w:rPr>
              <w:t>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ind w:left="560"/>
              <w:spacing w:after="0"/>
              <w:rPr>
                <w:sz w:val="20"/>
                <w:szCs w:val="20"/>
                <w:color w:val="auto"/>
              </w:rPr>
            </w:pPr>
            <w:r>
              <w:rPr>
                <w:rFonts w:ascii="Arial" w:cs="Arial" w:eastAsia="Arial" w:hAnsi="Arial"/>
                <w:sz w:val="18"/>
                <w:szCs w:val="18"/>
                <w:color w:val="auto"/>
              </w:rPr>
              <w:t>Condensed Consolidated Statements of Cash Flows</w:t>
            </w:r>
          </w:p>
        </w:tc>
        <w:tc>
          <w:tcPr>
            <w:tcW w:w="2100" w:type="dxa"/>
            <w:vAlign w:val="bottom"/>
            <w:gridSpan w:val="2"/>
          </w:tcPr>
          <w:p>
            <w:pPr>
              <w:jc w:val="center"/>
              <w:ind w:left="1670"/>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Notes to Condensed Consolidated Financial Statements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99"/>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3.</w:t>
            </w:r>
          </w:p>
        </w:tc>
        <w:tc>
          <w:tcPr>
            <w:tcW w:w="8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4.</w:t>
            </w:r>
          </w:p>
        </w:tc>
        <w:tc>
          <w:tcPr>
            <w:tcW w:w="8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Controls and Procedures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1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Item 1A.Risk Factors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2.</w:t>
            </w:r>
          </w:p>
        </w:tc>
        <w:tc>
          <w:tcPr>
            <w:tcW w:w="8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6.</w:t>
            </w:r>
          </w:p>
        </w:tc>
        <w:tc>
          <w:tcPr>
            <w:tcW w:w="8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Exhibits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gridSpan w:val="2"/>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2100" w:type="dxa"/>
            <w:vAlign w:val="bottom"/>
            <w:gridSpan w:val="2"/>
            <w:shd w:val="clear" w:color="auto" w:fill="CCEEFF"/>
          </w:tcPr>
          <w:p>
            <w:pPr>
              <w:jc w:val="center"/>
              <w:ind w:left="1670"/>
              <w:spacing w:after="0"/>
              <w:rPr>
                <w:sz w:val="20"/>
                <w:szCs w:val="20"/>
                <w:color w:val="auto"/>
              </w:rPr>
            </w:pPr>
            <w:r>
              <w:rPr>
                <w:rFonts w:ascii="Arial" w:cs="Arial" w:eastAsia="Arial" w:hAnsi="Arial"/>
                <w:sz w:val="18"/>
                <w:szCs w:val="18"/>
                <w:color w:val="auto"/>
                <w:w w:val="89"/>
              </w:rPr>
              <w:t>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540" w:type="dxa"/>
            <w:vAlign w:val="bottom"/>
          </w:tcPr>
          <w:p>
            <w:pPr>
              <w:ind w:left="4920"/>
              <w:spacing w:after="0"/>
              <w:rPr>
                <w:sz w:val="20"/>
                <w:szCs w:val="20"/>
                <w:color w:val="auto"/>
              </w:rPr>
            </w:pPr>
            <w:r>
              <w:rPr>
                <w:rFonts w:ascii="Arial" w:cs="Arial" w:eastAsia="Arial" w:hAnsi="Arial"/>
                <w:sz w:val="18"/>
                <w:szCs w:val="18"/>
                <w:color w:val="auto"/>
              </w:rPr>
              <w:t>3</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August 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February 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August 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62,081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58,356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12,960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137,680</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64,191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66,368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299,194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172,046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174,809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gridSpan w:val="3"/>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16,734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22,551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15,046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Operating lease liability short term</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30,697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 and other</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1,936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 term</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132,613</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18,440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at August 3, 2019, February 2, 2019 and August 4, 2018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15,220,252, 14,953,142 and 14,972,136 shares, respectively</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70,295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69,088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29,637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37,094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94,314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299,194</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172,046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174,809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60" w:type="dxa"/>
            <w:vAlign w:val="bottom"/>
          </w:tcPr>
          <w:p>
            <w:pPr>
              <w:spacing w:after="0"/>
              <w:rPr>
                <w:sz w:val="20"/>
                <w:szCs w:val="20"/>
                <w:color w:val="auto"/>
              </w:rPr>
            </w:pPr>
          </w:p>
        </w:tc>
        <w:tc>
          <w:tcPr>
            <w:tcW w:w="24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5"/>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5"/>
              </w:rPr>
              <w:t>August 3,</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August 4,</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August 3,</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August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75,214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81,037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156,263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International franchising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83,178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Cost of merchandise sold - retail</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46,601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86,437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Cost of merchandise sold - international franchising</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cost of merchandise sold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73,209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(loss) before income taxes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Pr>
          <w:p>
            <w:pPr>
              <w:ind w:left="320"/>
              <w:spacing w:after="0" w:line="196" w:lineRule="exact"/>
              <w:rPr>
                <w:sz w:val="20"/>
                <w:szCs w:val="20"/>
                <w:color w:val="auto"/>
              </w:rPr>
            </w:pPr>
            <w:r>
              <w:rPr>
                <w:rFonts w:ascii="Arial" w:cs="Arial" w:eastAsia="Arial" w:hAnsi="Arial"/>
                <w:sz w:val="18"/>
                <w:szCs w:val="18"/>
                <w:color w:val="auto"/>
              </w:rPr>
              <w:t>Diluted</w:t>
            </w:r>
          </w:p>
        </w:tc>
        <w:tc>
          <w:tcPr>
            <w:tcW w:w="11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(0.08)</w:t>
            </w:r>
          </w:p>
        </w:tc>
        <w:tc>
          <w:tcPr>
            <w:tcW w:w="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(0.12)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Shares used in computing common per share amounts: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14,726,678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14,618,582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14,669,626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14,600,578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14,726,678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14,618,582</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14,669,626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14,600,578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60" w:type="dxa"/>
            <w:vAlign w:val="bottom"/>
          </w:tcPr>
          <w:p>
            <w:pPr>
              <w:ind w:left="4880"/>
              <w:spacing w:after="0"/>
              <w:rPr>
                <w:sz w:val="20"/>
                <w:szCs w:val="20"/>
                <w:color w:val="auto"/>
              </w:rPr>
            </w:pPr>
            <w:r>
              <w:rPr>
                <w:rFonts w:ascii="Arial" w:cs="Arial" w:eastAsia="Arial" w:hAnsi="Arial"/>
                <w:sz w:val="18"/>
                <w:szCs w:val="18"/>
                <w:color w:val="auto"/>
              </w:rPr>
              <w:t>(Dollars in thousands)</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August 3,</w:t>
            </w: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August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operating activities: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6,797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Inventories, net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(4,501)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 net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5,975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Operating leases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Gift cards and customer deposits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investing activities:</w:t>
            </w: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Proceeds from property insurance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financing activities:</w:t>
            </w:r>
          </w:p>
        </w:tc>
        <w:tc>
          <w:tcPr>
            <w:tcW w:w="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17,894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14,965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7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paid (received) during the period for income taxes</w:t>
            </w: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2, 2019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2, 2019, which were included in the Company’s Annual Report on Form 10-K filed with the SEC on April 18,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 in the Current Year</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Effective February 3, 2019, the Company adopted the Financial Accounting Standards Board ("FASB") new guidance on leases (“Topic 842”), which replaced most existing lease accounting guidance in U.S. GAAP. The Company elected the optional transition method that gives companies the option to use the effective date as the date of initial application on transition, and as a result, the Company did not adjust its comparative period financial information or make the new required lease disclosures for periods before the effective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Nearly all the Company’s revenue is derived from retail sales (including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nearly 96% of consolidated revenue. The majority of these sales transactions are single performance obligations that are recorded when control is transferred to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delivery to the customer. Revenue is measured as the amount of consideration, including any discounts or incentives, the Company expects to receive in exchange for transferring the merchandise. Product returns have historically averaged less than one-tenth of one percent due to the interactive nature of sales, where consumers customize their own stuffed animal. The Company has elected to exclude from revenue all collected sales, value added and other taxes paid by its customers.</w:t>
      </w:r>
    </w:p>
    <w:p>
      <w:pPr>
        <w:spacing w:after="0" w:line="193"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right="120"/>
        <w:spacing w:after="0" w:line="302" w:lineRule="auto"/>
        <w:rPr>
          <w:sz w:val="20"/>
          <w:szCs w:val="20"/>
          <w:color w:val="auto"/>
        </w:rPr>
      </w:pPr>
      <w:r>
        <w:rPr>
          <w:rFonts w:ascii="Arial" w:cs="Arial" w:eastAsia="Arial" w:hAnsi="Arial"/>
          <w:sz w:val="16"/>
          <w:szCs w:val="16"/>
          <w:color w:val="auto"/>
        </w:rPr>
        <w:t>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15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78" w:lineRule="exact"/>
        <w:rPr>
          <w:sz w:val="20"/>
          <w:szCs w:val="20"/>
          <w:color w:val="auto"/>
        </w:rPr>
      </w:pPr>
    </w:p>
    <w:p>
      <w:pPr>
        <w:ind w:right="300" w:firstLine="486"/>
        <w:spacing w:after="0" w:line="290" w:lineRule="auto"/>
        <w:rPr>
          <w:sz w:val="20"/>
          <w:szCs w:val="20"/>
          <w:color w:val="auto"/>
        </w:rPr>
      </w:pPr>
      <w:r>
        <w:rPr>
          <w:rFonts w:ascii="Arial" w:cs="Arial" w:eastAsia="Arial" w:hAnsi="Arial"/>
          <w:sz w:val="16"/>
          <w:szCs w:val="16"/>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6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Effective February 3, 2019, the Company adopted the FASB guidance on leases (“Topic 842”), which requires leases with durations greater than twelve months to be recognized on the balance sheet. The Company adopted Topic 842 using the modified retrospective transition approach, which includes a number of optional practical expedients that entities may elect to apply. Prior year financial statements were not recast under Topic 842, and therefore those amounts are not disclosed. The Company has elected certain practical expedients, including the package of practical expedients to not reassess prior conclusions related to contracts containing leases, lease classification and initial direct costs as well as an accounting policy to account for lease and non-lease components as a single component. The Company also elected the optional transition method that gives companies the option to use the effective date as the date of initial application on transition, and as a result, the Company will not adjust its comparative period financial information or make the new required lease disclosures for periods before the effective date. The Company has elected to make the accounting policy election for short-term leases. Consequently, short-term leases will be recorded as an expense on a straight-line basis over the lease term. The Company did not elect the hindsight practical expedient.</w:t>
      </w:r>
    </w:p>
    <w:p>
      <w:pPr>
        <w:spacing w:after="0" w:line="167"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 five to ten-year base period and include renewal options to extend the lease term beyond the initial base period.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ind w:right="40"/>
        <w:spacing w:after="0" w:line="257" w:lineRule="auto"/>
        <w:rPr>
          <w:sz w:val="20"/>
          <w:szCs w:val="20"/>
          <w:color w:val="auto"/>
        </w:rPr>
      </w:pPr>
      <w:r>
        <w:rPr>
          <w:rFonts w:ascii="Arial" w:cs="Arial" w:eastAsia="Arial" w:hAnsi="Arial"/>
          <w:sz w:val="18"/>
          <w:szCs w:val="18"/>
          <w:color w:val="auto"/>
        </w:rPr>
        <w:t>after the expiration of the lease term. The Company's lease agreements do not contain any material residual value guarantees or material restrictive covenants. The Company's leases typically contain rent escalations over the lease term and recognizes expense for these leases on a straight-line basis over the lease term. Additionally, certain leases contain incentives, such as construction allowances from landlords and/or rent abatements subsequent to taking possession of the leased property. These incentives reduce our right-of-use asset related to the lease and are amortized through the right-of-use asset as reductions of expense over the lease term.</w:t>
      </w:r>
    </w:p>
    <w:p>
      <w:pPr>
        <w:spacing w:after="0" w:line="18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Some of the Company's leases include rent escalations based on inflation indexes and fair market value adjustments. Certain leases contain contingent rental provisions that include a fixed base rent plus an additional percentage of the store’s sales in excess of stipulated amounts. Operating lease liabilities are calculated using the prevailing index or rate at lease commencement. Subsequent escalations in the index or rate and contingent rental payments are recognized as variable lease expenses.</w:t>
      </w:r>
    </w:p>
    <w:p>
      <w:pPr>
        <w:spacing w:after="0" w:line="1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For leases entered into or reassessed after the adoption of the new standard,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6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Most of the Company’s leases do not provide a readily available implicit rate.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spacing w:after="0" w:line="187" w:lineRule="exact"/>
        <w:rPr>
          <w:sz w:val="20"/>
          <w:szCs w:val="20"/>
          <w:color w:val="auto"/>
        </w:rPr>
      </w:pPr>
    </w:p>
    <w:p>
      <w:pPr>
        <w:ind w:right="500" w:firstLine="486"/>
        <w:spacing w:after="0" w:line="264" w:lineRule="auto"/>
        <w:rPr>
          <w:sz w:val="20"/>
          <w:szCs w:val="20"/>
          <w:color w:val="auto"/>
        </w:rPr>
      </w:pPr>
      <w:r>
        <w:rPr>
          <w:rFonts w:ascii="Arial" w:cs="Arial" w:eastAsia="Arial" w:hAnsi="Arial"/>
          <w:sz w:val="18"/>
          <w:szCs w:val="18"/>
          <w:color w:val="auto"/>
        </w:rPr>
        <w:t>Upon adoption and transition, the Company recognized a cumulative-effect charge of $7.4 million net of tax to the opening balance of retained earnings which represents impairment charges to the right-of-use assets associated with stores whose fixed assets have been previously impaired or had indicators of impairment, and whose right-of-use-assets were determined to be above fair market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position as of February 3, 2019</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the lease-related assets and liabilities recorded on the balance sheet.</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3,</w:t>
            </w: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66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Classification on the Balance Sheet</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354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Assets</w:t>
            </w:r>
          </w:p>
        </w:tc>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5660" w:type="dxa"/>
            <w:vAlign w:val="bottom"/>
          </w:tcPr>
          <w:p>
            <w:pPr>
              <w:ind w:left="9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151,513</w:t>
            </w:r>
          </w:p>
        </w:tc>
      </w:tr>
      <w:tr>
        <w:trPr>
          <w:trHeight w:val="216"/>
        </w:trPr>
        <w:tc>
          <w:tcPr>
            <w:tcW w:w="35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ind w:left="1840"/>
              <w:spacing w:after="0"/>
              <w:rPr>
                <w:sz w:val="20"/>
                <w:szCs w:val="20"/>
                <w:color w:val="auto"/>
              </w:rPr>
            </w:pPr>
            <w:r>
              <w:rPr>
                <w:rFonts w:ascii="Arial" w:cs="Arial" w:eastAsia="Arial" w:hAnsi="Arial"/>
                <w:sz w:val="18"/>
                <w:szCs w:val="18"/>
                <w:b w:val="1"/>
                <w:bCs w:val="1"/>
                <w:color w:val="auto"/>
              </w:rPr>
              <w:t>Liabilities</w:t>
            </w:r>
          </w:p>
        </w:tc>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Current - Operating</w:t>
            </w:r>
          </w:p>
        </w:tc>
        <w:tc>
          <w:tcPr>
            <w:tcW w:w="56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Operating lease liability short term</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34,672</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Noncurrent - Operating</w:t>
            </w:r>
          </w:p>
        </w:tc>
        <w:tc>
          <w:tcPr>
            <w:tcW w:w="5660" w:type="dxa"/>
            <w:vAlign w:val="bottom"/>
          </w:tcPr>
          <w:p>
            <w:pPr>
              <w:ind w:left="920"/>
              <w:spacing w:after="0"/>
              <w:rPr>
                <w:sz w:val="20"/>
                <w:szCs w:val="20"/>
                <w:color w:val="auto"/>
              </w:rPr>
            </w:pPr>
            <w:r>
              <w:rPr>
                <w:rFonts w:ascii="Arial" w:cs="Arial" w:eastAsia="Arial" w:hAnsi="Arial"/>
                <w:sz w:val="18"/>
                <w:szCs w:val="18"/>
                <w:color w:val="auto"/>
              </w:rPr>
              <w:t>Operating lease liability long term</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141,519</w:t>
            </w:r>
          </w:p>
        </w:tc>
        <w:tc>
          <w:tcPr>
            <w:tcW w:w="100" w:type="dxa"/>
            <w:vAlign w:val="bottom"/>
          </w:tcPr>
          <w:p>
            <w:pPr>
              <w:spacing w:after="0"/>
              <w:rPr>
                <w:sz w:val="18"/>
                <w:szCs w:val="18"/>
                <w:color w:val="auto"/>
              </w:rPr>
            </w:pPr>
          </w:p>
        </w:tc>
      </w:tr>
      <w:tr>
        <w:trPr>
          <w:trHeight w:val="250"/>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5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certain information related to the lease costs for operating leases for the thirteen weeks ended August 3, 2019.</w:t>
      </w:r>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8"/>
              </w:rPr>
              <w:t>Twenty-six weeks</w:t>
            </w:r>
          </w:p>
        </w:tc>
      </w:tr>
      <w:tr>
        <w:trPr>
          <w:trHeight w:val="230"/>
        </w:trPr>
        <w:tc>
          <w:tcPr>
            <w:tcW w:w="4300" w:type="dxa"/>
            <w:vAlign w:val="bottom"/>
          </w:tcPr>
          <w:p>
            <w:pPr>
              <w:spacing w:after="0"/>
              <w:rPr>
                <w:sz w:val="19"/>
                <w:szCs w:val="19"/>
                <w:color w:val="auto"/>
              </w:rPr>
            </w:pPr>
          </w:p>
        </w:tc>
        <w:tc>
          <w:tcPr>
            <w:tcW w:w="300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Thirteen weeks ended</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430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(in thousands)</w:t>
            </w:r>
          </w:p>
        </w:tc>
        <w:tc>
          <w:tcPr>
            <w:tcW w:w="3000" w:type="dxa"/>
            <w:vAlign w:val="bottom"/>
            <w:tcBorders>
              <w:bottom w:val="single" w:sz="8" w:color="auto"/>
            </w:tcBorders>
          </w:tcPr>
          <w:p>
            <w:pPr>
              <w:jc w:val="center"/>
              <w:ind w:left="850"/>
              <w:spacing w:after="0"/>
              <w:rPr>
                <w:sz w:val="20"/>
                <w:szCs w:val="20"/>
                <w:color w:val="auto"/>
              </w:rPr>
            </w:pPr>
            <w:r>
              <w:rPr>
                <w:rFonts w:ascii="Arial" w:cs="Arial" w:eastAsia="Arial" w:hAnsi="Arial"/>
                <w:sz w:val="18"/>
                <w:szCs w:val="18"/>
                <w:b w:val="1"/>
                <w:bCs w:val="1"/>
                <w:color w:val="auto"/>
                <w:w w:val="89"/>
              </w:rPr>
              <w:t>August 3, 2019</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August 3, 2019</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costs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Variable lease costs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Short term lease costs</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Total Operating Lease costs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20,770</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30"/>
        </w:trPr>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10"/>
        </w:trPr>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160" w:type="dxa"/>
            <w:vAlign w:val="bottom"/>
          </w:tcPr>
          <w:p>
            <w:pPr>
              <w:spacing w:after="0"/>
              <w:rPr>
                <w:sz w:val="18"/>
                <w:szCs w:val="18"/>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22,769</w:t>
            </w: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-582295</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-307975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4940" w:space="720"/>
            <w:col w:w="5760"/>
          </w:cols>
          <w:pgMar w:left="240" w:top="58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Other information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supplemental cash flow information related to leases for the thirteen weeks ended August 3,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Twenty-six weeks</w:t>
            </w: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12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Thirteen weeks ended</w:t>
            </w:r>
          </w:p>
        </w:tc>
        <w:tc>
          <w:tcPr>
            <w:tcW w:w="1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12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August 3, 2019</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August 3, 2019</w:t>
            </w:r>
          </w:p>
        </w:tc>
      </w:tr>
      <w:tr>
        <w:trPr>
          <w:trHeight w:val="210"/>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cash flows for operating leases</w:t>
            </w:r>
          </w:p>
        </w:tc>
        <w:tc>
          <w:tcPr>
            <w:tcW w:w="31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10,990</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22,188</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As of August 3, 2019, the weighted-average remaining operating lease term was 6.0 years and the weighted-average discount rate was 5.9 % for operating leases recognized on our Condensed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3"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Borders>
              <w:bottom w:val="single" w:sz="8" w:color="auto"/>
            </w:tcBorders>
          </w:tcPr>
          <w:p>
            <w:pPr>
              <w:ind w:left="3020"/>
              <w:spacing w:after="0"/>
              <w:rPr>
                <w:sz w:val="20"/>
                <w:szCs w:val="20"/>
                <w:color w:val="auto"/>
              </w:rPr>
            </w:pPr>
            <w:r>
              <w:rPr>
                <w:rFonts w:ascii="Arial" w:cs="Arial" w:eastAsia="Arial" w:hAnsi="Arial"/>
                <w:sz w:val="18"/>
                <w:szCs w:val="18"/>
                <w:b w:val="1"/>
                <w:bCs w:val="1"/>
                <w:color w:val="auto"/>
              </w:rPr>
              <w:t>Operating Leases</w:t>
            </w:r>
          </w:p>
        </w:tc>
        <w:tc>
          <w:tcPr>
            <w:tcW w:w="17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(in thousands)</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21,111</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2020</w:t>
            </w:r>
          </w:p>
        </w:tc>
        <w:tc>
          <w:tcPr>
            <w:tcW w:w="1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35,861</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31,715</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2022</w:t>
            </w:r>
          </w:p>
        </w:tc>
        <w:tc>
          <w:tcPr>
            <w:tcW w:w="17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29,306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24,942</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51,551</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194,486</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 of lease payments representing interest</w:t>
            </w:r>
          </w:p>
        </w:tc>
        <w:tc>
          <w:tcPr>
            <w:tcW w:w="1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(31,176)</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future minimum lease payments</w:t>
            </w:r>
          </w:p>
        </w:tc>
        <w:tc>
          <w:tcPr>
            <w:tcW w:w="17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163,310</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obligations under leases</w:t>
            </w:r>
          </w:p>
        </w:tc>
        <w:tc>
          <w:tcPr>
            <w:tcW w:w="1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(30,697)</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Long-term lease obligations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132,613</w:t>
            </w: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August 3, 2019, the Company has additional executed leases that have not yet commenced with operating lease liabilities of $5.3 million. These leases will commence in 2019 with lease terms of approximately five and a half years.</w:t>
      </w:r>
    </w:p>
    <w:p>
      <w:pPr>
        <w:spacing w:after="0" w:line="3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accordance with Accounting Standards Codification ("ASC") 840, Leases, the aggregate minimum non-cancelable annual lease payments under operating leases in effect on February 2,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420" w:type="dxa"/>
            <w:vAlign w:val="bottom"/>
          </w:tcPr>
          <w:p>
            <w:pPr>
              <w:ind w:left="3020"/>
              <w:spacing w:after="0"/>
              <w:rPr>
                <w:sz w:val="20"/>
                <w:szCs w:val="20"/>
                <w:color w:val="auto"/>
              </w:rPr>
            </w:pPr>
            <w:r>
              <w:rPr>
                <w:rFonts w:ascii="Arial" w:cs="Arial" w:eastAsia="Arial" w:hAnsi="Arial"/>
                <w:sz w:val="18"/>
                <w:szCs w:val="18"/>
                <w:b w:val="1"/>
                <w:bCs w:val="1"/>
                <w:color w:val="auto"/>
                <w:w w:val="91"/>
              </w:rPr>
              <w:t>Operating Leases</w:t>
            </w: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2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2020</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35,192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2022</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29,265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Subsequent to 2023</w:t>
            </w:r>
          </w:p>
        </w:tc>
        <w:tc>
          <w:tcPr>
            <w:tcW w:w="3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629"/>
        </w:trPr>
        <w:tc>
          <w:tcPr>
            <w:tcW w:w="116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jc w:val="right"/>
              <w:ind w:right="2770"/>
              <w:spacing w:after="0"/>
              <w:rPr>
                <w:sz w:val="20"/>
                <w:szCs w:val="20"/>
                <w:color w:val="auto"/>
              </w:rPr>
            </w:pPr>
            <w:r>
              <w:rPr>
                <w:rFonts w:ascii="Arial" w:cs="Arial" w:eastAsia="Arial" w:hAnsi="Arial"/>
                <w:sz w:val="18"/>
                <w:szCs w:val="18"/>
                <w:color w:val="auto"/>
                <w:w w:val="99"/>
              </w:rPr>
              <w:t>10</w:t>
            </w:r>
          </w:p>
        </w:tc>
        <w:tc>
          <w:tcPr>
            <w:tcW w:w="14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0" w:type="dxa"/>
            <w:vAlign w:val="bottom"/>
            <w:gridSpan w:val="3"/>
          </w:tcPr>
          <w:p>
            <w:pPr>
              <w:jc w:val="right"/>
              <w:spacing w:after="0"/>
              <w:rPr>
                <w:sz w:val="20"/>
                <w:szCs w:val="20"/>
                <w:color w:val="auto"/>
              </w:rPr>
            </w:pPr>
            <w:r>
              <w:rPr>
                <w:rFonts w:ascii="Arial" w:cs="Arial" w:eastAsia="Arial" w:hAnsi="Arial"/>
                <w:sz w:val="18"/>
                <w:szCs w:val="18"/>
                <w:color w:val="auto"/>
                <w:w w:val="99"/>
              </w:rPr>
              <w:t>Prepaid expenses and other current assets consist of the following (in thousands):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August 3,</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February 2,</w:t>
            </w:r>
          </w:p>
        </w:tc>
        <w:tc>
          <w:tcPr>
            <w:tcW w:w="26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August 4,</w:t>
            </w:r>
          </w:p>
        </w:tc>
      </w:t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Prepaid occupancy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7,137</w:t>
            </w: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Prepaid income taxes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2,245</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5,292</w:t>
            </w:r>
          </w:p>
        </w:tc>
      </w:tr>
      <w:tr>
        <w:trPr>
          <w:trHeight w:val="20"/>
        </w:trPr>
        <w:tc>
          <w:tcPr>
            <w:tcW w:w="860" w:type="dxa"/>
            <w:vAlign w:val="bottom"/>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6,889</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12,960</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13,686</w:t>
            </w:r>
          </w:p>
        </w:tc>
      </w:tr>
      <w:tr>
        <w:trPr>
          <w:trHeight w:val="20"/>
        </w:trPr>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45"/>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00" w:lineRule="exact"/>
        <w:rPr>
          <w:rFonts w:ascii="Arial" w:cs="Arial" w:eastAsia="Arial" w:hAnsi="Arial"/>
          <w:sz w:val="18"/>
          <w:szCs w:val="18"/>
          <w:color w:val="auto"/>
        </w:rPr>
      </w:pPr>
    </w:p>
    <w:p>
      <w:pPr>
        <w:spacing w:after="0" w:line="26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August 3,</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February 2,</w:t>
            </w:r>
          </w:p>
        </w:tc>
        <w:tc>
          <w:tcPr>
            <w:tcW w:w="26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August 4,</w:t>
            </w:r>
          </w:p>
        </w:tc>
      </w:tr>
      <w:tr>
        <w:trPr>
          <w:trHeight w:val="234"/>
        </w:trPr>
        <w:tc>
          <w:tcPr>
            <w:tcW w:w="2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2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6,093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w:t>
            </w:r>
          </w:p>
        </w:tc>
      </w:tr>
      <w:tr>
        <w:trPr>
          <w:trHeight w:val="216"/>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Sales tax payable</w:t>
            </w:r>
          </w:p>
        </w:tc>
        <w:tc>
          <w:tcPr>
            <w:tcW w:w="1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1,826</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1,286</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r>
      <w:tr>
        <w:trPr>
          <w:trHeight w:val="216"/>
        </w:trPr>
        <w:tc>
          <w:tcPr>
            <w:tcW w:w="2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 (1)</w:t>
            </w:r>
          </w:p>
        </w:tc>
        <w:tc>
          <w:tcPr>
            <w:tcW w:w="1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w:t>
            </w:r>
          </w:p>
        </w:tc>
      </w:tr>
      <w:tr>
        <w:trPr>
          <w:trHeight w:val="216"/>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16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0"/>
        </w:trPr>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0" w:type="dxa"/>
            <w:vAlign w:val="bottom"/>
          </w:tcPr>
          <w:p>
            <w:pPr>
              <w:spacing w:after="0"/>
              <w:rPr>
                <w:sz w:val="19"/>
                <w:szCs w:val="19"/>
                <w:color w:val="auto"/>
              </w:rPr>
            </w:pPr>
          </w:p>
        </w:tc>
        <w:tc>
          <w:tcPr>
            <w:tcW w:w="4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8,622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12,482</w:t>
            </w:r>
          </w:p>
        </w:tc>
      </w:tr>
      <w:tr>
        <w:trPr>
          <w:trHeight w:val="20"/>
        </w:trPr>
        <w:tc>
          <w:tcPr>
            <w:tcW w:w="20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20" w:hanging="345"/>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Company's Third Amended and Restated 2004 Stock Incentive Plan that on or after March 21, 2017 may be forfeited, expire or be settled for cash.</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For the thirteen and twenty-six weeks ended August 3, 2019, selling, general and administrative expense included $0.7 million and $1.5 million, respectively, of stock-based compensation expense. For the thirteen and twenty-six weeks ended August 4, 2018 , selling, general and administrative expense includes $0.9 million and $1.7 million, respectively, of stock-based compensation expense. As of August 3, 2019, there was $3.9 million of total unrecognized compensation expense related to unvested restricted stock and option awards which is expected to be recognized over a weighted-average period of 1.5 years.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23" w:right="31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following table is a summary of the balances and activity for stock options for the twenty-six weeks ended August 3,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Options</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6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632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Exercise Price</w:t>
            </w:r>
          </w:p>
        </w:tc>
        <w:tc>
          <w:tcPr>
            <w:tcW w:w="8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2,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950,678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7.21</w:t>
            </w:r>
          </w:p>
        </w:tc>
      </w:tr>
      <w:tr>
        <w:trPr>
          <w:trHeight w:val="20"/>
        </w:trPr>
        <w:tc>
          <w:tcPr>
            <w:tcW w:w="63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Outstanding, August 3, 2019</w:t>
            </w:r>
          </w:p>
        </w:tc>
        <w:tc>
          <w:tcPr>
            <w:tcW w:w="1560" w:type="dxa"/>
            <w:vAlign w:val="bottom"/>
          </w:tcPr>
          <w:p>
            <w:pPr>
              <w:jc w:val="right"/>
              <w:spacing w:after="0"/>
              <w:rPr>
                <w:sz w:val="20"/>
                <w:szCs w:val="20"/>
                <w:color w:val="auto"/>
              </w:rPr>
            </w:pPr>
            <w:r>
              <w:rPr>
                <w:rFonts w:ascii="Arial" w:cs="Arial" w:eastAsia="Arial" w:hAnsi="Arial"/>
                <w:sz w:val="18"/>
                <w:szCs w:val="18"/>
                <w:color w:val="auto"/>
              </w:rPr>
              <w:t>923,715</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9.76</w:t>
            </w:r>
          </w:p>
        </w:tc>
      </w:tr>
      <w:tr>
        <w:trPr>
          <w:trHeight w:val="20"/>
        </w:trPr>
        <w:tc>
          <w:tcPr>
            <w:tcW w:w="6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twenty-six weeks ended August 3,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ind w:left="80"/>
              <w:spacing w:after="0"/>
              <w:rPr>
                <w:sz w:val="20"/>
                <w:szCs w:val="20"/>
                <w:color w:val="auto"/>
              </w:rPr>
            </w:pPr>
            <w:r>
              <w:rPr>
                <w:rFonts w:ascii="Arial" w:cs="Arial" w:eastAsia="Arial" w:hAnsi="Arial"/>
                <w:sz w:val="18"/>
                <w:szCs w:val="18"/>
                <w:b w:val="1"/>
                <w:bCs w:val="1"/>
                <w:color w:val="auto"/>
                <w:w w:val="95"/>
              </w:rPr>
              <w:t>Performance-Based Restricted</w:t>
            </w:r>
          </w:p>
        </w:tc>
      </w:tr>
      <w:tr>
        <w:trPr>
          <w:trHeight w:val="234"/>
        </w:trPr>
        <w:tc>
          <w:tcPr>
            <w:tcW w:w="6080" w:type="dxa"/>
            <w:vAlign w:val="bottom"/>
          </w:tcPr>
          <w:p>
            <w:pPr>
              <w:spacing w:after="0"/>
              <w:rPr>
                <w:sz w:val="20"/>
                <w:szCs w:val="20"/>
                <w:color w:val="auto"/>
              </w:rPr>
            </w:pPr>
          </w:p>
        </w:tc>
        <w:tc>
          <w:tcPr>
            <w:tcW w:w="2740" w:type="dxa"/>
            <w:vAlign w:val="bottom"/>
            <w:gridSpan w:val="6"/>
          </w:tcPr>
          <w:p>
            <w:pPr>
              <w:ind w:left="140"/>
              <w:spacing w:after="0"/>
              <w:rPr>
                <w:sz w:val="20"/>
                <w:szCs w:val="20"/>
                <w:color w:val="auto"/>
              </w:rPr>
            </w:pPr>
            <w:r>
              <w:rPr>
                <w:rFonts w:ascii="Arial" w:cs="Arial" w:eastAsia="Arial" w:hAnsi="Arial"/>
                <w:sz w:val="18"/>
                <w:szCs w:val="18"/>
                <w:b w:val="1"/>
                <w:bCs w:val="1"/>
                <w:color w:val="auto"/>
              </w:rPr>
              <w:t>Time-Based Restricted Stock</w:t>
            </w:r>
          </w:p>
        </w:tc>
        <w:tc>
          <w:tcPr>
            <w:tcW w:w="15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Stock</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0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Grant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Date Fair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608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February 2, 2019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379,778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319,831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95,811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(14,345)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Outstanding, August 3, 2019</w:t>
            </w:r>
          </w:p>
        </w:tc>
        <w:tc>
          <w:tcPr>
            <w:tcW w:w="1160" w:type="dxa"/>
            <w:vAlign w:val="bottom"/>
          </w:tcPr>
          <w:p>
            <w:pPr>
              <w:jc w:val="right"/>
              <w:spacing w:after="0"/>
              <w:rPr>
                <w:sz w:val="20"/>
                <w:szCs w:val="20"/>
                <w:color w:val="auto"/>
              </w:rPr>
            </w:pPr>
            <w:r>
              <w:rPr>
                <w:rFonts w:ascii="Arial" w:cs="Arial" w:eastAsia="Arial" w:hAnsi="Arial"/>
                <w:sz w:val="18"/>
                <w:szCs w:val="18"/>
                <w:color w:val="auto"/>
              </w:rPr>
              <w:t>467,806</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262,964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7.59</w:t>
            </w:r>
          </w:p>
        </w:tc>
      </w:tr>
      <w:tr>
        <w:trPr>
          <w:trHeight w:val="20"/>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total fair value of shares vested during the twenty-six weeks ended August 3, 2019 and August 4, 2018 was $2.1 million and $2.2 million, respectively.</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April 2019, the Company awarded three-year performance-based restricted stock subject to the achievement of pre-established consolidated pre-tax income growth objectives for fiscal 2019, 2020 and 2021. In 2018, the Company awarded three-year performance-based restricted stock subject to the achievement of pre-established consolidated total pre-tax income growth objectives for fiscal 2018, 2019 and 2020. In addition, the Company awarded three-year performance-based restricted stock subject to the achievement of pre-established consolidated revenue growth objectives for fiscal 2018, 2019 and 2020. In 2017, the Company awarded three-year performance-based restricted stock subject to the achievement of pre-established pre-tax income growth objectives for 2017, 2018 and 2019. The shares for all these awards if earned, have a payout opportunity ranging from 25% to 200% of the target number of shares.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performance shares as of August 3, 2019 consist of the following:</w:t>
      </w:r>
    </w:p>
    <w:p>
      <w:pPr>
        <w:spacing w:after="0" w:line="221"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Performance</w:t>
      </w:r>
    </w:p>
    <w:p>
      <w:pPr>
        <w:spacing w:after="0" w:line="27"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5715</wp:posOffset>
            </wp:positionV>
            <wp:extent cx="977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24" w:lineRule="exact"/>
        <w:rPr>
          <w:sz w:val="20"/>
          <w:szCs w:val="20"/>
          <w:color w:val="auto"/>
        </w:rPr>
      </w:pPr>
    </w:p>
    <w:p>
      <w:pPr>
        <w:ind w:left="180" w:right="3420" w:hanging="161"/>
        <w:spacing w:after="0" w:line="288" w:lineRule="auto"/>
        <w:rPr>
          <w:sz w:val="20"/>
          <w:szCs w:val="20"/>
          <w:color w:val="auto"/>
        </w:rPr>
      </w:pPr>
      <w:r>
        <w:rPr>
          <w:rFonts w:ascii="Arial" w:cs="Arial" w:eastAsia="Arial" w:hAnsi="Arial"/>
          <w:sz w:val="16"/>
          <w:szCs w:val="16"/>
          <w:color w:val="auto"/>
        </w:rPr>
        <w:t>Unearned shares subject to performance-based restrictions at target: 2017 - 2019 consolidated pre-tax income growth objectives 2018 - 2020 consolidated total revenue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61575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61575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7"/>
          <w:szCs w:val="17"/>
          <w:color w:val="auto"/>
        </w:rPr>
        <w:t>2018 - 2020 consolidated pre-tax income growth objectives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2019 - 2021 consolidated pre-tax income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15759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outstanding, August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15759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83,897</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20,756</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62,500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95,811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262,964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29210</wp:posOffset>
            </wp:positionV>
            <wp:extent cx="977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46355</wp:posOffset>
            </wp:positionV>
            <wp:extent cx="977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8300" w:space="720"/>
            <w:col w:w="2400"/>
          </w:cols>
          <w:pgMar w:left="240" w:top="584"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effective tax rate was -65.1% and 101.7% for the thirteen and twenty-six weeks ended August 3, 2019, respectively, compared to 29.3% and 23.9% for the thirteen and twenty-six weeks ended August 4, 2018, respectively. The 2019 effective tax rate for both periods differs from the statutory rate of 21% primarily due to the valuation allowance being recorded in certain foreign loss jurisdictions and the $0.2 million negative tax impact of equity awards. The 2018 effective tax rate differed from the statutory rate of 21% primarily due to the forecasted jurisdictional mix of earnings.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changes in stockholders’ equity (in thousands) for the thirteen weeks ended August 3, 2019 and August 4,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40" w:type="dxa"/>
            <w:vAlign w:val="bottom"/>
            <w:gridSpan w:val="16"/>
          </w:tcPr>
          <w:p>
            <w:pPr>
              <w:jc w:val="right"/>
              <w:ind w:right="680"/>
              <w:spacing w:after="0"/>
              <w:rPr>
                <w:sz w:val="20"/>
                <w:szCs w:val="20"/>
                <w:color w:val="auto"/>
              </w:rPr>
            </w:pPr>
            <w:r>
              <w:rPr>
                <w:rFonts w:ascii="Arial" w:cs="Arial" w:eastAsia="Arial" w:hAnsi="Arial"/>
                <w:sz w:val="18"/>
                <w:szCs w:val="18"/>
                <w:b w:val="1"/>
                <w:bCs w:val="1"/>
                <w:color w:val="auto"/>
                <w:w w:val="98"/>
              </w:rPr>
              <w:t>For the thirteen weeks ended August 3, 2019</w:t>
            </w:r>
          </w:p>
        </w:tc>
        <w:tc>
          <w:tcPr>
            <w:tcW w:w="120" w:type="dxa"/>
            <w:vAlign w:val="bottom"/>
          </w:tcPr>
          <w:p>
            <w:pPr>
              <w:spacing w:after="0"/>
              <w:rPr>
                <w:sz w:val="20"/>
                <w:szCs w:val="20"/>
                <w:color w:val="auto"/>
              </w:rPr>
            </w:pPr>
          </w:p>
        </w:tc>
        <w:tc>
          <w:tcPr>
            <w:tcW w:w="4300" w:type="dxa"/>
            <w:vAlign w:val="bottom"/>
            <w:gridSpan w:val="13"/>
          </w:tcPr>
          <w:p>
            <w:pPr>
              <w:jc w:val="center"/>
              <w:ind w:right="220"/>
              <w:spacing w:after="0"/>
              <w:rPr>
                <w:sz w:val="20"/>
                <w:szCs w:val="20"/>
                <w:color w:val="auto"/>
              </w:rPr>
            </w:pPr>
            <w:r>
              <w:rPr>
                <w:rFonts w:ascii="Arial" w:cs="Arial" w:eastAsia="Arial" w:hAnsi="Arial"/>
                <w:sz w:val="18"/>
                <w:szCs w:val="18"/>
                <w:b w:val="1"/>
                <w:bCs w:val="1"/>
                <w:color w:val="auto"/>
                <w:w w:val="89"/>
              </w:rPr>
              <w:t>For the thirteen weeks ended August 4, 2018</w:t>
            </w:r>
          </w:p>
        </w:tc>
        <w:tc>
          <w:tcPr>
            <w:tcW w:w="0" w:type="dxa"/>
            <w:vAlign w:val="bottom"/>
          </w:tcPr>
          <w:p>
            <w:pPr>
              <w:spacing w:after="0"/>
              <w:rPr>
                <w:sz w:val="1"/>
                <w:szCs w:val="1"/>
                <w:color w:val="auto"/>
              </w:rPr>
            </w:pPr>
          </w:p>
        </w:tc>
      </w:tr>
      <w:tr>
        <w:trPr>
          <w:trHeight w:val="426"/>
        </w:trPr>
        <w:tc>
          <w:tcPr>
            <w:tcW w:w="2440" w:type="dxa"/>
            <w:vAlign w:val="bottom"/>
          </w:tcPr>
          <w:p>
            <w:pPr>
              <w:spacing w:after="0"/>
              <w:rPr>
                <w:sz w:val="24"/>
                <w:szCs w:val="24"/>
                <w:color w:val="auto"/>
              </w:rPr>
            </w:pP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AOCI</w:t>
            </w:r>
          </w:p>
        </w:tc>
        <w:tc>
          <w:tcPr>
            <w:tcW w:w="8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APIC</w:t>
            </w: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AOCI</w:t>
            </w: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APIC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69,550</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(12,123)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30,861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88,437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66,908</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(11,546)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55,904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$ 111,417</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Share repurchase and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retirement</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w w:val="96"/>
              </w:rPr>
              <w:t>Shares issued under employee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stock plans</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44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1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w:t>
            </w: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544</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(468)</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90"/>
        </w:trPr>
        <w:tc>
          <w:tcPr>
            <w:tcW w:w="244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Net loss</w:t>
            </w:r>
          </w:p>
        </w:tc>
        <w:tc>
          <w:tcPr>
            <w:tcW w:w="120" w:type="dxa"/>
            <w:vAlign w:val="bottom"/>
            <w:tcBorders>
              <w:right w:val="single" w:sz="8" w:color="auto"/>
            </w:tcBorders>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(1,224)</w:t>
            </w:r>
          </w:p>
        </w:tc>
        <w:tc>
          <w:tcPr>
            <w:tcW w:w="12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7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(1,800)</w:t>
            </w: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440" w:type="dxa"/>
            <w:vAlign w:val="bottom"/>
            <w:tcBorders>
              <w:right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Balance, ending</w:t>
            </w:r>
          </w:p>
        </w:tc>
        <w:tc>
          <w:tcPr>
            <w:tcW w:w="120" w:type="dxa"/>
            <w:vAlign w:val="bottom"/>
            <w:tcBorders>
              <w:right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line="19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color w:val="auto"/>
                <w:w w:val="98"/>
              </w:rPr>
              <w:t>70,295</w:t>
            </w:r>
          </w:p>
        </w:tc>
        <w:tc>
          <w:tcPr>
            <w:tcW w:w="1000" w:type="dxa"/>
            <w:vAlign w:val="bottom"/>
            <w:gridSpan w:val="3"/>
            <w:shd w:val="clear" w:color="auto" w:fill="CCEEFF"/>
          </w:tcPr>
          <w:p>
            <w:pPr>
              <w:jc w:val="right"/>
              <w:ind w:right="140"/>
              <w:spacing w:after="0" w:line="193" w:lineRule="exact"/>
              <w:rPr>
                <w:sz w:val="20"/>
                <w:szCs w:val="20"/>
                <w:color w:val="auto"/>
              </w:rPr>
            </w:pPr>
            <w:r>
              <w:rPr>
                <w:rFonts w:ascii="Arial" w:cs="Arial" w:eastAsia="Arial" w:hAnsi="Arial"/>
                <w:sz w:val="18"/>
                <w:szCs w:val="18"/>
                <w:color w:val="auto"/>
              </w:rPr>
              <w:t>$ (11,579)</w:t>
            </w:r>
          </w:p>
        </w:tc>
        <w:tc>
          <w:tcPr>
            <w:tcW w:w="1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line="193" w:lineRule="exact"/>
              <w:rPr>
                <w:sz w:val="20"/>
                <w:szCs w:val="20"/>
                <w:color w:val="auto"/>
              </w:rPr>
            </w:pPr>
            <w:r>
              <w:rPr>
                <w:rFonts w:ascii="Arial" w:cs="Arial" w:eastAsia="Arial" w:hAnsi="Arial"/>
                <w:sz w:val="18"/>
                <w:szCs w:val="18"/>
                <w:color w:val="auto"/>
                <w:w w:val="98"/>
              </w:rPr>
              <w:t>29,637</w:t>
            </w:r>
          </w:p>
        </w:tc>
        <w:tc>
          <w:tcPr>
            <w:tcW w:w="180" w:type="dxa"/>
            <w:vAlign w:val="bottom"/>
            <w:gridSpan w:val="2"/>
            <w:shd w:val="clear" w:color="auto" w:fill="CCEEFF"/>
          </w:tcPr>
          <w:p>
            <w:pPr>
              <w:jc w:val="right"/>
              <w:ind w:right="20"/>
              <w:spacing w:after="0" w:line="193"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line="193" w:lineRule="exact"/>
              <w:rPr>
                <w:sz w:val="20"/>
                <w:szCs w:val="20"/>
                <w:color w:val="auto"/>
              </w:rPr>
            </w:pPr>
            <w:r>
              <w:rPr>
                <w:rFonts w:ascii="Arial" w:cs="Arial" w:eastAsia="Arial" w:hAnsi="Arial"/>
                <w:sz w:val="18"/>
                <w:szCs w:val="18"/>
                <w:color w:val="auto"/>
                <w:w w:val="98"/>
              </w:rPr>
              <w:t>88,505</w:t>
            </w:r>
          </w:p>
        </w:tc>
        <w:tc>
          <w:tcPr>
            <w:tcW w:w="1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line="193" w:lineRule="exact"/>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line="193" w:lineRule="exact"/>
              <w:rPr>
                <w:sz w:val="20"/>
                <w:szCs w:val="20"/>
                <w:color w:val="auto"/>
              </w:rPr>
            </w:pPr>
            <w:r>
              <w:rPr>
                <w:rFonts w:ascii="Arial" w:cs="Arial" w:eastAsia="Arial" w:hAnsi="Arial"/>
                <w:sz w:val="18"/>
                <w:szCs w:val="18"/>
                <w:color w:val="auto"/>
              </w:rPr>
              <w:t>67,383</w:t>
            </w:r>
          </w:p>
        </w:tc>
        <w:tc>
          <w:tcPr>
            <w:tcW w:w="960" w:type="dxa"/>
            <w:vAlign w:val="bottom"/>
            <w:gridSpan w:val="3"/>
            <w:shd w:val="clear" w:color="auto" w:fill="CCEEFF"/>
          </w:tcPr>
          <w:p>
            <w:pPr>
              <w:jc w:val="right"/>
              <w:ind w:right="160"/>
              <w:spacing w:after="0" w:line="193" w:lineRule="exact"/>
              <w:rPr>
                <w:sz w:val="20"/>
                <w:szCs w:val="20"/>
                <w:color w:val="auto"/>
              </w:rPr>
            </w:pPr>
            <w:r>
              <w:rPr>
                <w:rFonts w:ascii="Arial" w:cs="Arial" w:eastAsia="Arial" w:hAnsi="Arial"/>
                <w:sz w:val="18"/>
                <w:szCs w:val="18"/>
                <w:color w:val="auto"/>
                <w:w w:val="95"/>
              </w:rPr>
              <w:t>$ (12,015)</w:t>
            </w:r>
          </w:p>
        </w:tc>
        <w:tc>
          <w:tcPr>
            <w:tcW w:w="1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line="193" w:lineRule="exact"/>
              <w:rPr>
                <w:sz w:val="20"/>
                <w:szCs w:val="20"/>
                <w:color w:val="auto"/>
              </w:rPr>
            </w:pPr>
            <w:r>
              <w:rPr>
                <w:rFonts w:ascii="Arial" w:cs="Arial" w:eastAsia="Arial" w:hAnsi="Arial"/>
                <w:sz w:val="18"/>
                <w:szCs w:val="18"/>
                <w:color w:val="auto"/>
                <w:w w:val="98"/>
              </w:rPr>
              <w:t>53,811</w:t>
            </w:r>
          </w:p>
        </w:tc>
        <w:tc>
          <w:tcPr>
            <w:tcW w:w="82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8"/>
                <w:szCs w:val="18"/>
                <w:color w:val="auto"/>
                <w:w w:val="87"/>
              </w:rPr>
              <w:t>$ 109,329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6"/>
          <w:szCs w:val="16"/>
          <w:color w:val="auto"/>
        </w:rPr>
        <w:t>The following table sets forth the changes in stockholders’ equity (in thousands) for the twenty-six week periods ended August 3, 2019 and August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4,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13"/>
          </w:tcPr>
          <w:p>
            <w:pPr>
              <w:jc w:val="right"/>
              <w:ind w:right="520"/>
              <w:spacing w:after="0"/>
              <w:rPr>
                <w:sz w:val="20"/>
                <w:szCs w:val="20"/>
                <w:color w:val="auto"/>
              </w:rPr>
            </w:pPr>
            <w:r>
              <w:rPr>
                <w:rFonts w:ascii="Arial" w:cs="Arial" w:eastAsia="Arial" w:hAnsi="Arial"/>
                <w:sz w:val="18"/>
                <w:szCs w:val="18"/>
                <w:b w:val="1"/>
                <w:bCs w:val="1"/>
                <w:color w:val="auto"/>
                <w:w w:val="93"/>
              </w:rPr>
              <w:t>For the twenty-six weeks ended August 3, 2019</w:t>
            </w:r>
          </w:p>
        </w:tc>
        <w:tc>
          <w:tcPr>
            <w:tcW w:w="120" w:type="dxa"/>
            <w:vAlign w:val="bottom"/>
          </w:tcPr>
          <w:p>
            <w:pPr>
              <w:spacing w:after="0"/>
              <w:rPr>
                <w:sz w:val="20"/>
                <w:szCs w:val="20"/>
                <w:color w:val="auto"/>
              </w:rPr>
            </w:pPr>
          </w:p>
        </w:tc>
        <w:tc>
          <w:tcPr>
            <w:tcW w:w="4300" w:type="dxa"/>
            <w:vAlign w:val="bottom"/>
            <w:gridSpan w:val="13"/>
          </w:tcPr>
          <w:p>
            <w:pPr>
              <w:jc w:val="center"/>
              <w:ind w:right="220"/>
              <w:spacing w:after="0"/>
              <w:rPr>
                <w:sz w:val="20"/>
                <w:szCs w:val="20"/>
                <w:color w:val="auto"/>
              </w:rPr>
            </w:pPr>
            <w:r>
              <w:rPr>
                <w:rFonts w:ascii="Arial" w:cs="Arial" w:eastAsia="Arial" w:hAnsi="Arial"/>
                <w:sz w:val="18"/>
                <w:szCs w:val="18"/>
                <w:b w:val="1"/>
                <w:bCs w:val="1"/>
                <w:color w:val="auto"/>
                <w:w w:val="89"/>
              </w:rPr>
              <w:t>For the twenty-six weeks ended August 4, 2018</w:t>
            </w:r>
          </w:p>
        </w:tc>
        <w:tc>
          <w:tcPr>
            <w:tcW w:w="0" w:type="dxa"/>
            <w:vAlign w:val="bottom"/>
          </w:tcPr>
          <w:p>
            <w:pPr>
              <w:spacing w:after="0"/>
              <w:rPr>
                <w:sz w:val="1"/>
                <w:szCs w:val="1"/>
                <w:color w:val="auto"/>
              </w:rPr>
            </w:pPr>
          </w:p>
        </w:tc>
      </w:tr>
      <w:tr>
        <w:trPr>
          <w:trHeight w:val="426"/>
        </w:trPr>
        <w:tc>
          <w:tcPr>
            <w:tcW w:w="2580" w:type="dxa"/>
            <w:vAlign w:val="bottom"/>
          </w:tcPr>
          <w:p>
            <w:pPr>
              <w:spacing w:after="0"/>
              <w:rPr>
                <w:sz w:val="24"/>
                <w:szCs w:val="24"/>
                <w:color w:val="auto"/>
              </w:rPr>
            </w:pPr>
          </w:p>
        </w:tc>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APIC</w:t>
            </w: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AOCI</w:t>
            </w:r>
          </w:p>
        </w:tc>
        <w:tc>
          <w:tcPr>
            <w:tcW w:w="98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APIC</w:t>
            </w: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rPr>
              <w:t>AOCI</w:t>
            </w: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earnings</w:t>
            </w:r>
          </w:p>
        </w:tc>
        <w:tc>
          <w:tcPr>
            <w:tcW w:w="220" w:type="dxa"/>
            <w:vAlign w:val="bottom"/>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$ 69,088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(12,018)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37,094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$ 94,314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66,843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(10,800)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55,909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$ 112,102</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Adoption of new accounting</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standard</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(7,430)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$ 69,088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(12,018)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29,664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2"/>
              </w:rPr>
              <w:t>$ 86,884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66,843</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 (10,800)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55,909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$ 112,102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w w:val="96"/>
              </w:rPr>
              <w:t>Share repurchase and retirement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(791)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rPr>
              <w:t>Shares issued under employee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stock plans</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(246)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20" w:type="dxa"/>
            <w:vAlign w:val="bottom"/>
            <w:shd w:val="clear" w:color="auto" w:fill="CCEEFF"/>
          </w:tcPr>
          <w:p>
            <w:pPr>
              <w:spacing w:after="0"/>
              <w:rPr>
                <w:sz w:val="20"/>
                <w:szCs w:val="20"/>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(1,215)</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$ 70,295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(11,579)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29,637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$ 88,505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67,383</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 (12,015)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53,811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$ 109,329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11"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August 2017, the Company’s Board of Directors authorized a share repurchase program of up to $20.0 million. From the date of such authorization through August 3, 2019, the Company has repurchased approximately 1.3 million shares at an average price of $8.75 per share for an aggregate amount of approximately $11.2 million, leaving approximately $8.8 million authorized under the program as of that date.</w:t>
      </w: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(in thousands, except share and per share data), in periods of net loss, no effect is given to the Company’s participating securities as they do not contractually participate in the losses of the Company:</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7"/>
              </w:rPr>
              <w:t>Thirteen weeks ended</w:t>
            </w:r>
          </w:p>
        </w:tc>
        <w:tc>
          <w:tcPr>
            <w:tcW w:w="120" w:type="dxa"/>
            <w:vAlign w:val="bottom"/>
          </w:tcPr>
          <w:p>
            <w:pPr>
              <w:spacing w:after="0"/>
              <w:rPr>
                <w:sz w:val="20"/>
                <w:szCs w:val="20"/>
                <w:color w:val="auto"/>
              </w:rPr>
            </w:pPr>
          </w:p>
        </w:tc>
        <w:tc>
          <w:tcPr>
            <w:tcW w:w="22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Twenty-six weeks ended</w:t>
            </w:r>
          </w:p>
        </w:tc>
        <w:tc>
          <w:tcPr>
            <w:tcW w:w="0" w:type="dxa"/>
            <w:vAlign w:val="bottom"/>
          </w:tcPr>
          <w:p>
            <w:pPr>
              <w:spacing w:after="0"/>
              <w:rPr>
                <w:sz w:val="1"/>
                <w:szCs w:val="1"/>
                <w:color w:val="auto"/>
              </w:rPr>
            </w:pPr>
          </w:p>
        </w:tc>
      </w:tr>
      <w:tr>
        <w:trPr>
          <w:trHeight w:val="191"/>
        </w:trPr>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August 3,</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0"/>
              </w:rPr>
              <w:t>August 4,</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0"/>
              </w:rPr>
              <w:t>August 3,</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0"/>
              </w:rPr>
              <w:t>August 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160"/>
              <w:spacing w:after="0" w:line="201" w:lineRule="exact"/>
              <w:rPr>
                <w:sz w:val="20"/>
                <w:szCs w:val="20"/>
                <w:color w:val="auto"/>
              </w:rPr>
            </w:pPr>
            <w:r>
              <w:rPr>
                <w:rFonts w:ascii="Arial" w:cs="Arial" w:eastAsia="Arial" w:hAnsi="Arial"/>
                <w:sz w:val="18"/>
                <w:szCs w:val="18"/>
                <w:color w:val="auto"/>
              </w:rPr>
              <w:t>Net income (loss) before allocation of earnings to participating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Weighted average number of common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14,726,678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14,618,582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14,669,626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14,600,578</w:t>
            </w:r>
          </w:p>
        </w:tc>
        <w:tc>
          <w:tcPr>
            <w:tcW w:w="0" w:type="dxa"/>
            <w:vAlign w:val="bottom"/>
          </w:tcPr>
          <w:p>
            <w:pPr>
              <w:spacing w:after="0"/>
              <w:rPr>
                <w:sz w:val="1"/>
                <w:szCs w:val="1"/>
                <w:color w:val="auto"/>
              </w:rPr>
            </w:pPr>
          </w:p>
        </w:tc>
      </w:tr>
      <w:tr>
        <w:trPr>
          <w:trHeight w:val="216"/>
        </w:trPr>
        <w:tc>
          <w:tcPr>
            <w:tcW w:w="530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Weighted average number of common shares outstanding - dilutive</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14,726,678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14,618,582</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14,669,626</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14,600,578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00" w:type="dxa"/>
            <w:vAlign w:val="bottom"/>
          </w:tcPr>
          <w:p>
            <w:pPr>
              <w:spacing w:after="0" w:line="182" w:lineRule="exact"/>
              <w:rPr>
                <w:sz w:val="20"/>
                <w:szCs w:val="20"/>
                <w:color w:val="auto"/>
              </w:rPr>
            </w:pPr>
            <w:r>
              <w:rPr>
                <w:rFonts w:ascii="Arial" w:cs="Arial" w:eastAsia="Arial" w:hAnsi="Arial"/>
                <w:sz w:val="18"/>
                <w:szCs w:val="18"/>
                <w:color w:val="auto"/>
                <w:w w:val="99"/>
              </w:rPr>
              <w:t>Basic income (loss) per common share attributable to Build-A-Bear</w:t>
            </w:r>
          </w:p>
        </w:tc>
        <w:tc>
          <w:tcPr>
            <w:tcW w:w="1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(0.08)</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(0.12)</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190"/>
        </w:trPr>
        <w:tc>
          <w:tcPr>
            <w:tcW w:w="5300" w:type="dxa"/>
            <w:vAlign w:val="bottom"/>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1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Diluted income (loss) per common share attributable to Build-A-Bear</w:t>
            </w:r>
          </w:p>
        </w:tc>
        <w:tc>
          <w:tcPr>
            <w:tcW w:w="14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calculating diluted income (loss) per share for the thirteen weeks ended August 3, 2019 and August 4, 2018, options to purchase 938,622 and 478,996; respectively, shares of common stock that were outstanding at the end of the period were not included in the computation of diluted income (loss) per share due to their anti-dilutive effect.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August 3, 2019 and August 4, 2018 was comprised entirely of foreign currency translation. For the thirteen weeks ended August 3, 2019 and August 4, 2018, there were no reclassifications out of accumulated other comprehensive loss.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U.S., Canada, China, Denmark,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Ireland and Denmark), Asia, Australia, the Middle East, Africa and Mexico.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International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Consumer</w:t>
            </w: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Commercial</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Franchising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August 3, 2019</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75,214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3,193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Thirteen weeks ended August 4, 2018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(3,148)</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Twenty-six weeks ended August 3, 2019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156,262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6,793</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August 4, 2018</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162,462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1,826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Assets as of:</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August 3, 2019 (1)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285,196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$ 299,194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August 4, 2018</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163,907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174,809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firstLine="8"/>
        <w:spacing w:after="0" w:line="261"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total assets when comparing August 3, 2019 to August 4, 2018 is the result of the adoption of Topic 842 on leases effective February 3, 2019.</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584" w:right="519" w:bottom="1440" w:gutter="0" w:footer="0" w:header="0"/>
        </w:sectPr>
      </w:pPr>
    </w:p>
    <w:bookmarkStart w:id="16" w:name="page17"/>
    <w:bookmarkEnd w:id="16"/>
    <w:p>
      <w:pPr>
        <w:ind w:right="260" w:firstLine="648"/>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59"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North</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center"/>
              <w:ind w:right="340"/>
              <w:spacing w:after="0" w:line="271" w:lineRule="exact"/>
              <w:rPr>
                <w:sz w:val="20"/>
                <w:szCs w:val="20"/>
                <w:color w:val="auto"/>
              </w:rPr>
            </w:pPr>
            <w:r>
              <w:rPr>
                <w:rFonts w:ascii="Arial" w:cs="Arial" w:eastAsia="Arial" w:hAnsi="Arial"/>
                <w:sz w:val="18"/>
                <w:szCs w:val="18"/>
                <w:b w:val="1"/>
                <w:bCs w:val="1"/>
                <w:color w:val="auto"/>
                <w:w w:val="85"/>
              </w:rPr>
              <w:t xml:space="preserve">America </w:t>
            </w:r>
            <w:r>
              <w:rPr>
                <w:rFonts w:ascii="Arial" w:cs="Arial" w:eastAsia="Arial" w:hAnsi="Arial"/>
                <w:sz w:val="30"/>
                <w:szCs w:val="30"/>
                <w:b w:val="1"/>
                <w:bCs w:val="1"/>
                <w:color w:val="auto"/>
                <w:w w:val="85"/>
                <w:vertAlign w:val="superscript"/>
              </w:rPr>
              <w:t>(1)</w:t>
            </w:r>
          </w:p>
        </w:tc>
        <w:tc>
          <w:tcPr>
            <w:tcW w:w="160" w:type="dxa"/>
            <w:vAlign w:val="bottom"/>
          </w:tcPr>
          <w:p>
            <w:pPr>
              <w:spacing w:after="0"/>
              <w:rPr>
                <w:sz w:val="23"/>
                <w:szCs w:val="23"/>
                <w:color w:val="auto"/>
              </w:rPr>
            </w:pPr>
          </w:p>
        </w:tc>
        <w:tc>
          <w:tcPr>
            <w:tcW w:w="1300" w:type="dxa"/>
            <w:vAlign w:val="bottom"/>
            <w:gridSpan w:val="2"/>
          </w:tcPr>
          <w:p>
            <w:pPr>
              <w:jc w:val="right"/>
              <w:ind w:right="440"/>
              <w:spacing w:after="0" w:line="271" w:lineRule="exact"/>
              <w:rPr>
                <w:sz w:val="20"/>
                <w:szCs w:val="20"/>
                <w:color w:val="auto"/>
              </w:rPr>
            </w:pPr>
            <w:r>
              <w:rPr>
                <w:rFonts w:ascii="Arial" w:cs="Arial" w:eastAsia="Arial" w:hAnsi="Arial"/>
                <w:sz w:val="18"/>
                <w:szCs w:val="18"/>
                <w:b w:val="1"/>
                <w:bCs w:val="1"/>
                <w:color w:val="auto"/>
                <w:w w:val="91"/>
              </w:rPr>
              <w:t xml:space="preserve">Europe </w:t>
            </w:r>
            <w:r>
              <w:rPr>
                <w:rFonts w:ascii="Arial" w:cs="Arial" w:eastAsia="Arial" w:hAnsi="Arial"/>
                <w:sz w:val="30"/>
                <w:szCs w:val="30"/>
                <w:b w:val="1"/>
                <w:bCs w:val="1"/>
                <w:color w:val="auto"/>
                <w:w w:val="91"/>
                <w:vertAlign w:val="superscript"/>
              </w:rPr>
              <w:t>(2)</w:t>
            </w:r>
          </w:p>
        </w:tc>
        <w:tc>
          <w:tcPr>
            <w:tcW w:w="180" w:type="dxa"/>
            <w:vAlign w:val="bottom"/>
          </w:tcPr>
          <w:p>
            <w:pPr>
              <w:spacing w:after="0"/>
              <w:rPr>
                <w:sz w:val="23"/>
                <w:szCs w:val="23"/>
                <w:color w:val="auto"/>
              </w:rPr>
            </w:pPr>
          </w:p>
        </w:tc>
        <w:tc>
          <w:tcPr>
            <w:tcW w:w="1140" w:type="dxa"/>
            <w:vAlign w:val="bottom"/>
            <w:gridSpan w:val="2"/>
          </w:tcPr>
          <w:p>
            <w:pPr>
              <w:jc w:val="right"/>
              <w:ind w:right="380"/>
              <w:spacing w:after="0" w:line="271" w:lineRule="exact"/>
              <w:rPr>
                <w:sz w:val="20"/>
                <w:szCs w:val="20"/>
                <w:color w:val="auto"/>
              </w:rPr>
            </w:pPr>
            <w:r>
              <w:rPr>
                <w:rFonts w:ascii="Arial" w:cs="Arial" w:eastAsia="Arial" w:hAnsi="Arial"/>
                <w:sz w:val="18"/>
                <w:szCs w:val="18"/>
                <w:b w:val="1"/>
                <w:bCs w:val="1"/>
                <w:color w:val="auto"/>
                <w:w w:val="95"/>
              </w:rPr>
              <w:t xml:space="preserve">Other </w:t>
            </w:r>
            <w:r>
              <w:rPr>
                <w:rFonts w:ascii="Arial" w:cs="Arial" w:eastAsia="Arial" w:hAnsi="Arial"/>
                <w:sz w:val="30"/>
                <w:szCs w:val="30"/>
                <w:b w:val="1"/>
                <w:bCs w:val="1"/>
                <w:color w:val="auto"/>
                <w:w w:val="95"/>
                <w:vertAlign w:val="superscript"/>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August 3, 2019</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68,456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August 4, 2018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71,964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Twenty-six weeks ended August 3, 2019</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59,008</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Twenty-six weeks ended August 4, 2018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Net sales to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141,932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23,430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66,606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North America includes corporately managed locations in the United States, Canada, Puerto Rico and franchise business in Mexico</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 includes corporately managed locations in the U.K., Ireland, Denmark and franchise businesses in Europe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 and a corporately-managed location in China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Assessments made by the U.K. customs authority in 2012 have been appealed by the Company, which has paid the disputed duty, strictly under protest, pending the outcome of the continuing dispute, and this is included in receivables, net in the DTC segment. The U. K. customs authority is contesting the Company's appeal. The Company maintains a provision against the related receivable, based on a current evaluation of collectability, using the latest facts available in the dispute. As of August 3, 2019, the Company had a gross receivable balance of $3.9 million and a reserve of $3.0 million, leaving a net receivable of $0.9 million. However, the Company continues to vigorously dispute the customs audit findings and believes that the outcome of this dispute will not have a material adverse impact on the results of operations, liquidity or financial position of the Company.</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left="140" w:right="280" w:firstLine="486"/>
        <w:spacing w:after="0" w:line="271" w:lineRule="auto"/>
        <w:rPr>
          <w:sz w:val="20"/>
          <w:szCs w:val="20"/>
          <w:color w:val="auto"/>
        </w:rPr>
      </w:pPr>
      <w:r>
        <w:rPr>
          <w:rFonts w:ascii="Arial" w:cs="Arial" w:eastAsia="Arial" w:hAnsi="Arial"/>
          <w:sz w:val="17"/>
          <w:szCs w:val="17"/>
          <w:color w:val="auto"/>
        </w:rPr>
        <w:t>On September 11, 2019, we entered into the twentieth amendment to this credit agreement with our lender. Under the twentieth amendment, the bank line provides availability of up to $20.0 million. Borrowings under the credit agreement are secured by our assets and a pledge of 66% of our ownership interest in certain of our foreign subsidiaries. The credit agreement expires on December 31,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The commitment fee is 0.25% per annum and borrowings bear interest at LIBOR plus 3.25%. Financial covenants include maintaining minimum thresholds for cumulative earnings before interest, depreciation and amortization (“EBITDA”) for the third quarter of fiscal 2019 (as defined by the credit agreement), maintaining minimum liquidity at all times,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7" w:name="page18"/>
    <w:bookmarkEnd w:id="17"/>
    <w:p>
      <w:pPr>
        <w:ind w:left="140" w:right="180" w:firstLine="486"/>
        <w:spacing w:after="0" w:line="286" w:lineRule="auto"/>
        <w:rPr>
          <w:sz w:val="20"/>
          <w:szCs w:val="20"/>
          <w:color w:val="auto"/>
        </w:rPr>
      </w:pPr>
      <w:r>
        <w:rPr>
          <w:rFonts w:ascii="Arial" w:cs="Arial" w:eastAsia="Arial" w:hAnsi="Arial"/>
          <w:sz w:val="17"/>
          <w:szCs w:val="17"/>
          <w:color w:val="auto"/>
        </w:rPr>
        <w:t>maintaining a minimum fixed charge coverage ratio effective in the fourth quarter of fiscal 2019 (as defined in the credit agreement) and not exceeding a maximum funded debt to EBITDA ratio as of the end of the fourth quarter of fiscal 2019 (as defined in the credit agreement). In addition, the company has a $1.0 million letter of credit against the line of credit at the end of the second quarter of fiscal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fiscal year ended February 2, 2019, as filed with the SEC, and include the following:</w:t>
      </w:r>
    </w:p>
    <w:p>
      <w:pPr>
        <w:spacing w:after="0" w:line="188" w:lineRule="exact"/>
        <w:rPr>
          <w:sz w:val="20"/>
          <w:szCs w:val="20"/>
          <w:color w:val="auto"/>
        </w:rPr>
      </w:pPr>
    </w:p>
    <w:p>
      <w:pPr>
        <w:ind w:left="820" w:right="180" w:hanging="353"/>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decline in general global economic conditions could lead to disproportionately reduced consumer demand for our products, which represent relatively discretionary spending, and have an adverse effect on our liquidity and profitability;</w:t>
      </w:r>
    </w:p>
    <w:p>
      <w:pPr>
        <w:spacing w:after="0" w:line="1" w:lineRule="exact"/>
        <w:rPr>
          <w:rFonts w:ascii="Arial" w:cs="Arial" w:eastAsia="Arial" w:hAnsi="Arial"/>
          <w:sz w:val="18"/>
          <w:szCs w:val="18"/>
          <w:color w:val="auto"/>
        </w:rPr>
      </w:pPr>
    </w:p>
    <w:p>
      <w:pPr>
        <w:ind w:left="820" w:hanging="353"/>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9" w:lineRule="exact"/>
        <w:rPr>
          <w:rFonts w:ascii="Arial" w:cs="Arial" w:eastAsia="Arial" w:hAnsi="Arial"/>
          <w:sz w:val="18"/>
          <w:szCs w:val="18"/>
          <w:color w:val="auto"/>
        </w:rPr>
      </w:pPr>
    </w:p>
    <w:p>
      <w:pPr>
        <w:ind w:left="820" w:right="20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we are located to attract guests to our stores and a decline in consumer traffic could adversely affect our financial performance and profitability;</w:t>
      </w:r>
    </w:p>
    <w:p>
      <w:pPr>
        <w:ind w:left="820" w:right="60" w:hanging="353"/>
        <w:spacing w:after="0" w:line="265"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jc w:val="both"/>
        <w:ind w:left="820" w:right="6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Arial" w:cs="Arial" w:eastAsia="Arial" w:hAnsi="Arial"/>
          <w:sz w:val="18"/>
          <w:szCs w:val="18"/>
          <w:color w:val="auto"/>
        </w:rPr>
      </w:pPr>
    </w:p>
    <w:p>
      <w:pPr>
        <w:ind w:left="820" w:right="14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820" w:right="4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820" w:right="24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Arial" w:cs="Arial" w:eastAsia="Arial" w:hAnsi="Arial"/>
          <w:sz w:val="18"/>
          <w:szCs w:val="18"/>
          <w:color w:val="auto"/>
        </w:rPr>
      </w:pPr>
    </w:p>
    <w:p>
      <w:pPr>
        <w:ind w:left="820" w:right="24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ind w:left="820" w:hanging="353"/>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82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Arial" w:cs="Arial" w:eastAsia="Arial" w:hAnsi="Arial"/>
          <w:sz w:val="18"/>
          <w:szCs w:val="18"/>
          <w:color w:val="auto"/>
        </w:rPr>
      </w:pPr>
    </w:p>
    <w:p>
      <w:pPr>
        <w:ind w:left="820" w:right="24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ind w:left="820" w:right="66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8"/>
          <w:szCs w:val="18"/>
          <w:color w:val="auto"/>
        </w:rPr>
      </w:pPr>
    </w:p>
    <w:p>
      <w:pPr>
        <w:ind w:left="820" w:right="260" w:hanging="353"/>
        <w:spacing w:after="0" w:line="265"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820" w:right="8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820" w:right="80" w:hanging="353"/>
        <w:spacing w:after="0" w:line="281"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820" w:right="400" w:hanging="353"/>
        <w:spacing w:after="0" w:line="250"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820" w:hanging="353"/>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18" w:name="page19"/>
    <w:bookmarkEnd w:id="18"/>
    <w:p>
      <w:pPr>
        <w:ind w:left="820" w:hanging="353"/>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23" w:lineRule="exact"/>
        <w:rPr>
          <w:rFonts w:ascii="Arial" w:cs="Arial" w:eastAsia="Arial" w:hAnsi="Arial"/>
          <w:sz w:val="18"/>
          <w:szCs w:val="18"/>
          <w:color w:val="auto"/>
        </w:rPr>
      </w:pPr>
    </w:p>
    <w:p>
      <w:pPr>
        <w:ind w:left="820" w:right="40" w:hanging="353"/>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820" w:right="140" w:hanging="353"/>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unsuccessful in acquiring businesses or engaging in other strategic transactions, which may negatively affect our financial condition and profitability;</w:t>
      </w:r>
    </w:p>
    <w:p>
      <w:pPr>
        <w:ind w:left="820" w:hanging="353"/>
        <w:spacing w:after="0" w:line="250"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operating results could reduce our cash flow and we may be unable to repurchase shares at all or at the times or in the amounts we desire or the results of our share repurchase program may not be as beneficial as we would like;</w:t>
      </w:r>
    </w:p>
    <w:p>
      <w:pPr>
        <w:ind w:left="820" w:hanging="353"/>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820" w:hanging="353"/>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market price of our common stock is subject to volatility, which could in turn attract the interest of activist shareholders; and</w:t>
      </w:r>
    </w:p>
    <w:p>
      <w:pPr>
        <w:spacing w:after="0" w:line="9" w:lineRule="exact"/>
        <w:rPr>
          <w:rFonts w:ascii="Arial" w:cs="Arial" w:eastAsia="Arial" w:hAnsi="Arial"/>
          <w:sz w:val="18"/>
          <w:szCs w:val="18"/>
          <w:color w:val="auto"/>
        </w:rPr>
      </w:pPr>
    </w:p>
    <w:p>
      <w:pPr>
        <w:ind w:left="820" w:right="140" w:hanging="353"/>
        <w:spacing w:after="0" w:line="290"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August 3, 2019, we operated 360 stores globally and had 95 franchised stores operating internationally under the Build-A-Bear Workshop brand. In addition to our stores, we sell products on our company-owned e-commerce sites and franchisee sites and through third parties under wholesale agreements.</w:t>
      </w:r>
    </w:p>
    <w:p>
      <w:pPr>
        <w:spacing w:after="0" w:line="15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660" w:right="8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U.S., Canada, Puerto Rico, the U.K., Ireland, Denmark and China and two e-commerce sites;</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 Transactions with other businesses, mainly comprised of wholesale product sales and licensing our intellectual property, including entertainment properties, for third-party use; and</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International franchising – Royalties as well as product and fixture sales from other international operations under franchise agreements.</w:t>
      </w:r>
    </w:p>
    <w:p>
      <w:pPr>
        <w:spacing w:after="0" w:line="24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twenty-six weeks ended August 3, 2019 and August 4, 2018 are set forth in the notes to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improve consolidated sales and profit through the following key initiatives:</w:t>
      </w:r>
    </w:p>
    <w:p>
      <w:pPr>
        <w:spacing w:after="0" w:line="225" w:lineRule="exact"/>
        <w:rPr>
          <w:sz w:val="20"/>
          <w:szCs w:val="20"/>
          <w:color w:val="auto"/>
        </w:rPr>
      </w:pPr>
    </w:p>
    <w:p>
      <w:pPr>
        <w:ind w:left="920" w:right="60" w:hanging="331"/>
        <w:spacing w:after="0" w:line="285"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Development of our experiential retail model to diversify and expand the impact and reach of our brand:</w:t>
      </w:r>
      <w:r>
        <w:rPr>
          <w:rFonts w:ascii="Arial" w:cs="Arial" w:eastAsia="Arial" w:hAnsi="Arial"/>
          <w:sz w:val="16"/>
          <w:szCs w:val="16"/>
          <w:color w:val="auto"/>
        </w:rPr>
        <w:t xml:space="preserve"> We expect to continue to diversify our real estate portfolio to focus on places where families are increasingly going to shop or going for entertainment. We have been actively identifying and securing more tourist locations. We also expect to continue to diversify our store portfolio inclusive of our lower capital, more flexible “concourse shop” model. We expect to continue to make select improvements to our aging store fleet by leveraging our Discovery format in conjunction with select natural lease events such as lease renewals or terminations. Overall, these reformatted locations continue to</w:t>
      </w:r>
    </w:p>
    <w:p>
      <w:pPr>
        <w:spacing w:after="0" w:line="2" w:lineRule="exact"/>
        <w:rPr>
          <w:sz w:val="20"/>
          <w:szCs w:val="20"/>
          <w:color w:val="auto"/>
        </w:rPr>
      </w:pPr>
    </w:p>
    <w:p>
      <w:pPr>
        <w:ind w:left="920" w:right="60"/>
        <w:spacing w:after="0" w:line="250" w:lineRule="auto"/>
        <w:rPr>
          <w:sz w:val="20"/>
          <w:szCs w:val="20"/>
          <w:color w:val="auto"/>
        </w:rPr>
      </w:pPr>
      <w:r>
        <w:rPr>
          <w:rFonts w:ascii="Arial" w:cs="Arial" w:eastAsia="Arial" w:hAnsi="Arial"/>
          <w:sz w:val="18"/>
          <w:szCs w:val="18"/>
          <w:color w:val="auto"/>
        </w:rPr>
        <w:t>perform ahead of heritage locations in both sales and profitability. In addition, we are actively working with a large retailer to expand our reach to a broader array of consumers. We expect to remain focused on significantly growing e-commerce sales.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9" w:name="page20"/>
    <w:bookmarkEnd w:id="19"/>
    <w:p>
      <w:pPr>
        <w:ind w:left="920" w:right="180" w:hanging="331"/>
        <w:spacing w:after="0" w:line="291"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Leverage the power of our brand and intellectual properties to build margin accretive revenue streams:</w:t>
      </w:r>
      <w:r>
        <w:rPr>
          <w:rFonts w:ascii="Arial" w:cs="Arial" w:eastAsia="Arial" w:hAnsi="Arial"/>
          <w:sz w:val="16"/>
          <w:szCs w:val="16"/>
          <w:color w:val="auto"/>
        </w:rPr>
        <w:t xml:space="preserve"> To meet the needs of our core consumer base (girls and boys ages 3 to 12) while systematically building secondary consumer segments (including collectors, gift-givers and teen-plus), we expect to continue to develop and expand offerings of successful intellectual properties balanced with core products and a comprehensive program of key licensed products. We expect to leverage the power of both our Build-A-Bear brand as well as our other intellectual properties to further develop our outbound licensed programs and expand these and other margin accretive revenue streams. We also expect to build the entertainment aspects of our business model as we continue to develop content to connect with consumers beyond our retail stores including mobile apps, music videos and other entertainment opportunities to increase engagement, improve efficiency and lead to profitable growth.</w:t>
      </w:r>
    </w:p>
    <w:p>
      <w:pPr>
        <w:spacing w:after="0" w:line="167" w:lineRule="exact"/>
        <w:rPr>
          <w:rFonts w:ascii="Arial" w:cs="Arial" w:eastAsia="Arial" w:hAnsi="Arial"/>
          <w:sz w:val="16"/>
          <w:szCs w:val="16"/>
          <w:color w:val="auto"/>
        </w:rPr>
      </w:pPr>
    </w:p>
    <w:p>
      <w:pPr>
        <w:ind w:left="920" w:right="60" w:hanging="331"/>
        <w:spacing w:after="0" w:line="25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Long-Term Profitability Improvement:</w:t>
      </w:r>
      <w:r>
        <w:rPr>
          <w:rFonts w:ascii="Arial" w:cs="Arial" w:eastAsia="Arial" w:hAnsi="Arial"/>
          <w:sz w:val="18"/>
          <w:szCs w:val="18"/>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b w:val="1"/>
                <w:bCs w:val="1"/>
                <w:color w:val="auto"/>
                <w:w w:val="88"/>
              </w:rPr>
              <w:t>Twenty-six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August 3, 2019</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August 4, 2018</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420" w:type="dxa"/>
            <w:vAlign w:val="bottom"/>
          </w:tcPr>
          <w:p>
            <w:pPr>
              <w:spacing w:after="0"/>
              <w:rPr>
                <w:sz w:val="16"/>
                <w:szCs w:val="16"/>
                <w:color w:val="auto"/>
              </w:rPr>
            </w:pPr>
          </w:p>
        </w:tc>
        <w:tc>
          <w:tcPr>
            <w:tcW w:w="118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North</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420" w:type="dxa"/>
            <w:vAlign w:val="bottom"/>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America</w:t>
            </w:r>
          </w:p>
        </w:tc>
        <w:tc>
          <w:tcPr>
            <w:tcW w:w="240" w:type="dxa"/>
            <w:vAlign w:val="bottom"/>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Europe</w:t>
            </w:r>
          </w:p>
        </w:tc>
        <w:tc>
          <w:tcPr>
            <w:tcW w:w="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Europe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Asia</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59</w:t>
            </w: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r>
      <w:tr>
        <w:trPr>
          <w:trHeight w:val="216"/>
        </w:trPr>
        <w:tc>
          <w:tcPr>
            <w:tcW w:w="2420" w:type="dxa"/>
            <w:vAlign w:val="bottom"/>
          </w:tcPr>
          <w:p>
            <w:pPr>
              <w:ind w:left="180"/>
              <w:spacing w:after="0"/>
              <w:rPr>
                <w:sz w:val="20"/>
                <w:szCs w:val="20"/>
                <w:color w:val="auto"/>
              </w:rPr>
            </w:pPr>
            <w:r>
              <w:rPr>
                <w:rFonts w:ascii="Arial" w:cs="Arial" w:eastAsia="Arial" w:hAnsi="Arial"/>
                <w:sz w:val="18"/>
                <w:szCs w:val="18"/>
                <w:color w:val="auto"/>
              </w:rPr>
              <w:t>Opened</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24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Arial" w:cs="Arial" w:eastAsia="Arial" w:hAnsi="Arial"/>
                <w:sz w:val="18"/>
                <w:szCs w:val="18"/>
                <w:color w:val="auto"/>
              </w:rPr>
              <w:t>End of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55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0"/>
        </w:trPr>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During 2019, we will continue to make improvements to our aged store fleet by leveraging the Discovery format in conjunction with select natural lease events. As of August 3, 2019, 38% of our store base was in an updated Discovery design. We also expect to close certain stores in accordance with natural lease events as an ongoing part of our real estate management and day-to-day operational plans. Current plans include expansion into more non-traditional locations, made possible in part by concourse shops and expansion in other locations outside traditional malls.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August 3, 2019, we had nine master franchise agreements, which typically grant franchise rights for a particular country or group of countries, covering an aggregate of 14 countries.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Twenty-six weeks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40" w:type="dxa"/>
            <w:vAlign w:val="bottom"/>
            <w:tcBorders>
              <w:top w:val="single" w:sz="8" w:color="auto"/>
            </w:tcBorders>
          </w:tcPr>
          <w:p>
            <w:pPr>
              <w:jc w:val="center"/>
              <w:ind w:left="230"/>
              <w:spacing w:after="0" w:line="191" w:lineRule="exact"/>
              <w:rPr>
                <w:sz w:val="20"/>
                <w:szCs w:val="20"/>
                <w:color w:val="auto"/>
              </w:rPr>
            </w:pPr>
            <w:r>
              <w:rPr>
                <w:rFonts w:ascii="Arial" w:cs="Arial" w:eastAsia="Arial" w:hAnsi="Arial"/>
                <w:sz w:val="18"/>
                <w:szCs w:val="18"/>
                <w:b w:val="1"/>
                <w:bCs w:val="1"/>
                <w:color w:val="auto"/>
                <w:w w:val="87"/>
              </w:rPr>
              <w:t>August 3,</w:t>
            </w:r>
          </w:p>
        </w:tc>
        <w:tc>
          <w:tcPr>
            <w:tcW w:w="3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August 4,</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20" w:type="dxa"/>
            <w:vAlign w:val="bottom"/>
            <w:gridSpan w:val="2"/>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00" w:type="dxa"/>
            <w:vAlign w:val="bottom"/>
            <w:gridSpan w:val="2"/>
          </w:tcPr>
          <w:p>
            <w:pPr>
              <w:ind w:left="160"/>
              <w:spacing w:after="0"/>
              <w:rPr>
                <w:sz w:val="20"/>
                <w:szCs w:val="20"/>
                <w:color w:val="auto"/>
              </w:rPr>
            </w:pPr>
            <w:r>
              <w:rPr>
                <w:rFonts w:ascii="Arial" w:cs="Arial" w:eastAsia="Arial" w:hAnsi="Arial"/>
                <w:sz w:val="18"/>
                <w:szCs w:val="18"/>
                <w:color w:val="auto"/>
              </w:rPr>
              <w:t>Opened</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gridSpan w:val="3"/>
          </w:tcPr>
          <w:p>
            <w:pPr>
              <w:ind w:left="1140"/>
              <w:spacing w:after="0"/>
              <w:rPr>
                <w:sz w:val="20"/>
                <w:szCs w:val="20"/>
                <w:color w:val="auto"/>
              </w:rPr>
            </w:pPr>
            <w:r>
              <w:rPr>
                <w:rFonts w:ascii="Arial" w:cs="Arial" w:eastAsia="Arial" w:hAnsi="Arial"/>
                <w:sz w:val="18"/>
                <w:szCs w:val="18"/>
                <w:color w:val="auto"/>
              </w:rPr>
              <w:t>End of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jc w:val="right"/>
              <w:ind w:right="1030"/>
              <w:spacing w:after="0"/>
              <w:rPr>
                <w:sz w:val="20"/>
                <w:szCs w:val="20"/>
                <w:color w:val="auto"/>
              </w:rPr>
            </w:pPr>
            <w:r>
              <w:rPr>
                <w:rFonts w:ascii="Arial" w:cs="Arial" w:eastAsia="Arial" w:hAnsi="Arial"/>
                <w:sz w:val="18"/>
                <w:szCs w:val="18"/>
                <w:color w:val="auto"/>
              </w:rPr>
              <w:t>20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2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ind w:firstLine="648"/>
        <w:spacing w:after="0" w:line="257" w:lineRule="auto"/>
        <w:rPr>
          <w:sz w:val="20"/>
          <w:szCs w:val="20"/>
          <w:color w:val="auto"/>
        </w:rPr>
      </w:pPr>
      <w:r>
        <w:rPr>
          <w:rFonts w:ascii="Arial" w:cs="Arial" w:eastAsia="Arial" w:hAnsi="Arial"/>
          <w:sz w:val="18"/>
          <w:szCs w:val="18"/>
          <w:color w:val="auto"/>
        </w:rPr>
        <w:t>In the ordinary course of business, we anticipate signing additional master franchise agreements and terminating other such agreements. We believe there is a market potential for approximately 300 international stores outside of the United States, Canada, the U.K., Ireland and Denmark. We continue to expect franchisees to leverage the new formats that have been developed for our corporately-managed operations and sourcing changes that have significantly reduced the capital and expenses required to open stores. We expect to continue to develop market expansion through both new and existing franchisees in 2019 and beyond.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as well as immaterial rounding: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600" w:type="dxa"/>
            <w:vAlign w:val="bottom"/>
            <w:gridSpan w:val="4"/>
          </w:tcPr>
          <w:p>
            <w:pPr>
              <w:ind w:left="340"/>
              <w:spacing w:after="0"/>
              <w:rPr>
                <w:sz w:val="20"/>
                <w:szCs w:val="20"/>
                <w:color w:val="auto"/>
              </w:rPr>
            </w:pPr>
            <w:r>
              <w:rPr>
                <w:rFonts w:ascii="Arial" w:cs="Arial" w:eastAsia="Arial" w:hAnsi="Arial"/>
                <w:sz w:val="18"/>
                <w:szCs w:val="18"/>
                <w:b w:val="1"/>
                <w:bCs w:val="1"/>
                <w:color w:val="auto"/>
              </w:rPr>
              <w:t>Thirteen weeks ended</w:t>
            </w:r>
          </w:p>
        </w:tc>
        <w:tc>
          <w:tcPr>
            <w:tcW w:w="25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Twenty-six weeks ended</w:t>
            </w:r>
          </w:p>
        </w:tc>
      </w:tr>
      <w:tr>
        <w:trPr>
          <w:trHeight w:val="191"/>
        </w:trPr>
        <w:tc>
          <w:tcPr>
            <w:tcW w:w="460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August 3,</w:t>
            </w:r>
          </w:p>
        </w:tc>
        <w:tc>
          <w:tcPr>
            <w:tcW w:w="10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August 4,</w:t>
            </w:r>
          </w:p>
        </w:tc>
        <w:tc>
          <w:tcPr>
            <w:tcW w:w="26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7"/>
              </w:rPr>
              <w:t>August 3,</w:t>
            </w: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rPr>
              <w:t>August 4,</w:t>
            </w:r>
          </w:p>
        </w:tc>
        <w:tc>
          <w:tcPr>
            <w:tcW w:w="160" w:type="dxa"/>
            <w:vAlign w:val="bottom"/>
          </w:tcPr>
          <w:p>
            <w:pPr>
              <w:spacing w:after="0"/>
              <w:rPr>
                <w:sz w:val="16"/>
                <w:szCs w:val="16"/>
                <w:color w:val="auto"/>
              </w:rPr>
            </w:pPr>
          </w:p>
        </w:tc>
      </w:tr>
      <w:tr>
        <w:trPr>
          <w:trHeight w:val="234"/>
        </w:trPr>
        <w:tc>
          <w:tcPr>
            <w:tcW w:w="460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r>
      <w:tr>
        <w:trPr>
          <w:trHeight w:val="216"/>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 revenue</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International franchising</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r>
      <w:tr>
        <w:trPr>
          <w:trHeight w:val="20"/>
        </w:trPr>
        <w:tc>
          <w:tcPr>
            <w:tcW w:w="4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revenues</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0"/>
        </w:trPr>
        <w:tc>
          <w:tcPr>
            <w:tcW w:w="46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Cost of merchandise sold - retail (1)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55.9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57.5</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55.3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56.6</w:t>
            </w:r>
          </w:p>
        </w:tc>
      </w:tr>
      <w:tr>
        <w:trPr>
          <w:trHeight w:val="216"/>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merchandise sold - commercial (1)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w:t>
            </w: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w w:val="97"/>
              </w:rPr>
              <w:t>Cost of merchandise sold - international franchising (1)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125.8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54.1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106.5</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r>
      <w:tr>
        <w:trPr>
          <w:trHeight w:val="20"/>
        </w:trPr>
        <w:tc>
          <w:tcPr>
            <w:tcW w:w="4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cost of merchandise sold</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55.2</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w:t>
            </w:r>
          </w:p>
        </w:tc>
      </w:tr>
      <w:tr>
        <w:trPr>
          <w:trHeight w:val="20"/>
        </w:trPr>
        <w:tc>
          <w:tcPr>
            <w:tcW w:w="46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Consolidated gross profit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44.1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44.8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r>
      <w:tr>
        <w:trPr>
          <w:trHeight w:val="216"/>
        </w:trPr>
        <w:tc>
          <w:tcPr>
            <w:tcW w:w="4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r>
      <w:tr>
        <w:trPr>
          <w:trHeight w:val="216"/>
        </w:trPr>
        <w:tc>
          <w:tcPr>
            <w:tcW w:w="4600" w:type="dxa"/>
            <w:vAlign w:val="bottom"/>
          </w:tcPr>
          <w:p>
            <w:pPr>
              <w:ind w:left="320"/>
              <w:spacing w:after="0"/>
              <w:rPr>
                <w:sz w:val="20"/>
                <w:szCs w:val="20"/>
                <w:color w:val="auto"/>
              </w:rPr>
            </w:pPr>
            <w:r>
              <w:rPr>
                <w:rFonts w:ascii="Arial" w:cs="Arial" w:eastAsia="Arial" w:hAnsi="Arial"/>
                <w:sz w:val="18"/>
                <w:szCs w:val="18"/>
                <w:color w:val="auto"/>
              </w:rPr>
              <w:t>Interest expense (income), net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0"/>
        </w:trPr>
        <w:tc>
          <w:tcPr>
            <w:tcW w:w="4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Income (loss) before income taxes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0"/>
        </w:trPr>
        <w:tc>
          <w:tcPr>
            <w:tcW w:w="4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6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Net income (loss)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197"/>
        </w:trPr>
        <w:tc>
          <w:tcPr>
            <w:tcW w:w="460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Retail Gross Margin (2)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r>
    </w:tbl>
    <w:p>
      <w:pPr>
        <w:spacing w:after="0" w:line="202" w:lineRule="exact"/>
        <w:rPr>
          <w:sz w:val="20"/>
          <w:szCs w:val="20"/>
          <w:color w:val="auto"/>
        </w:rPr>
      </w:pPr>
    </w:p>
    <w:p>
      <w:pPr>
        <w:ind w:left="380" w:right="100" w:hanging="372"/>
        <w:spacing w:after="0" w:line="291"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80" w:hanging="372"/>
        <w:spacing w:after="0" w:line="261"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Thirteen weeks ended August 3, 2019 compared to thirteen weeks ended August 4, 2018</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Consolidated revenues decreased 4.8%, including a 4.7% decrease in North America, a 2.5% decrease in Europe, offset by a double</w:t>
      </w:r>
      <w:r>
        <w:rPr>
          <w:rFonts w:ascii="Arial" w:cs="Arial" w:eastAsia="Arial" w:hAnsi="Arial"/>
          <w:sz w:val="18"/>
          <w:szCs w:val="18"/>
          <w:i w:val="1"/>
          <w:iCs w:val="1"/>
          <w:color w:val="auto"/>
        </w:rPr>
        <w:t xml:space="preserve"> </w:t>
      </w:r>
      <w:r>
        <w:rPr>
          <w:rFonts w:ascii="Arial" w:cs="Arial" w:eastAsia="Arial" w:hAnsi="Arial"/>
          <w:sz w:val="18"/>
          <w:szCs w:val="18"/>
          <w:color w:val="auto"/>
        </w:rPr>
        <w:t>digit increase in consolidated e-commerce sales.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Net retail sales for the thirteen weeks ended August 3, 2019 were $75.2 million, compared to $81.0 million for the thirteen weeks ended August 4, 2018, a decrease of $5.8 million, or 7.2%. The components of this decrease are as follows:</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Thirteen weeks</w:t>
            </w:r>
          </w:p>
        </w:tc>
      </w:t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ended</w:t>
            </w:r>
          </w:p>
        </w:tc>
      </w:tr>
      <w:tr>
        <w:trPr>
          <w:trHeight w:val="234"/>
        </w:trPr>
        <w:tc>
          <w:tcPr>
            <w:tcW w:w="8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3, 2019</w:t>
            </w:r>
          </w:p>
        </w:tc>
      </w:tr>
      <w:tr>
        <w:trPr>
          <w:trHeight w:val="210"/>
        </w:trPr>
        <w:tc>
          <w:tcPr>
            <w:tcW w:w="8060" w:type="dxa"/>
            <w:vAlign w:val="bottom"/>
          </w:tcPr>
          <w:p>
            <w:pPr>
              <w:spacing w:after="0"/>
              <w:rPr>
                <w:sz w:val="18"/>
                <w:szCs w:val="18"/>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10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Impact from:</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60" w:type="dxa"/>
            <w:vAlign w:val="bottom"/>
          </w:tcPr>
          <w:p>
            <w:pPr>
              <w:ind w:left="160"/>
              <w:spacing w:after="0"/>
              <w:rPr>
                <w:sz w:val="20"/>
                <w:szCs w:val="20"/>
                <w:color w:val="auto"/>
              </w:rPr>
            </w:pPr>
            <w:r>
              <w:rPr>
                <w:rFonts w:ascii="Arial" w:cs="Arial" w:eastAsia="Arial" w:hAnsi="Arial"/>
                <w:sz w:val="18"/>
                <w:szCs w:val="18"/>
                <w:color w:val="auto"/>
              </w:rPr>
              <w:t>Existing store and e-commerce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stores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8060" w:type="dxa"/>
            <w:vAlign w:val="bottom"/>
          </w:tcPr>
          <w:p>
            <w:pPr>
              <w:ind w:left="160"/>
              <w:spacing w:after="0"/>
              <w:rPr>
                <w:sz w:val="20"/>
                <w:szCs w:val="20"/>
                <w:color w:val="auto"/>
              </w:rPr>
            </w:pPr>
            <w:r>
              <w:rPr>
                <w:rFonts w:ascii="Arial" w:cs="Arial" w:eastAsia="Arial" w:hAnsi="Arial"/>
                <w:sz w:val="18"/>
                <w:szCs w:val="18"/>
                <w:color w:val="auto"/>
              </w:rPr>
              <w:t>Store closures</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8060" w:type="dxa"/>
            <w:vAlign w:val="bottom"/>
          </w:tcPr>
          <w:p>
            <w:pPr>
              <w:ind w:left="160"/>
              <w:spacing w:after="0"/>
              <w:rPr>
                <w:sz w:val="20"/>
                <w:szCs w:val="20"/>
                <w:color w:val="auto"/>
              </w:rPr>
            </w:pPr>
            <w:r>
              <w:rPr>
                <w:rFonts w:ascii="Arial" w:cs="Arial" w:eastAsia="Arial" w:hAnsi="Arial"/>
                <w:sz w:val="18"/>
                <w:szCs w:val="18"/>
                <w:color w:val="auto"/>
              </w:rPr>
              <w:t>Deferred revenue estimates, including breakage</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0"/>
        </w:trPr>
        <w:tc>
          <w:tcPr>
            <w:tcW w:w="8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0"/>
        </w:trPr>
        <w:tc>
          <w:tcPr>
            <w:tcW w:w="8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retail revenue decrease was driven primarily by last year's traffic-driving Pay Your Age Day event and subsequent voucher redemptions in the final month of the quarter which offset the sales growth across geographies in the first two months of the fiscal 2019 second quarter and the double digit growth in e-commerce sales.</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Commercial revenue was $3.2 million for the thirteen weeks ended August 3, 2019 compared to $1.1 million for the thirteen weeks ended August 4, 2018. The $2.1 million increase includes wholesale merchandise and furniture/fixture sales and outbound licensing fees, reflecting the results of our efforts to evolve the business model beyond traditional retail.</w:t>
      </w:r>
    </w:p>
    <w:p>
      <w:pPr>
        <w:spacing w:after="0" w:line="181"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International franchising revenue was $0.8 million for the thirteen weeks ended August 3, 2019 compared to $1.1 million for the thirteen weeks ended August 4, 2018. The $0.3 million decrease was driven mainly by the decline in franchise store sales and the timing of fixtures sales for new store openings.</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dollars decreased $1.3 million to $33.2 million compared to the thirteen weeks ended August 4,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retail gross margin rate increased 160 basis points to 44.2% mainly driven by merchandise margin expansion.</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were $35.7 million for the thirteen weeks ended August 3, 2019, a</w:t>
      </w:r>
      <w:r>
        <w:rPr>
          <w:rFonts w:ascii="Arial" w:cs="Arial" w:eastAsia="Arial" w:hAnsi="Arial"/>
          <w:sz w:val="17"/>
          <w:szCs w:val="17"/>
          <w:i w:val="1"/>
          <w:iCs w:val="1"/>
          <w:color w:val="auto"/>
        </w:rPr>
        <w:t xml:space="preserve"> </w:t>
      </w:r>
      <w:r>
        <w:rPr>
          <w:rFonts w:ascii="Arial" w:cs="Arial" w:eastAsia="Arial" w:hAnsi="Arial"/>
          <w:sz w:val="17"/>
          <w:szCs w:val="17"/>
          <w:color w:val="auto"/>
        </w:rPr>
        <w:t>decline of $2.2 million compared to the thirteen weeks ended August 4, 2018. Over half of the decrease was driven by payroll savings, the remaining decrease was due to continued disciplined expense management and focus on controllable spend partially offset by foreign currency losses.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was $7,000 for the thirteen weeks ended August 3, 2019 compared to interest expense of $16,000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August 4, 2018.</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The income tax provision was $0.5 million with a tax rate of -65.1% for the thirteen weeks ended August 3, 2019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 benefit of $0.7 million with a tax rate of 29.3% for the thirteen weeks ended August 4, 2018. In the second quarter of fiscal 2019, the effective tax rate differed from the statutory rate of 21% primarily due to the valuation allowance being recorded in certain foreign loss jurisdictions. In the second quarter of fiscal 2018, the effective tax rate differed from the statutory rate of 21% primarily due to the forecasted jurisdictional mix of earnings.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Twenty-six weeks ended August 3, 2019 compared to twenty-six weeks ended August 4, 2018</w:t>
      </w:r>
    </w:p>
    <w:p>
      <w:pPr>
        <w:spacing w:after="0" w:line="225" w:lineRule="exact"/>
        <w:rPr>
          <w:sz w:val="20"/>
          <w:szCs w:val="20"/>
          <w:color w:val="auto"/>
        </w:rPr>
      </w:pPr>
    </w:p>
    <w:p>
      <w:pPr>
        <w:ind w:left="160" w:right="180" w:firstLine="486"/>
        <w:spacing w:after="0" w:line="312"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Consolidated revenues decreased 1.7%, including a 0.2% decrease in North America, a 9.3% decrease in Europe, offset by a double</w:t>
      </w:r>
      <w:r>
        <w:rPr>
          <w:rFonts w:ascii="Arial" w:cs="Arial" w:eastAsia="Arial" w:hAnsi="Arial"/>
          <w:sz w:val="16"/>
          <w:szCs w:val="16"/>
          <w:i w:val="1"/>
          <w:iCs w:val="1"/>
          <w:color w:val="auto"/>
        </w:rPr>
        <w:t xml:space="preserve"> </w:t>
      </w:r>
      <w:r>
        <w:rPr>
          <w:rFonts w:ascii="Arial" w:cs="Arial" w:eastAsia="Arial" w:hAnsi="Arial"/>
          <w:sz w:val="16"/>
          <w:szCs w:val="16"/>
          <w:color w:val="auto"/>
        </w:rPr>
        <w:t>digit increase in consolidated e-commerce sales. We believe that European results continue to reflect the impact of the ongoing uncertainty surrounding Brexit, as well as the May 2018 implementation of new privacy laws, which severely inhibited the Company’s ability to directly market to guests.</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Net retail sales for the twenty-six weeks ended August 3, 2019 were $156.3 million, compared to $162.5 million for the twenty-six weeks ended</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2018, a decrease of $6.2 million or 3.8%. The components of this decrease are as follows:</w:t>
      </w:r>
    </w:p>
    <w:p>
      <w:pPr>
        <w:spacing w:after="0" w:line="20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Twenty-six weeks</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August 3, 2019</w:t>
            </w:r>
          </w:p>
        </w:tc>
        <w:tc>
          <w:tcPr>
            <w:tcW w:w="0" w:type="dxa"/>
            <w:vAlign w:val="bottom"/>
          </w:tcPr>
          <w:p>
            <w:pPr>
              <w:spacing w:after="0"/>
              <w:rPr>
                <w:sz w:val="1"/>
                <w:szCs w:val="1"/>
                <w:color w:val="auto"/>
              </w:rPr>
            </w:pPr>
          </w:p>
        </w:tc>
      </w:tr>
      <w:tr>
        <w:trPr>
          <w:trHeight w:val="224"/>
        </w:trPr>
        <w:tc>
          <w:tcPr>
            <w:tcW w:w="8060" w:type="dxa"/>
            <w:vAlign w:val="bottom"/>
            <w:vMerge w:val="restart"/>
          </w:tcPr>
          <w:p>
            <w:pPr>
              <w:spacing w:after="0"/>
              <w:rPr>
                <w:sz w:val="20"/>
                <w:szCs w:val="20"/>
                <w:color w:val="auto"/>
              </w:rPr>
            </w:pPr>
            <w:r>
              <w:rPr>
                <w:rFonts w:ascii="Arial" w:cs="Arial" w:eastAsia="Arial" w:hAnsi="Arial"/>
                <w:sz w:val="18"/>
                <w:szCs w:val="18"/>
                <w:color w:val="auto"/>
              </w:rPr>
              <w:t>Impact from:</w:t>
            </w: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(dollars in millions)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Existing store and e-commerce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060" w:type="dxa"/>
            <w:vAlign w:val="bottom"/>
          </w:tcPr>
          <w:p>
            <w:pPr>
              <w:ind w:left="160"/>
              <w:spacing w:after="0"/>
              <w:rPr>
                <w:sz w:val="20"/>
                <w:szCs w:val="20"/>
                <w:color w:val="auto"/>
              </w:rPr>
            </w:pPr>
            <w:r>
              <w:rPr>
                <w:rFonts w:ascii="Arial" w:cs="Arial" w:eastAsia="Arial" w:hAnsi="Arial"/>
                <w:sz w:val="18"/>
                <w:szCs w:val="18"/>
                <w:color w:val="auto"/>
              </w:rPr>
              <w:t>New stores</w:t>
            </w:r>
          </w:p>
        </w:tc>
        <w:tc>
          <w:tcPr>
            <w:tcW w:w="1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Store closures</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06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9"/>
                <w:szCs w:val="19"/>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estimates, including breakage</w:t>
            </w:r>
          </w:p>
        </w:tc>
        <w:tc>
          <w:tcPr>
            <w:tcW w:w="1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tcPr>
          <w:p>
            <w:pPr>
              <w:jc w:val="right"/>
              <w:ind w:right="40"/>
              <w:spacing w:after="0" w:line="210" w:lineRule="exact"/>
              <w:rPr>
                <w:sz w:val="20"/>
                <w:szCs w:val="20"/>
                <w:color w:val="auto"/>
              </w:rPr>
            </w:pPr>
            <w:r>
              <w:rPr>
                <w:rFonts w:ascii="Arial" w:cs="Arial" w:eastAsia="Arial" w:hAnsi="Arial"/>
                <w:sz w:val="14"/>
                <w:szCs w:val="14"/>
                <w:color w:val="auto"/>
              </w:rPr>
              <w:t>(6.2</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firstLine="648"/>
        <w:spacing w:after="0" w:line="257" w:lineRule="auto"/>
        <w:rPr>
          <w:sz w:val="20"/>
          <w:szCs w:val="20"/>
          <w:color w:val="auto"/>
        </w:rPr>
      </w:pPr>
      <w:r>
        <w:rPr>
          <w:rFonts w:ascii="Arial" w:cs="Arial" w:eastAsia="Arial" w:hAnsi="Arial"/>
          <w:sz w:val="18"/>
          <w:szCs w:val="18"/>
          <w:color w:val="auto"/>
        </w:rPr>
        <w:t>The retail revenue decrease was driven primarily by the U.K. as business continued to decline due to a challenging retail environment brought on by Brexit and the May 2018 implementation of new privacy laws that have significantly inhibited our ability to build our contact database and market directly to our guests. As a part of our focused effort to mitigate some of the issues in the market, we recently implemented a new technology-based Bonus Club enrollment process that is compliant with the new European privacy regulations. Since then, we have seen significant growth in the opt-in rates of Bonus Club members which we believe will benefit the business on a go-forward basis.</w:t>
      </w:r>
    </w:p>
    <w:p>
      <w:pPr>
        <w:spacing w:after="0" w:line="188" w:lineRule="exact"/>
        <w:rPr>
          <w:sz w:val="20"/>
          <w:szCs w:val="20"/>
          <w:color w:val="auto"/>
        </w:rPr>
      </w:pPr>
    </w:p>
    <w:p>
      <w:pPr>
        <w:ind w:left="20" w:right="20" w:firstLine="648"/>
        <w:spacing w:after="0" w:line="264" w:lineRule="auto"/>
        <w:rPr>
          <w:sz w:val="20"/>
          <w:szCs w:val="20"/>
          <w:color w:val="auto"/>
        </w:rPr>
      </w:pPr>
      <w:r>
        <w:rPr>
          <w:rFonts w:ascii="Arial" w:cs="Arial" w:eastAsia="Arial" w:hAnsi="Arial"/>
          <w:sz w:val="18"/>
          <w:szCs w:val="18"/>
          <w:color w:val="auto"/>
        </w:rPr>
        <w:t>Commercial revenue was $5.9 million for the twenty-six weeks ended August 3, 2019 compared to $2.1 million for the twenty-six weeks ended August 4, 2018. The $3.8 million increase includes wholesale merchandise and furniture/fixture sales and outbound licensing fees, reflecting the results of our efforts to evolve the business model beyond traditional retail.</w:t>
      </w:r>
    </w:p>
    <w:p>
      <w:pPr>
        <w:spacing w:after="0" w:line="181" w:lineRule="exact"/>
        <w:rPr>
          <w:sz w:val="20"/>
          <w:szCs w:val="20"/>
          <w:color w:val="auto"/>
        </w:rPr>
      </w:pPr>
    </w:p>
    <w:p>
      <w:pPr>
        <w:ind w:left="20" w:right="60" w:firstLine="648"/>
        <w:spacing w:after="0" w:line="264" w:lineRule="auto"/>
        <w:rPr>
          <w:sz w:val="20"/>
          <w:szCs w:val="20"/>
          <w:color w:val="auto"/>
        </w:rPr>
      </w:pPr>
      <w:r>
        <w:rPr>
          <w:rFonts w:ascii="Arial" w:cs="Arial" w:eastAsia="Arial" w:hAnsi="Arial"/>
          <w:sz w:val="18"/>
          <w:szCs w:val="18"/>
          <w:color w:val="auto"/>
        </w:rPr>
        <w:t>International franchising revenue was $1.4 million for the twenty-six week period ended August 3, 2019 compared to $1.8 million for the twenty-six week period ended August 4, 2018. The $0.4 million decrease was driven mainly by the decline in franchise store sales and timing of fixture sales for new store openings.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i w:val="1"/>
          <w:iCs w:val="1"/>
          <w:color w:val="auto"/>
        </w:rPr>
        <w:t xml:space="preserve">Retail gross margin. </w:t>
      </w:r>
      <w:r>
        <w:rPr>
          <w:rFonts w:ascii="Arial" w:cs="Arial" w:eastAsia="Arial" w:hAnsi="Arial"/>
          <w:sz w:val="16"/>
          <w:szCs w:val="16"/>
          <w:color w:val="auto"/>
        </w:rPr>
        <w:t>Retail gross margin dollars decreased $0.7 million to $86.4 million compared to the twenty-six weeks ended August 4, 2018.</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retail gross margin rate increased 130 basis points to 44.7% mainly driven by merchandise margin expansion and leverage on occupancy costs.</w:t>
      </w:r>
    </w:p>
    <w:p>
      <w:pPr>
        <w:spacing w:after="0" w:line="222" w:lineRule="exact"/>
        <w:rPr>
          <w:sz w:val="20"/>
          <w:szCs w:val="20"/>
          <w:color w:val="auto"/>
        </w:rPr>
      </w:pPr>
    </w:p>
    <w:p>
      <w:pPr>
        <w:ind w:left="20" w:right="40" w:firstLine="648"/>
        <w:spacing w:after="0" w:line="264"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$71.5 million for the twenty-six weeks ended August 3, 2019,</w:t>
      </w:r>
      <w:r>
        <w:rPr>
          <w:rFonts w:ascii="Arial" w:cs="Arial" w:eastAsia="Arial" w:hAnsi="Arial"/>
          <w:sz w:val="18"/>
          <w:szCs w:val="18"/>
          <w:i w:val="1"/>
          <w:iCs w:val="1"/>
          <w:color w:val="auto"/>
        </w:rPr>
        <w:t xml:space="preserve"> </w:t>
      </w:r>
      <w:r>
        <w:rPr>
          <w:rFonts w:ascii="Arial" w:cs="Arial" w:eastAsia="Arial" w:hAnsi="Arial"/>
          <w:sz w:val="18"/>
          <w:szCs w:val="18"/>
          <w:color w:val="auto"/>
        </w:rPr>
        <w:t>a decline of $2.8 million compared to the twenty-six weeks ended August 4, 2018. The decrease was driven by continued disciplined expense management and focus on controllable spend.</w:t>
      </w:r>
    </w:p>
    <w:p>
      <w:pPr>
        <w:spacing w:after="0" w:line="181" w:lineRule="exact"/>
        <w:rPr>
          <w:sz w:val="20"/>
          <w:szCs w:val="20"/>
          <w:color w:val="auto"/>
        </w:rPr>
      </w:pPr>
    </w:p>
    <w:p>
      <w:pPr>
        <w:ind w:left="20" w:right="6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was $14,000 for the twenty-six weeks ended August 3, 2019 compared to $21,000 for the twenty-six</w:t>
      </w:r>
      <w:r>
        <w:rPr>
          <w:rFonts w:ascii="Arial" w:cs="Arial" w:eastAsia="Arial" w:hAnsi="Arial"/>
          <w:sz w:val="18"/>
          <w:szCs w:val="18"/>
          <w:i w:val="1"/>
          <w:iCs w:val="1"/>
          <w:color w:val="auto"/>
        </w:rPr>
        <w:t xml:space="preserve"> </w:t>
      </w:r>
      <w:r>
        <w:rPr>
          <w:rFonts w:ascii="Arial" w:cs="Arial" w:eastAsia="Arial" w:hAnsi="Arial"/>
          <w:sz w:val="18"/>
          <w:szCs w:val="18"/>
          <w:color w:val="auto"/>
        </w:rPr>
        <w:t>weeks ended August 4, 2018.</w:t>
      </w:r>
    </w:p>
    <w:p>
      <w:pPr>
        <w:spacing w:after="0" w:line="170" w:lineRule="exact"/>
        <w:rPr>
          <w:sz w:val="20"/>
          <w:szCs w:val="20"/>
          <w:color w:val="auto"/>
        </w:rPr>
      </w:pPr>
    </w:p>
    <w:p>
      <w:pPr>
        <w:ind w:left="20" w:right="20" w:firstLine="648"/>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income tax provision was $1.7 million with a tax rate of 98.3% for the twenty-six weeks ended August 3,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 benefit of $0.5 million with a tax rate of 23.9% for the twenty-six weeks ended August 4, 2018 . In the first half of fiscal 2019, the effective tax rate differed from the statutory rate of 21% primarily due to the valuation allowance being recorded in certain foreign loss jurisdictions and the $0.2 million negative tax impact of equity awards. In the first half of fiscal 2018, the effective tax rate differed from the statutory rate of 21% primarily due to the forecasted jurisdictional mix of earnings.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tariffs) and consumer spending patterns; (2) increases or decreases in our existing store and e-commerce sales; (3) fluctuations in the profitability of our stores; (4) the timing and frequency of the sales of licensed products tied to major theatrical releases, our marketing initiatives, including national media and other public relations events; (5) changes in foreign currency exchange rates;</w:t>
      </w:r>
    </w:p>
    <w:p>
      <w:pPr>
        <w:spacing w:after="0" w:line="2" w:lineRule="exact"/>
        <w:rPr>
          <w:sz w:val="20"/>
          <w:szCs w:val="20"/>
          <w:color w:val="auto"/>
        </w:rPr>
      </w:pPr>
    </w:p>
    <w:p>
      <w:pPr>
        <w:ind w:right="400" w:firstLine="8"/>
        <w:spacing w:after="0" w:line="281"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Because our retail operations have toy products as part of our revenue model, our sales are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 and the fiscal year transition period ended February 3, 2018 had five weeks.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cash requirements are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operating, investing and financing activities are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Twenty-six weeks ended</w:t>
            </w:r>
          </w:p>
        </w:tc>
      </w:tr>
      <w:tr>
        <w:trPr>
          <w:trHeight w:val="191"/>
        </w:trPr>
        <w:tc>
          <w:tcPr>
            <w:tcW w:w="4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August 3,</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August 4,</w:t>
            </w:r>
          </w:p>
        </w:tc>
        <w:tc>
          <w:tcPr>
            <w:tcW w:w="100" w:type="dxa"/>
            <w:vAlign w:val="bottom"/>
          </w:tcPr>
          <w:p>
            <w:pPr>
              <w:spacing w:after="0"/>
              <w:rPr>
                <w:sz w:val="16"/>
                <w:szCs w:val="16"/>
                <w:color w:val="auto"/>
              </w:rPr>
            </w:pPr>
          </w:p>
        </w:tc>
      </w:tr>
      <w:tr>
        <w:trPr>
          <w:trHeight w:val="234"/>
        </w:trPr>
        <w:tc>
          <w:tcPr>
            <w:tcW w:w="4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(4,945)</w:t>
            </w:r>
          </w:p>
        </w:tc>
        <w:tc>
          <w:tcPr>
            <w:tcW w:w="2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(7,029)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4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(1,101)</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provided from operating activities decreased $6.4 million for the twenty-six weeks ended August 3, 2019,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twenty-six weeks ended August 4, 2018. This decrease in cash from operating activities was primarily driven by an increase in inventory over last year due to prior year's Pay Your Age events, as well as to support upcoming product launches in conjunction with the decision to bring in inventory early in response to anticipated increases in tariffs. This decrease was offset by the increase in profitability and receivable collections.</w:t>
      </w:r>
    </w:p>
    <w:p>
      <w:pPr>
        <w:spacing w:after="0" w:line="15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decreased $2.1 million for the twenty-six weeks ended August 3,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August 4, 2018. This decrease in cash from investing activities was primarily driven by cash used related to store openings and the investment in information technology infrastructure in the prior year.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4" w:name="page25"/>
    <w:bookmarkEnd w:id="24"/>
    <w:p>
      <w:pPr>
        <w:jc w:val="both"/>
        <w:ind w:right="280" w:firstLine="648"/>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in financing activities decreased $1.5 million for the twenty-six weeks ended August 3,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twenty-six weeks ended August 4, 2018. This decrease in cash from financing activities was primarily driven by the purchases of our common stock in the twenty-six weeks ended August 4, 2018.</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Capital Resources: </w:t>
      </w:r>
      <w:r>
        <w:rPr>
          <w:rFonts w:ascii="Arial" w:cs="Arial" w:eastAsia="Arial" w:hAnsi="Arial"/>
          <w:sz w:val="16"/>
          <w:szCs w:val="16"/>
          <w:color w:val="auto"/>
        </w:rPr>
        <w:t>As of August 3, 2019, we had a consolidated cash balance of $15.0 million and approximately 70% of this balance was</w:t>
      </w:r>
      <w:r>
        <w:rPr>
          <w:rFonts w:ascii="Arial" w:cs="Arial" w:eastAsia="Arial" w:hAnsi="Arial"/>
          <w:sz w:val="16"/>
          <w:szCs w:val="16"/>
          <w:i w:val="1"/>
          <w:iCs w:val="1"/>
          <w:color w:val="auto"/>
        </w:rPr>
        <w:t xml:space="preserve"> </w:t>
      </w:r>
      <w:r>
        <w:rPr>
          <w:rFonts w:ascii="Arial" w:cs="Arial" w:eastAsia="Arial" w:hAnsi="Arial"/>
          <w:sz w:val="16"/>
          <w:szCs w:val="16"/>
          <w:color w:val="auto"/>
        </w:rPr>
        <w:t>domiciled within the United States. We also have a line of credit which we can use to finance capital expenditures and working capital needs throughout the year. On September 11, 2019, we entered into the twentieth amendment to this credit agreement with our lender. Under the twentieth amendment, the bank line provides availability of up to $20.0 million. Borrowings under the credit agreement are secured by our assets and a pledge of 66% of our ownership interest in certain of our foreign subsidiaries. The credit agreement expires on December 31,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The commitment fee is 0.25% per annum and borrowings bear interest at LIBOR plus 3.25%. Financial covenants include maintaining minimum thresholds for cumulative earnings before interest, depreciation and amortization (“EBITDA”) for the third quarter of fiscal 2019 (as defined by the credit agreement), maintaining minimum liquidity at all times, maintaining a minimum fixed charge coverage ratio effective in the fourth quarter of fiscal 2019 (as defined in the credit agreement) and not exceeding a maximum funded debt to EBITDA ratio as of the end of the fourth quarter of fiscal 2019 (as defined in the credit agreement). In addition, the company has a $1.0 million letter of credit against the line of credit at the end of the second quarter of fiscal 2019. As of the end of the second quarter of fiscal 2019 under the credit agreement as currently amended: (i) we were in compliance with all covenants; (ii) there were no borrowings under the line of credit; and (iii) there was $19.0 million available for borrowing under the line of credit.</w:t>
      </w:r>
    </w:p>
    <w:p>
      <w:pPr>
        <w:spacing w:after="0" w:line="17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fiscal 2019, we expect to spend a total of $12 to $14 million on capital expenditures. Capital spending through the twenty-six weeks ended August 3, 2019 totaled $4.9 million, on track with our full year plans. Capital spending in fiscal 2019 is expected to primarily support our store activity, including both new stores and remodels, and investments in information technology infrastructure.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2020.</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August 2017, our Board of Directors adopted a share repurchase program authorizing the repurchase of up to $20 million of our common stock. From the date of the program approval through August 3, 2019, we repurchased a total of 1.3 million shares at an average price of $8.75 per share for an aggregate amount of $11.2 million. As of August 3, 2019, we had $8.8 million of availability under the 2017 Share Repurchase Program. However our ability to repurchase shares could be limited to conditions set forth by our lender in our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inventory, long-lived assets, leases, revenue recognition and income taxes, are reevaluated on an ongoing basis, and adjustments are made when facts and circumstances dictate a 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right="340"/>
        <w:spacing w:after="0" w:line="277" w:lineRule="auto"/>
        <w:rPr>
          <w:sz w:val="20"/>
          <w:szCs w:val="20"/>
          <w:color w:val="auto"/>
        </w:rPr>
      </w:pPr>
      <w:r>
        <w:rPr>
          <w:rFonts w:ascii="Arial" w:cs="Arial" w:eastAsia="Arial" w:hAnsi="Arial"/>
          <w:sz w:val="18"/>
          <w:szCs w:val="18"/>
          <w:color w:val="auto"/>
        </w:rPr>
        <w:t>Historically, we have found our application of accounting policies to be appropriate, and actual results have not differed materially from those determined using necessary estimates.</w:t>
      </w:r>
    </w:p>
    <w:p>
      <w:pPr>
        <w:spacing w:after="0" w:line="3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April 18, 2019, which includes audited consolidated financial statements for our 2018 and 2017 fiscal years and the five weeks ended February 3, 2018. Except for changes resulting from the adoption of new accounting standards during the period, including the new lease standard (See footnote 3 to the Condensed Consolidated Financial Statements), there have been no material changes to the critical accounting estimates disclosed in the 2018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See Note 1 to the Condensed Consolidated Financial Statements — Basis of Presentation — Recent Accounting Pronouncements – Adopted in the Current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February 2, 2019 as filed with the SEC on April 18,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August 3, 2019, the end of the period covered by this Quarterly Report.</w:t>
      </w:r>
    </w:p>
    <w:p>
      <w:pPr>
        <w:spacing w:after="0" w:line="18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has been no changes in our internal control over financial reporting during the quarter covered by this report that has materially affected, or is reasonably likely to materially affect, our internal control over financial reporting.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February 2, 2019 as filed with the SEC on April 18,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Number</w:t>
            </w:r>
          </w:p>
        </w:tc>
      </w:tr>
      <w:tr>
        <w:trPr>
          <w:trHeight w:val="216"/>
        </w:trPr>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(c)</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(or</w:t>
            </w:r>
          </w:p>
        </w:tc>
      </w:tr>
      <w:tr>
        <w:trPr>
          <w:trHeight w:val="216"/>
        </w:trPr>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Total Number</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3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2"/>
              </w:rPr>
              <w:t>of</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360" w:type="dxa"/>
            <w:vAlign w:val="bottom"/>
          </w:tcPr>
          <w:p>
            <w:pPr>
              <w:spacing w:after="0"/>
              <w:rPr>
                <w:sz w:val="18"/>
                <w:szCs w:val="18"/>
                <w:color w:val="auto"/>
              </w:rPr>
            </w:pP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(a)</w:t>
            </w:r>
          </w:p>
        </w:tc>
        <w:tc>
          <w:tcPr>
            <w:tcW w:w="13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Shares (or</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Shares (or</w:t>
            </w:r>
          </w:p>
        </w:tc>
      </w:tr>
      <w:tr>
        <w:trPr>
          <w:trHeight w:val="216"/>
        </w:trPr>
        <w:tc>
          <w:tcPr>
            <w:tcW w:w="2360" w:type="dxa"/>
            <w:vAlign w:val="bottom"/>
          </w:tcPr>
          <w:p>
            <w:pPr>
              <w:spacing w:after="0"/>
              <w:rPr>
                <w:sz w:val="18"/>
                <w:szCs w:val="18"/>
                <w:color w:val="auto"/>
              </w:rPr>
            </w:pP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Total</w:t>
            </w:r>
          </w:p>
        </w:tc>
        <w:tc>
          <w:tcPr>
            <w:tcW w:w="1340" w:type="dxa"/>
            <w:vAlign w:val="bottom"/>
          </w:tcPr>
          <w:p>
            <w:pPr>
              <w:spacing w:after="0"/>
              <w:rPr>
                <w:sz w:val="18"/>
                <w:szCs w:val="18"/>
                <w:color w:val="auto"/>
              </w:rPr>
            </w:pP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Units)</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Units)</w:t>
            </w:r>
          </w:p>
        </w:tc>
      </w:tr>
      <w:tr>
        <w:trPr>
          <w:trHeight w:val="216"/>
        </w:trPr>
        <w:tc>
          <w:tcPr>
            <w:tcW w:w="2360" w:type="dxa"/>
            <w:vAlign w:val="bottom"/>
          </w:tcPr>
          <w:p>
            <w:pPr>
              <w:spacing w:after="0"/>
              <w:rPr>
                <w:sz w:val="18"/>
                <w:szCs w:val="18"/>
                <w:color w:val="auto"/>
              </w:rPr>
            </w:pP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(b)</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Purchased as</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360" w:type="dxa"/>
            <w:vAlign w:val="bottom"/>
          </w:tcPr>
          <w:p>
            <w:pPr>
              <w:spacing w:after="0"/>
              <w:rPr>
                <w:sz w:val="18"/>
                <w:szCs w:val="18"/>
                <w:color w:val="auto"/>
              </w:rPr>
            </w:pP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Average</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Part of Publicly</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2360" w:type="dxa"/>
            <w:vAlign w:val="bottom"/>
          </w:tcPr>
          <w:p>
            <w:pPr>
              <w:spacing w:after="0"/>
              <w:rPr>
                <w:sz w:val="18"/>
                <w:szCs w:val="18"/>
                <w:color w:val="auto"/>
              </w:rPr>
            </w:pP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Units)</w:t>
            </w: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Price Paid</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Announced</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Under</w:t>
            </w:r>
          </w:p>
        </w:tc>
      </w:tr>
      <w:tr>
        <w:trPr>
          <w:trHeight w:val="216"/>
        </w:trPr>
        <w:tc>
          <w:tcPr>
            <w:tcW w:w="2360" w:type="dxa"/>
            <w:vAlign w:val="bottom"/>
          </w:tcPr>
          <w:p>
            <w:pPr>
              <w:spacing w:after="0"/>
              <w:rPr>
                <w:sz w:val="18"/>
                <w:szCs w:val="18"/>
                <w:color w:val="auto"/>
              </w:rPr>
            </w:pP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89"/>
              </w:rPr>
              <w:t>Purchased</w:t>
            </w: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Per Share</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Plans or</w:t>
            </w:r>
          </w:p>
        </w:tc>
        <w:tc>
          <w:tcPr>
            <w:tcW w:w="13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00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(1)</w:t>
            </w:r>
          </w:p>
        </w:tc>
        <w:tc>
          <w:tcPr>
            <w:tcW w:w="1340" w:type="dxa"/>
            <w:vAlign w:val="bottom"/>
          </w:tcPr>
          <w:p>
            <w:pPr>
              <w:jc w:val="center"/>
              <w:ind w:left="10"/>
              <w:spacing w:after="0"/>
              <w:rPr>
                <w:sz w:val="20"/>
                <w:szCs w:val="20"/>
                <w:color w:val="auto"/>
              </w:rPr>
            </w:pPr>
            <w:r>
              <w:rPr>
                <w:rFonts w:ascii="Arial" w:cs="Arial" w:eastAsia="Arial" w:hAnsi="Arial"/>
                <w:sz w:val="18"/>
                <w:szCs w:val="18"/>
                <w:b w:val="1"/>
                <w:bCs w:val="1"/>
                <w:color w:val="auto"/>
                <w:w w:val="97"/>
              </w:rPr>
              <w:t>(or Unit)</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Programs (2)</w:t>
            </w:r>
          </w:p>
        </w:tc>
        <w:tc>
          <w:tcPr>
            <w:tcW w:w="136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Programs (2)</w:t>
            </w:r>
          </w:p>
        </w:tc>
      </w:tr>
    </w:tbl>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0"/>
        </w:trPr>
        <w:tc>
          <w:tcPr>
            <w:tcW w:w="40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00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b w:val="1"/>
                <w:bCs w:val="1"/>
                <w:color w:val="auto"/>
              </w:rPr>
              <w:t>May 5, 2019 - June 1, 2019</w:t>
            </w: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8,795,529</w:t>
            </w: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b w:val="1"/>
                <w:bCs w:val="1"/>
                <w:color w:val="auto"/>
              </w:rPr>
              <w:t>June 2, 2019 - July 6, 2019</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8,795,529</w:t>
            </w:r>
          </w:p>
        </w:tc>
      </w:tr>
      <w:tr>
        <w:trPr>
          <w:trHeight w:val="216"/>
        </w:trPr>
        <w:tc>
          <w:tcPr>
            <w:tcW w:w="4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July 7, 2019 - Aug. 3,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8,795,529</w:t>
            </w:r>
          </w:p>
        </w:tc>
      </w:tr>
      <w:tr>
        <w:trPr>
          <w:trHeight w:val="20"/>
        </w:trPr>
        <w:tc>
          <w:tcPr>
            <w:tcW w:w="40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8,795,529</w:t>
            </w:r>
          </w:p>
        </w:tc>
      </w:tr>
      <w:tr>
        <w:trPr>
          <w:trHeight w:val="20"/>
        </w:trPr>
        <w:tc>
          <w:tcPr>
            <w:tcW w:w="4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200" w:hanging="372"/>
        <w:spacing w:after="0" w:line="256"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380" w:right="140" w:hanging="372"/>
        <w:spacing w:after="0" w:line="25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13"/>
          </w:tcPr>
          <w:p>
            <w:pPr>
              <w:ind w:left="106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w w:val="94"/>
              </w:rPr>
            </w:pPr>
            <w:hyperlink r:id="rId48">
              <w:r>
                <w:rPr>
                  <w:rFonts w:ascii="Arial" w:cs="Arial" w:eastAsia="Arial" w:hAnsi="Arial"/>
                  <w:sz w:val="18"/>
                  <w:szCs w:val="18"/>
                  <w:color w:val="0000EE"/>
                  <w:w w:val="94"/>
                </w:rPr>
                <w:t>Agreement and Plan of Merger dated April 3, 2000 between Build-A-Bear Workshop, L.L.C. and the Registrant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from Exhibit 2.1 to our Registration Statement on Form S-1, filed on August 12, 2004, Registration No. 333-118142)</w:t>
              </w:r>
            </w:hyperlink>
          </w:p>
        </w:tc>
        <w:tc>
          <w:tcPr>
            <w:tcW w:w="1560" w:type="dxa"/>
            <w:vAlign w:val="bottom"/>
            <w:tcBorders>
              <w:top w:val="single" w:sz="8" w:color="0000EE"/>
            </w:tcBorders>
            <w:gridSpan w:val="5"/>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360" w:type="dxa"/>
            <w:vAlign w:val="bottom"/>
            <w:tcBorders>
              <w:bottom w:val="single" w:sz="8" w:color="0000EE"/>
            </w:tcBorders>
            <w:gridSpan w:val="17"/>
          </w:tcPr>
          <w:p>
            <w:pPr>
              <w:spacing w:after="0"/>
              <w:rPr>
                <w:rFonts w:ascii="Arial" w:cs="Arial" w:eastAsia="Arial" w:hAnsi="Arial"/>
                <w:sz w:val="18"/>
                <w:szCs w:val="18"/>
                <w:color w:val="0000EE"/>
                <w:w w:val="92"/>
              </w:rPr>
            </w:pPr>
            <w:hyperlink r:id="rId49">
              <w:r>
                <w:rPr>
                  <w:rFonts w:ascii="Arial" w:cs="Arial" w:eastAsia="Arial" w:hAnsi="Arial"/>
                  <w:sz w:val="18"/>
                  <w:szCs w:val="18"/>
                  <w:color w:val="0000EE"/>
                  <w:w w:val="92"/>
                </w:rPr>
                <w:t>Third Amended and Restated Certificate of Incorporation (incorporated by reference from Exhibit 3.1 of our Current Report on Form 8-K, filed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on November 11, 2004)</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4"/>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Amended and Restated Bylaws, as amended through February 23, 2016 (incorporated by reference from Exhibit 3.1 of our Current Report on</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Form 8-K, filed on February 24, 2016)</w:t>
              </w:r>
            </w:hyperlink>
          </w:p>
        </w:tc>
        <w:tc>
          <w:tcPr>
            <w:tcW w:w="7580" w:type="dxa"/>
            <w:vAlign w:val="bottom"/>
            <w:gridSpan w:val="1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80" w:type="dxa"/>
            <w:vAlign w:val="bottom"/>
            <w:tcBorders>
              <w:bottom w:val="single" w:sz="8" w:color="0000EE"/>
            </w:tcBorders>
            <w:gridSpan w:val="15"/>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Specimen Stock Certificate (incorporated by reference from Exhibit 4.1 to Amendment No. 3 to our Registration Statement on Form S-1, filed</w:t>
              </w:r>
            </w:hyperlink>
          </w:p>
        </w:tc>
        <w:tc>
          <w:tcPr>
            <w:tcW w:w="1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on October 1, 2004, Registration No. 333-118142)</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Twentieth Amendment to Loan Documents between Build-A-Bear Workshop, Inc., Build-A-Bear Workshop Franchise Holdings, Inc., Build-A-</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Bear Entertainment, LLC, Build-A-Bear Retail Management, Inc., and Build-A-Bear Card Services, LLC, as Borrowers, and U.S. Bank</w:t>
              </w:r>
            </w:hyperlink>
          </w:p>
        </w:tc>
        <w:tc>
          <w:tcPr>
            <w:tcW w:w="5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National Association, as Lender, entered into effective as of September 11, 2019 (incorporated by reference from Exhibit 10.1 to our Current</w:t>
              </w:r>
            </w:hyperlink>
          </w:p>
        </w:tc>
        <w:tc>
          <w:tcPr>
            <w:tcW w:w="22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Report on Form 8-K, filed on September 11, 2019)</w:t>
              </w:r>
            </w:hyperlink>
          </w:p>
        </w:tc>
        <w:tc>
          <w:tcPr>
            <w:tcW w:w="670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Cooperation Agreement, dated as of July 26, 2019, by and among Build-A-Bear Workshop, Inc., Kanen Wealth Managment, LLC and certain</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of its affiliates (incorporated by reference from Exhibit 10.1 to our Current Report on Form 8-K, filed on July 20, 2019).</w:t>
              </w:r>
            </w:hyperlink>
          </w:p>
        </w:tc>
        <w:tc>
          <w:tcPr>
            <w:tcW w:w="18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340" w:type="dxa"/>
            <w:vAlign w:val="bottom"/>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Rule 13a-14(a)/15d-14(a) certification (pursuant to Section 302 of the Sarbanes-Oxley Act of 2002, executed by the President and Chief</w:t>
              </w:r>
            </w:hyperlink>
          </w:p>
        </w:tc>
        <w:tc>
          <w:tcPr>
            <w:tcW w:w="5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Rule 13a-14(a)/15d-14(a) certification (pursuant to Section 302 of the Sarbanes-Oxley Act of 2002, executed by the Chief Financial Officer)</w:t>
              </w:r>
            </w:hyperlink>
          </w:p>
        </w:tc>
        <w:tc>
          <w:tcPr>
            <w:tcW w:w="240" w:type="dxa"/>
            <w:vAlign w:val="bottom"/>
            <w:gridSpan w:val="6"/>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gridSpan w:val="18"/>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Section 1350 Certification (pursuant to Section 906 of the Sarbanes-Oxley Act of 2002, executed by the President and Chief Executive Officer)</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Section 1350 Certification (pursuant to Section 906 of the Sarbanes-Oxley Act of 2002, executed by the Chief Financial Officer)</w:t>
              </w:r>
            </w:hyperlink>
          </w:p>
        </w:tc>
        <w:tc>
          <w:tcPr>
            <w:tcW w:w="1060" w:type="dxa"/>
            <w:vAlign w:val="bottom"/>
            <w:tcBorders>
              <w:top w:val="single" w:sz="8" w:color="0000EE"/>
            </w:tcBorders>
            <w:gridSpan w:val="8"/>
          </w:tcPr>
          <w:p>
            <w:pPr>
              <w:spacing w:after="0"/>
              <w:rPr>
                <w:sz w:val="24"/>
                <w:szCs w:val="24"/>
                <w:color w:val="auto"/>
              </w:rPr>
            </w:pPr>
          </w:p>
        </w:tc>
        <w:tc>
          <w:tcPr>
            <w:tcW w:w="40" w:type="dxa"/>
            <w:vAlign w:val="bottom"/>
            <w:gridSpan w:val="2"/>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Instance</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Extension Schema</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Extension Calculation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Extension Definition</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Extension Label</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10380" w:type="dxa"/>
            <w:vAlign w:val="bottom"/>
            <w:gridSpan w:val="18"/>
          </w:tcPr>
          <w:p>
            <w:pPr>
              <w:spacing w:after="0"/>
              <w:rPr>
                <w:sz w:val="20"/>
                <w:szCs w:val="20"/>
                <w:color w:val="auto"/>
              </w:rPr>
            </w:pPr>
            <w:r>
              <w:rPr>
                <w:rFonts w:ascii="Arial" w:cs="Arial" w:eastAsia="Arial" w:hAnsi="Arial"/>
                <w:sz w:val="18"/>
                <w:szCs w:val="18"/>
                <w:color w:val="auto"/>
              </w:rPr>
              <w:t>XBRL Extension Presentation</w:t>
            </w:r>
          </w:p>
        </w:tc>
      </w:tr>
      <w:tr>
        <w:trPr>
          <w:trHeight w:val="432"/>
        </w:trPr>
        <w:tc>
          <w:tcPr>
            <w:tcW w:w="920" w:type="dxa"/>
            <w:vAlign w:val="bottom"/>
          </w:tcPr>
          <w:p>
            <w:pPr>
              <w:spacing w:after="0"/>
              <w:rPr>
                <w:sz w:val="24"/>
                <w:szCs w:val="24"/>
                <w:color w:val="auto"/>
              </w:rPr>
            </w:pPr>
          </w:p>
        </w:tc>
        <w:tc>
          <w:tcPr>
            <w:tcW w:w="8580" w:type="dxa"/>
            <w:vAlign w:val="bottom"/>
            <w:gridSpan w:val="7"/>
          </w:tcPr>
          <w:p>
            <w:pPr>
              <w:jc w:val="right"/>
              <w:ind w:right="361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2019</w:t>
      </w:r>
    </w:p>
    <w:p>
      <w:pPr>
        <w:spacing w:after="0" w:line="200" w:lineRule="exact"/>
        <w:rPr>
          <w:sz w:val="20"/>
          <w:szCs w:val="20"/>
          <w:color w:val="auto"/>
        </w:rPr>
      </w:pPr>
    </w:p>
    <w:p>
      <w:pPr>
        <w:spacing w:after="0" w:line="24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580"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180" w:hanging="374"/>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374"/>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374"/>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38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38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382"/>
        <w:spacing w:after="0" w:line="342" w:lineRule="auto"/>
        <w:tabs>
          <w:tab w:leader="none" w:pos="11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382"/>
        <w:spacing w:after="0" w:line="264"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374"/>
        <w:spacing w:after="0" w:line="342"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700" w:right="220" w:hanging="503"/>
        <w:spacing w:after="0" w:line="342" w:lineRule="auto"/>
        <w:tabs>
          <w:tab w:leader="none" w:pos="170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00" w:right="500" w:hanging="503"/>
        <w:spacing w:after="0" w:line="277" w:lineRule="auto"/>
        <w:tabs>
          <w:tab w:leader="none" w:pos="1700" w:val="left"/>
        </w:tabs>
        <w:numPr>
          <w:ilvl w:val="2"/>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2019</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180" w:hanging="374"/>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60" w:right="140" w:hanging="374"/>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180" w:hanging="374"/>
        <w:spacing w:after="0" w:line="264"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382"/>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382"/>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382"/>
        <w:spacing w:after="0" w:line="342"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382"/>
        <w:spacing w:after="0" w:line="264"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60" w:right="140" w:hanging="374"/>
        <w:spacing w:after="0" w:line="342" w:lineRule="auto"/>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780" w:hanging="382"/>
        <w:spacing w:after="0" w:line="342" w:lineRule="auto"/>
        <w:tabs>
          <w:tab w:leader="none" w:pos="11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382"/>
        <w:spacing w:after="0" w:line="277" w:lineRule="auto"/>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2019</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August 3, 2019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2019</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August 3, 2019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12,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decimal"/>
      <w:start w:val="1"/>
    </w:lvl>
  </w:abstractNum>
  <w:abstractNum w:abstractNumId="3">
    <w:nsid w:val="109CF92E"/>
    <w:multiLevelType w:val="hybridMultilevel"/>
    <w:lvl w:ilvl="0">
      <w:lvlJc w:val="left"/>
      <w:lvlText w:val="%1."/>
      <w:numFmt w:val="decimal"/>
      <w:start w:val="5"/>
    </w:lvl>
    <w:lvl w:ilvl="1">
      <w:lvlJc w:val="left"/>
      <w:lvlText w:val="%2"/>
      <w:numFmt w:val="decimal"/>
      <w:start w:val="1"/>
    </w:lvl>
  </w:abstractNum>
  <w:abstractNum w:abstractNumId="4">
    <w:nsid w:val="DED7263"/>
    <w:multiLevelType w:val="hybridMultilevel"/>
    <w:lvl w:ilvl="0">
      <w:lvlJc w:val="left"/>
      <w:lvlText w:val="%1"/>
      <w:numFmt w:val="decimal"/>
      <w:start w:val="1"/>
    </w:lvl>
    <w:lvl w:ilvl="1">
      <w:lvlJc w:val="left"/>
      <w:lvlText w:val="(%2)"/>
      <w:numFmt w:val="decimal"/>
      <w:start w:val="1"/>
    </w:lvl>
  </w:abstractNum>
  <w:abstractNum w:abstractNumId="5">
    <w:nsid w:val="7FDCC233"/>
    <w:multiLevelType w:val="hybridMultilevel"/>
    <w:lvl w:ilvl="0">
      <w:lvlJc w:val="left"/>
      <w:lvlText w:val="%1."/>
      <w:numFmt w:val="decimal"/>
      <w:start w:val="6"/>
    </w:lvl>
    <w:lvl w:ilvl="1">
      <w:lvlJc w:val="left"/>
      <w:lvlText w:val="%2"/>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6"/>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48" Type="http://schemas.openxmlformats.org/officeDocument/2006/relationships/hyperlink" Target="http://www.sec.gov/Archives/edgar/data/1113809/000095013704006634/c86750exv2w1.txt" TargetMode="External"/><Relationship Id="rId49" Type="http://schemas.openxmlformats.org/officeDocument/2006/relationships/hyperlink" Target="http://www.sec.gov/Archives/edgar/data/1113809/000095013804000748/exh3-1.htm" TargetMode="External"/><Relationship Id="rId50" Type="http://schemas.openxmlformats.org/officeDocument/2006/relationships/hyperlink" Target="http://www.sec.gov/Archives/edgar/data/1113809/000115752316004713/a51286063ex3_1.htm" TargetMode="External"/><Relationship Id="rId51" Type="http://schemas.openxmlformats.org/officeDocument/2006/relationships/hyperlink" Target="http://www.sec.gov/Archives/edgar/data/1113809/000095013704008227/c86750a3exv4w1.txt" TargetMode="External"/><Relationship Id="rId52" Type="http://schemas.openxmlformats.org/officeDocument/2006/relationships/hyperlink" Target="http://www.sec.gov/Archives/edgar/data/1113809/000143774919018209/ex_157585.htm" TargetMode="External"/><Relationship Id="rId53" Type="http://schemas.openxmlformats.org/officeDocument/2006/relationships/hyperlink" Target="http://www.sec.gov/Archives/edgar/data/1113809/000115752319001606/a520191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2019-12-28T06:25:56Z</dcterms:created>
  <dcterms:modified xsi:type="dcterms:W3CDTF">2019-12-28T06:25:56Z</dcterms:modified>
</cp:coreProperties>
</file>