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238125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80" w:right="3960" w:hanging="572"/>
        <w:spacing w:after="0" w:line="493" w:lineRule="auto"/>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October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-7620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154305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BUILD-A-BEAR WORKSHOP,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278765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(State or Other Jurisdiction of</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47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Incorporation or Organization)</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St. Louis, Missouri</w:t>
            </w:r>
          </w:p>
        </w:tc>
        <w:tc>
          <w:tcPr>
            <w:tcW w:w="3100" w:type="dxa"/>
            <w:vAlign w:val="bottom"/>
          </w:tcPr>
          <w:p>
            <w:pPr>
              <w:jc w:val="right"/>
              <w:ind w:right="390"/>
              <w:spacing w:after="0"/>
              <w:rPr>
                <w:sz w:val="20"/>
                <w:szCs w:val="20"/>
                <w:color w:val="auto"/>
              </w:rPr>
            </w:pPr>
            <w:r>
              <w:rPr>
                <w:rFonts w:ascii="Arial" w:cs="Arial" w:eastAsia="Arial" w:hAnsi="Arial"/>
                <w:sz w:val="18"/>
                <w:szCs w:val="18"/>
                <w:b w:val="1"/>
                <w:bCs w:val="1"/>
                <w:color w:val="auto"/>
              </w:rPr>
              <w:t>63103</w:t>
            </w:r>
          </w:p>
        </w:tc>
      </w:tr>
      <w:tr>
        <w:trPr>
          <w:trHeight w:val="234"/>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423-8000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0"/>
        </w:trPr>
        <w:tc>
          <w:tcPr>
            <w:tcW w:w="492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3"/>
              </w:rPr>
              <w:t>Trading Symbol</w:t>
            </w:r>
          </w:p>
        </w:tc>
        <w:tc>
          <w:tcPr>
            <w:tcW w:w="43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920" w:type="dxa"/>
            <w:vAlign w:val="bottom"/>
          </w:tcPr>
          <w:p>
            <w:pPr>
              <w:jc w:val="center"/>
              <w:ind w:right="650"/>
              <w:spacing w:after="0"/>
              <w:rPr>
                <w:sz w:val="20"/>
                <w:szCs w:val="20"/>
                <w:color w:val="auto"/>
              </w:rPr>
            </w:pPr>
            <w:r>
              <w:rPr>
                <w:rFonts w:ascii="Arial" w:cs="Arial" w:eastAsia="Arial" w:hAnsi="Arial"/>
                <w:sz w:val="18"/>
                <w:szCs w:val="18"/>
                <w:color w:val="auto"/>
                <w:w w:val="91"/>
              </w:rPr>
              <w:t>Common stock</w:t>
            </w:r>
          </w:p>
        </w:tc>
        <w:tc>
          <w:tcPr>
            <w:tcW w:w="1980" w:type="dxa"/>
            <w:vAlign w:val="bottom"/>
          </w:tcPr>
          <w:p>
            <w:pPr>
              <w:jc w:val="center"/>
              <w:ind w:right="470"/>
              <w:spacing w:after="0"/>
              <w:rPr>
                <w:sz w:val="20"/>
                <w:szCs w:val="20"/>
                <w:color w:val="auto"/>
              </w:rPr>
            </w:pPr>
            <w:r>
              <w:rPr>
                <w:rFonts w:ascii="Arial" w:cs="Arial" w:eastAsia="Arial" w:hAnsi="Arial"/>
                <w:sz w:val="18"/>
                <w:szCs w:val="18"/>
                <w:color w:val="auto"/>
              </w:rPr>
              <w:t>BBW</w:t>
            </w:r>
          </w:p>
        </w:tc>
        <w:tc>
          <w:tcPr>
            <w:tcW w:w="4340" w:type="dxa"/>
            <w:vAlign w:val="bottom"/>
          </w:tcPr>
          <w:p>
            <w:pPr>
              <w:jc w:val="center"/>
              <w:ind w:left="110"/>
              <w:spacing w:after="0"/>
              <w:rPr>
                <w:sz w:val="20"/>
                <w:szCs w:val="20"/>
                <w:color w:val="auto"/>
              </w:rPr>
            </w:pPr>
            <w:r>
              <w:rPr>
                <w:rFonts w:ascii="Arial" w:cs="Arial" w:eastAsia="Arial" w:hAnsi="Arial"/>
                <w:sz w:val="18"/>
                <w:szCs w:val="18"/>
                <w:color w:val="auto"/>
                <w:w w:val="91"/>
              </w:rPr>
              <w:t>New York Stock Exchange</w:t>
            </w:r>
          </w:p>
        </w:tc>
      </w:tr>
      <w:tr>
        <w:trPr>
          <w:trHeight w:val="418"/>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Arial" w:cs="Arial" w:eastAsia="Arial" w:hAnsi="Arial"/>
                <w:sz w:val="18"/>
                <w:szCs w:val="18"/>
                <w:color w:val="auto"/>
                <w:w w:val="79"/>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15"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1620" w:space="100"/>
            <w:col w:w="5200" w:space="720"/>
            <w:col w:w="3600"/>
          </w:cols>
          <w:pgMar w:left="320" w:top="125" w:right="339" w:bottom="1440" w:gutter="0" w:footer="0" w:header="0"/>
          <w:type w:val="continuous"/>
        </w:sectPr>
      </w:pPr>
    </w:p>
    <w:p>
      <w:pPr>
        <w:spacing w:after="0" w:line="1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5" w:right="339" w:bottom="1440" w:gutter="0" w:footer="0" w:header="0"/>
          <w:type w:val="continuous"/>
        </w:sectPr>
      </w:pPr>
    </w:p>
    <w:p>
      <w:pPr>
        <w:spacing w:after="0" w:line="32" w:lineRule="exact"/>
        <w:rPr>
          <w:sz w:val="20"/>
          <w:szCs w:val="20"/>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6, 2021, there were 16,327,849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18"/>
          </w:tcPr>
          <w:p>
            <w:pPr>
              <w:spacing w:after="0"/>
              <w:rPr>
                <w:sz w:val="20"/>
                <w:szCs w:val="20"/>
                <w:color w:val="auto"/>
              </w:rPr>
            </w:pPr>
            <w:r>
              <w:rPr>
                <w:rFonts w:ascii="Arial" w:cs="Arial" w:eastAsia="Arial" w:hAnsi="Arial"/>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7"/>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Arial" w:cs="Arial" w:eastAsia="Arial" w:hAnsi="Arial"/>
                <w:sz w:val="18"/>
                <w:szCs w:val="18"/>
                <w:color w:val="auto"/>
                <w:w w:val="85"/>
              </w:rPr>
              <w:t>Page</w:t>
            </w: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3580" w:type="dxa"/>
            <w:vAlign w:val="bottom"/>
            <w:gridSpan w:val="5"/>
            <w:shd w:val="clear" w:color="auto" w:fill="CCEEFF"/>
          </w:tcPr>
          <w:p>
            <w:pPr>
              <w:jc w:val="center"/>
              <w:ind w:left="333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3580" w:type="dxa"/>
            <w:vAlign w:val="bottom"/>
            <w:gridSpan w:val="5"/>
          </w:tcPr>
          <w:p>
            <w:pPr>
              <w:jc w:val="center"/>
              <w:ind w:left="333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Income (Loss)</w:t>
              </w:r>
            </w:hyperlink>
          </w:p>
        </w:tc>
        <w:tc>
          <w:tcPr>
            <w:tcW w:w="3580" w:type="dxa"/>
            <w:vAlign w:val="bottom"/>
            <w:gridSpan w:val="5"/>
            <w:shd w:val="clear" w:color="auto" w:fill="CCEEFF"/>
          </w:tcPr>
          <w:p>
            <w:pPr>
              <w:jc w:val="center"/>
              <w:ind w:left="333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3580" w:type="dxa"/>
            <w:vAlign w:val="bottom"/>
            <w:gridSpan w:val="5"/>
          </w:tcPr>
          <w:p>
            <w:pPr>
              <w:jc w:val="center"/>
              <w:ind w:left="3330"/>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580" w:type="dxa"/>
            <w:vAlign w:val="bottom"/>
            <w:gridSpan w:val="5"/>
            <w:shd w:val="clear" w:color="auto" w:fill="CCEEFF"/>
          </w:tcPr>
          <w:p>
            <w:pPr>
              <w:jc w:val="center"/>
              <w:ind w:left="3330"/>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2.  Management’s Discussion and Analysis of Financial Condition and Results of Operations</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3.</w:t>
              </w:r>
            </w:hyperlink>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4.</w:t>
              </w:r>
            </w:hyperlink>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 xml:space="preserve">Item </w:t>
              </w:r>
            </w:hyperlink>
            <w:r>
              <w:rPr>
                <w:rFonts w:ascii="Arial" w:cs="Arial" w:eastAsia="Arial" w:hAnsi="Arial"/>
                <w:sz w:val="18"/>
                <w:szCs w:val="18"/>
                <w:color w:val="0000EE"/>
              </w:rPr>
              <w:t xml:space="preserve">1A.Risk </w:t>
            </w:r>
            <w:hyperlink w:anchor="page30">
              <w:r>
                <w:rPr>
                  <w:rFonts w:ascii="Arial" w:cs="Arial" w:eastAsia="Arial" w:hAnsi="Arial"/>
                  <w:sz w:val="18"/>
                  <w:szCs w:val="18"/>
                  <w:color w:val="0000EE"/>
                </w:rPr>
                <w:t>Factors</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2.</w:t>
              </w:r>
            </w:hyperlink>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6.</w:t>
              </w:r>
            </w:hyperlink>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Exhibits</w:t>
              </w:r>
            </w:hyperlink>
          </w:p>
        </w:tc>
        <w:tc>
          <w:tcPr>
            <w:tcW w:w="6120" w:type="dxa"/>
            <w:vAlign w:val="bottom"/>
            <w:gridSpan w:val="10"/>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17"/>
                <w:szCs w:val="17"/>
                <w:color w:val="auto"/>
              </w:rPr>
            </w:pPr>
          </w:p>
        </w:tc>
        <w:tc>
          <w:tcPr>
            <w:tcW w:w="280" w:type="dxa"/>
            <w:vAlign w:val="bottom"/>
            <w:gridSpan w:val="4"/>
            <w:shd w:val="clear" w:color="auto" w:fill="CCEEFF"/>
          </w:tcPr>
          <w:p>
            <w:pPr>
              <w:jc w:val="center"/>
              <w:ind w:right="10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18"/>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Arial" w:cs="Arial" w:eastAsia="Arial" w:hAnsi="Arial"/>
                <w:sz w:val="18"/>
                <w:szCs w:val="18"/>
                <w:color w:val="auto"/>
                <w:w w:val="79"/>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October 30,</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January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October 31,</w:t>
            </w:r>
          </w:p>
        </w:tc>
      </w:tr>
      <w:tr>
        <w:trPr>
          <w:trHeight w:val="234"/>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48,501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61,912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46,947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51,501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12,788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134,387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90,687</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86,888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109,757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48,221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52,973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55,421</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271,998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261,372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259,437</w:t>
            </w: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20" w:type="dxa"/>
            <w:vAlign w:val="bottom"/>
            <w:gridSpan w:val="5"/>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25,830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17,901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14,527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20,378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Operating lease liability short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26,815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32,402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35,489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Gift cards and customer deposits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18,197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revenue and 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8"/>
                <w:szCs w:val="18"/>
                <w:color w:val="auto"/>
              </w:rPr>
            </w:pPr>
          </w:p>
        </w:tc>
      </w:tr>
      <w:tr>
        <w:trPr>
          <w:trHeight w:val="223"/>
        </w:trPr>
        <w:tc>
          <w:tcPr>
            <w:tcW w:w="6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93,910</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91,306</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long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82,700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107,653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w w:val="92"/>
              </w:rPr>
              <w:t>Preferred stock, par value $0.01, Shares authorized: 15,000,000; No shares issued or</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20" w:type="dxa"/>
            <w:vAlign w:val="bottom"/>
          </w:tcPr>
          <w:p>
            <w:pPr>
              <w:ind w:left="340"/>
              <w:spacing w:after="0"/>
              <w:rPr>
                <w:sz w:val="20"/>
                <w:szCs w:val="20"/>
                <w:color w:val="auto"/>
              </w:rPr>
            </w:pPr>
            <w:r>
              <w:rPr>
                <w:rFonts w:ascii="Arial" w:cs="Arial" w:eastAsia="Arial" w:hAnsi="Arial"/>
                <w:sz w:val="18"/>
                <w:szCs w:val="18"/>
                <w:color w:val="auto"/>
              </w:rPr>
              <w:t>outstanding at October 30, 2021, January 30, 2021 and October 31, 2020</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outstanding: 16,297,362, 15,930,958 and 15,960,262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75,316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72,822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72,344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(12,495)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Retained earnings/(deficit)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30,080</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6,942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(3,528)</w:t>
            </w: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93,064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56,699</w:t>
            </w:r>
          </w:p>
        </w:tc>
      </w:tr>
      <w:tr>
        <w:trPr>
          <w:trHeight w:val="209"/>
        </w:trPr>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271,998</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261,372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259,437</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7420" w:type="dxa"/>
            <w:vAlign w:val="bottom"/>
            <w:gridSpan w:val="7"/>
          </w:tcPr>
          <w:p>
            <w:pPr>
              <w:jc w:val="center"/>
              <w:ind w:left="1170"/>
              <w:spacing w:after="0"/>
              <w:rPr>
                <w:sz w:val="20"/>
                <w:szCs w:val="20"/>
                <w:color w:val="auto"/>
              </w:rPr>
            </w:pPr>
            <w:r>
              <w:rPr>
                <w:rFonts w:ascii="Arial" w:cs="Arial" w:eastAsia="Arial" w:hAnsi="Arial"/>
                <w:sz w:val="18"/>
                <w:szCs w:val="18"/>
                <w:b w:val="1"/>
                <w:bCs w:val="1"/>
                <w:color w:val="auto"/>
                <w:w w:val="99"/>
              </w:rPr>
              <w:t>BUILD-A-BEAR WORKSHOP, INC. AND SUBSIDIARIES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7"/>
          </w:tcPr>
          <w:p>
            <w:pPr>
              <w:jc w:val="center"/>
              <w:ind w:left="11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180" w:type="dxa"/>
            <w:vAlign w:val="bottom"/>
            <w:gridSpan w:val="5"/>
          </w:tcPr>
          <w:p>
            <w:pPr>
              <w:jc w:val="center"/>
              <w:ind w:left="2410"/>
              <w:spacing w:after="0"/>
              <w:rPr>
                <w:sz w:val="20"/>
                <w:szCs w:val="20"/>
                <w:color w:val="auto"/>
              </w:rPr>
            </w:pPr>
            <w:r>
              <w:rPr>
                <w:rFonts w:ascii="Arial" w:cs="Arial" w:eastAsia="Arial" w:hAnsi="Arial"/>
                <w:sz w:val="18"/>
                <w:szCs w:val="18"/>
                <w:b w:val="1"/>
                <w:bCs w:val="1"/>
                <w:color w:val="auto"/>
              </w:rPr>
              <w:t>AND COMPREHENSIVE INCOME (LOSS)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7420" w:type="dxa"/>
            <w:vAlign w:val="bottom"/>
            <w:gridSpan w:val="7"/>
          </w:tcPr>
          <w:p>
            <w:pPr>
              <w:jc w:val="center"/>
              <w:ind w:left="1190"/>
              <w:spacing w:after="0"/>
              <w:rPr>
                <w:sz w:val="20"/>
                <w:szCs w:val="20"/>
                <w:color w:val="auto"/>
              </w:rPr>
            </w:pPr>
            <w:r>
              <w:rPr>
                <w:rFonts w:ascii="Arial" w:cs="Arial" w:eastAsia="Arial" w:hAnsi="Arial"/>
                <w:sz w:val="18"/>
                <w:szCs w:val="18"/>
                <w:color w:val="auto"/>
                <w:w w:val="88"/>
              </w:rPr>
              <w:t>(Dollars in thousands, except share and per share data)</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4"/>
                <w:szCs w:val="24"/>
                <w:color w:val="auto"/>
              </w:rPr>
            </w:pPr>
          </w:p>
        </w:tc>
        <w:tc>
          <w:tcPr>
            <w:tcW w:w="24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Thirty-nine weeks ended</w:t>
            </w:r>
          </w:p>
        </w:tc>
      </w:tr>
      <w:tr>
        <w:trPr>
          <w:trHeight w:val="191"/>
        </w:trPr>
        <w:tc>
          <w:tcPr>
            <w:tcW w:w="1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88"/>
              </w:rPr>
              <w:t>October 31,</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Net retail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91,551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72,368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272,052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157,354</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International franchising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95,139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161,650</w:t>
            </w:r>
          </w:p>
        </w:tc>
      </w:tr>
      <w:tr>
        <w:trPr>
          <w:trHeight w:val="209"/>
        </w:trPr>
        <w:tc>
          <w:tcPr>
            <w:tcW w:w="1280" w:type="dxa"/>
            <w:vAlign w:val="bottom"/>
            <w:tcBorders>
              <w:top w:val="single" w:sz="8" w:color="CCEEFF"/>
            </w:tcBorders>
          </w:tcPr>
          <w:p>
            <w:pPr>
              <w:spacing w:after="0"/>
              <w:rPr>
                <w:sz w:val="18"/>
                <w:szCs w:val="18"/>
                <w:color w:val="auto"/>
              </w:rPr>
            </w:pPr>
          </w:p>
        </w:tc>
        <w:tc>
          <w:tcPr>
            <w:tcW w:w="4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Cost of merchandise sold - retail</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43,918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38,715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128,688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102,300</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Store asset impairment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Cost of merchandise sold - commercial</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merchandise sold - international franchising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Total cost of merchandise sold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45,525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39,910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133,118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111,289</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gross profit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49,614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34,763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50,361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41,709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33,091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117,870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81,332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7,907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30,561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(30,977)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5,923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(33,453)</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(33,651)</w:t>
            </w:r>
          </w:p>
        </w:tc>
      </w:tr>
      <w:tr>
        <w:trPr>
          <w:trHeight w:val="197"/>
        </w:trPr>
        <w:tc>
          <w:tcPr>
            <w:tcW w:w="1280" w:type="dxa"/>
            <w:vAlign w:val="bottom"/>
            <w:tcBorders>
              <w:top w:val="single" w:sz="8" w:color="CCEEFF"/>
            </w:tcBorders>
          </w:tcPr>
          <w:p>
            <w:pPr>
              <w:spacing w:after="0"/>
              <w:rPr>
                <w:sz w:val="17"/>
                <w:szCs w:val="17"/>
                <w:color w:val="auto"/>
              </w:rPr>
            </w:pPr>
          </w:p>
        </w:tc>
        <w:tc>
          <w:tcPr>
            <w:tcW w:w="47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(2.24)</w:t>
            </w:r>
          </w:p>
        </w:tc>
      </w:tr>
      <w:tr>
        <w:trPr>
          <w:trHeight w:val="196"/>
        </w:trPr>
        <w:tc>
          <w:tcPr>
            <w:tcW w:w="1280" w:type="dxa"/>
            <w:vAlign w:val="bottom"/>
            <w:tcBorders>
              <w:top w:val="single" w:sz="8" w:color="CCEEFF"/>
            </w:tcBorders>
          </w:tcPr>
          <w:p>
            <w:pPr>
              <w:spacing w:after="0"/>
              <w:rPr>
                <w:sz w:val="17"/>
                <w:szCs w:val="17"/>
                <w:color w:val="auto"/>
              </w:rPr>
            </w:pPr>
          </w:p>
        </w:tc>
        <w:tc>
          <w:tcPr>
            <w:tcW w:w="47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15,578,389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14,999,786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15,345,420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14,923,304</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16,236,901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15,220,432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16,042,947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14,923,304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80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0"/>
              </w:rPr>
              <w:t>October 30,</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8"/>
              </w:rPr>
              <w:t>October 31,</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23,138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(33,453)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9,152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9,905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Share-based and performance-based stock compensation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Impairment of right-of-use assets and fixed assets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7,044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assets and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2,944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9,209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4,075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Gift cards and customer deposits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(1,128)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r>
      <w:tr>
        <w:trPr>
          <w:trHeight w:val="210"/>
        </w:trPr>
        <w:tc>
          <w:tcPr>
            <w:tcW w:w="8000" w:type="dxa"/>
            <w:vAlign w:val="bottom"/>
            <w:tcBorders>
              <w:top w:val="single" w:sz="8" w:color="CCEEFF"/>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(4,029)</w:t>
            </w:r>
          </w:p>
        </w:tc>
      </w:tr>
      <w:tr>
        <w:trPr>
          <w:trHeight w:val="20"/>
        </w:trPr>
        <w:tc>
          <w:tcPr>
            <w:tcW w:w="8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(4,029)</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provided by (used in) financing activities: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the exercise of employee stock options, net of tax withholding obligation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13,661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48,501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27,463</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Restricted cash from long-term deposits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27,463</w:t>
            </w:r>
          </w:p>
        </w:tc>
      </w:tr>
      <w:tr>
        <w:trPr>
          <w:trHeight w:val="196"/>
        </w:trPr>
        <w:tc>
          <w:tcPr>
            <w:tcW w:w="8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paid (received) during the period for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432"/>
        </w:trPr>
        <w:tc>
          <w:tcPr>
            <w:tcW w:w="8260" w:type="dxa"/>
            <w:vAlign w:val="bottom"/>
            <w:gridSpan w:val="2"/>
          </w:tcPr>
          <w:p>
            <w:pPr>
              <w:ind w:left="300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30, 2021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30, 2021, which were included in the Company’s Annual Report on Form 10-K filed with the SEC on April 15,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 Pandemic</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Company's results of operations in fiscal 2020 ended January 30, 2021 were significantly negatively impacted by COVID which was declared a global pandemic by the World Health Organization in March 2020. In the beginning of fiscal 2021 most of the Company's United States store portfolio was open and operating while its stores in the United Kingdom, Canada, and Ireland remained temporarily closed. In April 2021, stores in the United Kingdom reopened as the government lifted lockdown restrictions resulting in almost all of the Company's stores operating as of the end of the 2021 first fiscal quarter with the remaining stores in the United Kingdom and Ireland opening in the second fiscal quarter and ending the second fiscal quarter with all stores open. The majority of the Company's Canadian stores were temporarily closed to begin the second fiscal quarter with the majority reopening in June 2021 and with all stores open at the end of second fiscal quarter. During the third quarter, temporary, unplanned store closures occurred due to COVID exposures on a limited basis, with no stores temporarily closed as of the end of the third fiscal quarter.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Company's significant accounting policies are summarized in Note 2 to the consolidated financial statements included in its Form 10-K for the year ended January 30, 2021.</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Government Grants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a result of the pandemic, governments enacted relief legislation and stimulus packages to help combat the economic effects through such things as payroll expense reimbursement and business and restart grants. Due to the nature of these grants relating to income, they can be presented</w:t>
      </w:r>
    </w:p>
    <w:p>
      <w:pPr>
        <w:ind w:right="40"/>
        <w:spacing w:after="0" w:line="267" w:lineRule="auto"/>
        <w:rPr>
          <w:sz w:val="20"/>
          <w:szCs w:val="20"/>
          <w:color w:val="auto"/>
        </w:rPr>
      </w:pPr>
      <w:r>
        <w:rPr>
          <w:rFonts w:ascii="Arial" w:cs="Arial" w:eastAsia="Arial" w:hAnsi="Arial"/>
          <w:sz w:val="17"/>
          <w:szCs w:val="17"/>
          <w:color w:val="auto"/>
        </w:rPr>
        <w:t>in one of two ways: (1) a credit in the income statement under a general heading such as "other income" or (2) as a reduction to the related expense. The Company applied for reimbursement of payroll expenses in certain jurisdictions through COVID related government programs for payroll paid to employees who were paid while not providing services to the Company and for business and restart grants from the United Kingdom government for businesses in the retail, hospitality and leisure sectors. The Company recorded a reduction of expenses of $0.4 million for the thirteen weeks ended October 30, 2021 related to these wages within the Selling, general and administrative line in the Condensed Consolidated Statement of Operations and Comprehensive Income (Loss) for employees in the United States upon receipt of cash from the U.S. Government and in Canada from the Canadian government. In the prior year, the Company did not record a reduction to expense for the full amount applied for under U.S. Government programs due to the new nature of the programs and uncertainty of collectability. As the cash was received in the current quarter for the full amount applied for, the Company recorded the reduction in expense not recorded in the prior year. For the thirteen weeks ended October 31, 2020, the Company recorded a reduction to expense of $0.3 million. For the thirty-nine weeks ended October 30, 2021 and October 31, 2020, the Company recorded a reduction of expense related to payroll reimbursements of $1.4 million and $3.3 million, respectively. The business and restart grants in the United Kingdom for businesses in the non-essential retail, hospitality and leisure sectors, were applied for on a per-property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 support businesses through the latest lockdown restrictions. The Company did not record income related to business or restart grants in the thirteen weeks ended October 30, 2021 and October 31, 2020. For the thirty-nine weeks ended October 30, 2021, the Company recorded $0.9 million of business and restart grants. This amount was recorded as "other income" within the Selling, general and administrative line in the Condensed Consolidated Statement of Operations and Comprehensive Income (Loss). The Company did not record income related to business or restart grants for the thirty-nine weeks ended October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Production Costs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Costs of producing entertainment assets, which include direct costs, production overhead and development costs, are capitalized when incurred and are stated at the lower of cost, less accumulated amortization, or fair value. For film related costs, the Company expects assets to be monetized individually and will be amortized using the individual film-forecast-computation method which amortizes such costs in the same ratio that current period actual revenue bears to the estimated remaining unrecognized total revenues (ultimate revenue). Ultimate revenue includes estimates over a period not to exceed ten years from the date of initial release of the film. Participation costs and residuals are accrued and expensed over the applicable product life cycle based upon the ratio of the current period's revenues to the estimated remaining total revenues for each production.</w:t>
      </w:r>
    </w:p>
    <w:p>
      <w:pPr>
        <w:spacing w:after="0" w:line="178"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Costs of entertainment productions are subject to recoverability assessments, which for content predominantly monetized individually, compare the estimated fair values with the unamortized cost, whenever events or changes in circumstances indicate that the fair value of the film may be less than the unamortized cost. The fair value is determined based on a discounted cash flow analysis of the cash flows directly attributable to the entertainment assets. The discounted cash flow analysis includes cash flow estimates of ultimate revenue as well as a discount rate (a Level 3 fair value measurement). The discount rate used in the Company’s discounted cash flow model will reflect the time value of money, expectations about variation in the amount or timing of the most likely cash flows, and the price market participants would seek for bearing the uncertainty inherent with the film asset. The amount by which the unamortized costs of entertainment assets exceed their estimated fair values are written off. As of October 30, 2021, January 30, 2021, and October 31, 2020, the Company had capitalized entertainment production costs of $0.8 million, $1.7 million, and $0.4 million, respectively. The October 30, 2021 balance for entertainment production costs is mostly comprised of several in-development entertainment projects.</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October 2021, the Company co-released the film Honey Girls and began recording film cost amortization. The Company does not have any history with this type of entertainment transaction, therefore the Company made a reasonable estimate of ultimate revenues for the film, and amortization of the film costs. The Company recorded an immaterial amount of net revenue and film cost amortization for the thirteen weeks ended October 30, 2021 as "other income/expense" within the Selling, general and administrative line in the Condensed Consolidated Statement of Operations and Comprehensive Income (Loss) and includes it in the financial information of the Commercial reportable segment presented in Note 11 - Segment Information. Additionally, as a result of the delivery and release of the film, the Company recorded receivables totaling approximately $4.0 million during the third quarter stemming from a refundable Canadian Film Tax Credit and other contractually obligations. These receivables were recorded as a reduction to the film costs associated with the movie as they relate directly to previously capitalized expenses. The remaining net production entertainment asset related the Honey Girls film as of October 30, 2021 is immaterial.</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Currently, nearly all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96% of consolidated revenue for the third quarter of fiscal 2021. The majority of these sales transactions were single performance obligations that were recorded when control was transferred to the customer.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following is a description of principal activities from which the Company generates its revenue, by reportable segment.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generally upon estimated delivery to the customer. Revenue is measured as the amount of consideration, including any discounts or incentives, the Company expects to receive in exchange for transferring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merchandise. Product returns have historically averaged less than one-half of one percent due to the personalized and interactive nature of sales,</w:t>
      </w:r>
    </w:p>
    <w:p>
      <w:pPr>
        <w:spacing w:after="0" w:line="3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where consumers customize their own stuffed animal. The Company has elected to exclude from revenue all collected sales, value added and other taxes paid by its customers.</w:t>
      </w:r>
    </w:p>
    <w:p>
      <w:pPr>
        <w:spacing w:after="0" w:line="18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For the Company’s gift cards, revenue, including any related gift card discounts, is deferred for single transactions until redemption. Historically, the vast majority of gift card redemptions have occurred within two years of acquisition and approximately 75% of gift cards have been redeemed within the first twelve months. In addition, unredeemed gift cards or breakage revenue is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 alue assigned to the points is deferred until the points are redeemed, forfeited or expired. In regard to the consolidated balance sheet, contract liabilities for gift cards are classified as gift cards and customer deposits, and deferred revenues for the Company's loyalty program are classified as deferred revenue and other.</w:t>
      </w:r>
    </w:p>
    <w:p>
      <w:pPr>
        <w:spacing w:after="0" w:line="168"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Company classifies these guaranteed minimum contract liabilities as deferred revenue on the consolidated balance sheet.</w:t>
      </w:r>
    </w:p>
    <w:p>
      <w:pPr>
        <w:spacing w:after="0" w:line="21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or sooner if the agreement is terminated prior to the end of the term.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giving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table below presents certain information related to the lease costs for operating leases for the thirteen and thirty-nine weeks ended October 30, 2021 and October 31, 2020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Thirty-nine weeks ended</w:t>
            </w:r>
          </w:p>
        </w:tc>
      </w:t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30,</w:t>
            </w:r>
          </w:p>
        </w:tc>
        <w:tc>
          <w:tcPr>
            <w:tcW w:w="1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October 31,</w:t>
            </w: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30,</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October 31,</w:t>
            </w:r>
          </w:p>
        </w:tc>
      </w:tr>
      <w:tr>
        <w:trPr>
          <w:trHeight w:val="234"/>
        </w:trPr>
        <w:tc>
          <w:tcPr>
            <w:tcW w:w="3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28,464</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3,762</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1,422</w:t>
            </w: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r>
      <w:tr>
        <w:trPr>
          <w:trHeight w:val="20"/>
        </w:trPr>
        <w:tc>
          <w:tcPr>
            <w:tcW w:w="3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10,149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9,897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29,657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29,997</w:t>
            </w:r>
          </w:p>
        </w:tc>
      </w:tr>
      <w:tr>
        <w:trPr>
          <w:trHeight w:val="20"/>
        </w:trPr>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table below presents supplemental cash flow information related to leases for the thirteen and thirty-nine weeks ended October 30, 2021 and October 31, 2020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Thirteen weeks ended</w:t>
            </w:r>
          </w:p>
        </w:tc>
        <w:tc>
          <w:tcPr>
            <w:tcW w:w="27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Thirty-nine weeks ended</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October 30,</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October 30,</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October 31,</w:t>
            </w:r>
          </w:p>
        </w:tc>
      </w:tr>
      <w:tr>
        <w:trPr>
          <w:trHeight w:val="234"/>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Operating cash flows for operating leases</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10,817</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33,289</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25,878</w:t>
            </w:r>
          </w:p>
        </w:tc>
      </w:tr>
    </w:tbl>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Operating cash flow for operating leases for the third quarter and year-to-date fiscal 2021 exceeded expense recorded for the same periods, which is expected to continue for the remainder of fiscal 2021, as the Company's deferred rent obligations obtained during rent negotiations in fiscal 2020 are to be paid during fiscal 2021. The Company has approximately $0.7 million remaining of rent deferrals to be paid in the remainder of fiscal 2021, whose liability is recorded in the Operating lease liability short term line of the Condensed Consolidated Balance Sheet.</w:t>
      </w:r>
    </w:p>
    <w:p>
      <w:pPr>
        <w:spacing w:after="0" w:line="17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October 30, 2021 and October 31, 2020, the weighted-average remaining operating lease term was 4.5 years and 5.0 years, respectively, and the weighted-average discount rate was 6.0% and 6.0%, respectively, for operating leases recognized on the Company's Condensed Consolidated Balance Sheets.</w:t>
      </w:r>
    </w:p>
    <w:p>
      <w:pPr>
        <w:spacing w:after="0" w:line="184"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For the thirteen and thirty-nine weeks ended October 30, 2021, the Company did not incur impairment charges against its right-of-use operating lease assets. For the thirteen and thirty-nine weeks ended October 31, 2020, the Company incurred right-of-use asset impairment charges of $0.1 million and $3.6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Undiscounted cash flows</w:t>
      </w:r>
    </w:p>
    <w:p>
      <w:pPr>
        <w:spacing w:after="0" w:line="225" w:lineRule="exact"/>
        <w:rPr>
          <w:sz w:val="20"/>
          <w:szCs w:val="20"/>
          <w:color w:val="auto"/>
        </w:rPr>
      </w:pPr>
    </w:p>
    <w:p>
      <w:pPr>
        <w:ind w:left="500" w:right="500" w:firstLine="162"/>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36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w w:val="90"/>
              </w:rPr>
              <w:t>Operating Leases</w:t>
            </w:r>
          </w:p>
        </w:tc>
        <w:tc>
          <w:tcPr>
            <w:tcW w:w="3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2022</w:t>
            </w: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32,407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26,384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2024</w:t>
            </w: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21,980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16,379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21,111</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3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125,896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(16,381)</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3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109,515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(26,815)</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30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82,700</w:t>
            </w: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4360" w:type="dxa"/>
            <w:vAlign w:val="bottom"/>
            <w:tcBorders>
              <w:top w:val="single" w:sz="8" w:color="CCEEFF"/>
            </w:tcBorders>
          </w:tcPr>
          <w:p>
            <w:pPr>
              <w:spacing w:after="0"/>
              <w:rPr>
                <w:sz w:val="24"/>
                <w:szCs w:val="24"/>
                <w:color w:val="auto"/>
              </w:rPr>
            </w:pPr>
          </w:p>
        </w:tc>
        <w:tc>
          <w:tcPr>
            <w:tcW w:w="3020" w:type="dxa"/>
            <w:vAlign w:val="bottom"/>
            <w:tcBorders>
              <w:top w:val="single" w:sz="8" w:color="CCEEFF"/>
            </w:tcBorders>
          </w:tcPr>
          <w:p>
            <w:pPr>
              <w:jc w:val="right"/>
              <w:ind w:right="2690"/>
              <w:spacing w:after="0"/>
              <w:rPr>
                <w:sz w:val="20"/>
                <w:szCs w:val="20"/>
                <w:color w:val="auto"/>
              </w:rPr>
            </w:pPr>
            <w:r>
              <w:rPr>
                <w:rFonts w:ascii="Arial" w:cs="Arial" w:eastAsia="Arial" w:hAnsi="Arial"/>
                <w:sz w:val="18"/>
                <w:szCs w:val="18"/>
                <w:color w:val="auto"/>
              </w:rPr>
              <w:t>10</w:t>
            </w:r>
          </w:p>
        </w:tc>
        <w:tc>
          <w:tcPr>
            <w:tcW w:w="5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As of October 30, 2021, the Company had additional executed leases that had not yet commenced with operating lease liabilities of $1.5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leases are expected to commence in the fourth quarter of fiscal 2021 with lease terms ranging from five to ten years.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30,</w:t>
            </w:r>
          </w:p>
        </w:tc>
        <w:tc>
          <w:tcPr>
            <w:tcW w:w="18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w:t>
            </w: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31,</w:t>
            </w:r>
          </w:p>
        </w:tc>
      </w:tr>
      <w:tr>
        <w:trPr>
          <w:trHeight w:val="234"/>
        </w:trPr>
        <w:tc>
          <w:tcPr>
            <w:tcW w:w="4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0"/>
        </w:trPr>
        <w:tc>
          <w:tcPr>
            <w:tcW w:w="424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Prepaid occupancy </w:t>
            </w:r>
            <w:r>
              <w:rPr>
                <w:rFonts w:ascii="Arial" w:cs="Arial" w:eastAsia="Arial" w:hAnsi="Arial"/>
                <w:sz w:val="24"/>
                <w:szCs w:val="24"/>
                <w:color w:val="auto"/>
                <w:vertAlign w:val="superscript"/>
              </w:rPr>
              <w:t>(1)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r>
      <w:tr>
        <w:trPr>
          <w:trHeight w:val="216"/>
        </w:trPr>
        <w:tc>
          <w:tcPr>
            <w:tcW w:w="4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Prepaid taxes </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415</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Prepaid gift card fees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1,291</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1,312</w:t>
            </w:r>
          </w:p>
        </w:tc>
      </w:tr>
      <w:tr>
        <w:trPr>
          <w:trHeight w:val="216"/>
        </w:trPr>
        <w:tc>
          <w:tcPr>
            <w:tcW w:w="4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3,161</w:t>
            </w:r>
          </w:p>
        </w:tc>
      </w:tr>
      <w:tr>
        <w:trPr>
          <w:trHeight w:val="20"/>
        </w:trPr>
        <w:tc>
          <w:tcPr>
            <w:tcW w:w="4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24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11,186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10,111</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5,427</w:t>
            </w: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Prepaid occupancy consists of prepaid expenses related to non-lease components.</w:t>
      </w:r>
    </w:p>
    <w:p>
      <w:pPr>
        <w:spacing w:after="0" w:line="23" w:lineRule="exact"/>
        <w:rPr>
          <w:rFonts w:ascii="Arial" w:cs="Arial" w:eastAsia="Arial" w:hAnsi="Arial"/>
          <w:sz w:val="18"/>
          <w:szCs w:val="18"/>
          <w:color w:val="auto"/>
        </w:rPr>
      </w:pPr>
    </w:p>
    <w:p>
      <w:pPr>
        <w:ind w:left="920" w:hanging="35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Prepaid taxes consist of prepaid federal and state income tax and other taxes.</w:t>
      </w:r>
    </w:p>
    <w:p>
      <w:pPr>
        <w:spacing w:after="0" w:line="9" w:lineRule="exact"/>
        <w:rPr>
          <w:rFonts w:ascii="Arial" w:cs="Arial" w:eastAsia="Arial" w:hAnsi="Arial"/>
          <w:sz w:val="18"/>
          <w:szCs w:val="18"/>
          <w:color w:val="auto"/>
        </w:rPr>
      </w:pPr>
    </w:p>
    <w:p>
      <w:pPr>
        <w:ind w:left="920" w:hanging="35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consists primarily of prepaid expense related to IT maintenance contracts and software as a service.</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w w:val="95"/>
              </w:rPr>
              <w:t>Other non-current assets consist of the following (in thousands):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30,</w:t>
            </w:r>
          </w:p>
        </w:tc>
        <w:tc>
          <w:tcPr>
            <w:tcW w:w="18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w:t>
            </w:r>
          </w:p>
        </w:tc>
        <w:tc>
          <w:tcPr>
            <w:tcW w:w="18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31,</w:t>
            </w:r>
          </w:p>
        </w:tc>
      </w:tr>
      <w:tr>
        <w:trPr>
          <w:trHeight w:val="234"/>
        </w:trPr>
        <w:tc>
          <w:tcPr>
            <w:tcW w:w="6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production asset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r>
      <w:tr>
        <w:trPr>
          <w:trHeight w:val="216"/>
        </w:trPr>
        <w:tc>
          <w:tcPr>
            <w:tcW w:w="6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2,647</w:t>
            </w: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w:t>
            </w:r>
          </w:p>
        </w:tc>
      </w:tr>
      <w:tr>
        <w:trPr>
          <w:trHeight w:val="20"/>
        </w:trPr>
        <w:tc>
          <w:tcPr>
            <w:tcW w:w="66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3,381</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3,572</w:t>
            </w:r>
          </w:p>
        </w:tc>
      </w:tr>
      <w:tr>
        <w:trPr>
          <w:trHeight w:val="20"/>
        </w:trPr>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Other consists primarily of deferred financing costs related to the Company's credit facility</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October 30,</w:t>
            </w:r>
          </w:p>
        </w:tc>
        <w:tc>
          <w:tcPr>
            <w:tcW w:w="18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w:t>
            </w:r>
          </w:p>
        </w:tc>
        <w:tc>
          <w:tcPr>
            <w:tcW w:w="18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31,</w:t>
            </w:r>
          </w:p>
        </w:tc>
      </w:tr>
      <w:tr>
        <w:trPr>
          <w:trHeight w:val="234"/>
        </w:trPr>
        <w:tc>
          <w:tcPr>
            <w:tcW w:w="4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wages, bonuses and related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14,844</w:t>
            </w:r>
          </w:p>
        </w:tc>
      </w:tr>
      <w:tr>
        <w:trPr>
          <w:trHeight w:val="216"/>
        </w:trPr>
        <w:tc>
          <w:tcPr>
            <w:tcW w:w="46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Sales and value added taxes payable</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2,254</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2,048</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3,317</w:t>
            </w:r>
          </w:p>
        </w:tc>
      </w:tr>
      <w:tr>
        <w:trPr>
          <w:trHeight w:val="216"/>
        </w:trPr>
        <w:tc>
          <w:tcPr>
            <w:tcW w:w="460" w:type="dxa"/>
            <w:vAlign w:val="bottom"/>
          </w:tcPr>
          <w:p>
            <w:pPr>
              <w:spacing w:after="0"/>
              <w:rPr>
                <w:sz w:val="18"/>
                <w:szCs w:val="18"/>
                <w:color w:val="auto"/>
              </w:rPr>
            </w:pPr>
          </w:p>
        </w:tc>
        <w:tc>
          <w:tcPr>
            <w:tcW w:w="42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Accrued rent and related expenses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1,596</w:t>
            </w:r>
          </w:p>
        </w:tc>
      </w:tr>
      <w:tr>
        <w:trPr>
          <w:trHeight w:val="216"/>
        </w:trPr>
        <w:tc>
          <w:tcPr>
            <w:tcW w:w="46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Current income taxes payable</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r>
      <w:tr>
        <w:trPr>
          <w:trHeight w:val="20"/>
        </w:trPr>
        <w:tc>
          <w:tcPr>
            <w:tcW w:w="4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60" w:type="dxa"/>
            <w:vAlign w:val="bottom"/>
          </w:tcPr>
          <w:p>
            <w:pPr>
              <w:spacing w:after="0"/>
              <w:rPr>
                <w:sz w:val="19"/>
                <w:szCs w:val="19"/>
                <w:color w:val="auto"/>
              </w:rPr>
            </w:pPr>
          </w:p>
        </w:tc>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17,551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19,856</w:t>
            </w:r>
          </w:p>
        </w:tc>
      </w:tr>
      <w:tr>
        <w:trPr>
          <w:trHeight w:val="20"/>
        </w:trPr>
        <w:tc>
          <w:tcPr>
            <w:tcW w:w="46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540" w:right="2460" w:hanging="4979"/>
        <w:spacing w:after="0" w:line="527" w:lineRule="auto"/>
        <w:tabs>
          <w:tab w:leader="none" w:pos="91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Accrued rent and related expenses consist of accrued costs associated with non-lease components.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125" w:right="11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Committee of the Board (the "Compensation Committee"), permits the grant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terminated earlier by the Board. The number of shares of the Company’s common stock authorized for issuance under the 2020 Incentive Plan is 1,000,000, plus shares of stock that remained available for issuance under the Build-A-Bear Workshop, Inc. 2017 Omnibus Incentive Plan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7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For the thirteen weeks ended October 30, 2021 and October 31, 2020, Selling, general and administrative expense included stock-based compensation expense of $0.6 million and $0.5 million, respectively. For the thirty-nine weeks ended October 30, 2021 and October 31, 2020, Selling, general and administrative expense included stock-based compensation expense of $2.1 million and $1.3 million, respectively. As of October 30, 2021, there was $3.0 million of total unrecognized compensation expense related to unvested restricted stock and option awards which is expected to be recognized over a weighted-average period of 1.4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balances and activity for stock options for the thirty-nine weeks ended October 30, 2021:</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120" w:type="dxa"/>
            <w:vAlign w:val="bottom"/>
            <w:gridSpan w:val="5"/>
          </w:tcPr>
          <w:p>
            <w:pPr>
              <w:jc w:val="right"/>
              <w:ind w:right="1300"/>
              <w:spacing w:after="0"/>
              <w:rPr>
                <w:sz w:val="20"/>
                <w:szCs w:val="20"/>
                <w:color w:val="auto"/>
              </w:rPr>
            </w:pPr>
            <w:r>
              <w:rPr>
                <w:rFonts w:ascii="Arial" w:cs="Arial" w:eastAsia="Arial" w:hAnsi="Arial"/>
                <w:sz w:val="18"/>
                <w:szCs w:val="18"/>
                <w:b w:val="1"/>
                <w:bCs w:val="1"/>
                <w:color w:val="auto"/>
              </w:rPr>
              <w:t>Options</w:t>
            </w:r>
          </w:p>
        </w:tc>
      </w:tr>
      <w:tr>
        <w:trPr>
          <w:trHeight w:val="191"/>
        </w:trPr>
        <w:tc>
          <w:tcPr>
            <w:tcW w:w="58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Weighted Average</w:t>
            </w:r>
          </w:p>
        </w:tc>
        <w:tc>
          <w:tcPr>
            <w:tcW w:w="80" w:type="dxa"/>
            <w:vAlign w:val="bottom"/>
          </w:tcPr>
          <w:p>
            <w:pPr>
              <w:spacing w:after="0"/>
              <w:rPr>
                <w:sz w:val="16"/>
                <w:szCs w:val="16"/>
                <w:color w:val="auto"/>
              </w:rPr>
            </w:pPr>
          </w:p>
        </w:tc>
      </w:tr>
      <w:tr>
        <w:trPr>
          <w:trHeight w:val="234"/>
        </w:trPr>
        <w:tc>
          <w:tcPr>
            <w:tcW w:w="586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Exercise Price</w:t>
            </w:r>
          </w:p>
        </w:tc>
        <w:tc>
          <w:tcPr>
            <w:tcW w:w="80" w:type="dxa"/>
            <w:vAlign w:val="bottom"/>
          </w:tcPr>
          <w:p>
            <w:pPr>
              <w:spacing w:after="0"/>
              <w:rPr>
                <w:sz w:val="20"/>
                <w:szCs w:val="20"/>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30,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(356,289)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w:t>
            </w: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r>
      <w:tr>
        <w:trPr>
          <w:trHeight w:val="20"/>
        </w:trPr>
        <w:tc>
          <w:tcPr>
            <w:tcW w:w="58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Outstanding, October 30, 2021</w:t>
            </w:r>
          </w:p>
        </w:tc>
        <w:tc>
          <w:tcPr>
            <w:tcW w:w="1440" w:type="dxa"/>
            <w:vAlign w:val="bottom"/>
          </w:tcPr>
          <w:p>
            <w:pPr>
              <w:jc w:val="right"/>
              <w:spacing w:after="0"/>
              <w:rPr>
                <w:sz w:val="20"/>
                <w:szCs w:val="20"/>
                <w:color w:val="auto"/>
              </w:rPr>
            </w:pPr>
            <w:r>
              <w:rPr>
                <w:rFonts w:ascii="Arial" w:cs="Arial" w:eastAsia="Arial" w:hAnsi="Arial"/>
                <w:sz w:val="18"/>
                <w:szCs w:val="18"/>
                <w:color w:val="auto"/>
              </w:rPr>
              <w:t>422,701</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12.40</w:t>
            </w:r>
          </w:p>
        </w:tc>
      </w:tr>
      <w:tr>
        <w:trPr>
          <w:trHeight w:val="20"/>
        </w:trPr>
        <w:tc>
          <w:tcPr>
            <w:tcW w:w="5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is a summary of the balances and activity related to time-based and performance-based restricted stock for the thirty-nine weeks ended October 30, 2021:</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2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5"/>
              </w:rPr>
              <w:t>Time-Based Restricted</w:t>
            </w:r>
          </w:p>
        </w:tc>
        <w:tc>
          <w:tcPr>
            <w:tcW w:w="20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9"/>
              </w:rPr>
              <w:t>Performance-Based</w:t>
            </w:r>
          </w:p>
        </w:tc>
      </w:tr>
      <w:tr>
        <w:trPr>
          <w:trHeight w:val="234"/>
        </w:trPr>
        <w:tc>
          <w:tcPr>
            <w:tcW w:w="4780" w:type="dxa"/>
            <w:vAlign w:val="bottom"/>
          </w:tcPr>
          <w:p>
            <w:pPr>
              <w:spacing w:after="0"/>
              <w:rPr>
                <w:sz w:val="20"/>
                <w:szCs w:val="20"/>
                <w:color w:val="auto"/>
              </w:rPr>
            </w:pPr>
          </w:p>
        </w:tc>
        <w:tc>
          <w:tcPr>
            <w:tcW w:w="22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Stock</w:t>
            </w:r>
          </w:p>
        </w:tc>
        <w:tc>
          <w:tcPr>
            <w:tcW w:w="20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Restricted Stock</w:t>
            </w:r>
          </w:p>
        </w:tc>
      </w:tr>
      <w:tr>
        <w:trPr>
          <w:trHeight w:val="191"/>
        </w:trPr>
        <w:tc>
          <w:tcPr>
            <w:tcW w:w="47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6"/>
        </w:trPr>
        <w:tc>
          <w:tcPr>
            <w:tcW w:w="4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Grant Date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780" w:type="dxa"/>
            <w:vAlign w:val="bottom"/>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0"/>
                <w:szCs w:val="20"/>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30,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336,441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143,755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9.46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53,095</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8.24</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(606,443)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(50,735)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w:t>
            </w:r>
          </w:p>
        </w:tc>
      </w:tr>
      <w:tr>
        <w:trPr>
          <w:trHeight w:val="20"/>
        </w:trPr>
        <w:tc>
          <w:tcPr>
            <w:tcW w:w="47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8"/>
                <w:szCs w:val="18"/>
                <w:color w:val="auto"/>
              </w:rPr>
              <w:t>Outstanding, October 30, 2021</w:t>
            </w:r>
          </w:p>
        </w:tc>
        <w:tc>
          <w:tcPr>
            <w:tcW w:w="900" w:type="dxa"/>
            <w:vAlign w:val="bottom"/>
          </w:tcPr>
          <w:p>
            <w:pPr>
              <w:jc w:val="right"/>
              <w:spacing w:after="0"/>
              <w:rPr>
                <w:sz w:val="20"/>
                <w:szCs w:val="20"/>
                <w:color w:val="auto"/>
              </w:rPr>
            </w:pPr>
            <w:r>
              <w:rPr>
                <w:rFonts w:ascii="Arial" w:cs="Arial" w:eastAsia="Arial" w:hAnsi="Arial"/>
                <w:sz w:val="18"/>
                <w:szCs w:val="18"/>
                <w:color w:val="auto"/>
              </w:rPr>
              <w:t>458,634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306,280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r>
      <w:tr>
        <w:trPr>
          <w:trHeight w:val="20"/>
        </w:trPr>
        <w:tc>
          <w:tcPr>
            <w:tcW w:w="4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total fair value of shares vested during the thirty-nine weeks ended October 30, 2021 and October 31, 2020 was $2.2 million and $2.3 million,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performance shares as of October 30, 2021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Performance</w:t>
            </w:r>
          </w:p>
        </w:tc>
      </w:tr>
      <w:tr>
        <w:trPr>
          <w:trHeight w:val="234"/>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r>
      <w:tr>
        <w:trPr>
          <w:trHeight w:val="209"/>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shares subject to performance-based restrictions at target: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 w:type="dxa"/>
            <w:vAlign w:val="bottom"/>
          </w:tcPr>
          <w:p>
            <w:pPr>
              <w:ind w:left="180"/>
              <w:spacing w:after="0"/>
              <w:rPr>
                <w:sz w:val="20"/>
                <w:szCs w:val="20"/>
                <w:color w:val="auto"/>
              </w:rPr>
            </w:pPr>
            <w:r>
              <w:rPr>
                <w:rFonts w:ascii="Arial" w:cs="Arial" w:eastAsia="Arial" w:hAnsi="Arial"/>
                <w:sz w:val="18"/>
                <w:szCs w:val="18"/>
                <w:color w:val="auto"/>
                <w:w w:val="89"/>
              </w:rPr>
              <w:t>2019</w:t>
            </w:r>
          </w:p>
        </w:tc>
        <w:tc>
          <w:tcPr>
            <w:tcW w:w="6920" w:type="dxa"/>
            <w:vAlign w:val="bottom"/>
          </w:tcPr>
          <w:p>
            <w:pPr>
              <w:ind w:left="20"/>
              <w:spacing w:after="0"/>
              <w:rPr>
                <w:sz w:val="20"/>
                <w:szCs w:val="20"/>
                <w:color w:val="auto"/>
              </w:rPr>
            </w:pPr>
            <w:r>
              <w:rPr>
                <w:rFonts w:ascii="Arial" w:cs="Arial" w:eastAsia="Arial" w:hAnsi="Arial"/>
                <w:sz w:val="18"/>
                <w:szCs w:val="18"/>
                <w:color w:val="auto"/>
              </w:rPr>
              <w:t>- 2021 consolidated pre-tax income growth objectives</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95,811</w:t>
            </w:r>
          </w:p>
        </w:tc>
      </w:tr>
      <w:tr>
        <w:trPr>
          <w:trHeight w:val="216"/>
        </w:trPr>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2020</w:t>
            </w: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- 2022 consolidated liquidity and strategic performance objectives</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89,168</w:t>
            </w:r>
          </w:p>
        </w:tc>
      </w:tr>
      <w:tr>
        <w:trPr>
          <w:trHeight w:val="216"/>
        </w:trPr>
        <w:tc>
          <w:tcPr>
            <w:tcW w:w="560" w:type="dxa"/>
            <w:vAlign w:val="bottom"/>
          </w:tcPr>
          <w:p>
            <w:pPr>
              <w:ind w:left="180"/>
              <w:spacing w:after="0"/>
              <w:rPr>
                <w:sz w:val="20"/>
                <w:szCs w:val="20"/>
                <w:color w:val="auto"/>
              </w:rPr>
            </w:pPr>
            <w:r>
              <w:rPr>
                <w:rFonts w:ascii="Arial" w:cs="Arial" w:eastAsia="Arial" w:hAnsi="Arial"/>
                <w:sz w:val="18"/>
                <w:szCs w:val="18"/>
                <w:color w:val="auto"/>
                <w:w w:val="89"/>
              </w:rPr>
              <w:t>2020</w:t>
            </w:r>
          </w:p>
        </w:tc>
        <w:tc>
          <w:tcPr>
            <w:tcW w:w="6920" w:type="dxa"/>
            <w:vAlign w:val="bottom"/>
          </w:tcPr>
          <w:p>
            <w:pPr>
              <w:ind w:left="20"/>
              <w:spacing w:after="0"/>
              <w:rPr>
                <w:sz w:val="20"/>
                <w:szCs w:val="20"/>
                <w:color w:val="auto"/>
              </w:rPr>
            </w:pPr>
            <w:r>
              <w:rPr>
                <w:rFonts w:ascii="Arial" w:cs="Arial" w:eastAsia="Arial" w:hAnsi="Arial"/>
                <w:sz w:val="18"/>
                <w:szCs w:val="18"/>
                <w:color w:val="auto"/>
              </w:rPr>
              <w:t>- 2022 consolidated earnings before interest and taxes (EBIT) objectives</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68,206</w:t>
            </w:r>
          </w:p>
        </w:tc>
      </w:tr>
      <w:tr>
        <w:trPr>
          <w:trHeight w:val="202"/>
        </w:trPr>
        <w:tc>
          <w:tcPr>
            <w:tcW w:w="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2021</w:t>
            </w:r>
          </w:p>
        </w:tc>
        <w:tc>
          <w:tcPr>
            <w:tcW w:w="69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- 2023 consolidated, cumulative earnings before interest, taxes, depreciation and amortization</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(EBITDA) objectives</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39,821</w:t>
            </w:r>
          </w:p>
        </w:tc>
      </w:tr>
      <w:tr>
        <w:trPr>
          <w:trHeight w:val="216"/>
        </w:trPr>
        <w:tc>
          <w:tcPr>
            <w:tcW w:w="560" w:type="dxa"/>
            <w:vAlign w:val="bottom"/>
          </w:tcPr>
          <w:p>
            <w:pPr>
              <w:ind w:left="180"/>
              <w:spacing w:after="0"/>
              <w:rPr>
                <w:sz w:val="20"/>
                <w:szCs w:val="20"/>
                <w:color w:val="auto"/>
              </w:rPr>
            </w:pPr>
            <w:r>
              <w:rPr>
                <w:rFonts w:ascii="Arial" w:cs="Arial" w:eastAsia="Arial" w:hAnsi="Arial"/>
                <w:sz w:val="18"/>
                <w:szCs w:val="18"/>
                <w:color w:val="auto"/>
                <w:w w:val="89"/>
              </w:rPr>
              <w:t>2021</w:t>
            </w:r>
          </w:p>
        </w:tc>
        <w:tc>
          <w:tcPr>
            <w:tcW w:w="6920" w:type="dxa"/>
            <w:vAlign w:val="bottom"/>
          </w:tcPr>
          <w:p>
            <w:pPr>
              <w:ind w:left="20"/>
              <w:spacing w:after="0"/>
              <w:rPr>
                <w:sz w:val="20"/>
                <w:szCs w:val="20"/>
                <w:color w:val="auto"/>
              </w:rPr>
            </w:pPr>
            <w:r>
              <w:rPr>
                <w:rFonts w:ascii="Arial" w:cs="Arial" w:eastAsia="Arial" w:hAnsi="Arial"/>
                <w:sz w:val="18"/>
                <w:szCs w:val="18"/>
                <w:color w:val="auto"/>
              </w:rPr>
              <w:t>- 2023 consolidated revenue growth objectives</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13,274</w:t>
            </w: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Performance shares outstanding, October 30, 2021</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306,280</w:t>
            </w:r>
          </w:p>
        </w:tc>
      </w:tr>
      <w:tr>
        <w:trPr>
          <w:trHeight w:val="20"/>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effective tax rate was 25.1% and 24.3% for the thirteen and thirty-nine weeks ended October 30, 2021 compared to 0.6% and</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(8)% for the thirteen and thirty-nine weeks ended October 31, 2020. The 2021 effective tax rate differed from the statutory rate of 21% primarily due to state income tax expense partially offset by the tax impact of equity awards vesting. While the Company is still in a full valuation allowance globally, it recorded tax expense on the pretax income earned in the first thirty-nine weeks of fiscal 2021 based on its projected current tax expense. The first thirty-nine weeks of fiscal 2020 were impacted by a $3.3 million valuation allowance recorded on the beginning balance of the net deferred tax assets in certain jurisdictions, offset by $0.8 million of benefit as a result of the Coronavirus Aid, Relief, and Economic Security (“CARES”) Act. In addition, no tax benefit was recorded on the year-to-date pretax loss for the first thirty-nine weeks of fiscal 2020 as a full valuation allowance was recorded globally.</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thirteen weeks ended October 30, 2021 and October 31,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10"/>
          </w:tcPr>
          <w:p>
            <w:pPr>
              <w:jc w:val="center"/>
              <w:ind w:right="30"/>
              <w:spacing w:after="0"/>
              <w:rPr>
                <w:sz w:val="20"/>
                <w:szCs w:val="20"/>
                <w:color w:val="auto"/>
              </w:rPr>
            </w:pPr>
            <w:r>
              <w:rPr>
                <w:rFonts w:ascii="Arial" w:cs="Arial" w:eastAsia="Arial" w:hAnsi="Arial"/>
                <w:sz w:val="18"/>
                <w:szCs w:val="18"/>
                <w:b w:val="1"/>
                <w:bCs w:val="1"/>
                <w:color w:val="auto"/>
                <w:w w:val="89"/>
              </w:rPr>
              <w:t>For the thirteen weeks ended October 30, 2021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11"/>
          </w:tcPr>
          <w:p>
            <w:pPr>
              <w:jc w:val="right"/>
              <w:ind w:right="430"/>
              <w:spacing w:after="0"/>
              <w:rPr>
                <w:sz w:val="20"/>
                <w:szCs w:val="20"/>
                <w:color w:val="auto"/>
              </w:rPr>
            </w:pPr>
            <w:r>
              <w:rPr>
                <w:rFonts w:ascii="Arial" w:cs="Arial" w:eastAsia="Arial" w:hAnsi="Arial"/>
                <w:sz w:val="18"/>
                <w:szCs w:val="18"/>
                <w:b w:val="1"/>
                <w:bCs w:val="1"/>
                <w:color w:val="auto"/>
                <w:w w:val="99"/>
              </w:rPr>
              <w:t>For the thirteen weeks ended October 31,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30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Common</w:t>
            </w: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APIC</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AOCI</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Retained</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w w:val="99"/>
              </w:rPr>
              <w:t>Common</w:t>
            </w:r>
          </w:p>
        </w:tc>
        <w:tc>
          <w:tcPr>
            <w:tcW w:w="100" w:type="dxa"/>
            <w:vAlign w:val="bottom"/>
          </w:tcPr>
          <w:p>
            <w:pPr>
              <w:spacing w:after="0"/>
              <w:rPr>
                <w:sz w:val="24"/>
                <w:szCs w:val="24"/>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APIC</w:t>
            </w: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AOCI</w:t>
            </w:r>
          </w:p>
        </w:tc>
        <w:tc>
          <w:tcPr>
            <w:tcW w:w="18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Retained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18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earnings</w:t>
            </w:r>
          </w:p>
        </w:tc>
        <w:tc>
          <w:tcPr>
            <w:tcW w:w="18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earnings/(deficit)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$ 73,397</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(12,579)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24,157</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$ 85,135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6"/>
              </w:rPr>
              <w:t>$ 71,906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(12,303)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$ 54,571</w:t>
            </w:r>
          </w:p>
        </w:tc>
        <w:tc>
          <w:tcPr>
            <w:tcW w:w="0" w:type="dxa"/>
            <w:vAlign w:val="bottom"/>
          </w:tcPr>
          <w:p>
            <w:pPr>
              <w:spacing w:after="0"/>
              <w:rPr>
                <w:sz w:val="1"/>
                <w:szCs w:val="1"/>
                <w:color w:val="auto"/>
              </w:rPr>
            </w:pPr>
          </w:p>
        </w:tc>
      </w:tr>
      <w:tr>
        <w:trPr>
          <w:trHeight w:val="202"/>
        </w:trPr>
        <w:tc>
          <w:tcPr>
            <w:tcW w:w="2300" w:type="dxa"/>
            <w:vAlign w:val="bottom"/>
          </w:tcPr>
          <w:p>
            <w:pPr>
              <w:ind w:left="180"/>
              <w:spacing w:after="0" w:line="201" w:lineRule="exact"/>
              <w:rPr>
                <w:sz w:val="20"/>
                <w:szCs w:val="20"/>
                <w:color w:val="auto"/>
              </w:rPr>
            </w:pPr>
            <w:r>
              <w:rPr>
                <w:rFonts w:ascii="Arial" w:cs="Arial" w:eastAsia="Arial" w:hAnsi="Arial"/>
                <w:sz w:val="18"/>
                <w:szCs w:val="18"/>
                <w:color w:val="auto"/>
              </w:rPr>
              <w:t>Shares issued under</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employee stock plans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2,265</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2,268</w:t>
            </w: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Stock-based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2"/>
        </w:trPr>
        <w:tc>
          <w:tcPr>
            <w:tcW w:w="2300" w:type="dxa"/>
            <w:vAlign w:val="bottom"/>
          </w:tcPr>
          <w:p>
            <w:pPr>
              <w:ind w:left="180"/>
              <w:spacing w:after="0" w:line="201" w:lineRule="exact"/>
              <w:rPr>
                <w:sz w:val="20"/>
                <w:szCs w:val="20"/>
                <w:color w:val="auto"/>
              </w:rPr>
            </w:pPr>
            <w:r>
              <w:rPr>
                <w:rFonts w:ascii="Arial" w:cs="Arial" w:eastAsia="Arial" w:hAnsi="Arial"/>
                <w:sz w:val="18"/>
                <w:szCs w:val="18"/>
                <w:color w:val="auto"/>
              </w:rPr>
              <w:t>Shares withheld in lieu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tax withholdings</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3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income</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8"/>
                <w:szCs w:val="18"/>
                <w:color w:val="auto"/>
              </w:rPr>
              <w:t>Balance, ending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2"/>
              </w:rPr>
              <w:t>$ 75,316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(12,495)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30,080</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$ 93,064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96"/>
              </w:rPr>
              <w:t>$ 72,344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 (12,277)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(3,528)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$ 56,699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Accumulated other comprehensive income (loss) (“AOCI”)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thirty-nine weeks ended October 30, 2021 and October 31,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4140" w:type="dxa"/>
            <w:vAlign w:val="bottom"/>
            <w:gridSpan w:val="12"/>
          </w:tcPr>
          <w:p>
            <w:pPr>
              <w:jc w:val="center"/>
              <w:ind w:right="180"/>
              <w:spacing w:after="0"/>
              <w:rPr>
                <w:sz w:val="20"/>
                <w:szCs w:val="20"/>
                <w:color w:val="auto"/>
              </w:rPr>
            </w:pPr>
            <w:r>
              <w:rPr>
                <w:rFonts w:ascii="Arial" w:cs="Arial" w:eastAsia="Arial" w:hAnsi="Arial"/>
                <w:sz w:val="18"/>
                <w:szCs w:val="18"/>
                <w:b w:val="1"/>
                <w:bCs w:val="1"/>
                <w:color w:val="auto"/>
                <w:w w:val="90"/>
              </w:rPr>
              <w:t>For the thirty-nine weeks ended October 30, 2021</w:t>
            </w:r>
          </w:p>
        </w:tc>
        <w:tc>
          <w:tcPr>
            <w:tcW w:w="120" w:type="dxa"/>
            <w:vAlign w:val="bottom"/>
          </w:tcPr>
          <w:p>
            <w:pPr>
              <w:spacing w:after="0"/>
              <w:rPr>
                <w:sz w:val="20"/>
                <w:szCs w:val="20"/>
                <w:color w:val="auto"/>
              </w:rPr>
            </w:pPr>
          </w:p>
        </w:tc>
        <w:tc>
          <w:tcPr>
            <w:tcW w:w="4660" w:type="dxa"/>
            <w:vAlign w:val="bottom"/>
            <w:gridSpan w:val="13"/>
          </w:tcPr>
          <w:p>
            <w:pPr>
              <w:jc w:val="right"/>
              <w:ind w:right="540"/>
              <w:spacing w:after="0"/>
              <w:rPr>
                <w:sz w:val="20"/>
                <w:szCs w:val="20"/>
                <w:color w:val="auto"/>
              </w:rPr>
            </w:pPr>
            <w:r>
              <w:rPr>
                <w:rFonts w:ascii="Arial" w:cs="Arial" w:eastAsia="Arial" w:hAnsi="Arial"/>
                <w:sz w:val="18"/>
                <w:szCs w:val="18"/>
                <w:b w:val="1"/>
                <w:bCs w:val="1"/>
                <w:color w:val="auto"/>
                <w:w w:val="97"/>
              </w:rPr>
              <w:t>For the thirty-nine weeks ended October 31, 2020</w:t>
            </w:r>
          </w:p>
        </w:tc>
        <w:tc>
          <w:tcPr>
            <w:tcW w:w="0" w:type="dxa"/>
            <w:vAlign w:val="bottom"/>
          </w:tcPr>
          <w:p>
            <w:pPr>
              <w:spacing w:after="0"/>
              <w:rPr>
                <w:sz w:val="1"/>
                <w:szCs w:val="1"/>
                <w:color w:val="auto"/>
              </w:rPr>
            </w:pPr>
          </w:p>
        </w:tc>
      </w:tr>
      <w:tr>
        <w:trPr>
          <w:trHeight w:val="426"/>
        </w:trPr>
        <w:tc>
          <w:tcPr>
            <w:tcW w:w="2320" w:type="dxa"/>
            <w:vAlign w:val="bottom"/>
          </w:tcPr>
          <w:p>
            <w:pPr>
              <w:spacing w:after="0"/>
              <w:rPr>
                <w:sz w:val="24"/>
                <w:szCs w:val="24"/>
                <w:color w:val="auto"/>
              </w:rPr>
            </w:pP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78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APIC</w:t>
            </w:r>
          </w:p>
        </w:tc>
        <w:tc>
          <w:tcPr>
            <w:tcW w:w="84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AOCI</w:t>
            </w:r>
          </w:p>
        </w:tc>
        <w:tc>
          <w:tcPr>
            <w:tcW w:w="8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Retained</w:t>
            </w: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78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APIC</w:t>
            </w:r>
          </w:p>
        </w:tc>
        <w:tc>
          <w:tcPr>
            <w:tcW w:w="86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AOCI</w:t>
            </w: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Retained</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stock</w:t>
            </w:r>
          </w:p>
        </w:tc>
        <w:tc>
          <w:tcPr>
            <w:tcW w:w="1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earnings</w:t>
            </w:r>
          </w:p>
        </w:tc>
        <w:tc>
          <w:tcPr>
            <w:tcW w:w="16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6"/>
              </w:rPr>
              <w:t>earnings/(deficit)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$ 72,822</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(12,615)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$ 67,308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$ 70,633</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(12,079)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88,631</w:t>
            </w:r>
          </w:p>
        </w:tc>
        <w:tc>
          <w:tcPr>
            <w:tcW w:w="0" w:type="dxa"/>
            <w:vAlign w:val="bottom"/>
          </w:tcPr>
          <w:p>
            <w:pPr>
              <w:spacing w:after="0"/>
              <w:rPr>
                <w:sz w:val="1"/>
                <w:szCs w:val="1"/>
                <w:color w:val="auto"/>
              </w:rPr>
            </w:pPr>
          </w:p>
        </w:tc>
      </w:tr>
      <w:tr>
        <w:trPr>
          <w:trHeight w:val="202"/>
        </w:trPr>
        <w:tc>
          <w:tcPr>
            <w:tcW w:w="2320" w:type="dxa"/>
            <w:vAlign w:val="bottom"/>
          </w:tcPr>
          <w:p>
            <w:pPr>
              <w:ind w:left="180"/>
              <w:spacing w:after="0" w:line="201" w:lineRule="exact"/>
              <w:rPr>
                <w:sz w:val="20"/>
                <w:szCs w:val="20"/>
                <w:color w:val="auto"/>
              </w:rPr>
            </w:pPr>
            <w:r>
              <w:rPr>
                <w:rFonts w:ascii="Arial" w:cs="Arial" w:eastAsia="Arial" w:hAnsi="Arial"/>
                <w:sz w:val="18"/>
                <w:szCs w:val="18"/>
                <w:color w:val="auto"/>
              </w:rPr>
              <w:t>Shares issued under</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80"/>
              <w:spacing w:after="0"/>
              <w:rPr>
                <w:sz w:val="20"/>
                <w:szCs w:val="20"/>
                <w:color w:val="auto"/>
              </w:rPr>
            </w:pPr>
            <w:r>
              <w:rPr>
                <w:rFonts w:ascii="Arial" w:cs="Arial" w:eastAsia="Arial" w:hAnsi="Arial"/>
                <w:sz w:val="18"/>
                <w:szCs w:val="18"/>
                <w:color w:val="auto"/>
              </w:rPr>
              <w:t>employee stock plans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2,838</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491</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Stock-based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1,293</w:t>
            </w: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1,334</w:t>
            </w: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02"/>
        </w:trPr>
        <w:tc>
          <w:tcPr>
            <w:tcW w:w="2320" w:type="dxa"/>
            <w:vAlign w:val="bottom"/>
          </w:tcPr>
          <w:p>
            <w:pPr>
              <w:ind w:left="180"/>
              <w:spacing w:after="0" w:line="201" w:lineRule="exact"/>
              <w:rPr>
                <w:sz w:val="20"/>
                <w:szCs w:val="20"/>
                <w:color w:val="auto"/>
              </w:rPr>
            </w:pPr>
            <w:r>
              <w:rPr>
                <w:rFonts w:ascii="Arial" w:cs="Arial" w:eastAsia="Arial" w:hAnsi="Arial"/>
                <w:sz w:val="18"/>
                <w:szCs w:val="18"/>
                <w:color w:val="auto"/>
              </w:rPr>
              <w:t>Shares withheld in lieu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tax withholdings</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(1,640)</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32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80"/>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23,138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(33,453)</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Balance, ending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2"/>
              </w:rPr>
              <w:t>$ 75,316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(12,495)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30,080</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2"/>
              </w:rPr>
              <w:t>$ 93,064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2"/>
              </w:rPr>
              <w:t>$ 72,344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(12,277)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(3,528)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56,699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Accumulated other comprehensive income (loss) (“AOCI”)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income/(loss) per share (in thousands, except share and per share data):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NUMERATOR:</w:t>
      </w:r>
    </w:p>
    <w:p>
      <w:pPr>
        <w:spacing w:after="0" w:line="50"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1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2"/>
              </w:rPr>
              <w:t>Thirteen weeks ended</w:t>
            </w:r>
          </w:p>
        </w:tc>
        <w:tc>
          <w:tcPr>
            <w:tcW w:w="100" w:type="dxa"/>
            <w:vAlign w:val="bottom"/>
          </w:tcPr>
          <w:p>
            <w:pPr>
              <w:spacing w:after="0"/>
              <w:rPr>
                <w:sz w:val="20"/>
                <w:szCs w:val="20"/>
                <w:color w:val="auto"/>
              </w:rPr>
            </w:pPr>
          </w:p>
        </w:tc>
        <w:tc>
          <w:tcPr>
            <w:tcW w:w="208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0"/>
              </w:rPr>
              <w:t>Thirty-nine weeks ended</w:t>
            </w:r>
          </w:p>
        </w:tc>
      </w:tr>
      <w:tr>
        <w:trPr>
          <w:trHeight w:val="191"/>
        </w:trPr>
        <w:tc>
          <w:tcPr>
            <w:tcW w:w="120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0"/>
              </w:rPr>
              <w:t>October 30,</w:t>
            </w:r>
          </w:p>
        </w:tc>
        <w:tc>
          <w:tcPr>
            <w:tcW w:w="9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October 31,</w:t>
            </w:r>
          </w:p>
        </w:tc>
        <w:tc>
          <w:tcPr>
            <w:tcW w:w="180" w:type="dxa"/>
            <w:vAlign w:val="bottom"/>
          </w:tcPr>
          <w:p>
            <w:pPr>
              <w:spacing w:after="0"/>
              <w:rPr>
                <w:sz w:val="16"/>
                <w:szCs w:val="16"/>
                <w:color w:val="auto"/>
              </w:rPr>
            </w:pPr>
          </w:p>
        </w:tc>
        <w:tc>
          <w:tcPr>
            <w:tcW w:w="114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October 30,</w:t>
            </w:r>
          </w:p>
        </w:tc>
        <w:tc>
          <w:tcPr>
            <w:tcW w:w="9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October 31,</w:t>
            </w:r>
          </w:p>
        </w:tc>
        <w:tc>
          <w:tcPr>
            <w:tcW w:w="60" w:type="dxa"/>
            <w:vAlign w:val="bottom"/>
          </w:tcPr>
          <w:p>
            <w:pPr>
              <w:spacing w:after="0"/>
              <w:rPr>
                <w:sz w:val="16"/>
                <w:szCs w:val="16"/>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42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5,923</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23,138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(33,453)</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-299720</wp:posOffset>
            </wp:positionV>
            <wp:extent cx="570039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820" w:space="720"/>
            <w:col w:w="5700"/>
          </w:cols>
          <w:pgMar w:left="320" w:top="125" w:right="339" w:bottom="1440" w:gutter="0" w:footer="0" w:header="0"/>
          <w:type w:val="continuous"/>
        </w:sectPr>
      </w:pPr>
    </w:p>
    <w:tbl>
      <w:tblPr>
        <w:tblLayout w:type="fixed"/>
        <w:tblInd w:w="1120" w:type="dxa"/>
        <w:tblCellMar>
          <w:top w:w="0" w:type="dxa"/>
          <w:left w:w="0" w:type="dxa"/>
          <w:bottom w:w="0" w:type="dxa"/>
          <w:right w:w="0" w:type="dxa"/>
        </w:tblCellMar>
      </w:tblPr>
      <w:tr>
        <w:trPr>
          <w:trHeight w:val="196"/>
        </w:trPr>
        <w:tc>
          <w:tcPr>
            <w:tcW w:w="4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Weighted average number of common shares outstanding</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basic</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15,578,389</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14,999,786</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15,345,420</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14,923,304</w:t>
            </w:r>
          </w:p>
        </w:tc>
        <w:tc>
          <w:tcPr>
            <w:tcW w:w="0" w:type="dxa"/>
            <w:vAlign w:val="bottom"/>
          </w:tcPr>
          <w:p>
            <w:pPr>
              <w:spacing w:after="0"/>
              <w:rPr>
                <w:sz w:val="1"/>
                <w:szCs w:val="1"/>
                <w:color w:val="auto"/>
              </w:rPr>
            </w:pPr>
          </w:p>
        </w:tc>
      </w:tr>
      <w:tr>
        <w:trPr>
          <w:trHeight w:val="216"/>
        </w:trPr>
        <w:tc>
          <w:tcPr>
            <w:tcW w:w="4420" w:type="dxa"/>
            <w:vAlign w:val="bottom"/>
          </w:tcPr>
          <w:p>
            <w:pPr>
              <w:ind w:left="500"/>
              <w:spacing w:after="0"/>
              <w:rPr>
                <w:sz w:val="20"/>
                <w:szCs w:val="20"/>
                <w:color w:val="auto"/>
              </w:rPr>
            </w:pPr>
            <w:r>
              <w:rPr>
                <w:rFonts w:ascii="Arial" w:cs="Arial" w:eastAsia="Arial" w:hAnsi="Arial"/>
                <w:sz w:val="18"/>
                <w:szCs w:val="18"/>
                <w:color w:val="auto"/>
              </w:rPr>
              <w:t>Dilutive effect of share-based awards: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658,512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220,646</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697,527</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2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1"/>
              </w:rPr>
              <w:t>Weighted average number of common shares outstanding</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16,236,901</w:t>
            </w:r>
          </w:p>
        </w:tc>
        <w:tc>
          <w:tcPr>
            <w:tcW w:w="18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3"/>
              </w:rPr>
              <w:t>15,220,432</w:t>
            </w:r>
          </w:p>
        </w:tc>
        <w:tc>
          <w:tcPr>
            <w:tcW w:w="12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3"/>
              </w:rPr>
              <w:t>16,042,947</w:t>
            </w: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0"/>
              </w:rPr>
              <w:t>14,923,304</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 dilutive</w:t>
            </w: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4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Basic income (loss) per common share attributable to</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Build-A-Bear Workshop, Inc.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2"/>
        </w:trPr>
        <w:tc>
          <w:tcPr>
            <w:tcW w:w="4420" w:type="dxa"/>
            <w:vAlign w:val="bottom"/>
          </w:tcPr>
          <w:p>
            <w:pPr>
              <w:ind w:left="20"/>
              <w:spacing w:after="0" w:line="201" w:lineRule="exact"/>
              <w:rPr>
                <w:sz w:val="20"/>
                <w:szCs w:val="20"/>
                <w:color w:val="auto"/>
              </w:rPr>
            </w:pPr>
            <w:r>
              <w:rPr>
                <w:rFonts w:ascii="Arial" w:cs="Arial" w:eastAsia="Arial" w:hAnsi="Arial"/>
                <w:sz w:val="18"/>
                <w:szCs w:val="18"/>
                <w:color w:val="auto"/>
              </w:rPr>
              <w:t>Diluted income (loss) per common share attributable to</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Build-A-Bear Workshop, Inc.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calculating the diluted income per share for the thirteen and thirty-nine weeks ended October 30, 2021, options to purchase 52,812 and 242,445 shares of common stock, respectively, that were outstanding at the end of the period were not included in the computation of diluted income per share due to their anti-dilutive effect. For the thirteen and thirty-nine weeks ended October 31, 2020, options to purchase 822,360 and 849,351 shares of common stock, respectively, that were outstanding at the end of the period were not included in the computation of diluted income per share due to their anti-dilutive effect.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 (Loss)</w:t>
      </w:r>
    </w:p>
    <w:p>
      <w:pPr>
        <w:spacing w:after="0" w:line="229"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difference between comprehensive income or loss and net income or loss is the result of foreign currency translation adjustments on the balance sheets of subsidiaries whose functional currency is not the U.S. Dollar. The accumulated other comprehensive income (loss) balance at October 30, 2021 and October 31, 2020 was comprised entirely of foreign currency translation. For the thirteen weeks ended October 30, 2021 and October 31, 2020, the Company had no reclassifications out of accumulated other comprehensive income (loss).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 the United States (U.S.), Canada, Ireland and the United Kingdom (“U.K.”), including the Company’s e-commerce sites and temporary stores. The commercial segment includes the Company’s transactions with other businesses, mainly comprised of licensing the Company’s intellectual properties for third-party use and wholesale activities. The international franchising segment includes the licensing activities of the Company’s franchise agreements with store locations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Direct-to-</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International</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Consumer</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Commercial</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Franchising</w:t>
            </w:r>
          </w:p>
        </w:tc>
        <w:tc>
          <w:tcPr>
            <w:tcW w:w="22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Thirteen weeks ended October 30, 2021</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91,551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2,749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95,139</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7,011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7,907</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3,091</w:t>
            </w:r>
          </w:p>
        </w:tc>
        <w:tc>
          <w:tcPr>
            <w:tcW w:w="3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3,091</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3,032</w:t>
            </w: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Thirteen weeks ended October 31, 2020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72,368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74,673</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713</w:t>
            </w:r>
          </w:p>
        </w:tc>
        <w:tc>
          <w:tcPr>
            <w:tcW w:w="3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803</w:t>
            </w:r>
          </w:p>
        </w:tc>
        <w:tc>
          <w:tcPr>
            <w:tcW w:w="3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1,670</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3,186</w:t>
            </w:r>
          </w:p>
        </w:tc>
        <w:tc>
          <w:tcPr>
            <w:tcW w:w="3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3,194</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Thirty-nine weeks ended October 30, 2021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272,052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281,560</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27,524</w:t>
            </w:r>
          </w:p>
        </w:tc>
        <w:tc>
          <w:tcPr>
            <w:tcW w:w="3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2,727</w:t>
            </w:r>
          </w:p>
        </w:tc>
        <w:tc>
          <w:tcPr>
            <w:tcW w:w="3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30,561</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4,644</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9,129</w:t>
            </w:r>
          </w:p>
        </w:tc>
        <w:tc>
          <w:tcPr>
            <w:tcW w:w="3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9,152</w:t>
            </w: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Thirty-nine weeks ended October 31, 2020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157,354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3,056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161,650</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Income before income taxes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(31,802)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(30,977)</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4,029</w:t>
            </w:r>
          </w:p>
        </w:tc>
        <w:tc>
          <w:tcPr>
            <w:tcW w:w="3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4,029</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9,905</w:t>
            </w: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Total Assets as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October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254,697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271,998</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January 30, 2021</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246,341</w:t>
            </w:r>
          </w:p>
        </w:tc>
        <w:tc>
          <w:tcPr>
            <w:tcW w:w="3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6,353</w:t>
            </w:r>
          </w:p>
        </w:tc>
        <w:tc>
          <w:tcPr>
            <w:tcW w:w="3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8,678</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261,372</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October 31, 2020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244,030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259,437</w:t>
            </w:r>
          </w:p>
        </w:tc>
      </w:tr>
    </w:tbl>
    <w:p>
      <w:pPr>
        <w:spacing w:after="0" w:line="20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36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0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9"/>
              </w:rPr>
              <w:t>America (1)</w:t>
            </w: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Europe (2)</w:t>
            </w:r>
          </w:p>
        </w:tc>
        <w:tc>
          <w:tcPr>
            <w:tcW w:w="14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Other (3)</w:t>
            </w:r>
          </w:p>
        </w:tc>
        <w:tc>
          <w:tcPr>
            <w:tcW w:w="22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Thirteen weeks ended October 30, 2021</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79,576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14,753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95,139</w:t>
            </w: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Thirteen weeks ended October 31, 2020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62,768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74,673</w:t>
            </w:r>
          </w:p>
        </w:tc>
      </w:tr>
      <w:tr>
        <w:trPr>
          <w:trHeight w:val="216"/>
        </w:trPr>
        <w:tc>
          <w:tcPr>
            <w:tcW w:w="4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Thirty-nine weeks ended October 30, 2021</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247,508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281,560</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44,874</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3,347</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48,221</w:t>
            </w: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Thirty-nine weeks ended October 31, 2020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137,404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23,126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161,650</w:t>
            </w: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 America includes corporately-managed locations in the United States and Canada.</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Europe includes corporately-managed locations in the U.K. and Ireland.</w:t>
      </w:r>
    </w:p>
    <w:p>
      <w:pPr>
        <w:spacing w:after="0" w:line="9" w:lineRule="exact"/>
        <w:rPr>
          <w:rFonts w:ascii="Arial" w:cs="Arial" w:eastAsia="Arial" w:hAnsi="Arial"/>
          <w:sz w:val="18"/>
          <w:szCs w:val="18"/>
          <w:color w:val="auto"/>
        </w:rPr>
      </w:pPr>
    </w:p>
    <w:p>
      <w:pPr>
        <w:ind w:right="160" w:firstLine="8"/>
        <w:spacing w:after="0" w:line="260"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includes a corporately-managed location in China that closed in May 2021.</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Appeals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is expected to be heard by the Court of Appeals during fiscal 2022. The Company maintains a provision against the related receivable, based on a current evaluation of collectability, using the latest facts available in the dispute. As of October 30, 2021, the Company had a gross receivable balance of $4.9 million and a reserve of $3.7 million, leaving a net receivable of $1.2 million. The Company believes that the outcome of this dispute will not have a material adverse impact on the results of operations, liquidity or financial position of the Company.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On November 30, 2021 the Company announced that its Board of Directors authorized a share repurchase program of up to $25 million. The primary source of funding for the share repurchase program is expected to be cash on hand. The timing and amount of share repurchases, if any, will depend on price, market conditions, applicable regulatory requirements, and other factors. The program authorizes the Company to repurchase shares through November 30, 2023, does not require the Company to repurchase any specific number of shares, and may be modified, suspended or terminated at any time without prior notice. Shares repurchased under the program will be subsequently retired.</w:t>
      </w:r>
    </w:p>
    <w:p>
      <w:pPr>
        <w:spacing w:after="0" w:line="17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November 30, 2021 the Company announced that its Board of Directors authorized a special cash dividend of $1.25 per share to be paid on December 27, 2021 to all shareholders of record as of December 10, 2021.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30, 2021, as filed with the SEC, and include the following:</w:t>
      </w:r>
    </w:p>
    <w:p>
      <w:pPr>
        <w:spacing w:after="0" w:line="157" w:lineRule="exact"/>
        <w:rPr>
          <w:sz w:val="20"/>
          <w:szCs w:val="20"/>
          <w:color w:val="auto"/>
        </w:rPr>
      </w:pPr>
    </w:p>
    <w:p>
      <w:pPr>
        <w:ind w:left="480" w:right="20" w:hanging="175"/>
        <w:spacing w:after="0" w:line="254"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operations and financial results have been and will continue to be negatively affected by the pandemic including the temporary closure of retail store locations or occupancy restrictions, which may be reinstated, all of which continue to fluctuate on a localized basis, presenting ongoing uncertainty relating to the anticipated duration and scope of the pandemic in areas in which we operate, as well as the restrictions imposed by federal, state, and local governments in response to the pandemic;</w:t>
      </w:r>
    </w:p>
    <w:p>
      <w:pPr>
        <w:spacing w:after="0" w:line="2" w:lineRule="exact"/>
        <w:rPr>
          <w:rFonts w:ascii="Arial" w:cs="Arial" w:eastAsia="Arial" w:hAnsi="Arial"/>
          <w:sz w:val="18"/>
          <w:szCs w:val="18"/>
          <w:color w:val="auto"/>
        </w:rPr>
      </w:pPr>
    </w:p>
    <w:p>
      <w:pPr>
        <w:jc w:val="both"/>
        <w:ind w:left="480" w:right="60" w:hanging="175"/>
        <w:spacing w:after="0" w:line="250"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sustained decline in general global economic conditions, caused by the COVID pandemic or otherwise, could lead to disproportionately reduced consumer demand for our products, including those sold by third-party retailers, and which represent relatively discretionary spending, would cause an adverse effect on our liquidity and profitability;</w:t>
      </w:r>
    </w:p>
    <w:p>
      <w:pPr>
        <w:spacing w:after="0" w:line="1" w:lineRule="exact"/>
        <w:rPr>
          <w:rFonts w:ascii="Arial" w:cs="Arial" w:eastAsia="Arial" w:hAnsi="Arial"/>
          <w:sz w:val="18"/>
          <w:szCs w:val="18"/>
          <w:color w:val="auto"/>
        </w:rPr>
      </w:pPr>
    </w:p>
    <w:p>
      <w:pPr>
        <w:ind w:left="480" w:hanging="175"/>
        <w:spacing w:after="0" w:line="250"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a few global supply chain vendors to supply substantially all of our merchandise, and significant price increases or disruption in their ability to deliver merchandise, such as was experienced due to periodic COVID-related factory closures, have impaired, and may in the future more significantly impair, our ability to source products and supply inventory to our stores and have previously caused us and in the future may cause us to carry higher levels of inventory than we have on a historical basis;</w:t>
      </w:r>
    </w:p>
    <w:p>
      <w:pPr>
        <w:spacing w:after="0" w:line="1" w:lineRule="exact"/>
        <w:rPr>
          <w:rFonts w:ascii="Arial" w:cs="Arial" w:eastAsia="Arial" w:hAnsi="Arial"/>
          <w:sz w:val="18"/>
          <w:szCs w:val="18"/>
          <w:color w:val="auto"/>
        </w:rPr>
      </w:pPr>
    </w:p>
    <w:p>
      <w:pPr>
        <w:ind w:left="480" w:right="200" w:hanging="175"/>
        <w:spacing w:after="0" w:line="250"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upon the shopping malls and tourist locations in which our corporately-managed stores and third-party retail locations are situated to attract guests and a decline in consumer traffic, or if such consumer traffic does not return to levels that we saw prior to the pandemic, or if such return is not sustained due to the spikes in the COVID infection rates or the emergence of new variants, such as Delta or Omicron, could adversely affect our financial performance and profitability. In addition, some of our third-party retailers may be subject to different market conditions as a result of the pandemic;</w:t>
      </w:r>
    </w:p>
    <w:p>
      <w:pPr>
        <w:spacing w:after="0" w:line="1" w:lineRule="exact"/>
        <w:rPr>
          <w:rFonts w:ascii="Arial" w:cs="Arial" w:eastAsia="Arial" w:hAnsi="Arial"/>
          <w:sz w:val="18"/>
          <w:szCs w:val="18"/>
          <w:color w:val="auto"/>
        </w:rPr>
      </w:pPr>
    </w:p>
    <w:p>
      <w:pPr>
        <w:ind w:left="480" w:right="160" w:hanging="175"/>
        <w:spacing w:after="0" w:line="250"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connection with the reopening of our stores, we have modified our interactive shopping experience in order to comply with recommended social distancing and sanitation practices. These modifications could have a negative impact on the appeal of our interactive shopping experience, reduce guest traffic to our stores, and decrease the volume of guests that may be able to enjoy our interactive shopping experience which could adversely impact our ability to operate our stores profitably;</w:t>
      </w:r>
    </w:p>
    <w:p>
      <w:pPr>
        <w:spacing w:after="0" w:line="1" w:lineRule="exact"/>
        <w:rPr>
          <w:rFonts w:ascii="Arial" w:cs="Arial" w:eastAsia="Arial" w:hAnsi="Arial"/>
          <w:sz w:val="18"/>
          <w:szCs w:val="18"/>
          <w:color w:val="auto"/>
        </w:rPr>
      </w:pPr>
    </w:p>
    <w:p>
      <w:pPr>
        <w:ind w:left="480" w:hanging="175"/>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experience store closures in shopping malls and tourist locations and other impacts to our business resulting from civil disturbances;</w:t>
      </w:r>
    </w:p>
    <w:p>
      <w:pPr>
        <w:spacing w:after="0" w:line="20" w:lineRule="exact"/>
        <w:rPr>
          <w:rFonts w:ascii="Arial" w:cs="Arial" w:eastAsia="Arial" w:hAnsi="Arial"/>
          <w:sz w:val="17"/>
          <w:szCs w:val="17"/>
          <w:color w:val="auto"/>
        </w:rPr>
      </w:pPr>
    </w:p>
    <w:p>
      <w:pPr>
        <w:ind w:left="480" w:right="20" w:hanging="175"/>
        <w:spacing w:after="0" w:line="265"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believe the hands-on and interactive nature of our store and high touch service model result in guests forming an emotional connection with our brand, which in turn contributes to the success of our e-commerce platform and drives repeat customer transactions; if the revised experiences we are offering do not create or re-affirm the same guest affinity for our brand, it may adversely affect the value of our brand;</w:t>
      </w:r>
    </w:p>
    <w:p>
      <w:pPr>
        <w:ind w:left="480" w:right="400" w:hanging="175"/>
        <w:spacing w:after="0" w:line="281"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birthdays and other special occasions have historically been a key driver for store traffic, and our inability to host such events due to pandemic restrictions or if our guests are not willing to hold such events at our stores may adversely affect store performance and our overall profitability;</w:t>
      </w:r>
    </w:p>
    <w:p>
      <w:pPr>
        <w:spacing w:after="0" w:line="1" w:lineRule="exact"/>
        <w:rPr>
          <w:rFonts w:ascii="Arial" w:cs="Arial" w:eastAsia="Arial" w:hAnsi="Arial"/>
          <w:sz w:val="16"/>
          <w:szCs w:val="16"/>
          <w:color w:val="auto"/>
        </w:rPr>
      </w:pPr>
    </w:p>
    <w:p>
      <w:pPr>
        <w:ind w:left="480" w:right="180" w:hanging="175"/>
        <w:spacing w:after="0" w:line="281"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are unable to generate interest in and demand for our interactive retail experience and products, including being able to adjust that experience consistent with our guests' expectations as the general retail economy emerges from the restrictions imposed by the pandemic, and to</w:t>
      </w:r>
    </w:p>
    <w:p>
      <w:pPr>
        <w:spacing w:after="0" w:line="1" w:lineRule="exact"/>
        <w:rPr>
          <w:rFonts w:ascii="Arial" w:cs="Arial" w:eastAsia="Arial" w:hAnsi="Arial"/>
          <w:sz w:val="16"/>
          <w:szCs w:val="16"/>
          <w:color w:val="auto"/>
        </w:rPr>
      </w:pPr>
    </w:p>
    <w:p>
      <w:pPr>
        <w:ind w:left="480" w:right="560"/>
        <w:spacing w:after="0" w:line="250" w:lineRule="auto"/>
        <w:rPr>
          <w:rFonts w:ascii="Arial" w:cs="Arial" w:eastAsia="Arial" w:hAnsi="Arial"/>
          <w:sz w:val="16"/>
          <w:szCs w:val="16"/>
          <w:color w:val="auto"/>
        </w:rPr>
      </w:pPr>
      <w:r>
        <w:rPr>
          <w:rFonts w:ascii="Arial" w:cs="Arial" w:eastAsia="Arial" w:hAnsi="Arial"/>
          <w:sz w:val="18"/>
          <w:szCs w:val="18"/>
          <w:color w:val="auto"/>
        </w:rPr>
        <w:t>otherwise identify and respond to consumer preferences in a timely manner, our sales, financial condition and profitability could be adversely affected;</w:t>
      </w:r>
    </w:p>
    <w:p>
      <w:pPr>
        <w:ind w:left="480" w:right="120" w:hanging="175"/>
        <w:spacing w:after="0" w:line="281"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some of our licensed products are based on feature films with planned theatrical launches; given that the pandemic has negatively impacted theaters and delayed movie releases, the portion of our business associated with these films has been and could continue to be negatively affected;</w:t>
      </w:r>
    </w:p>
    <w:p>
      <w:pPr>
        <w:spacing w:after="0" w:line="1" w:lineRule="exact"/>
        <w:rPr>
          <w:rFonts w:ascii="Arial" w:cs="Arial" w:eastAsia="Arial" w:hAnsi="Arial"/>
          <w:sz w:val="16"/>
          <w:szCs w:val="16"/>
          <w:color w:val="auto"/>
        </w:rPr>
      </w:pPr>
    </w:p>
    <w:p>
      <w:pPr>
        <w:jc w:val="both"/>
        <w:ind w:left="480" w:right="60" w:hanging="175"/>
        <w:spacing w:after="0" w:line="250"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leverage the flexibility within our existing real estate portfolio to capitalize on future real estate opportunities over the near and intermediate term as our leases come up for renewal, and there may be other costs and risks related to a brick-and-mortar retail store model such as a lack of available retail store sites on terms acceptable to us as a result;</w:t>
      </w:r>
    </w:p>
    <w:p>
      <w:pPr>
        <w:spacing w:after="0" w:line="1" w:lineRule="exact"/>
        <w:rPr>
          <w:rFonts w:ascii="Arial" w:cs="Arial" w:eastAsia="Arial" w:hAnsi="Arial"/>
          <w:sz w:val="18"/>
          <w:szCs w:val="18"/>
          <w:color w:val="auto"/>
        </w:rPr>
      </w:pPr>
    </w:p>
    <w:p>
      <w:pPr>
        <w:ind w:left="480" w:right="240" w:hanging="175"/>
        <w:spacing w:after="0" w:line="260"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interests change rapidly and our success depends on the ongoing effectiveness of our marketing and online initiatives to build consumer affinity for our brand and drive consumer demand for key products and services;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500" w:hanging="195"/>
        <w:spacing w:after="0" w:line="287"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subject to a number of risks related to disruptions, failures or security breaches of our information technology infrastructure. If we improperly obtain or are unable to protect our data or violate privacy or security laws such as the GDPR or the General Data Protection Regulation, the CCPA or the California Privacy Rights Act (as adopted), or expectations, we could be subject to liability as well as damage to our reputation;</w:t>
      </w:r>
    </w:p>
    <w:p>
      <w:pPr>
        <w:spacing w:after="0" w:line="2" w:lineRule="exact"/>
        <w:rPr>
          <w:rFonts w:ascii="Arial" w:cs="Arial" w:eastAsia="Arial" w:hAnsi="Arial"/>
          <w:sz w:val="16"/>
          <w:szCs w:val="16"/>
          <w:color w:val="auto"/>
        </w:rPr>
      </w:pPr>
    </w:p>
    <w:p>
      <w:pPr>
        <w:ind w:left="500" w:right="12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ind w:left="500" w:hanging="19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500" w:right="18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 w:lineRule="exact"/>
        <w:rPr>
          <w:rFonts w:ascii="Arial" w:cs="Arial" w:eastAsia="Arial" w:hAnsi="Arial"/>
          <w:sz w:val="18"/>
          <w:szCs w:val="18"/>
          <w:color w:val="auto"/>
        </w:rPr>
      </w:pPr>
    </w:p>
    <w:p>
      <w:pPr>
        <w:ind w:left="500" w:right="120" w:hanging="195"/>
        <w:spacing w:after="0" w:line="28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spacing w:after="0" w:line="1" w:lineRule="exact"/>
        <w:rPr>
          <w:rFonts w:ascii="Arial" w:cs="Arial" w:eastAsia="Arial" w:hAnsi="Arial"/>
          <w:sz w:val="16"/>
          <w:szCs w:val="16"/>
          <w:color w:val="auto"/>
        </w:rPr>
      </w:pPr>
    </w:p>
    <w:p>
      <w:pPr>
        <w:jc w:val="both"/>
        <w:ind w:left="500" w:right="24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spacing w:after="0" w:line="1" w:lineRule="exact"/>
        <w:rPr>
          <w:rFonts w:ascii="Arial" w:cs="Arial" w:eastAsia="Arial" w:hAnsi="Arial"/>
          <w:sz w:val="18"/>
          <w:szCs w:val="18"/>
          <w:color w:val="auto"/>
        </w:rPr>
      </w:pPr>
    </w:p>
    <w:p>
      <w:pPr>
        <w:ind w:left="500" w:right="520" w:hanging="195"/>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are unable to effectively manage our international franchises, attract new franchises or if the laws relating to our international franchises change, our growth and profitability could be adversely affected and we could be exposed to additional liability;</w:t>
      </w:r>
    </w:p>
    <w:p>
      <w:pPr>
        <w:ind w:left="500" w:hanging="19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corporately-managed locations profitably;</w:t>
      </w:r>
    </w:p>
    <w:p>
      <w:pPr>
        <w:spacing w:after="0" w:line="9" w:lineRule="exact"/>
        <w:rPr>
          <w:rFonts w:ascii="Arial" w:cs="Arial" w:eastAsia="Arial" w:hAnsi="Arial"/>
          <w:sz w:val="18"/>
          <w:szCs w:val="18"/>
          <w:color w:val="auto"/>
        </w:rPr>
      </w:pPr>
    </w:p>
    <w:p>
      <w:pPr>
        <w:ind w:left="500" w:right="2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Arial" w:cs="Arial" w:eastAsia="Arial" w:hAnsi="Arial"/>
          <w:sz w:val="18"/>
          <w:szCs w:val="18"/>
          <w:color w:val="auto"/>
        </w:rPr>
      </w:pPr>
    </w:p>
    <w:p>
      <w:pPr>
        <w:ind w:left="500" w:right="100" w:hanging="195"/>
        <w:spacing w:after="0" w:line="28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 w:lineRule="exact"/>
        <w:rPr>
          <w:rFonts w:ascii="Arial" w:cs="Arial" w:eastAsia="Arial" w:hAnsi="Arial"/>
          <w:sz w:val="16"/>
          <w:szCs w:val="16"/>
          <w:color w:val="auto"/>
        </w:rPr>
      </w:pPr>
    </w:p>
    <w:p>
      <w:pPr>
        <w:ind w:left="500" w:right="2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suffer negative publicity or be sued if the manufacturers of our merchandise violate labor laws or engage in practices that consumers believe are unethical;</w:t>
      </w:r>
    </w:p>
    <w:p>
      <w:pPr>
        <w:ind w:left="500" w:hanging="19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profitability could be adversely affected by fluctuations in petroleum products prices;</w:t>
      </w:r>
    </w:p>
    <w:p>
      <w:pPr>
        <w:spacing w:after="0" w:line="9" w:lineRule="exact"/>
        <w:rPr>
          <w:rFonts w:ascii="Arial" w:cs="Arial" w:eastAsia="Arial" w:hAnsi="Arial"/>
          <w:sz w:val="18"/>
          <w:szCs w:val="18"/>
          <w:color w:val="auto"/>
        </w:rPr>
      </w:pPr>
    </w:p>
    <w:p>
      <w:pPr>
        <w:ind w:left="500" w:hanging="19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may be adversely impacted at any time by a significant variety of competitive threats;</w:t>
      </w:r>
    </w:p>
    <w:p>
      <w:pPr>
        <w:spacing w:after="0" w:line="9" w:lineRule="exact"/>
        <w:rPr>
          <w:rFonts w:ascii="Arial" w:cs="Arial" w:eastAsia="Arial" w:hAnsi="Arial"/>
          <w:sz w:val="18"/>
          <w:szCs w:val="18"/>
          <w:color w:val="auto"/>
        </w:rPr>
      </w:pPr>
    </w:p>
    <w:p>
      <w:pPr>
        <w:ind w:left="500" w:right="20" w:hanging="195"/>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500" w:hanging="195"/>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be unsuccessful in engaging in various strategic transactions, which may negatively affect our financial condition and profitability;</w:t>
      </w:r>
    </w:p>
    <w:p>
      <w:pPr>
        <w:spacing w:after="0" w:line="20" w:lineRule="exact"/>
        <w:rPr>
          <w:rFonts w:ascii="Arial" w:cs="Arial" w:eastAsia="Arial" w:hAnsi="Arial"/>
          <w:sz w:val="17"/>
          <w:szCs w:val="17"/>
          <w:color w:val="auto"/>
        </w:rPr>
      </w:pPr>
    </w:p>
    <w:p>
      <w:pPr>
        <w:ind w:left="500" w:hanging="19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500" w:hanging="195"/>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our common stock is subject to volatility, which could in turn attract the interest of activist shareholders; and</w:t>
      </w:r>
    </w:p>
    <w:p>
      <w:pPr>
        <w:spacing w:after="0" w:line="9" w:lineRule="exact"/>
        <w:rPr>
          <w:rFonts w:ascii="Arial" w:cs="Arial" w:eastAsia="Arial" w:hAnsi="Arial"/>
          <w:sz w:val="18"/>
          <w:szCs w:val="18"/>
          <w:color w:val="auto"/>
        </w:rPr>
      </w:pPr>
    </w:p>
    <w:p>
      <w:pPr>
        <w:ind w:left="500" w:right="380" w:hanging="195"/>
        <w:spacing w:after="0" w:line="290"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the only global company that offers an interactive “make your own stuffed animal” retail entertainment experience under the Build-A-Bear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Workshop brand, in which guests participate in the stuffing, dressing, accessorizing and naming of their own teddy bears and other stuffed animals.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October 30, 2021, we had 349 corporately-managed stores globally and had 73 internationally franchised stores under the Build-A-Bear Workshop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brand. In addition to these stores, we sell products on our company-owned e-commerce sites and third-party marketplace sites, our franchisees sell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sites that they manage as well as other third party marketplace sites and other parties sell products on their sites under wholesale agreements.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0" w:right="420" w:firstLine="648"/>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500" w:hanging="162"/>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Direct-to-Consumer (“DTC”) – Corporately-managed retail stores located in the U.S., Canada, the U.K., and Ireland and two e-commerce sites;</w:t>
      </w:r>
    </w:p>
    <w:p>
      <w:pPr>
        <w:spacing w:after="0" w:line="47" w:lineRule="exact"/>
        <w:rPr>
          <w:rFonts w:ascii="Arial" w:cs="Arial" w:eastAsia="Arial" w:hAnsi="Arial"/>
          <w:sz w:val="17"/>
          <w:szCs w:val="17"/>
          <w:color w:val="auto"/>
        </w:rPr>
      </w:pPr>
    </w:p>
    <w:p>
      <w:pPr>
        <w:ind w:left="500" w:right="100" w:hanging="162"/>
        <w:spacing w:after="0" w:line="232" w:lineRule="auto"/>
        <w:tabs>
          <w:tab w:leader="none" w:pos="5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Commercial – Transactions with other businesses, mainly comprised of wholesale product sales to third-party retailers and licensing our intellectual property, including entertainment properties, for third-party use; and</w:t>
      </w:r>
    </w:p>
    <w:p>
      <w:pPr>
        <w:spacing w:after="0" w:line="1" w:lineRule="exact"/>
        <w:rPr>
          <w:rFonts w:ascii="Arial" w:cs="Arial" w:eastAsia="Arial" w:hAnsi="Arial"/>
          <w:sz w:val="22"/>
          <w:szCs w:val="22"/>
          <w:color w:val="auto"/>
        </w:rPr>
      </w:pPr>
    </w:p>
    <w:p>
      <w:pPr>
        <w:ind w:left="500" w:right="140" w:hanging="162"/>
        <w:spacing w:after="0" w:line="225" w:lineRule="auto"/>
        <w:tabs>
          <w:tab w:leader="none" w:pos="5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International franchising – Royalties as well as development fees and the sales from products and fixtures from other international operations under franchise agreements.</w:t>
      </w:r>
    </w:p>
    <w:p>
      <w:pPr>
        <w:spacing w:after="0" w:line="202" w:lineRule="exact"/>
        <w:rPr>
          <w:sz w:val="20"/>
          <w:szCs w:val="20"/>
          <w:color w:val="auto"/>
        </w:rPr>
      </w:pPr>
    </w:p>
    <w:p>
      <w:pPr>
        <w:ind w:left="20" w:right="280" w:firstLine="648"/>
        <w:spacing w:after="0" w:line="308" w:lineRule="auto"/>
        <w:rPr>
          <w:sz w:val="20"/>
          <w:szCs w:val="20"/>
          <w:color w:val="auto"/>
        </w:rPr>
      </w:pPr>
      <w:r>
        <w:rPr>
          <w:rFonts w:ascii="Arial" w:cs="Arial" w:eastAsia="Arial" w:hAnsi="Arial"/>
          <w:sz w:val="17"/>
          <w:szCs w:val="17"/>
          <w:color w:val="auto"/>
        </w:rPr>
        <w:t>Selected financial data attributable to each segment for the thirteen and thirty-nine weeks ended October 30, 2021 and October 31, 2020 are set forth in the notes to our condensed consolidated financial statements included elsewhere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and Business Update</w:t>
      </w:r>
    </w:p>
    <w:p>
      <w:pPr>
        <w:spacing w:after="0" w:line="229" w:lineRule="exact"/>
        <w:rPr>
          <w:sz w:val="20"/>
          <w:szCs w:val="20"/>
          <w:color w:val="auto"/>
        </w:rPr>
      </w:pPr>
    </w:p>
    <w:p>
      <w:pPr>
        <w:ind w:left="20" w:right="40" w:firstLine="648"/>
        <w:spacing w:after="0" w:line="270" w:lineRule="auto"/>
        <w:rPr>
          <w:sz w:val="20"/>
          <w:szCs w:val="20"/>
          <w:color w:val="auto"/>
        </w:rPr>
      </w:pPr>
      <w:r>
        <w:rPr>
          <w:rFonts w:ascii="Arial" w:cs="Arial" w:eastAsia="Arial" w:hAnsi="Arial"/>
          <w:sz w:val="17"/>
          <w:szCs w:val="17"/>
          <w:color w:val="auto"/>
        </w:rPr>
        <w:t>Currently, we primarily operate specialty retail stores that provide a “make your own stuffed animal” interactive entertainment experience in which guests visit a variety of stations to make and customize a stuffed animal. Our retail concept is a unique combination of experience and product and we are focused on enhancing our brand equity while meeting the needs of a broad range of consumers including families with children, teens and adults by offering a relevant selection of premium products that meet high quality standards and are on trend. In addition, products are sold through our e-commerce sites that offer curated experiences with targeted offerings to consumers looking for affinity and gifting products. We believe the hands-on and interactive nature of our store, our high touch service model and engaging digital shopping experiences result in guests forming an emotional connection with our brand. We believe there are opportunities to leverage this emotional connection and the strength of the Build-A-Bear brand and generate incremental revenue and profits given the high consumer recognition and strong positioning as a trusted, high-quality brand through licensing our intellectual properties as well as through content and entertainment development.</w:t>
      </w:r>
    </w:p>
    <w:p>
      <w:pPr>
        <w:spacing w:after="0" w:line="181" w:lineRule="exact"/>
        <w:rPr>
          <w:sz w:val="20"/>
          <w:szCs w:val="20"/>
          <w:color w:val="auto"/>
        </w:rPr>
      </w:pPr>
    </w:p>
    <w:p>
      <w:pPr>
        <w:ind w:left="20" w:right="20" w:firstLine="648"/>
        <w:spacing w:after="0" w:line="271" w:lineRule="auto"/>
        <w:rPr>
          <w:sz w:val="20"/>
          <w:szCs w:val="20"/>
          <w:color w:val="auto"/>
        </w:rPr>
      </w:pPr>
      <w:r>
        <w:rPr>
          <w:rFonts w:ascii="Arial" w:cs="Arial" w:eastAsia="Arial" w:hAnsi="Arial"/>
          <w:sz w:val="17"/>
          <w:szCs w:val="17"/>
          <w:color w:val="auto"/>
        </w:rPr>
        <w:t>At the beginning of fiscal 2021, our United States store portfolio was open and operating while our stores in the United Kingdom, Ireland and Canada remained temporarily closed. In April 2021, stores in the United Kingdom reopened as the government lifted lockdown restrictions resulting in almost all of our stores operating at the end of the 2021 first fiscal quarter with the remaining stores in the United Kingdom and Ireland opening in the second fiscal quarter thereby ending the second fiscal quarter with all stores open in those geographies. The majority of our Canadian stores remained temporarily closed to begin the second quarter with the majority reopening in June 2021 and with all stores ending the second fiscal quarter open. Our year-over-year results discussed below are, and we expect for the remainder of 2021 will be, impacted by prior year store closures and operating hour reductions as a result of the pandemic. During the third quarter, temporary, unplanned store closures occurred due to COVID exposures on a limited basis, with no stores temporarily closed as of the end of the third fiscal quarter.</w:t>
      </w:r>
    </w:p>
    <w:p>
      <w:pPr>
        <w:spacing w:after="0" w:line="178" w:lineRule="exact"/>
        <w:rPr>
          <w:sz w:val="20"/>
          <w:szCs w:val="20"/>
          <w:color w:val="auto"/>
        </w:rPr>
      </w:pPr>
    </w:p>
    <w:p>
      <w:pPr>
        <w:ind w:left="20" w:right="200" w:firstLine="648"/>
        <w:spacing w:after="0" w:line="257" w:lineRule="auto"/>
        <w:rPr>
          <w:sz w:val="20"/>
          <w:szCs w:val="20"/>
          <w:color w:val="auto"/>
        </w:rPr>
      </w:pPr>
      <w:r>
        <w:rPr>
          <w:rFonts w:ascii="Arial" w:cs="Arial" w:eastAsia="Arial" w:hAnsi="Arial"/>
          <w:sz w:val="18"/>
          <w:szCs w:val="18"/>
          <w:color w:val="auto"/>
        </w:rPr>
        <w:t>We believe we have built the infrastructure to respond with greater agility to deal with ongoing and future potential uncertainty and we expect to deliver growth in total revenues and profit in fiscal 2021 compared to fiscal 2020 and fiscal 2019. While we believe that we have seen benefits from pandemic-driven factors such as pent-up demand and stimulus packages, we believe that the initiatives and investments that were put in place prior to the pandemic, and in many cases accelerated during the pandemic, are driving improved results, which we expect to continue. We remain focused on our strategic priorities which are centered primarily on three key areas:</w:t>
      </w:r>
    </w:p>
    <w:p>
      <w:pPr>
        <w:spacing w:after="0" w:line="188" w:lineRule="exact"/>
        <w:rPr>
          <w:sz w:val="20"/>
          <w:szCs w:val="20"/>
          <w:color w:val="auto"/>
        </w:rPr>
      </w:pPr>
    </w:p>
    <w:p>
      <w:pPr>
        <w:ind w:left="460" w:right="160" w:hanging="149"/>
        <w:spacing w:after="0" w:line="271"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Further acceleration of our digital transformation including content and entertainment initiatives.</w:t>
      </w:r>
      <w:r>
        <w:rPr>
          <w:rFonts w:ascii="Arial" w:cs="Arial" w:eastAsia="Arial" w:hAnsi="Arial"/>
          <w:sz w:val="17"/>
          <w:szCs w:val="17"/>
          <w:color w:val="auto"/>
        </w:rPr>
        <w:t xml:space="preserve"> We are intent on building our business with more effective use of technology and improved and enhanced fulfillment capabilities while leveraging our expanded digital platforms to inform and drive marketing and content efforts. We believe that our multi-year sustained strong trend in e-commerce demand trajectory that we have</w:t>
      </w:r>
    </w:p>
    <w:p>
      <w:pPr>
        <w:ind w:left="460"/>
        <w:spacing w:after="0" w:line="252" w:lineRule="auto"/>
        <w:rPr>
          <w:rFonts w:ascii="Arial" w:cs="Arial" w:eastAsia="Arial" w:hAnsi="Arial"/>
          <w:sz w:val="17"/>
          <w:szCs w:val="17"/>
          <w:color w:val="auto"/>
        </w:rPr>
      </w:pPr>
      <w:r>
        <w:rPr>
          <w:rFonts w:ascii="Arial" w:cs="Arial" w:eastAsia="Arial" w:hAnsi="Arial"/>
          <w:sz w:val="18"/>
          <w:szCs w:val="18"/>
          <w:color w:val="auto"/>
        </w:rPr>
        <w:t>achieved, demonstrates the progress we continue to make in this area. We have also been working to drive continued incremental e-commerce growth with innovative new products and experiences for a variety of consumer segments. Some examples include the large and expanding gifting category leveraging our efforts to broaden our consumer base; our adult fan-based affinity products continue to be an online growth driver, enabled by a new dedicated space on our website called "The Bear Cave"; the roll out of our consumer-facing marketing launch of a new interactive e-commerce experience called the Bear-Builder 3d or BB3D, where guests can complete an online transaction via a reimagined animated Build-A-Bear Workshop; the addition of the Klarna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-1238885</wp:posOffset>
            </wp:positionV>
            <wp:extent cx="228028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128905"/>
                    </a:xfrm>
                    <a:prstGeom prst="rect">
                      <a:avLst/>
                    </a:prstGeom>
                    <a:noFill/>
                  </pic:spPr>
                </pic:pic>
              </a:graphicData>
            </a:graphic>
          </wp:anchor>
        </w:drawing>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extended payment plan to our website; and the expansion of our loyalty membership club, the Bonus Club, through the launch of the next module of Salesforce, known as Service Cloud which is reflective of our continued integration and elevation of digital capabilities.</w:t>
      </w:r>
    </w:p>
    <w:p>
      <w:pPr>
        <w:spacing w:after="0" w:line="170" w:lineRule="exact"/>
        <w:rPr>
          <w:sz w:val="20"/>
          <w:szCs w:val="20"/>
          <w:color w:val="auto"/>
        </w:rPr>
      </w:pPr>
    </w:p>
    <w:p>
      <w:pPr>
        <w:ind w:left="440" w:hanging="149"/>
        <w:spacing w:after="0" w:line="246" w:lineRule="auto"/>
        <w:tabs>
          <w:tab w:leader="none" w:pos="440" w:val="left"/>
        </w:tabs>
        <w:numPr>
          <w:ilvl w:val="0"/>
          <w:numId w:val="14"/>
        </w:numPr>
        <w:rPr>
          <w:rFonts w:ascii="Arial" w:cs="Arial" w:eastAsia="Arial" w:hAnsi="Arial"/>
          <w:sz w:val="22"/>
          <w:szCs w:val="22"/>
          <w:color w:val="auto"/>
        </w:rPr>
      </w:pPr>
      <w:r>
        <w:rPr>
          <w:rFonts w:ascii="Arial" w:cs="Arial" w:eastAsia="Arial" w:hAnsi="Arial"/>
          <w:sz w:val="18"/>
          <w:szCs w:val="18"/>
          <w:u w:val="single" w:color="auto"/>
          <w:color w:val="auto"/>
        </w:rPr>
        <w:t>Rapidly evolving our retail capabilities and experiences, including omnichannel, and significantly expanded e-commerce capacity.</w:t>
      </w:r>
      <w:r>
        <w:rPr>
          <w:rFonts w:ascii="Arial" w:cs="Arial" w:eastAsia="Arial" w:hAnsi="Arial"/>
          <w:sz w:val="18"/>
          <w:szCs w:val="18"/>
          <w:color w:val="auto"/>
        </w:rPr>
        <w:t xml:space="preserve"> We are leveraging our geographically dispersed store footprint to expand our omnichannel consumer delivery options via buy on-line ship from store/ buy on-line pick up in store and same day delivery with our SHIPT relationship. This strategic use of hundreds of store locations as mini-pool points significantly improves ecommerce fulfillment efficiency, decreases ship time (which is especially critical to minimize holiday cut-off days) and significantly expands our overall ecommerce throughput capacity versus using the warehouse alone. We are adding new tourist locations to our fleet. Given our overall improved store profitability, strong store metrics associated with tourist locations, and the current favorable rent environment, we have recently started to strategically expand into a number of key tourist environments through a combination of corporately-managed and third-party models.</w:t>
      </w:r>
    </w:p>
    <w:p>
      <w:pPr>
        <w:spacing w:after="0" w:line="199" w:lineRule="exact"/>
        <w:rPr>
          <w:rFonts w:ascii="Arial" w:cs="Arial" w:eastAsia="Arial" w:hAnsi="Arial"/>
          <w:sz w:val="22"/>
          <w:szCs w:val="22"/>
          <w:color w:val="auto"/>
        </w:rPr>
      </w:pPr>
    </w:p>
    <w:p>
      <w:pPr>
        <w:ind w:left="440" w:right="460" w:hanging="149"/>
        <w:spacing w:after="0" w:line="232" w:lineRule="auto"/>
        <w:tabs>
          <w:tab w:leader="none" w:pos="440" w:val="left"/>
        </w:tabs>
        <w:numPr>
          <w:ilvl w:val="0"/>
          <w:numId w:val="14"/>
        </w:numPr>
        <w:rPr>
          <w:rFonts w:ascii="Arial" w:cs="Arial" w:eastAsia="Arial" w:hAnsi="Arial"/>
          <w:sz w:val="22"/>
          <w:szCs w:val="22"/>
          <w:color w:val="auto"/>
        </w:rPr>
      </w:pPr>
      <w:r>
        <w:rPr>
          <w:rFonts w:ascii="Arial" w:cs="Arial" w:eastAsia="Arial" w:hAnsi="Arial"/>
          <w:sz w:val="18"/>
          <w:szCs w:val="18"/>
          <w:u w:val="single" w:color="auto"/>
          <w:color w:val="auto"/>
        </w:rPr>
        <w:t>Maintaining a solid financial position including a strong balance sheet to support our business and make strategic investments designed to drive further growth.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table below sets forth the number of Build-A-Bear Workshop corporately-managed stores in North America, Europe and Asia for the periods presented:</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90"/>
              </w:rPr>
              <w:t>Thirty-nine weeks ended</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8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w w:val="95"/>
              </w:rPr>
              <w:t>October 30, 2021</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98"/>
              </w:rPr>
              <w:t>October 31, 2020</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1880" w:type="dxa"/>
            <w:vAlign w:val="bottom"/>
          </w:tcPr>
          <w:p>
            <w:pPr>
              <w:spacing w:after="0"/>
              <w:rPr>
                <w:sz w:val="16"/>
                <w:szCs w:val="16"/>
                <w:color w:val="auto"/>
              </w:rPr>
            </w:pPr>
          </w:p>
        </w:tc>
        <w:tc>
          <w:tcPr>
            <w:tcW w:w="86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North</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North</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18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America</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0"/>
              </w:rPr>
              <w:t>Europe</w:t>
            </w:r>
          </w:p>
        </w:tc>
        <w:tc>
          <w:tcPr>
            <w:tcW w:w="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89"/>
              </w:rPr>
              <w:t>Asia</w:t>
            </w:r>
          </w:p>
        </w:tc>
        <w:tc>
          <w:tcPr>
            <w:tcW w:w="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America</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Europe</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Asia</w:t>
            </w: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0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48</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w:t>
            </w:r>
          </w:p>
        </w:tc>
      </w:tr>
      <w:tr>
        <w:trPr>
          <w:trHeight w:val="216"/>
        </w:trPr>
        <w:tc>
          <w:tcPr>
            <w:tcW w:w="1880" w:type="dxa"/>
            <w:vAlign w:val="bottom"/>
          </w:tcPr>
          <w:p>
            <w:pPr>
              <w:ind w:left="180"/>
              <w:spacing w:after="0"/>
              <w:rPr>
                <w:sz w:val="20"/>
                <w:szCs w:val="20"/>
                <w:color w:val="auto"/>
              </w:rPr>
            </w:pPr>
            <w:r>
              <w:rPr>
                <w:rFonts w:ascii="Arial" w:cs="Arial" w:eastAsia="Arial" w:hAnsi="Arial"/>
                <w:sz w:val="18"/>
                <w:szCs w:val="18"/>
                <w:color w:val="auto"/>
              </w:rPr>
              <w:t>Opened</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0"/>
        </w:trPr>
        <w:tc>
          <w:tcPr>
            <w:tcW w:w="18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8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44</w:t>
            </w:r>
          </w:p>
        </w:tc>
        <w:tc>
          <w:tcPr>
            <w:tcW w:w="5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r>
      <w:tr>
        <w:trPr>
          <w:trHeight w:val="20"/>
        </w:trPr>
        <w:tc>
          <w:tcPr>
            <w:tcW w:w="1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As of October 30, 2021, 40%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traditional malls.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Stores:</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corporately-managed stores. As of October 30, 2021, we had six master franchise agreements, which typically grant franchise rights for a particular country or group of countries, covering an aggregate of 11 countries.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3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Thirty-nine weeks 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October 30, 2021</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October 31, 2020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4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940" w:type="dxa"/>
            <w:vAlign w:val="bottom"/>
          </w:tcPr>
          <w:p>
            <w:pPr>
              <w:ind w:left="180"/>
              <w:spacing w:after="0"/>
              <w:rPr>
                <w:sz w:val="20"/>
                <w:szCs w:val="20"/>
                <w:color w:val="auto"/>
              </w:rPr>
            </w:pPr>
            <w:r>
              <w:rPr>
                <w:rFonts w:ascii="Arial" w:cs="Arial" w:eastAsia="Arial" w:hAnsi="Arial"/>
                <w:sz w:val="18"/>
                <w:szCs w:val="18"/>
                <w:color w:val="auto"/>
              </w:rPr>
              <w:t>Opened</w:t>
            </w:r>
          </w:p>
        </w:tc>
        <w:tc>
          <w:tcPr>
            <w:tcW w:w="446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2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7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40" w:type="dxa"/>
            <w:vAlign w:val="bottom"/>
            <w:vMerge w:val="restart"/>
          </w:tcPr>
          <w:p>
            <w:pPr>
              <w:jc w:val="right"/>
              <w:ind w:right="990"/>
              <w:spacing w:after="0"/>
              <w:rPr>
                <w:sz w:val="20"/>
                <w:szCs w:val="20"/>
                <w:color w:val="auto"/>
              </w:rPr>
            </w:pPr>
            <w:r>
              <w:rPr>
                <w:rFonts w:ascii="Arial" w:cs="Arial" w:eastAsia="Arial" w:hAnsi="Arial"/>
                <w:sz w:val="18"/>
                <w:szCs w:val="18"/>
                <w:color w:val="auto"/>
              </w:rPr>
              <w:t>22</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 w:firstLine="648"/>
        <w:spacing w:after="0" w:line="263"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9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Thirteen weeks ended</w:t>
            </w:r>
          </w:p>
        </w:tc>
        <w:tc>
          <w:tcPr>
            <w:tcW w:w="286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October 30,</w:t>
            </w:r>
          </w:p>
        </w:tc>
        <w:tc>
          <w:tcPr>
            <w:tcW w:w="12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October 30,</w:t>
            </w:r>
          </w:p>
        </w:tc>
        <w:tc>
          <w:tcPr>
            <w:tcW w:w="12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rPr>
              <w:t>October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Net retail sales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96.2%</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96.9%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revenue</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International franchising</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48.0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53.5</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47.3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Store asset impairment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5"/>
        </w:trPr>
        <w:tc>
          <w:tcPr>
            <w:tcW w:w="3200" w:type="dxa"/>
            <w:vAlign w:val="bottom"/>
          </w:tcPr>
          <w:p>
            <w:pPr>
              <w:ind w:left="180"/>
              <w:spacing w:after="0" w:line="206" w:lineRule="exact"/>
              <w:rPr>
                <w:sz w:val="20"/>
                <w:szCs w:val="20"/>
                <w:color w:val="auto"/>
              </w:rPr>
            </w:pPr>
            <w:r>
              <w:rPr>
                <w:rFonts w:ascii="Arial" w:cs="Arial" w:eastAsia="Arial" w:hAnsi="Arial"/>
                <w:sz w:val="18"/>
                <w:szCs w:val="18"/>
                <w:color w:val="auto"/>
                <w:w w:val="96"/>
              </w:rPr>
              <w:t>Cost of merchandise sold - commercial</w:t>
            </w: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38.6</w:t>
            </w: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42.1</w:t>
            </w:r>
          </w:p>
        </w:tc>
        <w:tc>
          <w:tcPr>
            <w:tcW w:w="14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41.6</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86"/>
        </w:trPr>
        <w:tc>
          <w:tcPr>
            <w:tcW w:w="3200" w:type="dxa"/>
            <w:vAlign w:val="bottom"/>
          </w:tcPr>
          <w:p>
            <w:pPr>
              <w:ind w:left="180"/>
              <w:spacing w:after="0"/>
              <w:rPr>
                <w:sz w:val="20"/>
                <w:szCs w:val="20"/>
                <w:color w:val="auto"/>
              </w:rPr>
            </w:pPr>
            <w:r>
              <w:rPr>
                <w:rFonts w:ascii="Arial" w:cs="Arial" w:eastAsia="Arial" w:hAnsi="Arial"/>
                <w:sz w:val="15"/>
                <w:szCs w:val="15"/>
                <w:color w:val="auto"/>
              </w:rPr>
              <w:t>(1)</w:t>
            </w:r>
          </w:p>
        </w:tc>
        <w:tc>
          <w:tcPr>
            <w:tcW w:w="146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Cost of merchandise sold - international</w:t>
            </w: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65.2</w:t>
            </w:r>
          </w:p>
        </w:tc>
        <w:tc>
          <w:tcPr>
            <w:tcW w:w="1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56.2</w:t>
            </w:r>
          </w:p>
        </w:tc>
        <w:tc>
          <w:tcPr>
            <w:tcW w:w="14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69.2</w:t>
            </w: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180"/>
              <w:spacing w:after="0" w:line="217" w:lineRule="exact"/>
              <w:rPr>
                <w:sz w:val="20"/>
                <w:szCs w:val="20"/>
                <w:color w:val="auto"/>
              </w:rPr>
            </w:pPr>
            <w:r>
              <w:rPr>
                <w:rFonts w:ascii="Arial" w:cs="Arial" w:eastAsia="Arial" w:hAnsi="Arial"/>
                <w:sz w:val="16"/>
                <w:szCs w:val="16"/>
                <w:color w:val="auto"/>
              </w:rPr>
              <w:t xml:space="preserve">franchising </w:t>
            </w:r>
            <w:r>
              <w:rPr>
                <w:rFonts w:ascii="Arial" w:cs="Arial" w:eastAsia="Arial" w:hAnsi="Arial"/>
                <w:sz w:val="25"/>
                <w:szCs w:val="25"/>
                <w:color w:val="auto"/>
                <w:vertAlign w:val="superscript"/>
              </w:rPr>
              <w:t>(1)</w:t>
            </w:r>
          </w:p>
        </w:tc>
        <w:tc>
          <w:tcPr>
            <w:tcW w:w="1460" w:type="dxa"/>
            <w:vAlign w:val="bottom"/>
            <w:gridSpan w:val="2"/>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ind w:left="340"/>
              <w:spacing w:after="0"/>
              <w:rPr>
                <w:sz w:val="20"/>
                <w:szCs w:val="20"/>
                <w:color w:val="auto"/>
              </w:rPr>
            </w:pPr>
            <w:r>
              <w:rPr>
                <w:rFonts w:ascii="Arial" w:cs="Arial" w:eastAsia="Arial" w:hAnsi="Arial"/>
                <w:sz w:val="18"/>
                <w:szCs w:val="18"/>
                <w:color w:val="auto"/>
              </w:rPr>
              <w:t>Total cost of merchandise sold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47.9</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53.4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47.3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43.8</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44.3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41.9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3200" w:type="dxa"/>
            <w:vAlign w:val="bottom"/>
          </w:tcPr>
          <w:p>
            <w:pPr>
              <w:ind w:left="20"/>
              <w:spacing w:after="0"/>
              <w:rPr>
                <w:sz w:val="20"/>
                <w:szCs w:val="20"/>
                <w:color w:val="auto"/>
              </w:rPr>
            </w:pPr>
            <w:r>
              <w:rPr>
                <w:rFonts w:ascii="Arial" w:cs="Arial" w:eastAsia="Arial" w:hAnsi="Arial"/>
                <w:sz w:val="18"/>
                <w:szCs w:val="18"/>
                <w:color w:val="auto"/>
              </w:rPr>
              <w:t xml:space="preserve">Retail Gross Margin </w:t>
            </w:r>
            <w:r>
              <w:rPr>
                <w:rFonts w:ascii="Arial" w:cs="Arial" w:eastAsia="Arial" w:hAnsi="Arial"/>
                <w:sz w:val="29"/>
                <w:szCs w:val="29"/>
                <w:color w:val="auto"/>
                <w:vertAlign w:val="superscript"/>
              </w:rPr>
              <w:t>(2)</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46.5%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00" w:right="40" w:hanging="372"/>
        <w:spacing w:after="0" w:line="310" w:lineRule="auto"/>
        <w:tabs>
          <w:tab w:leader="none" w:pos="4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400" w:right="400" w:hanging="372"/>
        <w:spacing w:after="0" w:line="260"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October 30, 2021 compared to thirteen weeks ended October 31, 2020</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Consolidated revenues increased 27.4%, driven by a 26.8% increase in North America and a 30.3% increase 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North America and Europe was primarily driven by increased retail store operating days compared to the same period in the prior year which saw temporary store closures due to the pandemic and increased e-commerce sales.</w:t>
      </w:r>
    </w:p>
    <w:p>
      <w:pPr>
        <w:spacing w:after="0" w:line="18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Net retail sales for the thirteen weeks ended October 30, 2021 were $91.6 million, compared to $72.4 million for the thirteen weeks ended October 31, 2020, an increase of $19.2 million, or 26.5%, compared to the prior year period. The components of this increase are as follows (dollars in millions):</w:t>
      </w:r>
    </w:p>
    <w:p>
      <w:pPr>
        <w:spacing w:after="0" w:line="12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7480" w:type="dxa"/>
            <w:vAlign w:val="bottom"/>
            <w:vMerge w:val="restart"/>
          </w:tcPr>
          <w:p>
            <w:pPr>
              <w:ind w:left="20"/>
              <w:spacing w:after="0"/>
              <w:rPr>
                <w:sz w:val="20"/>
                <w:szCs w:val="20"/>
                <w:color w:val="auto"/>
              </w:rPr>
            </w:pPr>
            <w:r>
              <w:rPr>
                <w:rFonts w:ascii="Arial" w:cs="Arial" w:eastAsia="Arial" w:hAnsi="Arial"/>
                <w:sz w:val="18"/>
                <w:szCs w:val="18"/>
                <w:color w:val="auto"/>
              </w:rPr>
              <w:t>Impact from:</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October 30, 2021</w:t>
            </w: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E-commerce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Store closures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breakage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estimates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180"/>
              <w:spacing w:after="0"/>
              <w:rPr>
                <w:sz w:val="20"/>
                <w:szCs w:val="20"/>
                <w:color w:val="auto"/>
              </w:rPr>
            </w:pPr>
            <w:r>
              <w:rPr>
                <w:rFonts w:ascii="Arial" w:cs="Arial" w:eastAsia="Arial" w:hAnsi="Arial"/>
                <w:sz w:val="18"/>
                <w:szCs w:val="18"/>
                <w:color w:val="auto"/>
              </w:rPr>
              <w:t>Total Change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retail revenue increase was primarily the result of the increase in store operating days of corporately-managed stores and consolidated e-commerce sales.</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Commercial revenue was $2.7 million for the thirteen weeks ended October 30, 2021 compared to $1.9 million for the thirteen weeks ended October 31, 2020. The $0.8 million increase is the result of increased sales volume from our commercial customers as some stability returned to our third-party retail model.</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International franchising revenue was $0.8 million for the thirteen weeks ended October 30, 2021 compared to $0.4 million for the thirteen weeks ended October 31, 2020. The $0.4 million increase is primarily due to having more stores in operation in 2021 compared to the same period in 2020 when significantly more locations were temporarily closed due to pandemic-related mandated government restrictions.</w:t>
      </w:r>
    </w:p>
    <w:p>
      <w:pPr>
        <w:spacing w:after="0" w:line="16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i w:val="1"/>
          <w:iCs w:val="1"/>
          <w:color w:val="auto"/>
        </w:rPr>
        <w:t xml:space="preserve">Retail gross margin. </w:t>
      </w:r>
      <w:r>
        <w:rPr>
          <w:rFonts w:ascii="Arial" w:cs="Arial" w:eastAsia="Arial" w:hAnsi="Arial"/>
          <w:sz w:val="17"/>
          <w:szCs w:val="17"/>
          <w:color w:val="auto"/>
        </w:rPr>
        <w:t>Retail gross margin dollars increased $14.0 million to $47.6 million compared to the thirteen weeks ended October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 retail gross margin rate increased 550 basis points primarily driven by an increase in corporately-managed retail sales, increased leverage of fixed occupancy costs as a result of rent negotiations that began during the prior fiscal year, and expansion of merchandise margin.</w:t>
      </w:r>
    </w:p>
    <w:p>
      <w:pPr>
        <w:spacing w:after="0" w:line="1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(SG&amp;A) expenses were $41.7 million, or 43.8% of consolidated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thirteen weeks ended October 30, 2021, compared to $33.1 million, or 44.3% of consolidated revenue, for the thirteen weeks ended October 31, 2020. The increase in overall expense was driven by higher store labor costs given the lifting of capacity restrictions and expanded operating hours in 2021 compared to 2020. In addition, the Company recorded full corporate salaries in 2021 while the prior year included temporary wage reductions as part of its pandemic-related cost containment initiatives. In addition, the change in SG&amp;A reflects an increase in variable costs driven by sales growth initiatives inclusive of higher marketing spend and performance incentive programs.</w:t>
      </w:r>
    </w:p>
    <w:p>
      <w:pPr>
        <w:spacing w:after="0" w:line="17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was $2,000 for the thirteen weeks ended October 30, 2021 compared to interest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$2,000 for the thirteen weeks ended October 31,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Benefit/Provision for income taxes</w:t>
      </w:r>
      <w:r>
        <w:rPr>
          <w:rFonts w:ascii="Arial" w:cs="Arial" w:eastAsia="Arial" w:hAnsi="Arial"/>
          <w:sz w:val="17"/>
          <w:szCs w:val="17"/>
          <w:color w:val="auto"/>
        </w:rPr>
        <w:t>. Income tax expense was $2.0 million with a tax rate of 25.1% for the thirteen weeks ended October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compared to an expense of less than $0.1 million with a tax rate of 0.6% for the thirteen weeks ended October 31, 2020. In the third quarter of fiscal 2021 the effective tax rate differed from the statutory rate of 21% primarily due to state income tax expense. While the Company is still in a full valuation allowance globally, it recorded tax expense on the pretax income earned in the third quarter of fiscal 2021 based on its projected current tax expense. In the third quarter of fiscal 2020, the effective tax rate differed from the statutory rate of 21% primarily due to no tax benefit being recorded on the current period pretax loss as a full valuation allowance has now been recorded globally.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Thirty-nine weeks ended October 30, 2021 compared to thirty-nine weeks ended October 31, 2020</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Consolidated revenues increased 74.2%, including an 80.1% increase in North America and a 39.5% increase 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North America and Europe was primarily driven by increased retail store operating days compared to the same period in the prior year which saw temporary store closures due to the pandemic and increased e-commerce sales.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Net retail sales for the thirty-nine weeks ended October 30, 2021 were $272.1 million, compared to $157.4 million for the thirty-nine weeks ended October 31, 2020, an increase of $114.7 million, or 72.9%, compared to the prior year period. The components of this increase are as follows (dollars in millions):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Thirty-nine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7480" w:type="dxa"/>
            <w:vAlign w:val="bottom"/>
            <w:vMerge w:val="restart"/>
          </w:tcPr>
          <w:p>
            <w:pPr>
              <w:ind w:left="20"/>
              <w:spacing w:after="0"/>
              <w:rPr>
                <w:sz w:val="20"/>
                <w:szCs w:val="20"/>
                <w:color w:val="auto"/>
              </w:rPr>
            </w:pPr>
            <w:r>
              <w:rPr>
                <w:rFonts w:ascii="Arial" w:cs="Arial" w:eastAsia="Arial" w:hAnsi="Arial"/>
                <w:sz w:val="18"/>
                <w:szCs w:val="18"/>
                <w:color w:val="auto"/>
              </w:rPr>
              <w:t>Impact from:</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October 30, 2021</w:t>
            </w:r>
          </w:p>
        </w:tc>
        <w:tc>
          <w:tcPr>
            <w:tcW w:w="0" w:type="dxa"/>
            <w:vAlign w:val="bottom"/>
          </w:tcPr>
          <w:p>
            <w:pPr>
              <w:spacing w:after="0"/>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stores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E-commerce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Store closures</w:t>
            </w:r>
          </w:p>
        </w:tc>
        <w:tc>
          <w:tcPr>
            <w:tcW w:w="2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breakage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estimates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180"/>
              <w:spacing w:after="0"/>
              <w:rPr>
                <w:sz w:val="20"/>
                <w:szCs w:val="20"/>
                <w:color w:val="auto"/>
              </w:rPr>
            </w:pPr>
            <w:r>
              <w:rPr>
                <w:rFonts w:ascii="Arial" w:cs="Arial" w:eastAsia="Arial" w:hAnsi="Arial"/>
                <w:sz w:val="18"/>
                <w:szCs w:val="18"/>
                <w:color w:val="auto"/>
              </w:rPr>
              <w:t>Total Change</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retail revenue increase was primarily the result of the increase in store operating days of corporately-managed stores and consolidated e-commerce sales.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Commercial revenue was $7.8 million for the thirty-nine weeks ended October 30, 2021 compared to $3.1 million for the thirty-nine weeks ended October 31, 2020. The $4.7 million increase is the result of increased sales volume from our commercial customers versus the prior year which was impacted by pandemic drive closures of third-party retail locations serviced by these customers.</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International franchising revenue was $1.7 million for the thirty-nine weeks ended October 30, 2021 compared to $1.2 million for the thirty-nine weeks ended October 31, 2020. The $0.5 million increase is primarily due to having more stores in operation in 2021 compared to the same period in 2020 when significantly more locations were temporarily closed due to pandemic-related mandated government restrictions.</w:t>
      </w:r>
    </w:p>
    <w:p>
      <w:pPr>
        <w:spacing w:after="0" w:line="16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i w:val="1"/>
          <w:iCs w:val="1"/>
          <w:color w:val="auto"/>
        </w:rPr>
        <w:t xml:space="preserve">Retail gross margin. </w:t>
      </w:r>
      <w:r>
        <w:rPr>
          <w:rFonts w:ascii="Arial" w:cs="Arial" w:eastAsia="Arial" w:hAnsi="Arial"/>
          <w:sz w:val="16"/>
          <w:szCs w:val="16"/>
          <w:color w:val="auto"/>
        </w:rPr>
        <w:t>Retail gross margin dollars increased $88.3 million to $143.4 million compared to the thirty-nine weeks ended October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retail gross margin rate increased 1,770 basis points primarily driven by an increase in corporately-managed retail sales, a decrease in fixed occupancy costs recorded as a result of rent negotiations that began during the prior fiscal year, and expansion of merchandise margin.</w:t>
      </w:r>
    </w:p>
    <w:p>
      <w:pPr>
        <w:spacing w:after="0" w:line="1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SG&amp;A expenses were $117.9 million, or 41.9% of consolidated revenue, for the thirty-nine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30, 2021, compared to $81.3 million, or 50.3% of consolidated revenue, for the thirty-nine weeks ended October 31, 2020. The increase in overall expense was primarily due to higher labor costs given the re-opening of our store base and the Company recording full corporate salaries for the thirty-nine weeks ended October 30, 2021 as opposed to the prior year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when pandemic-related cost containment initiatives included temporary wage reductions. Additionally, the change reflects an increase in variable costs driven by sales growth initiatives inclusive of higher marketing spend and funding of performance incentive programs.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was $11,000 for the thirty-nine weeks ended October 30, 2021 compared to interest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$6,000 for the thirty-nine weeks ended October 31, 2020.</w:t>
      </w:r>
    </w:p>
    <w:p>
      <w:pPr>
        <w:spacing w:after="0" w:line="13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Benefit/Provision for income taxes</w:t>
      </w:r>
      <w:r>
        <w:rPr>
          <w:rFonts w:ascii="Arial" w:cs="Arial" w:eastAsia="Arial" w:hAnsi="Arial"/>
          <w:sz w:val="17"/>
          <w:szCs w:val="17"/>
          <w:color w:val="auto"/>
        </w:rPr>
        <w:t>. Income tax expense was $7.4 million with a tax rate of 24.3% for the thirty-nine weeks ended October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compared to $2.5 million with a tax rate (8)% of for the thirty-nine weeks ended October 31, 2020. In the first thirty-nine weeks of fiscal 2021, the effective tax rate differed from the statutory rate of 21% primarily due to state income tax expense partially offset by the tax impact of equity awards vesting. In the first thirty-nine weeks of fiscal 2020, the effective tax rate differed from the statutory rate of 21% primarily due to no tax benefit being recorded on the current period pretax loss as a full valuation allowance has now been recorded globally. In addition, the first thirty-nine weeks of fiscal 2020 was impacted by the $3.3 million valuation allowance recorded on the beginning balance of the net deferred tax assets in certain jurisdictions, offset by $0.8 million of benefit as a result of the Coronavirus Aid, Relief, and Economic Security (“CARES”) 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firstLine="8"/>
        <w:spacing w:after="0" w:line="269"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8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timing of store closures, relocations, remodels and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5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2014 fiscal fourth quarter had 14 weeks.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As of October 30, 2021, we had a consolidated cash balance of $48.5 million, approximately 79% of which was domiciled within the United States.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summary of our operating, investing and financing activities is shown in the following table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5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October 30,</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13"/>
              <w:spacing w:after="0" w:line="191" w:lineRule="exact"/>
              <w:rPr>
                <w:sz w:val="20"/>
                <w:szCs w:val="20"/>
                <w:color w:val="auto"/>
              </w:rPr>
            </w:pPr>
            <w:r>
              <w:rPr>
                <w:rFonts w:ascii="Arial" w:cs="Arial" w:eastAsia="Arial" w:hAnsi="Arial"/>
                <w:sz w:val="18"/>
                <w:szCs w:val="18"/>
                <w:b w:val="1"/>
                <w:bCs w:val="1"/>
                <w:color w:val="auto"/>
              </w:rPr>
              <w:t>October 31,</w:t>
            </w:r>
          </w:p>
        </w:tc>
        <w:tc>
          <w:tcPr>
            <w:tcW w:w="80" w:type="dxa"/>
            <w:vAlign w:val="bottom"/>
          </w:tcPr>
          <w:p>
            <w:pPr>
              <w:spacing w:after="0"/>
              <w:rPr>
                <w:sz w:val="16"/>
                <w:szCs w:val="16"/>
                <w:color w:val="auto"/>
              </w:rPr>
            </w:pPr>
          </w:p>
        </w:tc>
      </w:tr>
      <w:tr>
        <w:trPr>
          <w:trHeight w:val="234"/>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(4,644)</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(4,029)</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Effect of exchange rates on cash</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r>
      <w:tr>
        <w:trPr>
          <w:trHeight w:val="20"/>
        </w:trPr>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cash, cash equivalents, and restricted cash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(932</w:t>
            </w:r>
            <w:r>
              <w:rPr>
                <w:rFonts w:ascii="Arial" w:cs="Arial" w:eastAsia="Arial" w:hAnsi="Arial"/>
                <w:sz w:val="24"/>
                <w:szCs w:val="24"/>
                <w:color w:val="auto"/>
                <w:vertAlign w:val="subscript"/>
              </w:rPr>
              <w:t>)</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0" w:right="20" w:firstLine="648"/>
        <w:spacing w:after="0" w:line="275"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provided by operating activities increased $14.2 million for the thirty-nine weeks ended October 30, 2021,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thirty-nine weeks ended October 31, 2020. This increase in cash from operating activities was primarily driven by increased retail store operating days at corporately-managed stores and sales volume to commercial customers resulting in higher net income offset by an increase in cash spend on inventory purchases in advance of the holiday season in the fiscal fourth quarter, increased spend on operating leases with rent deferral paybacks, and an increase in receivables stemming from the release of an entertainment product.</w:t>
      </w:r>
    </w:p>
    <w:p>
      <w:pPr>
        <w:spacing w:after="0" w:line="176" w:lineRule="exact"/>
        <w:rPr>
          <w:sz w:val="20"/>
          <w:szCs w:val="20"/>
          <w:color w:val="auto"/>
        </w:rPr>
      </w:pPr>
    </w:p>
    <w:p>
      <w:pPr>
        <w:ind w:left="20" w:firstLine="648"/>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increased $0.6 million for the thirty-nine weeks ended October 30, 2021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thirty-nine weeks ended October 31, 2020. This increase in cash from investing activities was primarily driven by spend on information technology projects and build out of new stores in the United States.</w:t>
      </w:r>
    </w:p>
    <w:p>
      <w:pPr>
        <w:spacing w:after="0" w:line="184" w:lineRule="exact"/>
        <w:rPr>
          <w:sz w:val="20"/>
          <w:szCs w:val="20"/>
          <w:color w:val="auto"/>
        </w:rPr>
      </w:pPr>
    </w:p>
    <w:p>
      <w:pPr>
        <w:jc w:val="both"/>
        <w:ind w:left="20" w:right="120" w:firstLine="648"/>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increased $1.0 million for the thirty-nine weeks ended October 30, 2021,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thirty-nine weeks ended October 31, 2020. This increase in cash from financing activities was driven by proceeds from stock option exercises offset by stock compensation vesting resulting in shares withheld for taxes.</w:t>
      </w:r>
    </w:p>
    <w:p>
      <w:pPr>
        <w:spacing w:after="0" w:line="184" w:lineRule="exact"/>
        <w:rPr>
          <w:sz w:val="20"/>
          <w:szCs w:val="20"/>
          <w:color w:val="auto"/>
        </w:rPr>
      </w:pPr>
    </w:p>
    <w:p>
      <w:pPr>
        <w:ind w:left="20" w:right="80" w:firstLine="648"/>
        <w:spacing w:after="0" w:line="273"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We have a revolving credit and security agreement with PNC Bank, as agent, that provides for a secured revolving loan in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principal of up to $25.0 million, subject to a borrowing base formula. Borrowings under the agreement bear interest at (a) a base rate determined under the agreement, or (b) the borrower's option, at a rate based on LIBOR, plus in either case a margin based on average undrawn availability as determined in accordance with the agreement. As of October 30, 2021, our borrowing base was slightly more than $16.7 million. As a result of a $750,000 letter of credit against the line of credit at the end of the fiscal 2021 second quarter, approximately $16.0 million was available for borrowing. We had no outstanding borrowings as of the end of October 30, 2021.</w:t>
      </w:r>
    </w:p>
    <w:p>
      <w:pPr>
        <w:spacing w:after="0" w:line="178"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color w:val="auto"/>
        </w:rPr>
        <w:t>Most of our corporately-managed retail stores are located within shopping malls and all are operated under leases classified as operating leases. Our leases in North America have shifted to shorter term leases, many of which include variable rent structures,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new leases contain incentives to help defray the cost of construction of a new store. Typically, a portion of the incentive must be repaid to the landlord if we choose to terminate the lease before the end of its initial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9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Real estate taxes also change according to government time schedules to reflect current market rental rates for the locations we lease. Rents are invoiced monthly or quarterly and paid in advance.</w:t>
      </w:r>
    </w:p>
    <w:p>
      <w:pPr>
        <w:spacing w:after="0" w:line="187" w:lineRule="exact"/>
        <w:rPr>
          <w:sz w:val="20"/>
          <w:szCs w:val="20"/>
          <w:color w:val="auto"/>
        </w:rPr>
      </w:pPr>
    </w:p>
    <w:p>
      <w:pPr>
        <w:ind w:left="20" w:right="440" w:firstLine="648"/>
        <w:spacing w:after="0" w:line="277" w:lineRule="auto"/>
        <w:rPr>
          <w:sz w:val="20"/>
          <w:szCs w:val="20"/>
          <w:color w:val="auto"/>
        </w:rPr>
      </w:pPr>
      <w:r>
        <w:rPr>
          <w:rFonts w:ascii="Arial" w:cs="Arial" w:eastAsia="Arial" w:hAnsi="Arial"/>
          <w:sz w:val="18"/>
          <w:szCs w:val="18"/>
          <w:color w:val="auto"/>
        </w:rPr>
        <w:t>Capital spending through the thirty-nine weeks ended October 30, 2021 totaled $4.6 million and we expect to spend approximately $8 to $10 million on capital expenditures for fiscal 2021.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400" w:firstLine="648"/>
        <w:spacing w:after="0" w:line="273" w:lineRule="auto"/>
        <w:rPr>
          <w:sz w:val="20"/>
          <w:szCs w:val="20"/>
          <w:color w:val="auto"/>
        </w:rPr>
      </w:pPr>
      <w:r>
        <w:rPr>
          <w:rFonts w:ascii="Arial" w:cs="Arial" w:eastAsia="Arial" w:hAnsi="Arial"/>
          <w:sz w:val="17"/>
          <w:szCs w:val="17"/>
          <w:color w:val="auto"/>
        </w:rPr>
        <w:t>On November 30, 2021 we announced that our Board of Directors authorized a share repurchase program of up to $25 million. The primary source of funding for the share repurchase program is expected to be cash on hand. The timing and amount of share repurchases, if any, will depend on price, market conditions, applicable regulatory requirements, and other factors. The program authorizes us to repurchase shares through November 30, 2023, does not require us to repurchase any specific number of shares, and may be modified, suspended or terminated at any time without prior notice. Shares repurchased under the program will be subsequently retired. We believe that the multi-year, multi-million dollar share buy-back program is reflective of the strong confidence that the Board of Directors has in the future of Build-A-Bear.</w:t>
      </w:r>
    </w:p>
    <w:p>
      <w:pPr>
        <w:spacing w:after="0" w:line="171" w:lineRule="exact"/>
        <w:rPr>
          <w:sz w:val="20"/>
          <w:szCs w:val="20"/>
          <w:color w:val="auto"/>
        </w:rPr>
      </w:pPr>
    </w:p>
    <w:p>
      <w:pPr>
        <w:ind w:left="20" w:firstLine="648"/>
        <w:spacing w:after="0" w:line="257" w:lineRule="auto"/>
        <w:rPr>
          <w:sz w:val="20"/>
          <w:szCs w:val="20"/>
          <w:color w:val="auto"/>
        </w:rPr>
      </w:pPr>
      <w:r>
        <w:rPr>
          <w:rFonts w:ascii="Arial" w:cs="Arial" w:eastAsia="Arial" w:hAnsi="Arial"/>
          <w:sz w:val="21"/>
          <w:szCs w:val="21"/>
          <w:color w:val="auto"/>
        </w:rPr>
        <w:t>On November 30, 2021 we announced that our Board of Directors authorized a special cash dividend of $1.25 per share to be paid on December 27, 2021 to all shareholders of record as of December 10, 2021. We believe that given our strong financial results year-to-date, the special dividend is intended to immediately return value to our shareholders.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20" w:right="20" w:firstLine="648"/>
        <w:spacing w:after="0" w:line="263"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however, we do expect inflation pressures to impact the remainder of fiscal 2021. We cannot provide an estimate or range of impact such cost inflations may have on our results of operations.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0" w:right="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left="20" w:right="140" w:firstLine="648"/>
        <w:spacing w:after="0" w:line="263" w:lineRule="auto"/>
        <w:rPr>
          <w:sz w:val="20"/>
          <w:szCs w:val="20"/>
          <w:color w:val="auto"/>
        </w:rPr>
      </w:pPr>
      <w:r>
        <w:rPr>
          <w:rFonts w:ascii="Arial" w:cs="Arial" w:eastAsia="Arial" w:hAnsi="Arial"/>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84" w:lineRule="exact"/>
        <w:rPr>
          <w:sz w:val="20"/>
          <w:szCs w:val="20"/>
          <w:color w:val="auto"/>
        </w:rPr>
      </w:pPr>
    </w:p>
    <w:p>
      <w:pPr>
        <w:ind w:left="20" w:right="160"/>
        <w:spacing w:after="0" w:line="301" w:lineRule="auto"/>
        <w:rPr>
          <w:sz w:val="20"/>
          <w:szCs w:val="20"/>
          <w:color w:val="auto"/>
        </w:rPr>
      </w:pPr>
      <w:r>
        <w:rPr>
          <w:rFonts w:ascii="Arial" w:cs="Arial" w:eastAsia="Arial" w:hAnsi="Arial"/>
          <w:sz w:val="16"/>
          <w:szCs w:val="16"/>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as filed with the Securities and Exchange Commission (SEC) on April 15, 2021, which includes audited consolidated financial statements for our 2020 and 2019 fiscal years. There have been no material changes to the critical accounting estimates disclosed in the 2020 Form 10-K.</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0" w:right="20" w:firstLine="648"/>
        <w:spacing w:after="0" w:line="342" w:lineRule="auto"/>
        <w:rPr>
          <w:sz w:val="20"/>
          <w:szCs w:val="20"/>
          <w:color w:val="auto"/>
        </w:rPr>
      </w:pPr>
      <w:r>
        <w:rPr>
          <w:rFonts w:ascii="Arial" w:cs="Arial" w:eastAsia="Arial" w:hAnsi="Arial"/>
          <w:sz w:val="16"/>
          <w:szCs w:val="16"/>
          <w:color w:val="auto"/>
        </w:rPr>
        <w:t>See Note 1 to the Condensed Consolidated Financial Statements — Basis of Presentation — Recent Accounting Pronouncements – Adopted in the Current Year as disclosed in our Annual Report on Form 10-K for the year ended January 30, 2021 as filed with the SEC on April 15, 2021.</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20" w:right="320" w:firstLine="648"/>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January 30, 2021 as filed with the SEC on April 15, 2021.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October 30, 2021, the end of the period covered by this Quarterly Report.</w:t>
      </w:r>
    </w:p>
    <w:p>
      <w:pPr>
        <w:spacing w:after="0" w:line="17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 Company’s management, with the participation of the Company’s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January 30, 2021 as filed with the SEC on April 15,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14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4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(c) Total</w:t>
            </w:r>
          </w:p>
        </w:tc>
        <w:tc>
          <w:tcPr>
            <w:tcW w:w="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Dollar</w:t>
            </w:r>
          </w:p>
        </w:tc>
        <w:tc>
          <w:tcPr>
            <w:tcW w:w="14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Value) of</w:t>
            </w:r>
          </w:p>
        </w:tc>
        <w:tc>
          <w:tcPr>
            <w:tcW w:w="14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Units)</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14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(a) 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Units) that</w:t>
            </w:r>
          </w:p>
        </w:tc>
        <w:tc>
          <w:tcPr>
            <w:tcW w:w="14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as Part of</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w:t>
            </w:r>
          </w:p>
        </w:tc>
        <w:tc>
          <w:tcPr>
            <w:tcW w:w="14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 Average</w:t>
            </w:r>
          </w:p>
        </w:tc>
        <w:tc>
          <w:tcPr>
            <w:tcW w:w="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Publicly</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Units)</w:t>
            </w:r>
          </w:p>
        </w:tc>
        <w:tc>
          <w:tcPr>
            <w:tcW w:w="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Under the</w:t>
            </w:r>
          </w:p>
        </w:tc>
        <w:tc>
          <w:tcPr>
            <w:tcW w:w="14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8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Per Share</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40" w:type="dxa"/>
            <w:vAlign w:val="bottom"/>
          </w:tcPr>
          <w:p>
            <w:pPr>
              <w:spacing w:after="0"/>
              <w:rPr>
                <w:sz w:val="18"/>
                <w:szCs w:val="18"/>
                <w:color w:val="auto"/>
              </w:rPr>
            </w:pPr>
          </w:p>
        </w:tc>
      </w:tr>
      <w:tr>
        <w:trPr>
          <w:trHeight w:val="234"/>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(or Unit)</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40" w:type="dxa"/>
            <w:vAlign w:val="bottom"/>
            <w:tcBorders>
              <w:bottom w:val="single" w:sz="8" w:color="auto"/>
            </w:tcBorders>
          </w:tcPr>
          <w:p>
            <w:pPr>
              <w:spacing w:after="0"/>
              <w:rPr>
                <w:sz w:val="20"/>
                <w:szCs w:val="20"/>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1, 2021 - August 28, 2021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August 29, 2021 - October 2, 2021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r>
      <w:tr>
        <w:trPr>
          <w:trHeight w:val="21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3, 2021 - October 30,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43,969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r>
      <w:tr>
        <w:trPr>
          <w:trHeight w:val="20"/>
        </w:trPr>
        <w:tc>
          <w:tcPr>
            <w:tcW w:w="4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480" w:right="1080" w:hanging="349"/>
        <w:spacing w:after="0" w:line="259"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0"/>
          </w:tcPr>
          <w:p>
            <w:pPr>
              <w:ind w:left="6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2"/>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Agreement and Plan of Merger dated April 3, 2000 between Build-A-Bear Workshop, L.L.C. and the Registrant (incorporated by reference</w:t>
              </w:r>
            </w:hyperlink>
          </w:p>
        </w:tc>
        <w:tc>
          <w:tcPr>
            <w:tcW w:w="2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from Exhibit 2.1 to our Registration Statement on Form S-1, filed on August 12, 2004, Registration No. 333-118142)</w:t>
              </w:r>
            </w:hyperlink>
          </w:p>
        </w:tc>
        <w:tc>
          <w:tcPr>
            <w:tcW w:w="1780" w:type="dxa"/>
            <w:vAlign w:val="bottom"/>
            <w:gridSpan w:val="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220" w:type="dxa"/>
            <w:vAlign w:val="bottom"/>
            <w:gridSpan w:val="15"/>
          </w:tcPr>
          <w:p>
            <w:pPr>
              <w:spacing w:after="0"/>
              <w:rPr>
                <w:rFonts w:ascii="Arial" w:cs="Arial" w:eastAsia="Arial" w:hAnsi="Arial"/>
                <w:sz w:val="18"/>
                <w:szCs w:val="18"/>
                <w:color w:val="0000EE"/>
                <w:w w:val="94"/>
              </w:rPr>
            </w:pPr>
            <w:hyperlink r:id="rId44">
              <w:r>
                <w:rPr>
                  <w:rFonts w:ascii="Arial" w:cs="Arial" w:eastAsia="Arial" w:hAnsi="Arial"/>
                  <w:sz w:val="18"/>
                  <w:szCs w:val="18"/>
                  <w:color w:val="0000EE"/>
                  <w:w w:val="94"/>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filed on November 11, 2004)</w:t>
              </w:r>
            </w:hyperlink>
          </w:p>
        </w:tc>
        <w:tc>
          <w:tcPr>
            <w:tcW w:w="26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220" w:type="dxa"/>
            <w:vAlign w:val="bottom"/>
            <w:gridSpan w:val="15"/>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Amended and Restated Bylaws, as amended through February 23, 2016 (incorporated by reference from Exhibit 3.1 of our Current Report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Form 8-K, filed on February 24, 2016)</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220" w:type="dxa"/>
            <w:vAlign w:val="bottom"/>
            <w:gridSpan w:val="15"/>
          </w:tcPr>
          <w:p>
            <w:pPr>
              <w:spacing w:after="0"/>
              <w:rPr>
                <w:rFonts w:ascii="Arial" w:cs="Arial" w:eastAsia="Arial" w:hAnsi="Arial"/>
                <w:sz w:val="18"/>
                <w:szCs w:val="18"/>
                <w:color w:val="0000EE"/>
                <w:w w:val="94"/>
              </w:rPr>
            </w:pPr>
            <w:hyperlink r:id="rId46">
              <w:r>
                <w:rPr>
                  <w:rFonts w:ascii="Arial" w:cs="Arial" w:eastAsia="Arial" w:hAnsi="Arial"/>
                  <w:sz w:val="18"/>
                  <w:szCs w:val="18"/>
                  <w:color w:val="0000EE"/>
                  <w:w w:val="94"/>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filed on October 1, 2004, Registration No. 333-118142)</w:t>
              </w:r>
            </w:hyperlink>
          </w:p>
        </w:tc>
        <w:tc>
          <w:tcPr>
            <w:tcW w:w="5860" w:type="dxa"/>
            <w:vAlign w:val="bottom"/>
            <w:tcBorders>
              <w:top w:val="single" w:sz="8" w:color="0000EE"/>
            </w:tcBorders>
            <w:gridSpan w:val="5"/>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220" w:type="dxa"/>
            <w:vAlign w:val="bottom"/>
            <w:gridSpan w:val="15"/>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Rule 13a-14(a)/15d-14(a) certification (pursuant to Section 302 of the Sarbanes-Oxley Act of 2002, executed by the President and Chief</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Executive Officer)</w:t>
              </w:r>
            </w:hyperlink>
          </w:p>
        </w:tc>
        <w:tc>
          <w:tcPr>
            <w:tcW w:w="42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220" w:type="dxa"/>
            <w:vAlign w:val="bottom"/>
            <w:gridSpan w:val="15"/>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Rule 13a-14(a)/15d-14(a) certification (pursuant to Section 302 of the Sarbanes-Oxley Act of 2002, executed by the Chief Financial Officer)</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Section 1350 Certification (pursuant to Section 906 of the Sarbanes-Oxley Act of 2002, executed by the President and Chief Executive</w:t>
              </w:r>
            </w:hyperlink>
          </w:p>
        </w:tc>
        <w:tc>
          <w:tcPr>
            <w:tcW w:w="400" w:type="dxa"/>
            <w:vAlign w:val="bottom"/>
            <w:tcBorders>
              <w:top w:val="single" w:sz="8" w:color="0000EE"/>
            </w:tcBorders>
            <w:gridSpan w:val="5"/>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Officer)</w:t>
              </w:r>
            </w:hyperlink>
          </w:p>
        </w:tc>
        <w:tc>
          <w:tcPr>
            <w:tcW w:w="9640" w:type="dxa"/>
            <w:vAlign w:val="bottom"/>
            <w:gridSpan w:val="1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22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Section 1350 Certification (pursuant to Section 906 of the Sarbanes-Oxley Act of 2002, executed by the Chief Financial Officer)</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7"/>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5"/>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202" w:lineRule="exact"/>
        <w:rPr>
          <w:sz w:val="20"/>
          <w:szCs w:val="20"/>
          <w:color w:val="auto"/>
        </w:rPr>
      </w:pPr>
    </w:p>
    <w:p>
      <w:pPr>
        <w:ind w:left="140" w:right="3680" w:hanging="132"/>
        <w:spacing w:after="0" w:line="500" w:lineRule="auto"/>
        <w:tabs>
          <w:tab w:leader="none" w:pos="10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registrant and as principal executive officer)</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5"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20" w:hanging="374"/>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374"/>
        <w:spacing w:after="0" w:line="308"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4"/>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76"/>
        <w:spacing w:after="0" w:line="263"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76"/>
        <w:spacing w:after="0" w:line="263"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76"/>
        <w:spacing w:after="0" w:line="342" w:lineRule="auto"/>
        <w:tabs>
          <w:tab w:leader="none" w:pos="11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76"/>
        <w:spacing w:after="0" w:line="263"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4"/>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80" w:right="80" w:hanging="498"/>
        <w:spacing w:after="0" w:line="342" w:lineRule="auto"/>
        <w:tabs>
          <w:tab w:leader="none" w:pos="1680" w:val="left"/>
        </w:tabs>
        <w:numPr>
          <w:ilvl w:val="2"/>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80" w:right="360" w:hanging="498"/>
        <w:spacing w:after="0" w:line="277" w:lineRule="auto"/>
        <w:tabs>
          <w:tab w:leader="none" w:pos="16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20" w:hanging="374"/>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374"/>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4"/>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76"/>
        <w:spacing w:after="0" w:line="263"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76"/>
        <w:spacing w:after="0" w:line="263"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76"/>
        <w:spacing w:after="0" w:line="342" w:lineRule="auto"/>
        <w:tabs>
          <w:tab w:leader="none" w:pos="11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76"/>
        <w:spacing w:after="0" w:line="263"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4"/>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20" w:hanging="376"/>
        <w:spacing w:after="0" w:line="342" w:lineRule="auto"/>
        <w:tabs>
          <w:tab w:leader="none" w:pos="11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00" w:hanging="376"/>
        <w:spacing w:after="0" w:line="277" w:lineRule="auto"/>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October 30, 2021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October 30, 2021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lvl w:ilvl="1">
      <w:lvlJc w:val="left"/>
      <w:lvlText w:val="(%2)"/>
      <w:numFmt w:val="decimal"/>
      <w:start w:val="1"/>
    </w:lvl>
  </w:abstractNum>
  <w:abstractNum w:abstractNumId="4">
    <w:nsid w:val="109CF92E"/>
    <w:multiLevelType w:val="hybridMultilevel"/>
    <w:lvl w:ilvl="0">
      <w:lvlJc w:val="left"/>
      <w:lvlText w:val="%1."/>
      <w:numFmt w:val="decimal"/>
      <w:start w:val="5"/>
    </w:lvl>
    <w:lvl w:ilvl="1">
      <w:lvlJc w:val="left"/>
      <w:lvlText w:val="%2"/>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43" Type="http://schemas.openxmlformats.org/officeDocument/2006/relationships/hyperlink" Target="http://www.sec.gov/Archives/edgar/data/1113809/000095013704006634/c86750exv2w1.txt" TargetMode="External"/><Relationship Id="rId44" Type="http://schemas.openxmlformats.org/officeDocument/2006/relationships/hyperlink" Target="http://www.sec.gov/Archives/edgar/data/1113809/000095013804000748/exh3-1.htm" TargetMode="External"/><Relationship Id="rId45" Type="http://schemas.openxmlformats.org/officeDocument/2006/relationships/hyperlink" Target="http://www.sec.gov/Archives/edgar/data/1113809/000115752316004713/a51286063ex3_1.htm" TargetMode="External"/><Relationship Id="rId46"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2021-12-09T08:42:27Z</dcterms:created>
  <dcterms:modified xsi:type="dcterms:W3CDTF">2021-12-09T08:42:27Z</dcterms:modified>
</cp:coreProperties>
</file>