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00" w:right="4180" w:hanging="492"/>
        <w:spacing w:after="0" w:line="493" w:lineRule="auto"/>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November 3,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BUILD-A-BEAR WORKSHOP,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40" w:type="dxa"/>
            <w:vAlign w:val="bottom"/>
          </w:tcPr>
          <w:p>
            <w:pPr>
              <w:jc w:val="center"/>
              <w:ind w:right="335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40" w:type="dxa"/>
            <w:vAlign w:val="bottom"/>
          </w:tcPr>
          <w:p>
            <w:pPr>
              <w:jc w:val="right"/>
              <w:ind w:right="149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4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137160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2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486"/>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692" w:right="259" w:bottom="316"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620" w:space="100"/>
            <w:col w:w="5000" w:space="720"/>
            <w:col w:w="3960"/>
          </w:cols>
          <w:pgMar w:left="240" w:top="692" w:right="259" w:bottom="316" w:gutter="0" w:footer="0" w:header="0"/>
          <w:type w:val="continuous"/>
        </w:sectPr>
      </w:pP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720" w:space="720"/>
            <w:col w:w="3960"/>
          </w:cols>
          <w:pgMar w:left="240" w:top="692" w:right="259" w:bottom="316" w:gutter="0" w:footer="0" w:header="0"/>
          <w:type w:val="continuous"/>
        </w:sectPr>
      </w:pPr>
    </w:p>
    <w:p>
      <w:pPr>
        <w:spacing w:after="0" w:line="32" w:lineRule="exact"/>
        <w:rPr>
          <w:sz w:val="24"/>
          <w:szCs w:val="24"/>
          <w:color w:val="auto"/>
        </w:rPr>
      </w:pPr>
    </w:p>
    <w:p>
      <w:pPr>
        <w:ind w:left="500"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00"/>
        <w:spacing w:after="0" w:line="207" w:lineRule="exact"/>
        <w:tabs>
          <w:tab w:leader="none" w:pos="882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December 7, 2018, there were 14,956,224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92" w:right="259" w:bottom="316"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2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00" w:type="dxa"/>
            <w:vAlign w:val="bottom"/>
            <w:gridSpan w:val="2"/>
          </w:tcPr>
          <w:p>
            <w:pPr>
              <w:spacing w:after="0"/>
              <w:rPr>
                <w:sz w:val="20"/>
                <w:szCs w:val="20"/>
                <w:color w:val="auto"/>
              </w:rPr>
            </w:pPr>
            <w:r>
              <w:rPr>
                <w:rFonts w:ascii="Arial" w:cs="Arial" w:eastAsia="Arial" w:hAnsi="Arial"/>
                <w:sz w:val="18"/>
                <w:szCs w:val="18"/>
                <w:color w:val="auto"/>
                <w:w w:val="90"/>
              </w:rPr>
              <w:t>Page</w:t>
            </w:r>
          </w:p>
        </w:tc>
        <w:tc>
          <w:tcPr>
            <w:tcW w:w="0" w:type="dxa"/>
            <w:vAlign w:val="bottom"/>
          </w:tcPr>
          <w:p>
            <w:pPr>
              <w:spacing w:after="0"/>
              <w:rPr>
                <w:sz w:val="1"/>
                <w:szCs w:val="1"/>
                <w:color w:val="auto"/>
              </w:rPr>
            </w:pPr>
          </w:p>
        </w:tc>
      </w:tr>
      <w:tr>
        <w:trPr>
          <w:trHeight w:val="196"/>
        </w:trPr>
        <w:tc>
          <w:tcPr>
            <w:tcW w:w="11020" w:type="dxa"/>
            <w:vAlign w:val="bottom"/>
            <w:gridSpan w:val="20"/>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8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780" w:type="dxa"/>
            <w:vAlign w:val="bottom"/>
            <w:gridSpan w:val="7"/>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(Loss) and Comprehensive Income (Loss)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2760" w:type="dxa"/>
            <w:vAlign w:val="bottom"/>
            <w:tcBorders>
              <w:top w:val="single" w:sz="8" w:color="0000EE"/>
            </w:tcBorders>
            <w:gridSpan w:val="5"/>
          </w:tcPr>
          <w:p>
            <w:pPr>
              <w:spacing w:after="0"/>
              <w:rPr>
                <w:sz w:val="17"/>
                <w:szCs w:val="17"/>
                <w:color w:val="auto"/>
              </w:rPr>
            </w:pPr>
          </w:p>
        </w:tc>
        <w:tc>
          <w:tcPr>
            <w:tcW w:w="3240" w:type="dxa"/>
            <w:vAlign w:val="bottom"/>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72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80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140" w:type="dxa"/>
            <w:vAlign w:val="bottom"/>
            <w:gridSpan w:val="3"/>
          </w:tcPr>
          <w:p>
            <w:pPr>
              <w:spacing w:after="0"/>
              <w:rPr>
                <w:sz w:val="24"/>
                <w:szCs w:val="24"/>
                <w:color w:val="auto"/>
              </w:rPr>
            </w:pPr>
          </w:p>
        </w:tc>
        <w:tc>
          <w:tcPr>
            <w:tcW w:w="43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100" w:type="dxa"/>
            <w:vAlign w:val="bottom"/>
            <w:tcBorders>
              <w:top w:val="single" w:sz="8" w:color="0000EE"/>
            </w:tcBorders>
            <w:gridSpan w:val="2"/>
          </w:tcPr>
          <w:p>
            <w:pPr>
              <w:spacing w:after="0"/>
              <w:rPr>
                <w:sz w:val="24"/>
                <w:szCs w:val="24"/>
                <w:color w:val="auto"/>
              </w:rPr>
            </w:pPr>
          </w:p>
        </w:tc>
        <w:tc>
          <w:tcPr>
            <w:tcW w:w="3680" w:type="dxa"/>
            <w:vAlign w:val="bottom"/>
            <w:gridSpan w:val="2"/>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140" w:type="dxa"/>
            <w:vAlign w:val="bottom"/>
            <w:gridSpan w:val="3"/>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2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gridSpan w:val="8"/>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 xml:space="preserve">Item </w:t>
              </w:r>
            </w:hyperlink>
            <w:r>
              <w:rPr>
                <w:rFonts w:ascii="Arial" w:cs="Arial" w:eastAsia="Arial" w:hAnsi="Arial"/>
                <w:sz w:val="18"/>
                <w:szCs w:val="18"/>
                <w:color w:val="0000EE"/>
                <w:w w:val="94"/>
              </w:rPr>
              <w:t xml:space="preserve">1A.Risk </w:t>
            </w:r>
            <w:hyperlink w:anchor="page24">
              <w:r>
                <w:rPr>
                  <w:rFonts w:ascii="Arial" w:cs="Arial" w:eastAsia="Arial" w:hAnsi="Arial"/>
                  <w:sz w:val="18"/>
                  <w:szCs w:val="18"/>
                  <w:color w:val="0000EE"/>
                  <w:w w:val="94"/>
                </w:rPr>
                <w:t>Factors</w:t>
              </w:r>
            </w:hyperlink>
          </w:p>
        </w:tc>
        <w:tc>
          <w:tcPr>
            <w:tcW w:w="9200" w:type="dxa"/>
            <w:vAlign w:val="bottom"/>
            <w:gridSpan w:val="11"/>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14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3740" w:type="dxa"/>
            <w:vAlign w:val="bottom"/>
            <w:tcBorders>
              <w:top w:val="single" w:sz="8" w:color="0000EE"/>
            </w:tcBorders>
            <w:gridSpan w:val="8"/>
          </w:tcPr>
          <w:p>
            <w:pPr>
              <w:spacing w:after="0"/>
              <w:rPr>
                <w:sz w:val="24"/>
                <w:szCs w:val="24"/>
                <w:color w:val="auto"/>
              </w:rPr>
            </w:pPr>
          </w:p>
        </w:tc>
        <w:tc>
          <w:tcPr>
            <w:tcW w:w="5800" w:type="dxa"/>
            <w:vAlign w:val="bottom"/>
            <w:gridSpan w:val="5"/>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2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13"/>
          </w:tcPr>
          <w:p>
            <w:pPr>
              <w:ind w:left="47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December 30,</w:t>
            </w:r>
          </w:p>
        </w:tc>
        <w:tc>
          <w:tcPr>
            <w:tcW w:w="2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October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w w:val="97"/>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30,445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57,309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53,136</w:t>
            </w: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13,302</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16,848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13,346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95,750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110,229</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73,343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77,751</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6,783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6,381</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178,854</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197,989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184,049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5"/>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18,179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7,559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15,189</w:t>
            </w: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18,580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33,926</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revenue and other</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53,574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69,863</w:t>
            </w: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62,840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18,066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17,906</w:t>
            </w: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1,697</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ind w:left="320"/>
              <w:spacing w:after="0" w:line="201" w:lineRule="exact"/>
              <w:rPr>
                <w:sz w:val="20"/>
                <w:szCs w:val="20"/>
                <w:color w:val="auto"/>
              </w:rPr>
            </w:pPr>
            <w:r>
              <w:rPr>
                <w:rFonts w:ascii="Arial" w:cs="Arial" w:eastAsia="Arial" w:hAnsi="Arial"/>
                <w:sz w:val="18"/>
                <w:szCs w:val="18"/>
                <w:color w:val="auto"/>
                <w:w w:val="93"/>
              </w:rPr>
              <w:t>Preferred stock, par value $0.01, Shares authorized: 15,000,000; No shares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issued or outstanding at November 3, 2018, December 30, 2017 and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October 28, 2017</w:t>
            </w:r>
          </w:p>
        </w:tc>
        <w:tc>
          <w:tcPr>
            <w:tcW w:w="2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Common stock, par value $0.01, Shares authorized: 50,000,000; Issued and</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outstanding: 14,956,711, 15,515,960 and 15,917,449 shares, respectively</w:t>
            </w:r>
          </w:p>
        </w:tc>
        <w:tc>
          <w:tcPr>
            <w:tcW w:w="20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68,274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68,962</w:t>
            </w: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70,215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(12,049)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(11,562)</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47,517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49,760</w:t>
            </w: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43,132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103,892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107,315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178,854</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197,989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184,049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0"/>
                <w:szCs w:val="20"/>
                <w:color w:val="auto"/>
              </w:rPr>
            </w:pPr>
          </w:p>
        </w:tc>
        <w:tc>
          <w:tcPr>
            <w:tcW w:w="24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November 3,</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October 28,</w:t>
            </w:r>
          </w:p>
        </w:tc>
        <w:tc>
          <w:tcPr>
            <w:tcW w:w="20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65,298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74,441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227,760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International franchising</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Cost of merchandise sold - retail</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42,129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43,267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134,115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Cost of merchandise sold - international franchising</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cost of merchandise sold</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137,608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ind w:left="960"/>
              <w:spacing w:after="0"/>
              <w:rPr>
                <w:sz w:val="20"/>
                <w:szCs w:val="20"/>
                <w:color w:val="auto"/>
              </w:rPr>
            </w:pPr>
            <w:r>
              <w:rPr>
                <w:rFonts w:ascii="Arial" w:cs="Arial" w:eastAsia="Arial" w:hAnsi="Arial"/>
                <w:sz w:val="18"/>
                <w:szCs w:val="18"/>
                <w:color w:val="auto"/>
              </w:rPr>
              <w:t>Consolidated gross profit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97,448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36,196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Interest expense (income), net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Income (loss) before income taxes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income (loss)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(6,098)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(8,759)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(0.42)</w:t>
            </w: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(0.16)</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(0.51)</w:t>
            </w:r>
          </w:p>
        </w:tc>
        <w:tc>
          <w:tcPr>
            <w:tcW w:w="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14,590,614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15,599,675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14,597,255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15,602,498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14,590,614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15,599,675</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14,597,255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15,780,253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w w:val="98"/>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operating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(7,510)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12,186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Asset impairment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taxes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Provision for doubtful accounts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(Gain) Loss on disposal of property and equipment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Change in assets and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Receivables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(4,116)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(6,230)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Lease related liabilities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Gift cards and customer deposits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(8,955)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(8,853)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Proceeds from property insurance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provided by (used in) financing activities:</w:t>
            </w: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Borrowings under line of credit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made under capital leases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Purchases of Company's common stock</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(1,927)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21,499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paid during the period for income taxes</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30, 2017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30, 2017, which were included in the Company’s Annual Report on Form 10-K filed with the SEC on March 15, 2018. Certain amounts in prior fiscal periods have been reclassified to conform with the presentation adopted in the current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Fiscal Year</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January 2018, the Company's Board of Directors approved a change in the Company’s fiscal year-end, which previously ended on the Saturday closest to December 31, to the Saturday closest to January 31. This change was effective following the end of the Company's 2017 fiscal year. The first 12-month fiscal year under the new calendar will encompass February 4, 2018 through February 2, 2019. Recast historical unaudited financial information for the thirteen and thirty-nine weeks ended October 28, 2017 is included in the consolidated financial statements and accompanying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 in the current year</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August 2018, the Financial Accounting Standards Board ("FASB") issued Accounting Standards Update (“ASU”) 2018-15, Intangibles-Goodwill and Other-Internal-Use Software (Subtopic 350-40). This standard amends the existing guidance to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During the thirteen weeks ended November 3, 2018, the Company adopted this standard and it did not have a material impact on the condensed consolidated financial statements.</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March 2018, the FASB issued ASU 2018-05, Income Taxes (Topic 740)—Amendments to SEC Paragraphs Pursuant to SEC Staff Accounting Bulletin No. 118, that codified SEC Staff Accounting Bulletin (“SAB”) No. 118, as it relates to allowing for recognition of provisional amounts related to the U.S. Tax Cuts and Jobs Act (“TCJA”) in the event that the accounting is not complete and a reasonable estimate can be made. Where necessary information is not available, prepared, or analyzed to determine a reasonable estimate, no provisional amount should be recorded. The guidance allows for a measurement period of up to one year from the enactment date to finalize the accounting related to the TCJA. The Company has applied the guidance in this update to its financial statements for the thirty-nine weeks ended November 3, 2018 and will finalize and record any adjustments related to the TCJA within the one year measurement period.</w:t>
      </w:r>
    </w:p>
    <w:p>
      <w:pPr>
        <w:spacing w:after="0" w:line="18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Effective December 31, 2017, the Company adopted Accounting Standards Codification (“ASC”) 606, Revenue from Contracts with Customers, and all the related amendments using the modified retrospective method for contracts that were not completed as of December 31, 2017. ASC 606 requires an entity to recognize revenue for the transfer of goods or services equal to the amount that it expects to be entitled to receive for those goods or services. The standard also requires additional disclosure about the nature, amount, timing and uncertainty of revenue and cash flows arising from customer contracts, including significant judgments and changes in judgments. Nearly all of the Company’s revenue is derived from retail sales (including e-commerce sites) and is recognized when control of the merchandise is transferred to the customer.</w:t>
      </w:r>
    </w:p>
    <w:p>
      <w:pPr>
        <w:spacing w:after="0" w:line="17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Company’s most significant ASC 606 impact relates to accounting for gift card breakage. The Company's adjustment for gift card breakage reflects the impact of the change to recognize gift card breakage proportionately as gift card balances are used rather than when it is deemed remote that the unused gift card balance would be redeemed, as done for certain categories of gift cards under the previous standards. In addition, the Company has identified minor changes to the timing of revenues for certain outbound licensing arrangements and international franchise agreements.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As a result of this change, the Company expects a negative impact to revenue and pre-tax income of $3.9 million in fiscal 2018 with the remaining balance of the cumulative effect adjustment predominantly impacting fiscal years 2019 and 2020. The comparative historical financial information has not been restated and continues to be reported under the accounting standards in effect for those periods. As a result of applying the modified retrospective method to transition to ASC 606, the following adjustments were made to the consolidated balance sheet as of December 31, 2017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Balance as of</w:t>
            </w: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Balance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30,</w:t>
            </w: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due 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ASC 606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13,346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assets</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tcPr>
          <w:p>
            <w:pPr>
              <w:spacing w:after="0" w:line="256"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15,189</w:t>
            </w:r>
          </w:p>
        </w:tc>
        <w:tc>
          <w:tcPr>
            <w:tcW w:w="160" w:type="dxa"/>
            <w:vAlign w:val="bottom"/>
          </w:tcPr>
          <w:p>
            <w:pPr>
              <w:spacing w:after="0"/>
              <w:rPr>
                <w:sz w:val="22"/>
                <w:szCs w:val="22"/>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Gift cards and customer deposits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33,926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49,760</w:t>
            </w: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9,253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Adjustment: liabilities and 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 The impact on the balances due to the adoption of ASC 606 includes income tax payable.</w:t>
      </w:r>
    </w:p>
    <w:p>
      <w:pPr>
        <w:spacing w:after="0" w:line="225"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following tables reflect the impact of adoption of ASC 606 for select accounts on the Company’s condensed consolidated statement of income for the thirteen and thirty-nine weeks ended November 3, 2018 and its condensed consolidated balance sheet as of November 3, 2018 and the amounts as if the previous standards were in effect (“Without Adoption of ASC 606”)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14"/>
          </w:tcPr>
          <w:p>
            <w:pPr>
              <w:jc w:val="center"/>
              <w:ind w:right="100"/>
              <w:spacing w:after="0"/>
              <w:rPr>
                <w:sz w:val="20"/>
                <w:szCs w:val="20"/>
                <w:color w:val="auto"/>
              </w:rPr>
            </w:pPr>
            <w:r>
              <w:rPr>
                <w:rFonts w:ascii="Arial" w:cs="Arial" w:eastAsia="Arial" w:hAnsi="Arial"/>
                <w:sz w:val="18"/>
                <w:szCs w:val="18"/>
                <w:b w:val="1"/>
                <w:bCs w:val="1"/>
                <w:color w:val="auto"/>
                <w:w w:val="90"/>
              </w:rPr>
              <w:t>For the thirty-nine weeks ended November 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gridSpan w:val="10"/>
          </w:tcPr>
          <w:p>
            <w:pPr>
              <w:jc w:val="center"/>
              <w:ind w:right="220"/>
              <w:spacing w:after="0"/>
              <w:rPr>
                <w:sz w:val="20"/>
                <w:szCs w:val="20"/>
                <w:color w:val="auto"/>
              </w:rPr>
            </w:pPr>
            <w:r>
              <w:rPr>
                <w:rFonts w:ascii="Arial" w:cs="Arial" w:eastAsia="Arial" w:hAnsi="Arial"/>
                <w:sz w:val="18"/>
                <w:szCs w:val="18"/>
                <w:b w:val="1"/>
                <w:bCs w:val="1"/>
                <w:color w:val="auto"/>
                <w:w w:val="89"/>
              </w:rPr>
              <w:t>For the thirteen weeks ended November 3, 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5"/>
              </w:rPr>
              <w:t>Without</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5"/>
              </w:rPr>
              <w:t>Without</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adoption of</w:t>
            </w:r>
          </w:p>
        </w:tc>
        <w:tc>
          <w:tcPr>
            <w:tcW w:w="18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Effect of</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adoption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Effect of</w:t>
            </w:r>
          </w:p>
        </w:tc>
        <w:tc>
          <w:tcPr>
            <w:tcW w:w="0" w:type="dxa"/>
            <w:vAlign w:val="bottom"/>
          </w:tcPr>
          <w:p>
            <w:pPr>
              <w:spacing w:after="0"/>
              <w:rPr>
                <w:sz w:val="1"/>
                <w:szCs w:val="1"/>
                <w:color w:val="auto"/>
              </w:rPr>
            </w:pPr>
          </w:p>
        </w:tc>
      </w:t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Income Statement</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Reported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ASC 606</w:t>
            </w:r>
          </w:p>
        </w:tc>
        <w:tc>
          <w:tcPr>
            <w:tcW w:w="180" w:type="dxa"/>
            <w:vAlign w:val="bottom"/>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5"/>
              </w:rPr>
              <w:t>As Reported</w:t>
            </w:r>
          </w:p>
        </w:tc>
        <w:tc>
          <w:tcPr>
            <w:tcW w:w="1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ASC 606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Net retail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65,298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66,039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(741)</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227,760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229,842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revenue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4,245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International franchising</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1,225</w:t>
            </w:r>
          </w:p>
        </w:tc>
        <w:tc>
          <w:tcPr>
            <w:tcW w:w="1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3,051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68,694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69,435</w:t>
            </w:r>
          </w:p>
        </w:tc>
        <w:tc>
          <w:tcPr>
            <w:tcW w:w="18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235,056</w:t>
            </w:r>
          </w:p>
        </w:tc>
        <w:tc>
          <w:tcPr>
            <w:tcW w:w="12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237,138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(3,637)</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(4,381)</w:t>
            </w:r>
          </w:p>
        </w:tc>
        <w:tc>
          <w:tcPr>
            <w:tcW w:w="1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(3,614)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(6,064)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(5,614)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(450)</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(7,510)</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(6,195)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w w:val="90"/>
              </w:rPr>
              <w:t>November 3, 2018</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Without adoption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Balance Sheet</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Pr>
          <w:p>
            <w:pPr>
              <w:spacing w:after="0"/>
              <w:rPr>
                <w:sz w:val="20"/>
                <w:szCs w:val="20"/>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of ASC 606</w:t>
            </w:r>
          </w:p>
        </w:tc>
        <w:tc>
          <w:tcPr>
            <w:tcW w:w="15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5"/>
              </w:rPr>
              <w:t>Effect of Change</w:t>
            </w:r>
          </w:p>
        </w:tc>
        <w:tc>
          <w:tcPr>
            <w:tcW w:w="0" w:type="dxa"/>
            <w:vAlign w:val="bottom"/>
          </w:tcPr>
          <w:p>
            <w:pPr>
              <w:spacing w:after="0"/>
              <w:rPr>
                <w:sz w:val="1"/>
                <w:szCs w:val="1"/>
                <w:color w:val="auto"/>
              </w:rPr>
            </w:pPr>
          </w:p>
        </w:tc>
      </w:tr>
      <w:tr>
        <w:trPr>
          <w:trHeight w:val="210"/>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7,559</w:t>
            </w:r>
          </w:p>
        </w:tc>
        <w:tc>
          <w:tcPr>
            <w:tcW w:w="6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Gift cards and customer deposits </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18,580</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28,795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Retained earnings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47,517</w:t>
            </w: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16"/>
        </w:trPr>
        <w:tc>
          <w:tcPr>
            <w:tcW w:w="4640" w:type="dxa"/>
            <w:vAlign w:val="bottom"/>
            <w:gridSpan w:val="6"/>
          </w:tcPr>
          <w:p>
            <w:pPr>
              <w:spacing w:after="0"/>
              <w:rPr>
                <w:sz w:val="20"/>
                <w:szCs w:val="20"/>
                <w:color w:val="auto"/>
              </w:rPr>
            </w:pPr>
            <w:r>
              <w:rPr>
                <w:rFonts w:ascii="Arial" w:cs="Arial" w:eastAsia="Arial" w:hAnsi="Arial"/>
                <w:sz w:val="18"/>
                <w:szCs w:val="18"/>
                <w:color w:val="auto"/>
                <w:w w:val="99"/>
              </w:rPr>
              <w:t>Net effect of Change in Liabilities and 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The impact on the balances without adoption of ASC 606 includes the activity for the thirty-nine weeks ended November 3, 2018, and the December 31, 2017 adjustment.</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impact of adoption of ASC 606 on the Company's condensed consolidated statement of cash flows from operating activities for the thirteen and thirty-nine weeks ended November 3, 2018 was not significant.</w:t>
      </w:r>
    </w:p>
    <w:p>
      <w:pPr>
        <w:sectPr>
          <w:pgSz w:w="11900" w:h="16838" w:orient="portrait"/>
          <w:cols w:equalWidth="0" w:num="1">
            <w:col w:w="11420"/>
          </w:cols>
          <w:pgMar w:left="240" w:top="118" w:right="239" w:bottom="105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50" w:gutter="0" w:footer="0" w:header="0"/>
          <w:type w:val="continuous"/>
        </w:sectPr>
      </w:pPr>
    </w:p>
    <w:bookmarkStart w:id="7" w:name="page8"/>
    <w:bookmarkEnd w:id="7"/>
    <w:p>
      <w:pPr>
        <w:spacing w:after="0" w:line="62"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February 2016, the FASB issued Accounting Standards Update (“ASU”) No. 2016-02, Leases (ASU 2016-02), which will replace most existing lease accounting guidance in U.S. GAAP. The core principle of the ASU is that an entity should recognize the rights and obligations resulting from leases as assets and liabilities. ASU 2016-02 will be effective for the Company beginning in fiscal 2019. In 2017, the Company established a cross-functional team to use a detailed approach to assess the impact of the new standard. The Company is in the process of implementing new lease accounting software to assess the portfolio of leases, assist in the quantification of the expected impact on the consolidated balance sheet and to facilitate the calculations of the related accounting entries and disclosures. Lease data, required for lease accounting, has been extracted and loaded into the software solution. While the Company has not yet completed its evaluation of the impact the new lease accounting guidance will have on its consolidated financial statements, the</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Company expects the new standard to have a material impact on the consolidated balance sheet with the addition of significant right-of-use assets and related liabilities because the Company's retail location leases are currently deemed to be operating leases.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Nearly all of the Company’s revenue is derived from retail sales (including e-commerce sites) and is recognized when control of the merchandise is transferred to the customer. The Company accounts for revenue in accordance with ASC 606 which was adopted December 31, 2017 (See Note 1— Basis of Presentation and Note 7 — Stockholder's Equity for additional information). The Company's disaggregated revenue is fully disclosed as net sales to external customers by reporting segment and by geographic area (See Note 10 — Segment Information for additional information). The Company's direct-to-consumer reporting segment represents nearly 97% of consolidated revenue. The majority of these sales transactions are single performance obligations that are recorded when control is transferred to the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delivery to the customer. Revenue is measured as the amount of consideration, including any discounts or incentives, the Company expects to receive in exchange for transferring the merchandise. Product returns have historically averaged less than one-tenth of one percent due to the interactive nature of sales, where consumers customize their own stuffed animal. The Company has elected to exclude from revenue all collected sales, value add and other taxes paid by its customers.</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Company’s gift cards, revenue is deferred for single transactions until redemption including any related gift card discounts.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regards to the consolidated balance sheet, contract liabilities for gift cards are classified as gift cards and customer deposits.</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78"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the consolidated balance sheet. Revenue from merchandise and fixture sales is recognized when control is transferred to the franchisee which generally occurs upon delivery to the customer.</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Prepaid Expenses and Other Current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28,</w:t>
            </w:r>
          </w:p>
        </w:tc>
      </w:tr>
      <w:tr>
        <w:trPr>
          <w:trHeight w:val="234"/>
        </w:trPr>
        <w:tc>
          <w:tcPr>
            <w:tcW w:w="6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Prepaid occupancy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r>
      <w:tr>
        <w:trPr>
          <w:trHeight w:val="239"/>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3,315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871</w:t>
            </w:r>
          </w:p>
        </w:tc>
      </w:tr>
    </w:tbl>
    <w:p>
      <w:pPr>
        <w:sectPr>
          <w:pgSz w:w="11900" w:h="16900" w:orient="portrait"/>
          <w:cols w:equalWidth="0" w:num="1">
            <w:col w:w="11420"/>
          </w:cols>
          <w:pgMar w:left="240" w:top="118"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w:t>
            </w:r>
          </w:p>
        </w:tc>
      </w:tr>
      <w:tr>
        <w:trPr>
          <w:trHeight w:val="20"/>
        </w:trPr>
        <w:tc>
          <w:tcPr>
            <w:tcW w:w="64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tcPr>
          <w:p>
            <w:pPr>
              <w:ind w:left="34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16,848</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13,346</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9,102</w:t>
            </w:r>
          </w:p>
        </w:tc>
      </w:tr>
      <w:tr>
        <w:trPr>
          <w:trHeight w:val="20"/>
        </w:trPr>
        <w:tc>
          <w:tcPr>
            <w:tcW w:w="6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November 3, 2018, prepaid income taxes reflect the impact of seasonality on the timing of income tax payments as well as the payments related to the one fiscal month transition period for the change in fiscal year.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4. Accrued Expenses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0" w:type="dxa"/>
            <w:vAlign w:val="bottom"/>
          </w:tcPr>
          <w:p>
            <w:pPr>
              <w:ind w:left="500"/>
              <w:spacing w:after="0"/>
              <w:rPr>
                <w:sz w:val="20"/>
                <w:szCs w:val="20"/>
                <w:color w:val="auto"/>
              </w:rPr>
            </w:pPr>
            <w:r>
              <w:rPr>
                <w:rFonts w:ascii="Arial" w:cs="Arial" w:eastAsia="Arial" w:hAnsi="Arial"/>
                <w:sz w:val="18"/>
                <w:szCs w:val="18"/>
                <w:color w:val="auto"/>
              </w:rPr>
              <w:t>Accrued expenses consist of the following (in thousands):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October 28,</w:t>
            </w:r>
          </w:p>
        </w:tc>
      </w:tr>
      <w:tr>
        <w:trPr>
          <w:trHeight w:val="234"/>
        </w:trPr>
        <w:tc>
          <w:tcPr>
            <w:tcW w:w="6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Sales tax payable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6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12,839</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On March 14, 2017, the Company’s Board of Directors (the Board) adopted, subject to stockholder approval, the Build-A-Bear Workshop, Inc. 2017 Omnibus Incentive Plan (the Incentive Plan). On May 11, 2017, at the Company’s 2017 Annual Meeting of Stockholders, the Company’s stockholders approved the Incentive Plan. The Incentive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Incentive Plan. The Board may amend, modify or terminate the Incentive Plan at any time, except as otherwise provided in the Incentive Plan. The Incentive Plan will terminate on March 14, 2027, unless earlier terminated by the Board. The number of shares of the Company’s common stock authorized for issuance under the Incentive Plan is 1,000,000, plus shares of stock subject to outstanding awards made under the Company’s Third Amended and Restated 2004 Stock Incentive Plan that on or after March 21, 2017 may be forfeited, expire or be settled for cash.</w:t>
      </w:r>
    </w:p>
    <w:p>
      <w:pPr>
        <w:spacing w:after="0" w:line="19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For the thirteen and thirty-nine weeks ended November 3, 2018, selling, general and administrative expense includes $0.9 million and $2.6 million, respectively, of stock-based compensation expense. For the thirteen and thirty-nine weeks ended October 28, 2017, selling, general and administrative expense includes $0.8 million and $2.8 million, respectively, of stock-based compensation expense. As of November 3, 2018, there was $3.9 million of total unrecognized compensation expense related to unvested restricted stock and option awards which is expected to be recognized over a weighted-average period of 1.4 years.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the balances and activity for stock options for the thirty-nine weeks ended November 3,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Options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8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8120" w:type="dxa"/>
            <w:vAlign w:val="bottom"/>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4, 2018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791,567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213,687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Outstanding, November 3, 2018</w:t>
            </w:r>
          </w:p>
        </w:tc>
        <w:tc>
          <w:tcPr>
            <w:tcW w:w="1500" w:type="dxa"/>
            <w:vAlign w:val="bottom"/>
          </w:tcPr>
          <w:p>
            <w:pPr>
              <w:jc w:val="right"/>
              <w:spacing w:after="0"/>
              <w:rPr>
                <w:sz w:val="20"/>
                <w:szCs w:val="20"/>
                <w:color w:val="auto"/>
              </w:rPr>
            </w:pPr>
            <w:r>
              <w:rPr>
                <w:rFonts w:ascii="Arial" w:cs="Arial" w:eastAsia="Arial" w:hAnsi="Arial"/>
                <w:sz w:val="18"/>
                <w:szCs w:val="18"/>
                <w:color w:val="auto"/>
              </w:rPr>
              <w:t>952,214</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r>
      <w:tr>
        <w:trPr>
          <w:trHeight w:val="20"/>
        </w:trPr>
        <w:tc>
          <w:tcPr>
            <w:tcW w:w="8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The following table is a summary of the balances and activity related to time-based and performance-based restricted stock for the thirty-nine weeks ended November 3,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740" w:type="dxa"/>
            <w:vAlign w:val="bottom"/>
            <w:gridSpan w:val="6"/>
          </w:tcPr>
          <w:p>
            <w:pPr>
              <w:ind w:left="620"/>
              <w:spacing w:after="0"/>
              <w:rPr>
                <w:sz w:val="20"/>
                <w:szCs w:val="20"/>
                <w:color w:val="auto"/>
              </w:rPr>
            </w:pPr>
            <w:r>
              <w:rPr>
                <w:rFonts w:ascii="Arial" w:cs="Arial" w:eastAsia="Arial" w:hAnsi="Arial"/>
                <w:sz w:val="18"/>
                <w:szCs w:val="18"/>
                <w:b w:val="1"/>
                <w:bCs w:val="1"/>
                <w:color w:val="auto"/>
              </w:rPr>
              <w:t>Restricted Stock</w:t>
            </w:r>
          </w:p>
        </w:tc>
        <w:tc>
          <w:tcPr>
            <w:tcW w:w="2600" w:type="dxa"/>
            <w:vAlign w:val="bottom"/>
            <w:gridSpan w:val="6"/>
          </w:tcPr>
          <w:p>
            <w:pPr>
              <w:ind w:left="460"/>
              <w:spacing w:after="0"/>
              <w:rPr>
                <w:sz w:val="20"/>
                <w:szCs w:val="20"/>
                <w:color w:val="auto"/>
              </w:rPr>
            </w:pPr>
            <w:r>
              <w:rPr>
                <w:rFonts w:ascii="Arial" w:cs="Arial" w:eastAsia="Arial" w:hAnsi="Arial"/>
                <w:sz w:val="18"/>
                <w:szCs w:val="18"/>
                <w:b w:val="1"/>
                <w:bCs w:val="1"/>
                <w:color w:val="auto"/>
              </w:rPr>
              <w:t>Performance Shares</w:t>
            </w:r>
          </w:p>
        </w:tc>
      </w:tr>
      <w:tr>
        <w:trPr>
          <w:trHeight w:val="191"/>
        </w:trPr>
        <w:tc>
          <w:tcPr>
            <w:tcW w:w="60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08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4,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357,412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289,615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205,434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8.67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83,256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(177,960)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13.64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r>
      <w:tr>
        <w:trPr>
          <w:trHeight w:val="20"/>
        </w:trPr>
        <w:tc>
          <w:tcPr>
            <w:tcW w:w="60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Outstanding, November 3, 2018</w:t>
            </w:r>
          </w:p>
        </w:tc>
        <w:tc>
          <w:tcPr>
            <w:tcW w:w="1160" w:type="dxa"/>
            <w:vAlign w:val="bottom"/>
          </w:tcPr>
          <w:p>
            <w:pPr>
              <w:jc w:val="right"/>
              <w:spacing w:after="0"/>
              <w:rPr>
                <w:sz w:val="20"/>
                <w:szCs w:val="20"/>
                <w:color w:val="auto"/>
              </w:rPr>
            </w:pPr>
            <w:r>
              <w:rPr>
                <w:rFonts w:ascii="Arial" w:cs="Arial" w:eastAsia="Arial" w:hAnsi="Arial"/>
                <w:sz w:val="18"/>
                <w:szCs w:val="18"/>
                <w:color w:val="auto"/>
              </w:rPr>
              <w:t>383,495</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9.33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315,268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r>
      <w:tr>
        <w:trPr>
          <w:trHeight w:val="20"/>
        </w:trPr>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total fair value of shares vested during the thirty-nine weeks ended November 3, 2018 and October 28, 2017 was $2.2 million and $2.3 million, respectively.</w:t>
      </w:r>
    </w:p>
    <w:p>
      <w:pPr>
        <w:spacing w:after="0" w:line="170" w:lineRule="exact"/>
        <w:rPr>
          <w:sz w:val="20"/>
          <w:szCs w:val="20"/>
          <w:color w:val="auto"/>
        </w:rPr>
      </w:pPr>
    </w:p>
    <w:p>
      <w:pPr>
        <w:jc w:val="both"/>
        <w:ind w:right="20" w:firstLine="324"/>
        <w:spacing w:after="0" w:line="273" w:lineRule="auto"/>
        <w:rPr>
          <w:sz w:val="20"/>
          <w:szCs w:val="20"/>
          <w:color w:val="auto"/>
        </w:rPr>
      </w:pPr>
      <w:r>
        <w:rPr>
          <w:rFonts w:ascii="Arial" w:cs="Arial" w:eastAsia="Arial" w:hAnsi="Arial"/>
          <w:sz w:val="17"/>
          <w:szCs w:val="17"/>
          <w:color w:val="auto"/>
        </w:rPr>
        <w:t>In March 2018, the Company awarded three-year performance-based restricted stock subject to the achievement of pre-established consolidated total pre-tax income growth objectives for fiscal 2018, 2019 and 2020. In addition, the Company awarded three-year performance-based restricted stock subject to the achievement of pre-established consolidated revenue growth objectives for fiscal 2018, 2019 and 2020. These shares have a payout opportunity ranging from 25% to 200% of the target number of shares. In 2017, the Company awarded three-year performance-based restricted stock subject to the achievement of pre-established pre-tax income growth objectives for 2017, 2018 and 2019. In 2016, the Company awarded three-year performance-based restricted stock subject to the achievement of pre-established cumulative total revenue goals for fiscal 2016, 2017 and 2018.</w:t>
      </w:r>
    </w:p>
    <w:p>
      <w:pPr>
        <w:sectPr>
          <w:pgSz w:w="11900" w:h="16838" w:orient="portrait"/>
          <w:cols w:equalWidth="0" w:num="1">
            <w:col w:w="11420"/>
          </w:cols>
          <w:pgMar w:left="240" w:top="118" w:right="239" w:bottom="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0" w:name="page11"/>
    <w:bookmarkEnd w:id="10"/>
    <w:p>
      <w:pPr>
        <w:ind w:left="2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20" w:type="dxa"/>
            <w:vAlign w:val="bottom"/>
            <w:gridSpan w:val="2"/>
          </w:tcPr>
          <w:p>
            <w:pPr>
              <w:ind w:left="320"/>
              <w:spacing w:after="0"/>
              <w:rPr>
                <w:sz w:val="20"/>
                <w:szCs w:val="20"/>
                <w:color w:val="auto"/>
              </w:rPr>
            </w:pPr>
            <w:r>
              <w:rPr>
                <w:rFonts w:ascii="Arial" w:cs="Arial" w:eastAsia="Arial" w:hAnsi="Arial"/>
                <w:sz w:val="18"/>
                <w:szCs w:val="18"/>
                <w:color w:val="auto"/>
              </w:rPr>
              <w:t>The outstanding performance shares as of November 3, 2018 consist of the following:</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89"/>
              </w:rPr>
              <w:t>2016</w:t>
            </w:r>
          </w:p>
        </w:tc>
        <w:tc>
          <w:tcPr>
            <w:tcW w:w="9120" w:type="dxa"/>
            <w:vAlign w:val="bottom"/>
          </w:tcPr>
          <w:p>
            <w:pPr>
              <w:ind w:left="20"/>
              <w:spacing w:after="0"/>
              <w:rPr>
                <w:sz w:val="20"/>
                <w:szCs w:val="20"/>
                <w:color w:val="auto"/>
              </w:rPr>
            </w:pPr>
            <w:r>
              <w:rPr>
                <w:rFonts w:ascii="Arial" w:cs="Arial" w:eastAsia="Arial" w:hAnsi="Arial"/>
                <w:sz w:val="18"/>
                <w:szCs w:val="18"/>
                <w:color w:val="auto"/>
              </w:rPr>
              <w:t>- 2018 consolidated cumulative total revenues</w:t>
            </w:r>
          </w:p>
        </w:tc>
        <w:tc>
          <w:tcPr>
            <w:tcW w:w="1480" w:type="dxa"/>
            <w:vAlign w:val="bottom"/>
          </w:tcPr>
          <w:p>
            <w:pPr>
              <w:jc w:val="right"/>
              <w:spacing w:after="0"/>
              <w:rPr>
                <w:sz w:val="20"/>
                <w:szCs w:val="20"/>
                <w:color w:val="auto"/>
              </w:rPr>
            </w:pPr>
            <w:r>
              <w:rPr>
                <w:rFonts w:ascii="Arial" w:cs="Arial" w:eastAsia="Arial" w:hAnsi="Arial"/>
                <w:sz w:val="18"/>
                <w:szCs w:val="18"/>
                <w:color w:val="auto"/>
              </w:rPr>
              <w:t>148,115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2017</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- 2019 consolidated pre-tax income growth objectives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ind w:left="320"/>
              <w:spacing w:after="0"/>
              <w:rPr>
                <w:sz w:val="20"/>
                <w:szCs w:val="20"/>
                <w:color w:val="auto"/>
              </w:rPr>
            </w:pPr>
            <w:r>
              <w:rPr>
                <w:rFonts w:ascii="Arial" w:cs="Arial" w:eastAsia="Arial" w:hAnsi="Arial"/>
                <w:sz w:val="18"/>
                <w:szCs w:val="18"/>
                <w:color w:val="auto"/>
                <w:w w:val="89"/>
              </w:rPr>
              <w:t>2018</w:t>
            </w:r>
          </w:p>
        </w:tc>
        <w:tc>
          <w:tcPr>
            <w:tcW w:w="9120" w:type="dxa"/>
            <w:vAlign w:val="bottom"/>
          </w:tcPr>
          <w:p>
            <w:pPr>
              <w:ind w:left="20"/>
              <w:spacing w:after="0"/>
              <w:rPr>
                <w:sz w:val="20"/>
                <w:szCs w:val="20"/>
                <w:color w:val="auto"/>
              </w:rPr>
            </w:pPr>
            <w:r>
              <w:rPr>
                <w:rFonts w:ascii="Arial" w:cs="Arial" w:eastAsia="Arial" w:hAnsi="Arial"/>
                <w:sz w:val="18"/>
                <w:szCs w:val="18"/>
                <w:color w:val="auto"/>
              </w:rPr>
              <w:t>- 2020 consolidated total revenue growth objectives</w:t>
            </w:r>
          </w:p>
        </w:tc>
        <w:tc>
          <w:tcPr>
            <w:tcW w:w="1480" w:type="dxa"/>
            <w:vAlign w:val="bottom"/>
          </w:tcPr>
          <w:p>
            <w:pPr>
              <w:jc w:val="right"/>
              <w:spacing w:after="0"/>
              <w:rPr>
                <w:sz w:val="20"/>
                <w:szCs w:val="20"/>
                <w:color w:val="auto"/>
              </w:rPr>
            </w:pPr>
            <w:r>
              <w:rPr>
                <w:rFonts w:ascii="Arial" w:cs="Arial" w:eastAsia="Arial" w:hAnsi="Arial"/>
                <w:sz w:val="18"/>
                <w:szCs w:val="18"/>
                <w:color w:val="auto"/>
              </w:rPr>
              <w:t>20,756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89"/>
              </w:rPr>
              <w:t>2018</w:t>
            </w: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- 2020 consolidated pre-tax income growth objectives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40" w:type="dxa"/>
            <w:vAlign w:val="bottom"/>
            <w:gridSpan w:val="3"/>
          </w:tcPr>
          <w:p>
            <w:pPr>
              <w:spacing w:after="0"/>
              <w:rPr>
                <w:sz w:val="20"/>
                <w:szCs w:val="20"/>
                <w:color w:val="auto"/>
              </w:rPr>
            </w:pPr>
            <w:r>
              <w:rPr>
                <w:rFonts w:ascii="Arial" w:cs="Arial" w:eastAsia="Arial" w:hAnsi="Arial"/>
                <w:sz w:val="18"/>
                <w:szCs w:val="18"/>
                <w:color w:val="auto"/>
              </w:rPr>
              <w:t>Performance shares outstanding, November 3,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The effective tax rate was 39.3% and 36.8% for the thirteen and thirty-nine weeks ended November 3, 2018, respectively, compared to 34.8% and</w:t>
      </w:r>
    </w:p>
    <w:p>
      <w:pPr>
        <w:spacing w:after="0" w:line="3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61.9% for the thirteen and thirty-nine weeks ended October 28, 2017, respectively. The 2018 effective tax differed from the statutory rate of 21% primarily due to the jurisdictional mix of earnings. The fiscal 2017 effective tax rate differed from the statutory rate of 34% primarily due to the effect of discrete tax items.</w:t>
      </w:r>
    </w:p>
    <w:p>
      <w:pPr>
        <w:spacing w:after="0" w:line="190" w:lineRule="exact"/>
        <w:rPr>
          <w:sz w:val="20"/>
          <w:szCs w:val="20"/>
          <w:color w:val="auto"/>
        </w:rPr>
      </w:pPr>
    </w:p>
    <w:p>
      <w:pPr>
        <w:ind w:left="20" w:right="140" w:firstLine="331"/>
        <w:spacing w:after="0" w:line="289" w:lineRule="auto"/>
        <w:rPr>
          <w:sz w:val="20"/>
          <w:szCs w:val="20"/>
          <w:color w:val="auto"/>
        </w:rPr>
      </w:pPr>
      <w:r>
        <w:rPr>
          <w:rFonts w:ascii="Arial" w:cs="Arial" w:eastAsia="Arial" w:hAnsi="Arial"/>
          <w:sz w:val="16"/>
          <w:szCs w:val="16"/>
          <w:color w:val="auto"/>
        </w:rPr>
        <w:t>On December 22, 2017, the Tax Cuts and Job Act (“Tax Reform Act”) was enacted, which significantly changes U.S. tax law effective by, among other things, lowering the maximum corporate income tax statutory rate from 35% to 21%, implementing a territorial tax system and imposing a repatriation tax on deemed repatriated earnings of foreign subsidiaries. The Tax Reform Act was effective as of January 1, 2018. The Company recorded a provisional tax charge of $1.4 million for the re-measurement of its U.S. net deferred tax assets in fiscal 2017 but it does not anticipate a significant charge for the one-time transition tax on the deemed repatriation of foreign earnings. The Global Intangible Low-Taxed Income (“GILTI”) provisions of the Tax Reform Act require a company to include in its U.S. income tax return foreign subsidiary earnings in excess of an allowable return on the foreign subsidiary’s tangible assets. The Base-Eroding Anti-abuse Tax (“BEAT”) provisions of the Tax Reform Act assess tax on certain payments made by a U.S. company to a related foreign company. The Company does not expect the incremental tax charge due to GILTI or BEAT to be significant. In accordance with SAB 118 and ASU 2018-05, the financial reporting impact of the Tax Reform Act is expected to be completed in the fourth quarter of fiscal 2018.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left="20" w:right="220" w:firstLine="324"/>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thirteen and thirty-nine week periods ended November 3, 2018 and October 28, 2017:</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80" w:type="dxa"/>
            <w:vAlign w:val="bottom"/>
            <w:gridSpan w:val="13"/>
          </w:tcPr>
          <w:p>
            <w:pPr>
              <w:jc w:val="right"/>
              <w:ind w:right="780"/>
              <w:spacing w:after="0"/>
              <w:rPr>
                <w:sz w:val="20"/>
                <w:szCs w:val="20"/>
                <w:color w:val="auto"/>
              </w:rPr>
            </w:pPr>
            <w:r>
              <w:rPr>
                <w:rFonts w:ascii="Arial" w:cs="Arial" w:eastAsia="Arial" w:hAnsi="Arial"/>
                <w:sz w:val="18"/>
                <w:szCs w:val="18"/>
                <w:b w:val="1"/>
                <w:bCs w:val="1"/>
                <w:color w:val="auto"/>
                <w:w w:val="95"/>
              </w:rPr>
              <w:t>For the thirteen weeks ended November 3, 2018</w:t>
            </w:r>
          </w:p>
        </w:tc>
        <w:tc>
          <w:tcPr>
            <w:tcW w:w="120" w:type="dxa"/>
            <w:vAlign w:val="bottom"/>
          </w:tcPr>
          <w:p>
            <w:pPr>
              <w:spacing w:after="0"/>
              <w:rPr>
                <w:sz w:val="20"/>
                <w:szCs w:val="20"/>
                <w:color w:val="auto"/>
              </w:rPr>
            </w:pPr>
          </w:p>
        </w:tc>
        <w:tc>
          <w:tcPr>
            <w:tcW w:w="4300" w:type="dxa"/>
            <w:vAlign w:val="bottom"/>
            <w:gridSpan w:val="12"/>
          </w:tcPr>
          <w:p>
            <w:pPr>
              <w:jc w:val="center"/>
              <w:ind w:right="240"/>
              <w:spacing w:after="0"/>
              <w:rPr>
                <w:sz w:val="20"/>
                <w:szCs w:val="20"/>
                <w:color w:val="auto"/>
              </w:rPr>
            </w:pPr>
            <w:r>
              <w:rPr>
                <w:rFonts w:ascii="Arial" w:cs="Arial" w:eastAsia="Arial" w:hAnsi="Arial"/>
                <w:sz w:val="18"/>
                <w:szCs w:val="18"/>
                <w:b w:val="1"/>
                <w:bCs w:val="1"/>
                <w:color w:val="auto"/>
                <w:w w:val="89"/>
              </w:rPr>
              <w:t>For the thirteen weeks ended October 28, 2017</w:t>
            </w:r>
          </w:p>
        </w:tc>
        <w:tc>
          <w:tcPr>
            <w:tcW w:w="0" w:type="dxa"/>
            <w:vAlign w:val="bottom"/>
          </w:tcPr>
          <w:p>
            <w:pPr>
              <w:spacing w:after="0"/>
              <w:rPr>
                <w:sz w:val="1"/>
                <w:szCs w:val="1"/>
                <w:color w:val="auto"/>
              </w:rPr>
            </w:pPr>
          </w:p>
        </w:tc>
      </w:tr>
      <w:tr>
        <w:trPr>
          <w:trHeight w:val="426"/>
        </w:trPr>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8"/>
                <w:szCs w:val="18"/>
                <w:b w:val="1"/>
                <w:bCs w:val="1"/>
                <w:color w:val="auto"/>
              </w:rPr>
              <w:t>AOCI</w:t>
            </w:r>
          </w:p>
        </w:tc>
        <w:tc>
          <w:tcPr>
            <w:tcW w:w="9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Retained</w:t>
            </w: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AOCI</w:t>
            </w: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Retained</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 xml:space="preserve">APIC </w:t>
            </w:r>
            <w:r>
              <w:rPr>
                <w:rFonts w:ascii="Arial" w:cs="Arial" w:eastAsia="Arial" w:hAnsi="Arial"/>
                <w:sz w:val="30"/>
                <w:szCs w:val="30"/>
                <w:b w:val="1"/>
                <w:bCs w:val="1"/>
                <w:color w:val="auto"/>
                <w:w w:val="91"/>
                <w:vertAlign w:val="superscript"/>
              </w:rPr>
              <w:t>(1)</w:t>
            </w:r>
          </w:p>
        </w:tc>
        <w:tc>
          <w:tcPr>
            <w:tcW w:w="220" w:type="dxa"/>
            <w:vAlign w:val="bottom"/>
            <w:vMerge w:val="restart"/>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7"/>
              </w:rPr>
              <w:t>earnings</w:t>
            </w:r>
          </w:p>
        </w:tc>
        <w:tc>
          <w:tcPr>
            <w:tcW w:w="200" w:type="dxa"/>
            <w:vAlign w:val="bottom"/>
            <w:vMerge w:val="restart"/>
          </w:tcPr>
          <w:p>
            <w:pPr>
              <w:spacing w:after="0"/>
              <w:rPr>
                <w:sz w:val="17"/>
                <w:szCs w:val="17"/>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4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stock</w:t>
            </w:r>
          </w:p>
        </w:tc>
        <w:tc>
          <w:tcPr>
            <w:tcW w:w="220" w:type="dxa"/>
            <w:vAlign w:val="bottom"/>
            <w:vMerge w:val="restart"/>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 xml:space="preserve">APIC </w:t>
            </w:r>
            <w:r>
              <w:rPr>
                <w:rFonts w:ascii="Arial" w:cs="Arial" w:eastAsia="Arial" w:hAnsi="Arial"/>
                <w:sz w:val="30"/>
                <w:szCs w:val="30"/>
                <w:b w:val="1"/>
                <w:bCs w:val="1"/>
                <w:color w:val="auto"/>
                <w:w w:val="88"/>
                <w:vertAlign w:val="superscript"/>
              </w:rPr>
              <w:t>(1)</w:t>
            </w:r>
          </w:p>
        </w:tc>
        <w:tc>
          <w:tcPr>
            <w:tcW w:w="1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7"/>
              </w:rPr>
              <w:t>earnings</w:t>
            </w:r>
          </w:p>
        </w:tc>
        <w:tc>
          <w:tcPr>
            <w:tcW w:w="2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(2)</w:t>
            </w:r>
          </w:p>
        </w:tc>
        <w:tc>
          <w:tcPr>
            <w:tcW w:w="22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67,383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(12,015)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$ 53,811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$ 109,329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$ 69,936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 (11,901)</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$ 46,169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104,364</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Share repurchase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retirement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(230)</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Stock-based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Shares issued under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employee stock plans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comprehensive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(6,064)</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(2,527)</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Balance, ending</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68,274</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(12,049)</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47,517</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$ 103,892</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70,215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(11,973)</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43,132</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101,533</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13"/>
          </w:tcPr>
          <w:p>
            <w:pPr>
              <w:jc w:val="right"/>
              <w:ind w:right="680"/>
              <w:spacing w:after="0"/>
              <w:rPr>
                <w:sz w:val="20"/>
                <w:szCs w:val="20"/>
                <w:color w:val="auto"/>
              </w:rPr>
            </w:pPr>
            <w:r>
              <w:rPr>
                <w:rFonts w:ascii="Arial" w:cs="Arial" w:eastAsia="Arial" w:hAnsi="Arial"/>
                <w:sz w:val="18"/>
                <w:szCs w:val="18"/>
                <w:b w:val="1"/>
                <w:bCs w:val="1"/>
                <w:color w:val="auto"/>
                <w:w w:val="92"/>
              </w:rPr>
              <w:t>For the thirty-nine weeks ended November 3, 2018</w:t>
            </w:r>
          </w:p>
        </w:tc>
        <w:tc>
          <w:tcPr>
            <w:tcW w:w="120" w:type="dxa"/>
            <w:vAlign w:val="bottom"/>
          </w:tcPr>
          <w:p>
            <w:pPr>
              <w:spacing w:after="0"/>
              <w:rPr>
                <w:sz w:val="24"/>
                <w:szCs w:val="24"/>
                <w:color w:val="auto"/>
              </w:rPr>
            </w:pPr>
          </w:p>
        </w:tc>
        <w:tc>
          <w:tcPr>
            <w:tcW w:w="4300" w:type="dxa"/>
            <w:vAlign w:val="bottom"/>
            <w:gridSpan w:val="12"/>
          </w:tcPr>
          <w:p>
            <w:pPr>
              <w:jc w:val="center"/>
              <w:ind w:right="220"/>
              <w:spacing w:after="0"/>
              <w:rPr>
                <w:sz w:val="20"/>
                <w:szCs w:val="20"/>
                <w:color w:val="auto"/>
              </w:rPr>
            </w:pPr>
            <w:r>
              <w:rPr>
                <w:rFonts w:ascii="Arial" w:cs="Arial" w:eastAsia="Arial" w:hAnsi="Arial"/>
                <w:sz w:val="18"/>
                <w:szCs w:val="18"/>
                <w:b w:val="1"/>
                <w:bCs w:val="1"/>
                <w:color w:val="auto"/>
                <w:w w:val="90"/>
              </w:rPr>
              <w:t>For the thirty-nine weeks ended October 28, 2017</w:t>
            </w:r>
          </w:p>
        </w:tc>
        <w:tc>
          <w:tcPr>
            <w:tcW w:w="0" w:type="dxa"/>
            <w:vAlign w:val="bottom"/>
          </w:tcPr>
          <w:p>
            <w:pPr>
              <w:spacing w:after="0"/>
              <w:rPr>
                <w:sz w:val="1"/>
                <w:szCs w:val="1"/>
                <w:color w:val="auto"/>
              </w:rPr>
            </w:pPr>
          </w:p>
        </w:tc>
      </w:tr>
      <w:tr>
        <w:trPr>
          <w:trHeight w:val="426"/>
        </w:trPr>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8"/>
                <w:szCs w:val="18"/>
                <w:b w:val="1"/>
                <w:bCs w:val="1"/>
                <w:color w:val="auto"/>
              </w:rPr>
              <w:t>AOCI</w:t>
            </w:r>
          </w:p>
        </w:tc>
        <w:tc>
          <w:tcPr>
            <w:tcW w:w="9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Retained</w:t>
            </w: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AOCI</w:t>
            </w: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Retained</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 xml:space="preserve">APIC </w:t>
            </w:r>
            <w:r>
              <w:rPr>
                <w:rFonts w:ascii="Arial" w:cs="Arial" w:eastAsia="Arial" w:hAnsi="Arial"/>
                <w:sz w:val="30"/>
                <w:szCs w:val="30"/>
                <w:b w:val="1"/>
                <w:bCs w:val="1"/>
                <w:color w:val="auto"/>
                <w:w w:val="91"/>
                <w:vertAlign w:val="superscript"/>
              </w:rPr>
              <w:t>(1)</w:t>
            </w:r>
          </w:p>
        </w:tc>
        <w:tc>
          <w:tcPr>
            <w:tcW w:w="220" w:type="dxa"/>
            <w:vAlign w:val="bottom"/>
            <w:vMerge w:val="restart"/>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7"/>
              </w:rPr>
              <w:t>earnings</w:t>
            </w:r>
          </w:p>
        </w:tc>
        <w:tc>
          <w:tcPr>
            <w:tcW w:w="200" w:type="dxa"/>
            <w:vAlign w:val="bottom"/>
            <w:vMerge w:val="restart"/>
          </w:tcPr>
          <w:p>
            <w:pPr>
              <w:spacing w:after="0"/>
              <w:rPr>
                <w:sz w:val="17"/>
                <w:szCs w:val="17"/>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4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stock</w:t>
            </w:r>
          </w:p>
        </w:tc>
        <w:tc>
          <w:tcPr>
            <w:tcW w:w="220" w:type="dxa"/>
            <w:vAlign w:val="bottom"/>
            <w:vMerge w:val="restart"/>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 xml:space="preserve">APIC </w:t>
            </w:r>
            <w:r>
              <w:rPr>
                <w:rFonts w:ascii="Arial" w:cs="Arial" w:eastAsia="Arial" w:hAnsi="Arial"/>
                <w:sz w:val="30"/>
                <w:szCs w:val="30"/>
                <w:b w:val="1"/>
                <w:bCs w:val="1"/>
                <w:color w:val="auto"/>
                <w:w w:val="88"/>
                <w:vertAlign w:val="superscript"/>
              </w:rPr>
              <w:t>(1)</w:t>
            </w:r>
          </w:p>
        </w:tc>
        <w:tc>
          <w:tcPr>
            <w:tcW w:w="1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7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7"/>
              </w:rPr>
              <w:t>earnings</w:t>
            </w:r>
          </w:p>
        </w:tc>
        <w:tc>
          <w:tcPr>
            <w:tcW w:w="2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(2)</w:t>
            </w:r>
          </w:p>
        </w:tc>
        <w:tc>
          <w:tcPr>
            <w:tcW w:w="22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66,843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 (10,800)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$ 55,908</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$ 112,101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$ 68,355</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 (12,496)</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$ 43,496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99,514</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Share repurchase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retirement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(1,058)</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(867)</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3"/>
              </w:rPr>
              <w:t>Stock-based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Shares issued under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180"/>
              <w:spacing w:after="0"/>
              <w:rPr>
                <w:sz w:val="20"/>
                <w:szCs w:val="20"/>
                <w:color w:val="auto"/>
              </w:rPr>
            </w:pPr>
            <w:r>
              <w:rPr>
                <w:rFonts w:ascii="Arial" w:cs="Arial" w:eastAsia="Arial" w:hAnsi="Arial"/>
                <w:sz w:val="18"/>
                <w:szCs w:val="18"/>
                <w:color w:val="auto"/>
              </w:rPr>
              <w:t>employee stock plans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w w:val="97"/>
              </w:rPr>
              <w:t>Other comprehensive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523</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(7,510)</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(7,510)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tcPr>
          <w:p>
            <w:pPr>
              <w:spacing w:after="0"/>
              <w:rPr>
                <w:sz w:val="20"/>
                <w:szCs w:val="20"/>
                <w:color w:val="auto"/>
              </w:rPr>
            </w:pPr>
            <w:r>
              <w:rPr>
                <w:rFonts w:ascii="Arial" w:cs="Arial" w:eastAsia="Arial" w:hAnsi="Arial"/>
                <w:sz w:val="18"/>
                <w:szCs w:val="18"/>
                <w:color w:val="auto"/>
              </w:rPr>
              <w:t>Balance, ending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68,274</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(12,049)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47,517</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103,892</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70,215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(11,973)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43,132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101,533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40"/>
          </w:cols>
          <w:pgMar w:left="220" w:top="118" w:right="239" w:bottom="0" w:gutter="0" w:footer="0" w:header="0"/>
        </w:sectPr>
      </w:pPr>
    </w:p>
    <w:p>
      <w:pPr>
        <w:ind w:left="280" w:hanging="25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9" w:lineRule="exact"/>
        <w:rPr>
          <w:rFonts w:ascii="Arial" w:cs="Arial" w:eastAsia="Arial" w:hAnsi="Arial"/>
          <w:sz w:val="18"/>
          <w:szCs w:val="18"/>
          <w:color w:val="auto"/>
        </w:rPr>
      </w:pPr>
    </w:p>
    <w:p>
      <w:pPr>
        <w:ind w:left="280" w:hanging="252"/>
        <w:spacing w:after="0"/>
        <w:tabs>
          <w:tab w:leader="none" w:pos="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Accumulated other comprehensive income (loss) (“AOCI”)</w:t>
      </w:r>
    </w:p>
    <w:p>
      <w:pPr>
        <w:sectPr>
          <w:pgSz w:w="11900" w:h="16838" w:orient="portrait"/>
          <w:cols w:equalWidth="0" w:num="1">
            <w:col w:w="11440"/>
          </w:cols>
          <w:pgMar w:left="220" w:top="118" w:right="239" w:bottom="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98425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August 2017, the Company’s Board of Directors authorized a share repurchase program of up to $20.0 million. From the date of such authorization through November 3, 2018, the Company has repurchased 1.3 million shares at an average price of $8.75 per share for an aggregate amount of $11.2 million.</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per Share</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uses the two-class method to compute basic and diluted net income or loss per common share. In periods of net loss, no effect is given to the Company’s participating securities as they do not contractually participate in the losses of the Company. The following table sets forth the computation of basic and diluted net income per share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200" w:type="dxa"/>
            <w:vAlign w:val="bottom"/>
          </w:tcPr>
          <w:p>
            <w:pPr>
              <w:spacing w:after="0"/>
              <w:rPr>
                <w:sz w:val="20"/>
                <w:szCs w:val="20"/>
                <w:color w:val="auto"/>
              </w:rPr>
            </w:pPr>
          </w:p>
        </w:tc>
        <w:tc>
          <w:tcPr>
            <w:tcW w:w="2400" w:type="dxa"/>
            <w:vAlign w:val="bottom"/>
            <w:gridSpan w:val="6"/>
          </w:tcPr>
          <w:p>
            <w:pPr>
              <w:ind w:left="10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November 3,</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October 28,</w:t>
            </w:r>
          </w:p>
        </w:tc>
        <w:tc>
          <w:tcPr>
            <w:tcW w:w="20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Net income (loss) before allocation of earnings to participating securities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(6,064)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Earnings allocated to participating securities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(6,064)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(7,510)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basic</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14,590,614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15,599,675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14,597,255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640"/>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dilutive</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14,590,614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15,599,675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14,597,255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15,780,253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tcPr>
          <w:p>
            <w:pPr>
              <w:ind w:left="160"/>
              <w:spacing w:after="0" w:line="182" w:lineRule="exact"/>
              <w:rPr>
                <w:sz w:val="20"/>
                <w:szCs w:val="20"/>
                <w:color w:val="auto"/>
              </w:rPr>
            </w:pPr>
            <w:r>
              <w:rPr>
                <w:rFonts w:ascii="Arial" w:cs="Arial" w:eastAsia="Arial" w:hAnsi="Arial"/>
                <w:sz w:val="18"/>
                <w:szCs w:val="18"/>
                <w:color w:val="auto"/>
                <w:w w:val="92"/>
              </w:rPr>
              <w:t>Basic income (loss) per common share attributable to Build-A-Bear Workshop,</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(0.42)</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(0.16)</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(0.51)</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Pr>
          <w:p>
            <w:pPr>
              <w:ind w:left="320"/>
              <w:spacing w:after="0" w:line="190" w:lineRule="exact"/>
              <w:rPr>
                <w:sz w:val="20"/>
                <w:szCs w:val="20"/>
                <w:color w:val="auto"/>
              </w:rPr>
            </w:pPr>
            <w:r>
              <w:rPr>
                <w:rFonts w:ascii="Arial" w:cs="Arial" w:eastAsia="Arial" w:hAnsi="Arial"/>
                <w:sz w:val="18"/>
                <w:szCs w:val="18"/>
                <w:color w:val="auto"/>
              </w:rPr>
              <w:t>Inc. stockholders</w:t>
            </w:r>
          </w:p>
        </w:tc>
        <w:tc>
          <w:tcPr>
            <w:tcW w:w="1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Diluted income (loss) per common share attributable to Build-A-Bear</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Workshop, Inc. stockholders</w:t>
            </w:r>
          </w:p>
        </w:tc>
        <w:tc>
          <w:tcPr>
            <w:tcW w:w="18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79" w:lineRule="auto"/>
        <w:rPr>
          <w:sz w:val="20"/>
          <w:szCs w:val="20"/>
          <w:color w:val="auto"/>
        </w:rPr>
      </w:pPr>
      <w:r>
        <w:rPr>
          <w:rFonts w:ascii="Arial" w:cs="Arial" w:eastAsia="Arial" w:hAnsi="Arial"/>
          <w:sz w:val="17"/>
          <w:szCs w:val="17"/>
          <w:color w:val="auto"/>
        </w:rPr>
        <w:t>In calculating diluted income per share for the thirteen and thirty-nine week periods ended November 3, 2018, options to purchase 594,183 and 563,661 shares of common stock, respectively, that were outstanding at the end of the period were not included in the computation of diluted income per share due to their anti-dilutive effect. For the thirteen and thirty-nine week periods ended October 28, 2017, the number of options to purchase common shares that were excluded from the calculation were 381,738 and 328,050 shares,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(Loss)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difference between comprehensive income or loss and net income or loss results from foreign currency translation adjustments on the balance sheets of subsidiaries whose functional currency is not the U.S. Dollar. The accumulated other comprehensive income (loss) balance at November 3, 2018</w:t>
      </w:r>
    </w:p>
    <w:p>
      <w:pPr>
        <w:ind w:right="40"/>
        <w:spacing w:after="0" w:line="261" w:lineRule="auto"/>
        <w:rPr>
          <w:sz w:val="20"/>
          <w:szCs w:val="20"/>
          <w:color w:val="auto"/>
        </w:rPr>
      </w:pPr>
      <w:r>
        <w:rPr>
          <w:rFonts w:ascii="Arial" w:cs="Arial" w:eastAsia="Arial" w:hAnsi="Arial"/>
          <w:sz w:val="18"/>
          <w:szCs w:val="18"/>
          <w:color w:val="auto"/>
        </w:rPr>
        <w:t>and October 28, 2017 was comprised entirely of foreign currency translation. For the thirteen and thirty-nine weeks ended November 3, 2018 and October 28, 2017, there were no reclassifications out of accumulated other comprehensive loss.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direct-to-consumer (“DTC”), commercial and international franchising. The DTC segment includes the operating activities of corporately-managed stores in the United States, Canada, the United Kingdom, Ireland, Denmark and China and other retail delivery operations, including the Company’s e-commerce sites and temporary stores. The international franchising segment includes the activities of the Company’s franchisees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Direct-to-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International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Consumer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Commercial</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Franchising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November 3, 2018</w:t>
            </w:r>
          </w:p>
        </w:tc>
        <w:tc>
          <w:tcPr>
            <w:tcW w:w="1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65,298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Thirteen weeks ended October 28, 2017</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November 3, 2018</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227,760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Thirty-nine weeks ended October 28, 2017</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239,567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12,008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Assets as of:</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November 3, 2018</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October 28, 2017</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175,957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40" w:firstLine="567"/>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each offers.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America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Europe (2)</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Other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November 3, 2018</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56,440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11,575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68,694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October 28, 2017</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61,165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15,372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76,151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November 3, 2018</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198,372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1,679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235,056</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73,343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Thirty-nine weeks ended October 28, 2017</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204,128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246,534</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67,479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9,364</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76,876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international franchising revenue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international franchising revenue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includes international franchising revenue outside of North America and Europe and a corporately-managed store in China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w:t>
      </w:r>
    </w:p>
    <w:p>
      <w:pPr>
        <w:spacing w:after="0" w:line="229"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w:t>
      </w:r>
    </w:p>
    <w:p>
      <w:pPr>
        <w:sectPr>
          <w:pgSz w:w="11900" w:h="16838" w:orient="portrait"/>
          <w:cols w:equalWidth="0" w:num="1">
            <w:col w:w="11420"/>
          </w:cols>
          <w:pgMar w:left="240" w:top="118" w:right="239" w:bottom="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liability has been incurred and that it can reasonably estimate the amount of the loss. Gain contingencies are recorded when the underlying uncertainty has been settled.</w:t>
      </w:r>
    </w:p>
    <w:p>
      <w:pPr>
        <w:spacing w:after="0" w:line="16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Assessments made by the United Kingdom customs authority in 2012 have been appealed by the Company, which has paid the disputed duty, strictly under protest, pending the outcome of the continuing dispute, and this is included in receivables in the DTC segment. The United Kingdom customs authority is contesting the Company's appeal. The Company maintains a provision against the related receivable, based on a current evaluation of collectability, using the latest facts available in the dispute. As of November 3, 2018, the Company had a gross receivable balance of $3.8 million and a reserve of $3.0 million, leaving a net receivable of $0.8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the Company’s Annual Report on Form 10-K for the fiscal year ended December 30, 2017, as filed with the SEC, and include the following:</w:t>
      </w:r>
    </w:p>
    <w:p>
      <w:pPr>
        <w:spacing w:after="0" w:line="188" w:lineRule="exact"/>
        <w:rPr>
          <w:sz w:val="20"/>
          <w:szCs w:val="20"/>
          <w:color w:val="auto"/>
        </w:rPr>
      </w:pPr>
    </w:p>
    <w:p>
      <w:pPr>
        <w:ind w:left="660" w:right="3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upon the shopping malls in which we are located to attract guests to our stores and a decline in mall traffic could adversely affect our financial performance and profitability;</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660" w:right="2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interests change rapidly and our success depends on the ongoing effectiveness of our marketing and online initiatives to build consumer affinity for our brand, drive consumer demand for key products and generate traffic for our stores;</w:t>
      </w:r>
    </w:p>
    <w:p>
      <w:pPr>
        <w:ind w:left="660" w:right="6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in general global economic conditions could lead to disproportionately reduced consumer demand for our products, which represent relatively discretionary spending, and have an adverse effect on our liquidity and profitability;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corporately-managed locations profitably;</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renew, renegotiate or replace our store leases or enter into leases for new stores on favorable terms, or if we violate any of the terms of our current leases, our growth and profitability could be harmed;</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evolve our store locations to align with market trends or to effectively manage our overall portfolio of stores which could adversely affect our ability to grow and could significantly harm our profitability;</w:t>
      </w:r>
    </w:p>
    <w:p>
      <w:pPr>
        <w:ind w:left="660" w:right="1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ind w:left="660" w:right="12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ind w:left="660" w:right="12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spacing w:after="0" w:line="1"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suffer negative publicity or be sued if the manufacturers of our merchandise violate labor laws or engage in practices that consumers believe are unethical;</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9" w:lineRule="exact"/>
        <w:rPr>
          <w:rFonts w:ascii="Arial" w:cs="Arial" w:eastAsia="Arial" w:hAnsi="Arial"/>
          <w:sz w:val="18"/>
          <w:szCs w:val="18"/>
          <w:color w:val="auto"/>
        </w:rPr>
      </w:pPr>
    </w:p>
    <w:p>
      <w:pPr>
        <w:ind w:left="660" w:right="46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significant variety of competitive threats;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660" w:right="1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acquiring businesses or engaging in other strategic transactions, which may negatively affect our financial condition and profitability;</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operating results could reduce our cash flow and we may be unable to repurchase shares at all or at the times or in the amounts we desire or the results of our share repurchase program may not be as beneficial as we would like;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limited public float and trading volume for our common stock may have an adverse impact and cause significant fluctuation of market price; and</w:t>
      </w:r>
    </w:p>
    <w:p>
      <w:pPr>
        <w:spacing w:after="0" w:line="32" w:lineRule="exact"/>
        <w:rPr>
          <w:rFonts w:ascii="Arial" w:cs="Arial" w:eastAsia="Arial" w:hAnsi="Arial"/>
          <w:sz w:val="16"/>
          <w:szCs w:val="16"/>
          <w:color w:val="auto"/>
        </w:rPr>
      </w:pPr>
    </w:p>
    <w:p>
      <w:pPr>
        <w:ind w:left="660" w:right="40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ectPr>
          <w:pgSz w:w="11900" w:h="16838" w:orient="portrait"/>
          <w:cols w:equalWidth="0" w:num="1">
            <w:col w:w="11400"/>
          </w:cols>
          <w:pgMar w:left="240" w:top="118" w:right="25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guests participate in the stuffing, fluffing, dressing, accessorizing and naming of their own teddy bears and other stuffed animals. As of November 3, 2018, we operated 371 stores globally and had 94 franchised stores operating internationally under the Build-A-Bear Workshop brand. In addition to our stores, we sell products on our company-owned e-commerce sites, third party e-commerce marketplaces, franchisee sites and through third party retail locations under wholesale agreements.</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660" w:right="50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Direct-to-consumer (“DTC”) – Corporately-managed retail stores located in the United States, the United Kingdom, Canada, China, Denmark, Ireland and Puerto Rico and two e-commerce sites;</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ind w:left="660" w:right="54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Franchising – Sales-based royalties and merchandise, including supplies and fixture sales, as well as development fees and other revenue from international operations under franchise agreements.</w:t>
      </w:r>
    </w:p>
    <w:p>
      <w:pPr>
        <w:spacing w:after="0" w:line="184"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Selected financial data attributable to each segment for the thirteen and thirty-nine week periods ended November 3, 2018 and October 28, 2017 are set forth in the notes to our condensed consolidated financial statements included elsewhere in this Quarterly Report on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improve consolidated sales and profit through the following key initiatives:</w:t>
      </w:r>
    </w:p>
    <w:p>
      <w:pPr>
        <w:spacing w:after="0" w:line="225" w:lineRule="exact"/>
        <w:rPr>
          <w:sz w:val="20"/>
          <w:szCs w:val="20"/>
          <w:color w:val="auto"/>
        </w:rPr>
      </w:pPr>
    </w:p>
    <w:p>
      <w:pPr>
        <w:ind w:left="660" w:right="60" w:hanging="328"/>
        <w:spacing w:after="0" w:line="27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Development of our experiential retail model to diversify and expand the impact and reach of our brand globally:</w:t>
      </w:r>
      <w:r>
        <w:rPr>
          <w:rFonts w:ascii="Arial" w:cs="Arial" w:eastAsia="Arial" w:hAnsi="Arial"/>
          <w:sz w:val="17"/>
          <w:szCs w:val="17"/>
          <w:color w:val="auto"/>
        </w:rPr>
        <w:t xml:space="preserve"> We expect to continue to diversify our real estate portfolio to focus on places where families are increasingly going to shop or going for entertainment. We have been actively identifying and securing more tourist locations. We also expect to continue to diversify our store portfolio inclusive of a new, lower capital, more flexible “concourse shop” model. We expect to continue to make improvements to our aged store fleet by leveraging our new Discovery format in conjunction with select natural lease events such as lease renewals or terminations. Overall, these locations continue to perform ahead of heritage locations in both sales and profitability. In addition, we expect to continue to grow e-commerce sales. We expect to expand globally through existing and new franchise agreements including the recently added franchises in China and India.</w:t>
      </w:r>
    </w:p>
    <w:p>
      <w:pPr>
        <w:spacing w:after="0" w:line="177" w:lineRule="exact"/>
        <w:rPr>
          <w:rFonts w:ascii="Arial" w:cs="Arial" w:eastAsia="Arial" w:hAnsi="Arial"/>
          <w:sz w:val="17"/>
          <w:szCs w:val="17"/>
          <w:color w:val="auto"/>
        </w:rPr>
      </w:pPr>
    </w:p>
    <w:p>
      <w:pPr>
        <w:ind w:left="660" w:right="60" w:hanging="328"/>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Leverage the power of our brand and intellectual properties to build margin accretive revenue streams:</w:t>
      </w:r>
      <w:r>
        <w:rPr>
          <w:rFonts w:ascii="Arial" w:cs="Arial" w:eastAsia="Arial" w:hAnsi="Arial"/>
          <w:sz w:val="16"/>
          <w:szCs w:val="16"/>
          <w:color w:val="auto"/>
        </w:rPr>
        <w:t xml:space="preserve"> To meet the needs of our core consumer base (girls and boys ages 3 to 12) while systematically building secondary consumer segments (including collectors, gift-givers and teen-plus), we expect to continue to develop and expand offerings of successful intellectual properties balanced with core products and a comprehensive program of key licensed products. We expect to leverage the power of both our Build-A-Bear brand as well as our other intellectual properties to further develop our outbound licensed programs and expand these and other margin accretive revenue streams. We also expect to build the entertainment aspects of our business model as we continue to develop content to connect with consumers beyond our retail stores including mobile apps, music videos and other entertainment opportunities to increase engagement, improve efficiency and lead to profitable sales growth.</w:t>
      </w:r>
    </w:p>
    <w:p>
      <w:pPr>
        <w:spacing w:after="0" w:line="167" w:lineRule="exact"/>
        <w:rPr>
          <w:rFonts w:ascii="Arial" w:cs="Arial" w:eastAsia="Arial" w:hAnsi="Arial"/>
          <w:sz w:val="16"/>
          <w:szCs w:val="16"/>
          <w:color w:val="auto"/>
        </w:rPr>
      </w:pPr>
    </w:p>
    <w:p>
      <w:pPr>
        <w:ind w:left="660" w:right="18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Long-Term Profitability Improvement:</w:t>
      </w:r>
      <w:r>
        <w:rPr>
          <w:rFonts w:ascii="Arial" w:cs="Arial" w:eastAsia="Arial" w:hAnsi="Arial"/>
          <w:sz w:val="18"/>
          <w:szCs w:val="18"/>
          <w:color w:val="auto"/>
        </w:rPr>
        <w:t xml:space="preserve"> We are focused on improving profitability through the execution of our stated strategies detailed above as well as disciplined expense management and on-going efforts in process and systems upgrades. While we continue to monitor consolidated comparable sales as an important metric in our business, we believe that total revenue growth and profitability improvement are more indicative of the progress in our business initiatives on a go forward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table below sets forth the number of Build-A-Bear Workshop corporately-managed stores in North America, Europe and Asia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4"/>
              </w:rPr>
              <w:t>Thirty-nine weeks ended</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November 3, 2018</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October 28, 2017</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North</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North</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vMerge w:val="restart"/>
          </w:tcPr>
          <w:p>
            <w:pPr>
              <w:spacing w:after="0"/>
              <w:rPr>
                <w:sz w:val="20"/>
                <w:szCs w:val="20"/>
                <w:color w:val="auto"/>
              </w:rPr>
            </w:pPr>
            <w:r>
              <w:rPr>
                <w:rFonts w:ascii="Arial" w:cs="Arial" w:eastAsia="Arial" w:hAnsi="Arial"/>
                <w:sz w:val="18"/>
                <w:szCs w:val="18"/>
                <w:color w:val="auto"/>
              </w:rPr>
              <w:t>Beginning of period</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America</w:t>
            </w:r>
          </w:p>
        </w:tc>
        <w:tc>
          <w:tcPr>
            <w:tcW w:w="760" w:type="dxa"/>
            <w:vAlign w:val="bottom"/>
          </w:tcPr>
          <w:p>
            <w:pPr>
              <w:ind w:left="180"/>
              <w:spacing w:after="0"/>
              <w:rPr>
                <w:sz w:val="20"/>
                <w:szCs w:val="20"/>
                <w:color w:val="auto"/>
              </w:rPr>
            </w:pPr>
            <w:r>
              <w:rPr>
                <w:rFonts w:ascii="Arial" w:cs="Arial" w:eastAsia="Arial" w:hAnsi="Arial"/>
                <w:sz w:val="18"/>
                <w:szCs w:val="18"/>
                <w:b w:val="1"/>
                <w:bCs w:val="1"/>
                <w:color w:val="auto"/>
                <w:w w:val="90"/>
              </w:rPr>
              <w:t>Europe</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ind w:left="300"/>
              <w:spacing w:after="0"/>
              <w:rPr>
                <w:sz w:val="20"/>
                <w:szCs w:val="20"/>
                <w:color w:val="auto"/>
              </w:rPr>
            </w:pPr>
            <w:r>
              <w:rPr>
                <w:rFonts w:ascii="Arial" w:cs="Arial" w:eastAsia="Arial" w:hAnsi="Arial"/>
                <w:sz w:val="18"/>
                <w:szCs w:val="18"/>
                <w:b w:val="1"/>
                <w:bCs w:val="1"/>
                <w:color w:val="auto"/>
              </w:rPr>
              <w:t>Asia</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America</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Europe</w:t>
            </w:r>
          </w:p>
        </w:tc>
        <w:tc>
          <w:tcPr>
            <w:tcW w:w="1120" w:type="dxa"/>
            <w:vAlign w:val="bottom"/>
            <w:gridSpan w:val="2"/>
          </w:tcPr>
          <w:p>
            <w:pPr>
              <w:ind w:left="280"/>
              <w:spacing w:after="0"/>
              <w:rPr>
                <w:sz w:val="20"/>
                <w:szCs w:val="20"/>
                <w:color w:val="auto"/>
              </w:rPr>
            </w:pPr>
            <w:r>
              <w:rPr>
                <w:rFonts w:ascii="Arial" w:cs="Arial" w:eastAsia="Arial" w:hAnsi="Arial"/>
                <w:sz w:val="18"/>
                <w:szCs w:val="18"/>
                <w:b w:val="1"/>
                <w:bCs w:val="1"/>
                <w:color w:val="auto"/>
              </w:rPr>
              <w:t>Asia</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2420" w:type="dxa"/>
            <w:vAlign w:val="bottom"/>
            <w:vMerge w:val="continue"/>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294</w:t>
            </w: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59</w:t>
            </w:r>
          </w:p>
        </w:tc>
        <w:tc>
          <w:tcPr>
            <w:tcW w:w="2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w w:val="71"/>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354</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277</w:t>
            </w:r>
          </w:p>
        </w:tc>
        <w:tc>
          <w:tcPr>
            <w:tcW w:w="22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Opened</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End of period</w:t>
            </w: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58</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1</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371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During 2018, we have continued to make improvements to our aged store fleet by leveraging the new Discovery format in conjunction with select natural lease events. As of November 3, 2018, 37% of our store base was in an updated Discovery design. We also expect to close certain stores in accordance with natural lease events as an ongoing part of our real estate management and day-to-day operational plans. Current plans include expansion into more non-traditional locations, made possible in part by concourse shops. Concourse shops are stand-alone retail units that occupy approximately 200 square feet designed to be operated in open, concourse areas of malls or other covered pedestrian areas.</w:t>
      </w:r>
    </w:p>
    <w:p>
      <w:pPr>
        <w:sectPr>
          <w:pgSz w:w="11900" w:h="16838" w:orient="portrait"/>
          <w:cols w:equalWidth="0" w:num="1">
            <w:col w:w="11420"/>
          </w:cols>
          <w:pgMar w:left="240" w:top="118" w:right="239" w:bottom="1149"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149"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corporately-managed stores. As of November 3, 2018, we had eight master franchise agreements, which typically grant franchise rights for a particular country or group of countries, covering an aggregate of 14 countries.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Thirty-nine weeks ended</w:t>
            </w:r>
          </w:p>
        </w:tc>
      </w:tr>
      <w:tr>
        <w:trPr>
          <w:trHeight w:val="210"/>
        </w:trPr>
        <w:tc>
          <w:tcPr>
            <w:tcW w:w="8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November 3, 2018</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October 28, 2017</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Opened</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0"/>
        </w:trPr>
        <w:tc>
          <w:tcPr>
            <w:tcW w:w="8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the ordinary course of business, we anticipate signing additional master franchise agreements and terminating other such agreements. We believe there is a market potential for approximately 300 international stores outside of the United States, Canada, the United Kingdom and Ireland. We continue to expect franchisees to leverage the new formats that have been developed for our corporately-managed operations and sourcing changes that have significantly reduced the capital and expenses required to open stores. We expect to continue to develop market expansion through both new and existing franchisees in 2018 and beyond. For example, our new China franchise partner operates four locations and plans to open up to 10 locations by the end of fiscal year 2018. In addition, we have made progress to open our first stores in India by the end of fiscal year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560" w:firstLine="324"/>
        <w:spacing w:after="0" w:line="256"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as well as immaterial rounding:</w:t>
      </w: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8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27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November 3,</w:t>
            </w:r>
          </w:p>
        </w:tc>
        <w:tc>
          <w:tcPr>
            <w:tcW w:w="11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October 28,</w:t>
            </w:r>
          </w:p>
        </w:tc>
        <w:tc>
          <w:tcPr>
            <w:tcW w:w="28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6"/>
              </w:rPr>
              <w:t>November 3,</w:t>
            </w:r>
          </w:p>
        </w:tc>
        <w:tc>
          <w:tcPr>
            <w:tcW w:w="11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rPr>
              <w:t>October 28,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9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retail sales</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Commercial revenue</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franchising</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Costs and expenses: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Cost of merchandise sold - retail </w:t>
            </w:r>
            <w:r>
              <w:rPr>
                <w:rFonts w:ascii="Arial" w:cs="Arial" w:eastAsia="Arial" w:hAnsi="Arial"/>
                <w:sz w:val="29"/>
                <w:szCs w:val="29"/>
                <w:color w:val="auto"/>
                <w:vertAlign w:val="superscript"/>
              </w:rPr>
              <w:t>(1)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Cost of merchandise sold - commercial </w:t>
            </w:r>
            <w:r>
              <w:rPr>
                <w:rFonts w:ascii="Arial" w:cs="Arial" w:eastAsia="Arial" w:hAnsi="Arial"/>
                <w:sz w:val="29"/>
                <w:szCs w:val="29"/>
                <w:color w:val="auto"/>
                <w:vertAlign w:val="superscript"/>
              </w:rPr>
              <w:t>(1)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35.6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43.4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ind w:left="160"/>
              <w:spacing w:after="0" w:line="243" w:lineRule="exact"/>
              <w:rPr>
                <w:sz w:val="20"/>
                <w:szCs w:val="20"/>
                <w:color w:val="auto"/>
              </w:rPr>
            </w:pPr>
            <w:r>
              <w:rPr>
                <w:rFonts w:ascii="Arial" w:cs="Arial" w:eastAsia="Arial" w:hAnsi="Arial"/>
                <w:sz w:val="17"/>
                <w:szCs w:val="17"/>
                <w:color w:val="auto"/>
              </w:rPr>
              <w:t xml:space="preserve">Cost of merchandise sold - international franchising </w:t>
            </w:r>
            <w:r>
              <w:rPr>
                <w:rFonts w:ascii="Arial" w:cs="Arial" w:eastAsia="Arial" w:hAnsi="Arial"/>
                <w:sz w:val="28"/>
                <w:szCs w:val="28"/>
                <w:color w:val="auto"/>
                <w:vertAlign w:val="superscript"/>
              </w:rPr>
              <w:t>(1)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Total cost of merchandise sold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63.5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57.6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51.1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(income), net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Retail Gross Margin</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180" w:hanging="332"/>
        <w:spacing w:after="0" w:line="29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40" w:right="16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ectPr>
          <w:pgSz w:w="11900" w:h="16838" w:orient="portrait"/>
          <w:cols w:equalWidth="0" w:num="1">
            <w:col w:w="11420"/>
          </w:cols>
          <w:pgMar w:left="240" w:top="118"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November 3, 2018 compared to thirteen weeks ended October 28, 2017</w:t>
      </w:r>
    </w:p>
    <w:p>
      <w:pPr>
        <w:spacing w:after="0" w:line="225" w:lineRule="exact"/>
        <w:rPr>
          <w:sz w:val="20"/>
          <w:szCs w:val="20"/>
          <w:color w:val="auto"/>
        </w:rPr>
      </w:pPr>
    </w:p>
    <w:p>
      <w:pPr>
        <w:ind w:firstLine="243"/>
        <w:spacing w:after="0" w:line="286"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Consolidated revenues decreased 9.8%, including a 7.4% decrease in North America and a 23.1% decrease in Europe, and also inclusive of</w:t>
      </w:r>
      <w:r>
        <w:rPr>
          <w:rFonts w:ascii="Arial" w:cs="Arial" w:eastAsia="Arial" w:hAnsi="Arial"/>
          <w:sz w:val="17"/>
          <w:szCs w:val="17"/>
          <w:i w:val="1"/>
          <w:iCs w:val="1"/>
          <w:color w:val="auto"/>
        </w:rPr>
        <w:t xml:space="preserve"> </w:t>
      </w:r>
      <w:r>
        <w:rPr>
          <w:rFonts w:ascii="Arial" w:cs="Arial" w:eastAsia="Arial" w:hAnsi="Arial"/>
          <w:sz w:val="17"/>
          <w:szCs w:val="17"/>
          <w:color w:val="auto"/>
        </w:rPr>
        <w:t>a 17.8% increase in consolidated e-commerce sales. European results continue to reflect the impact of the ongoing uncertainty surrounding Brexit, as well as the May 2018 implementation of new privacy laws, which severely inhibited the Company’s ability to directly market to guests.</w:t>
      </w:r>
    </w:p>
    <w:p>
      <w:pPr>
        <w:spacing w:after="0" w:line="166" w:lineRule="exact"/>
        <w:rPr>
          <w:sz w:val="20"/>
          <w:szCs w:val="20"/>
          <w:color w:val="auto"/>
        </w:rPr>
      </w:pPr>
    </w:p>
    <w:p>
      <w:pPr>
        <w:ind w:right="240" w:firstLine="243"/>
        <w:spacing w:after="0" w:line="277" w:lineRule="auto"/>
        <w:rPr>
          <w:sz w:val="20"/>
          <w:szCs w:val="20"/>
          <w:color w:val="auto"/>
        </w:rPr>
      </w:pPr>
      <w:r>
        <w:rPr>
          <w:rFonts w:ascii="Arial" w:cs="Arial" w:eastAsia="Arial" w:hAnsi="Arial"/>
          <w:sz w:val="18"/>
          <w:szCs w:val="18"/>
          <w:color w:val="auto"/>
        </w:rPr>
        <w:t>Net retail sales for the thirteen weeks ended November 3, 2018 were $65.3 million, compared to $74.4 million for the thirteen weeks ended October 29, 2017, a decrease of $9.1 million, or 12.3%. The components of this decrease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Thirteen Weeks</w:t>
            </w:r>
          </w:p>
        </w:tc>
      </w:tr>
      <w:tr>
        <w:trPr>
          <w:trHeight w:val="216"/>
        </w:trPr>
        <w:tc>
          <w:tcPr>
            <w:tcW w:w="9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984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3, 2018</w:t>
            </w:r>
          </w:p>
        </w:tc>
      </w:tr>
      <w:tr>
        <w:trPr>
          <w:trHeight w:val="210"/>
        </w:trPr>
        <w:tc>
          <w:tcPr>
            <w:tcW w:w="9840" w:type="dxa"/>
            <w:vAlign w:val="bottom"/>
          </w:tcPr>
          <w:p>
            <w:pPr>
              <w:spacing w:after="0"/>
              <w:rPr>
                <w:sz w:val="18"/>
                <w:szCs w:val="18"/>
                <w:color w:val="auto"/>
              </w:rPr>
            </w:pPr>
          </w:p>
        </w:tc>
        <w:tc>
          <w:tcPr>
            <w:tcW w:w="14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Decrease in existing store and ecommerce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gift card breakage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0"/>
        </w:trPr>
        <w:tc>
          <w:tcPr>
            <w:tcW w:w="9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98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0"/>
        </w:trPr>
        <w:tc>
          <w:tcPr>
            <w:tcW w:w="9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revenue decrease was driven primarily by the strategic de-emphasis of our historically successful National Teddy Bear Day promotion to avoid the potential of long lines and frustrated guests on the heels of the Pay Your Age Day events in mid-July 2018. Second, our U.K. business continued to decline due to a challenging retail environment brought on by Brexit and the May 2018 implementation of new privacy laws that have significantly inhibited our ability to build our contact database and market directly to our guests. Third, we had a negative $2.5 million impact from the January 2018 closure of our previously most productive store and the adoption of the new revenue recognition standard (See Note 1 — Basis of Presentation and Note 2 — Revenue for additional information). Finally, organic family traffic to traditional malls continued to struggle which we believe was exacerbated by the comparative lack of high impact animated films that tend to bring our target demographic to malls with co-located theaters. Historically, we have seen increased traffic and sales associated with child-friendly film releases.</w:t>
      </w:r>
    </w:p>
    <w:p>
      <w:pPr>
        <w:spacing w:after="0" w:line="1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Commercial revenue was $2.2 million for the thirteen weeks ended November 3, 2018 compared to $1.2 million for the thirteen weeks ended October 28, 2017. The $1.0 million increase related primarily to outbound brand licensing activity.</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dollars decreased $8.0 million to $23.2 million compared to the fiscal 2017 third quarter. The retail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rate declined 640 basis points to 35.5% including approximately 150 basis points related to non-cash store impairment charges outside of the U.S. and the adoption of the new revenue recognition standard as well as approximately 370 basis points related to the deleverage of fixed occupancy costs. The remaining decline was driven primarily by higher promotional activity related to the residual effects of Pay Your Age Day as well as the deleverage of warehouse distribution costs in the quarter. Notably, total occupancy and distribution costs were flat even with a higher store count resulting in a lower average cost per store.</w:t>
      </w:r>
    </w:p>
    <w:p>
      <w:pPr>
        <w:spacing w:after="0" w:line="193"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(“SGA”) were $35.1 million for the thirteen weeks ended November 3,</w:t>
      </w:r>
      <w:r>
        <w:rPr>
          <w:rFonts w:ascii="Arial" w:cs="Arial" w:eastAsia="Arial" w:hAnsi="Arial"/>
          <w:sz w:val="18"/>
          <w:szCs w:val="18"/>
          <w:i w:val="1"/>
          <w:iCs w:val="1"/>
          <w:color w:val="auto"/>
        </w:rPr>
        <w:t xml:space="preserve"> </w:t>
      </w:r>
      <w:r>
        <w:rPr>
          <w:rFonts w:ascii="Arial" w:cs="Arial" w:eastAsia="Arial" w:hAnsi="Arial"/>
          <w:sz w:val="18"/>
          <w:szCs w:val="18"/>
          <w:color w:val="auto"/>
        </w:rPr>
        <w:t>2018, a decline of $1.1 million compared to the thirteen weeks ended October 28, 2017. The decrease was primarily driven by lower payroll and advertising costs.</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(income) was less than $0.1 million for both the thirteen weeks ended November 3, 2018 and October 28,</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The income tax provision was a benefit of $3.9 million with a tax rate of 39.3% for the thirteen weeks ended November 3,</w:t>
      </w:r>
      <w:r>
        <w:rPr>
          <w:rFonts w:ascii="Arial" w:cs="Arial" w:eastAsia="Arial" w:hAnsi="Arial"/>
          <w:sz w:val="17"/>
          <w:szCs w:val="17"/>
          <w:i w:val="1"/>
          <w:iCs w:val="1"/>
          <w:color w:val="auto"/>
        </w:rPr>
        <w:t xml:space="preserve"> </w:t>
      </w:r>
      <w:r>
        <w:rPr>
          <w:rFonts w:ascii="Arial" w:cs="Arial" w:eastAsia="Arial" w:hAnsi="Arial"/>
          <w:sz w:val="17"/>
          <w:szCs w:val="17"/>
          <w:color w:val="auto"/>
        </w:rPr>
        <w:t>2018 as compared to an income tax benefit of $1.4 million with a tax rate of 34.8% for the thirteen weeks ended October 28, 2017. In the third quarter of fiscal 2018, the effective tax rate differed from the statutory rate of 21% primarily due to the jurisdictional mix of earnings. In the third quarter of fiscal 2017, the effective tax rate differed from the statutory rate of 34% primarily due to the effect of discrete items.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Thirty-nine weeks ended November 3, 2018 compared to thirty-nine weeks ended October 28, 2017</w:t>
      </w:r>
    </w:p>
    <w:p>
      <w:pPr>
        <w:spacing w:after="0" w:line="229" w:lineRule="exact"/>
        <w:rPr>
          <w:sz w:val="20"/>
          <w:szCs w:val="20"/>
          <w:color w:val="auto"/>
        </w:rPr>
      </w:pPr>
    </w:p>
    <w:p>
      <w:pPr>
        <w:ind w:right="680" w:firstLine="243"/>
        <w:spacing w:after="0" w:line="308" w:lineRule="auto"/>
        <w:rPr>
          <w:sz w:val="20"/>
          <w:szCs w:val="20"/>
          <w:color w:val="auto"/>
        </w:rPr>
      </w:pPr>
      <w:r>
        <w:rPr>
          <w:rFonts w:ascii="Arial" w:cs="Arial" w:eastAsia="Arial" w:hAnsi="Arial"/>
          <w:sz w:val="17"/>
          <w:szCs w:val="17"/>
          <w:i w:val="1"/>
          <w:iCs w:val="1"/>
          <w:color w:val="auto"/>
        </w:rPr>
        <w:t xml:space="preserve">Total revenues. </w:t>
      </w:r>
      <w:r>
        <w:rPr>
          <w:rFonts w:ascii="Arial" w:cs="Arial" w:eastAsia="Arial" w:hAnsi="Arial"/>
          <w:sz w:val="17"/>
          <w:szCs w:val="17"/>
          <w:color w:val="auto"/>
        </w:rPr>
        <w:t>Net retail sales for the thirty-nine weeks ended November 3, 2018 were $227.8 million, compared to $239.6 million for the thirty-nine weeks ended October 28, 2017, a decrease of $11.8 million, or 4.9%. The components of this decrease are as follows: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Thirty-nine weeks</w:t>
            </w:r>
          </w:p>
        </w:tc>
      </w:tr>
      <w:tr>
        <w:trPr>
          <w:trHeight w:val="216"/>
        </w:trPr>
        <w:tc>
          <w:tcPr>
            <w:tcW w:w="9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984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3, 2018</w:t>
            </w:r>
          </w:p>
        </w:tc>
      </w:tr>
      <w:tr>
        <w:trPr>
          <w:trHeight w:val="210"/>
        </w:trPr>
        <w:tc>
          <w:tcPr>
            <w:tcW w:w="9840" w:type="dxa"/>
            <w:vAlign w:val="bottom"/>
          </w:tcPr>
          <w:p>
            <w:pPr>
              <w:spacing w:after="0"/>
              <w:rPr>
                <w:sz w:val="18"/>
                <w:szCs w:val="18"/>
                <w:color w:val="auto"/>
              </w:rPr>
            </w:pPr>
          </w:p>
        </w:tc>
        <w:tc>
          <w:tcPr>
            <w:tcW w:w="14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Decrease in existing store and ecommerce sales</w:t>
            </w: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estimates, including gift card breakage</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0"/>
        </w:trPr>
        <w:tc>
          <w:tcPr>
            <w:tcW w:w="98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98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0"/>
        </w:trPr>
        <w:tc>
          <w:tcPr>
            <w:tcW w:w="9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21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17" w:gutter="0" w:footer="0" w:header="0"/>
          <w:type w:val="continuous"/>
        </w:sectPr>
      </w:pPr>
    </w:p>
    <w:bookmarkStart w:id="20" w:name="page21"/>
    <w:bookmarkEnd w:id="20"/>
    <w:p>
      <w:pPr>
        <w:spacing w:after="0" w:line="47"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80" w:firstLine="324"/>
        <w:spacing w:after="0" w:line="274" w:lineRule="auto"/>
        <w:rPr>
          <w:sz w:val="20"/>
          <w:szCs w:val="20"/>
          <w:color w:val="auto"/>
        </w:rPr>
      </w:pPr>
      <w:r>
        <w:rPr>
          <w:rFonts w:ascii="Arial" w:cs="Arial" w:eastAsia="Arial" w:hAnsi="Arial"/>
          <w:sz w:val="17"/>
          <w:szCs w:val="17"/>
          <w:color w:val="auto"/>
        </w:rPr>
        <w:t>The decrease in net retail sales included the $2.1 million impact from the adoption of the new revenue recognition standard (See Note 1 — Basis of Presentation and Note 2 — Revenue for additional information). In addition, our previously most productive store closed in January 2018</w:t>
      </w:r>
    </w:p>
    <w:p>
      <w:pPr>
        <w:ind w:right="560"/>
        <w:spacing w:after="0" w:line="261" w:lineRule="auto"/>
        <w:rPr>
          <w:sz w:val="20"/>
          <w:szCs w:val="20"/>
          <w:color w:val="auto"/>
        </w:rPr>
      </w:pPr>
      <w:r>
        <w:rPr>
          <w:rFonts w:ascii="Arial" w:cs="Arial" w:eastAsia="Arial" w:hAnsi="Arial"/>
          <w:sz w:val="18"/>
          <w:szCs w:val="18"/>
          <w:color w:val="auto"/>
        </w:rPr>
        <w:t>and Toys“R”Us conducted liquidation proceedings which we believe negatively impacted sales at our stores, particularly those in closer proximity to a liquidating Toys“R”Us location, during the first twenty-six weeks of fiscal 2018.</w:t>
      </w:r>
    </w:p>
    <w:p>
      <w:pPr>
        <w:spacing w:after="0" w:line="18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Commercial revenue was $4.2 million for the thirty-nine weeks ended November 3, 2018 compared to $5.3 million for the thirty-nine weeks ended October 28, 2017. The $1.1 million decrease related primarily to the nature and timing of the prior year's wholesale orders.</w:t>
      </w:r>
    </w:p>
    <w:p>
      <w:pPr>
        <w:spacing w:after="0" w:line="17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was $93.6 million for the thirty-nine weeks ended November 3, 2018 compared to $107.5 million for the thirty-nine weeks ended October 28, 2017, a decrease of $13.9 million, or 12.9%. As a percentage of net retail sales, retail gross margin was 41.1% for the thirty-nine weeks ended November 3, 2018 compared to 44.9% for the thirty-nine weeks ended October 28, 2017. This 380 basis-point gross margin decrease was largely driven by the deleverage in fixed occupancy and distributions costs, contraction in merchandise margin due to the higher promotional activity associated with the Pay Your Age events and approximately 70 basis points related to non-cash store impairment charges outside of the U.S. and the adoption of the new revenue recognition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-410210</wp:posOffset>
            </wp:positionV>
            <wp:extent cx="2603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(“SGA”). SGA was $109.3 million for the thirty-nine weeks ended November 3, 2018, compared to $111.2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thirty-nine weeks ended October 28, 2017, a decrease of $1.9 million, or 1.7%. The decrease in SGA was primarily due to reduced advertising spend and lower payroll costs.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(income) was less than $0.1 million for both the thirty-nine weeks ended November 3, 2018 and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28, 2017, respectively.</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The income tax provision was a benefit of $4.4 million with a tax rate of 36.8% for the thirty-nine weeks ended November 3,</w:t>
      </w:r>
      <w:r>
        <w:rPr>
          <w:rFonts w:ascii="Arial" w:cs="Arial" w:eastAsia="Arial" w:hAnsi="Arial"/>
          <w:sz w:val="17"/>
          <w:szCs w:val="17"/>
          <w:i w:val="1"/>
          <w:iCs w:val="1"/>
          <w:color w:val="auto"/>
        </w:rPr>
        <w:t xml:space="preserve"> </w:t>
      </w:r>
      <w:r>
        <w:rPr>
          <w:rFonts w:ascii="Arial" w:cs="Arial" w:eastAsia="Arial" w:hAnsi="Arial"/>
          <w:sz w:val="17"/>
          <w:szCs w:val="17"/>
          <w:color w:val="auto"/>
        </w:rPr>
        <w:t>2018 as compared to income tax expense of $0.2 million with a tax rate of 61.9% for the thirty-nine weeks ended October 28, 2017. In the first thirty-nine weeks of fiscal 2018, the effective tax rate differed from the statutory rate of 21% primarily due to the jurisdictional mix of earnings. In the first thirty-nine weeks of fiscal 2017, the effective tax rate differed from the statutory rate of 34% primarily due to the effect of discrete tax items. The statutory rate decreased to 21% as a result of the enactment of the Tax Cut and Jobs Act on December 22, 2017.</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existing store and e-commerce sales; (3) fluctuations in the profitability of our stores; (4) the timing and frequency of the sales of licensed products tied to major theatrical releases, our marketing initiatives, including national media and other public relations events; (5) changes in foreign currency exchange rates;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6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a retailer that has toy products as part of our revenue model, our sales are highest in our fourth quarter. The timing of holidays and school vacations can impact our quarterly results. We cannot assure you that this will continue to be the case. In addition, for accounting purposes, the quarters of each fiscal year consist of 13 weeks, although we will have a 14-week quarter approximately once every six years. For example, the 2014 fiscal fourth quarter had 14 weeks and the transition period ended February 3, 2018 had five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Our cash requirements are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operating, investing and financing activities are shown in the following table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5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13"/>
              <w:spacing w:after="0" w:line="191" w:lineRule="exact"/>
              <w:rPr>
                <w:sz w:val="20"/>
                <w:szCs w:val="20"/>
                <w:color w:val="auto"/>
              </w:rPr>
            </w:pPr>
            <w:r>
              <w:rPr>
                <w:rFonts w:ascii="Arial" w:cs="Arial" w:eastAsia="Arial" w:hAnsi="Arial"/>
                <w:sz w:val="18"/>
                <w:szCs w:val="18"/>
                <w:b w:val="1"/>
                <w:bCs w:val="1"/>
                <w:color w:val="auto"/>
                <w:w w:val="98"/>
              </w:rPr>
              <w:t>October 28,</w:t>
            </w:r>
          </w:p>
        </w:tc>
        <w:tc>
          <w:tcPr>
            <w:tcW w:w="100" w:type="dxa"/>
            <w:vAlign w:val="bottom"/>
          </w:tcPr>
          <w:p>
            <w:pPr>
              <w:spacing w:after="0"/>
              <w:rPr>
                <w:sz w:val="16"/>
                <w:szCs w:val="16"/>
                <w:color w:val="auto"/>
              </w:rPr>
            </w:pPr>
          </w:p>
        </w:tc>
      </w:tr>
      <w:tr>
        <w:trPr>
          <w:trHeight w:val="234"/>
        </w:trPr>
        <w:tc>
          <w:tcPr>
            <w:tcW w:w="5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(8,769)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(14,201)</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r>
      <w:tr>
        <w:trPr>
          <w:trHeight w:val="20"/>
        </w:trPr>
        <w:tc>
          <w:tcPr>
            <w:tcW w:w="5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210" w:lineRule="exact"/>
              <w:rPr>
                <w:sz w:val="20"/>
                <w:szCs w:val="20"/>
                <w:color w:val="auto"/>
              </w:rPr>
            </w:pPr>
            <w:r>
              <w:rPr>
                <w:rFonts w:ascii="Arial" w:cs="Arial" w:eastAsia="Arial" w:hAnsi="Arial"/>
                <w:sz w:val="14"/>
                <w:szCs w:val="14"/>
                <w:color w:val="auto"/>
              </w:rPr>
              <w:t>(12,868</w:t>
            </w:r>
            <w:r>
              <w:rPr>
                <w:rFonts w:ascii="Arial" w:cs="Arial" w:eastAsia="Arial" w:hAnsi="Arial"/>
                <w:sz w:val="24"/>
                <w:szCs w:val="24"/>
                <w:color w:val="auto"/>
                <w:vertAlign w:val="subscript"/>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line="210" w:lineRule="exact"/>
              <w:rPr>
                <w:sz w:val="20"/>
                <w:szCs w:val="20"/>
                <w:color w:val="auto"/>
              </w:rPr>
            </w:pPr>
            <w:r>
              <w:rPr>
                <w:rFonts w:ascii="Arial" w:cs="Arial" w:eastAsia="Arial" w:hAnsi="Arial"/>
                <w:sz w:val="14"/>
                <w:szCs w:val="14"/>
                <w:color w:val="auto"/>
              </w:rPr>
              <w:t>(16,315</w:t>
            </w:r>
            <w:r>
              <w:rPr>
                <w:rFonts w:ascii="Arial" w:cs="Arial" w:eastAsia="Arial" w:hAnsi="Arial"/>
                <w:sz w:val="24"/>
                <w:szCs w:val="24"/>
                <w:color w:val="auto"/>
                <w:vertAlign w:val="subscript"/>
              </w:rPr>
              <w:t>)</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increased $8.7 million for the thirty-nine weeks ended November 3, 2018,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thirty-nine weeks ended October 28, 2017. This decrease in cash from operating activities was primarily driven by the higher net loss for the thirty-nine weeks ended November 3, 2018 as compared to the thirty-nine weeks ended October 28, 2017.</w:t>
      </w:r>
    </w:p>
    <w:p>
      <w:pPr>
        <w:spacing w:after="0" w:line="181"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decreased $5.4 million for the thirty-nine weeks ended November 3, 2018,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thirty-nine weeks ended October 28, 2017. This decrease in cash from investing activities was primarily driven by a lower use of cash related to store construction and upgrades, and purchases of information technology infrastructure for the thirty-nine weeks ended November 3, 2018 as compared to the thirty-nine weeks ended October 28, 2017.</w:t>
      </w:r>
    </w:p>
    <w:p>
      <w:pPr>
        <w:sectPr>
          <w:pgSz w:w="11900" w:h="16885" w:orient="portrait"/>
          <w:cols w:equalWidth="0" w:num="1">
            <w:col w:w="11420"/>
          </w:cols>
          <w:pgMar w:left="240" w:top="118"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increased $6.6 million for the thirty-nine weeks ended November 3, 2018,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thirty-nine weeks ended October 28, 2017. This increase in cash from financing activities was primarily driven by short-term borrowings of $7.3 million from our line of credit, partially offset by $0.9 million of additional purchases of our common stock for the thirty-nine weeks ended November 3, 2018 as compared to the thirty-nine weeks ended October 28, 2017.</w:t>
      </w:r>
    </w:p>
    <w:p>
      <w:pPr>
        <w:spacing w:after="0" w:line="18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November 3, 2018, we had a consolidated cash balance of $8.6 million and approximately 50% of this balance was domiciled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 United States. We also have a line of credit which we can use to finance capital expenditures and working capital needs throughout the year. On May 4, 2017, we amended the credit agreement, extending the expiration date to December 31, 2018 and increasing the amount of permitted lease and rental payments for personal property from $100,000 to $1.0 million. The bank line provides availability of $35.0 million. Borrowings under the credit agreement are secured by our assets and a pledge of 66% of our ownership interest in certain of our foreign subsidiaries. The credit agreement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and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November 3, 2018: (i) we were in compliance with all covenants; (ii) there were $7.25 million in borrowings under our line of credit; and (iii) there was approximately $27.75 million available for borrowing under the line of credit. We may incur borrowings in amounts that are expected to fluctuate throughout the remainder of the year and all of which we expect to repay before the end of the fiscal year.</w:t>
      </w:r>
    </w:p>
    <w:p>
      <w:pPr>
        <w:spacing w:after="0" w:line="18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fiscal 2018, we expect to spend a total of $14 to $15 million on capital expenditures. Capital spending through the thirty-nine weeks ended November 3, 2018 totaled $8.9 million, on track with our full year plans. Capital spending in fiscal 2018 is expected to primarily support our store activity, including both remodels and new stores, and investments in information technology infrastructure.</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2018.</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August 2017, our Board of Directors authorized a share repurchase program of up to $20 million. This program authorized us to purchase up to $20 million of our common stock in the open market (including through 10b5-1 trading plans), or through privately negotiated transactions. The primary source of funding for the program is expected to be cash on hand. The timing and amount of share repurchases, if any, will depend on price, market conditions, applicable regulatory requirements, and other factors. The program authorizes us to repurchase shares through September 30, 2020, and does not require us to repurchase any specific number of shares, and may be modified, suspended or terminated at any time without prior notice. Shares repurchased under the program will be subsequently retired. From the date of such authorization through November 3, 2018, we have repurchased 1.3 million shares at an average price of $8.75 per share for an aggregate amount of $11.2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15, 2018, which includes audited consolidated financial statements for our 2017, 2016 and 2015 fiscal years. There have been no material changes to the critical accounting estimates disclosed in the 2017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Condensed Consolidated Financial Statements — Basis of Presentation — Recently Issued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December 30, 2017 as filed with the SEC on March 15, 2018.</w:t>
      </w:r>
    </w:p>
    <w:p>
      <w:pPr>
        <w:sectPr>
          <w:pgSz w:w="11900" w:h="16838" w:orient="portrait"/>
          <w:cols w:equalWidth="0" w:num="1">
            <w:col w:w="11400"/>
          </w:cols>
          <w:pgMar w:left="240" w:top="118" w:right="259" w:bottom="595"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595"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November 3, 2018, the end of the period covered by this Quarterly Report.</w:t>
      </w:r>
    </w:p>
    <w:p>
      <w:pPr>
        <w:spacing w:after="0" w:line="18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 Company’s management, with the participation of the Company’s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December 30, 2017 as filed with the Securities and Exchange Commission on March 15,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5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(or Units) that May</w:t>
            </w:r>
          </w:p>
        </w:tc>
      </w:tr>
      <w:tr>
        <w:trPr>
          <w:trHeight w:val="216"/>
        </w:trPr>
        <w:tc>
          <w:tcPr>
            <w:tcW w:w="50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Shares (or Units)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Yet</w:t>
            </w:r>
          </w:p>
        </w:tc>
      </w:tr>
      <w:tr>
        <w:trPr>
          <w:trHeight w:val="221"/>
        </w:trPr>
        <w:tc>
          <w:tcPr>
            <w:tcW w:w="504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(b)</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 as Part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Be Purchased</w:t>
            </w:r>
          </w:p>
        </w:tc>
      </w:tr>
      <w:tr>
        <w:trPr>
          <w:trHeight w:val="216"/>
        </w:trPr>
        <w:tc>
          <w:tcPr>
            <w:tcW w:w="50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of Publicly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Under</w:t>
            </w:r>
          </w:p>
        </w:tc>
      </w:tr>
      <w:tr>
        <w:trPr>
          <w:trHeight w:val="216"/>
        </w:trPr>
        <w:tc>
          <w:tcPr>
            <w:tcW w:w="504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(or Units)</w:t>
            </w:r>
          </w:p>
        </w:tc>
        <w:tc>
          <w:tcPr>
            <w:tcW w:w="12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Paid 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Announced Plans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r>
      <w:tr>
        <w:trPr>
          <w:trHeight w:val="270"/>
        </w:trPr>
        <w:tc>
          <w:tcPr>
            <w:tcW w:w="50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400" w:type="dxa"/>
            <w:vAlign w:val="bottom"/>
            <w:gridSpan w:val="2"/>
          </w:tcPr>
          <w:p>
            <w:pPr>
              <w:jc w:val="center"/>
              <w:ind w:right="120"/>
              <w:spacing w:after="0" w:line="269" w:lineRule="exact"/>
              <w:rPr>
                <w:sz w:val="20"/>
                <w:szCs w:val="20"/>
                <w:color w:val="auto"/>
              </w:rPr>
            </w:pPr>
            <w:r>
              <w:rPr>
                <w:rFonts w:ascii="Arial" w:cs="Arial" w:eastAsia="Arial" w:hAnsi="Arial"/>
                <w:sz w:val="18"/>
                <w:szCs w:val="18"/>
                <w:b w:val="1"/>
                <w:bCs w:val="1"/>
                <w:color w:val="auto"/>
                <w:w w:val="85"/>
              </w:rPr>
              <w:t xml:space="preserve">Purchased </w:t>
            </w:r>
            <w:r>
              <w:rPr>
                <w:rFonts w:ascii="Arial" w:cs="Arial" w:eastAsia="Arial" w:hAnsi="Arial"/>
                <w:sz w:val="30"/>
                <w:szCs w:val="30"/>
                <w:b w:val="1"/>
                <w:bCs w:val="1"/>
                <w:color w:val="auto"/>
                <w:w w:val="85"/>
                <w:vertAlign w:val="superscript"/>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(or Unit)</w:t>
            </w:r>
          </w:p>
        </w:tc>
        <w:tc>
          <w:tcPr>
            <w:tcW w:w="158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87"/>
              </w:rPr>
              <w:t xml:space="preserve">or Programs </w:t>
            </w:r>
            <w:r>
              <w:rPr>
                <w:rFonts w:ascii="Arial" w:cs="Arial" w:eastAsia="Arial" w:hAnsi="Arial"/>
                <w:sz w:val="30"/>
                <w:szCs w:val="30"/>
                <w:b w:val="1"/>
                <w:bCs w:val="1"/>
                <w:color w:val="auto"/>
                <w:w w:val="87"/>
                <w:vertAlign w:val="superscript"/>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center"/>
              <w:ind w:right="200"/>
              <w:spacing w:after="0" w:line="269" w:lineRule="exact"/>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30"/>
                <w:szCs w:val="30"/>
                <w:b w:val="1"/>
                <w:bCs w:val="1"/>
                <w:color w:val="auto"/>
                <w:w w:val="86"/>
                <w:vertAlign w:val="superscript"/>
              </w:rPr>
              <w:t>(2)</w:t>
            </w:r>
          </w:p>
        </w:tc>
      </w:tr>
      <w:tr>
        <w:trPr>
          <w:trHeight w:val="210"/>
        </w:trPr>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Aug. 5, 2018 – Sep. 1, 2018</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79"/>
              </w:rPr>
              <w:t>8.35</w:t>
            </w:r>
          </w:p>
        </w:tc>
        <w:tc>
          <w:tcPr>
            <w:tcW w:w="22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9,293,740</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Sep. 2, 2018 – Oct. 6, 2018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8.47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8,897,650</w:t>
            </w: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Oct. 7, 2017 – Nov. 3, 2018</w:t>
            </w:r>
          </w:p>
        </w:tc>
        <w:tc>
          <w:tcPr>
            <w:tcW w:w="1280" w:type="dxa"/>
            <w:vAlign w:val="bottom"/>
          </w:tcPr>
          <w:p>
            <w:pPr>
              <w:jc w:val="right"/>
              <w:spacing w:after="0"/>
              <w:rPr>
                <w:sz w:val="20"/>
                <w:szCs w:val="20"/>
                <w:color w:val="auto"/>
              </w:rPr>
            </w:pPr>
            <w:r>
              <w:rPr>
                <w:rFonts w:ascii="Arial" w:cs="Arial" w:eastAsia="Arial" w:hAnsi="Arial"/>
                <w:sz w:val="18"/>
                <w:szCs w:val="18"/>
                <w:color w:val="auto"/>
              </w:rPr>
              <w:t>12,620</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60"/>
              <w:spacing w:after="0"/>
              <w:rPr>
                <w:sz w:val="20"/>
                <w:szCs w:val="20"/>
                <w:color w:val="auto"/>
              </w:rPr>
            </w:pPr>
            <w:r>
              <w:rPr>
                <w:rFonts w:ascii="Arial" w:cs="Arial" w:eastAsia="Arial" w:hAnsi="Arial"/>
                <w:sz w:val="18"/>
                <w:szCs w:val="18"/>
                <w:color w:val="auto"/>
              </w:rPr>
              <w:t>8.17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8,795,529</w:t>
            </w:r>
          </w:p>
        </w:tc>
      </w:tr>
      <w:tr>
        <w:trPr>
          <w:trHeight w:val="20"/>
        </w:trPr>
        <w:tc>
          <w:tcPr>
            <w:tcW w:w="50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59,678</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8.41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59,268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8,795,529</w:t>
            </w:r>
          </w:p>
        </w:tc>
      </w:tr>
      <w:tr>
        <w:trPr>
          <w:trHeight w:val="20"/>
        </w:trPr>
        <w:tc>
          <w:tcPr>
            <w:tcW w:w="50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340" w:right="160" w:hanging="332"/>
        <w:spacing w:after="0" w:line="256"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340" w:right="60" w:hanging="332"/>
        <w:spacing w:after="0" w:line="25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 of shares, and may be modified, suspended or terminated at any time without prior notice. Shares repurchased under the program will be subsequently retired.</w:t>
      </w:r>
    </w:p>
    <w:p>
      <w:pPr>
        <w:sectPr>
          <w:pgSz w:w="11900" w:h="16838" w:orient="portrait"/>
          <w:cols w:equalWidth="0" w:num="1">
            <w:col w:w="11420"/>
          </w:cols>
          <w:pgMar w:left="240" w:top="118"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gridSpan w:val="10"/>
          </w:tcPr>
          <w:p>
            <w:pPr>
              <w:ind w:left="11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380" w:type="dxa"/>
            <w:vAlign w:val="bottom"/>
            <w:gridSpan w:val="14"/>
          </w:tcPr>
          <w:p>
            <w:pPr>
              <w:spacing w:after="0"/>
              <w:rPr>
                <w:rFonts w:ascii="Arial" w:cs="Arial" w:eastAsia="Arial" w:hAnsi="Arial"/>
                <w:sz w:val="18"/>
                <w:szCs w:val="18"/>
                <w:color w:val="0000EE"/>
                <w:w w:val="94"/>
              </w:rPr>
            </w:pPr>
            <w:hyperlink r:id="rId38">
              <w:r>
                <w:rPr>
                  <w:rFonts w:ascii="Arial" w:cs="Arial" w:eastAsia="Arial" w:hAnsi="Arial"/>
                  <w:sz w:val="18"/>
                  <w:szCs w:val="18"/>
                  <w:color w:val="0000EE"/>
                  <w:w w:val="94"/>
                </w:rPr>
                <w:t>Agreement and Plan of Merger dated April 3, 2000 between Build-A-Bear Workshop, L.L.C. and the Registrant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from Exhibit 2.1 to our Registration Statement on Form S-1, filed on August 12, 2004, Registration No. 333-118142)</w:t>
              </w:r>
            </w:hyperlink>
          </w:p>
        </w:tc>
        <w:tc>
          <w:tcPr>
            <w:tcW w:w="1560" w:type="dxa"/>
            <w:vAlign w:val="bottom"/>
            <w:tcBorders>
              <w:top w:val="single" w:sz="8" w:color="0000EE"/>
            </w:tcBorders>
            <w:gridSpan w:val="3"/>
          </w:tcPr>
          <w:p>
            <w:pPr>
              <w:spacing w:after="0"/>
              <w:rPr>
                <w:sz w:val="17"/>
                <w:szCs w:val="17"/>
                <w:color w:val="auto"/>
              </w:rPr>
            </w:pPr>
          </w:p>
        </w:tc>
        <w:tc>
          <w:tcPr>
            <w:tcW w:w="360" w:type="dxa"/>
            <w:vAlign w:val="bottom"/>
            <w:gridSpan w:val="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60" w:type="dxa"/>
            <w:vAlign w:val="bottom"/>
            <w:tcBorders>
              <w:bottom w:val="single" w:sz="8" w:color="0000EE"/>
            </w:tcBorders>
            <w:gridSpan w:val="13"/>
          </w:tcPr>
          <w:p>
            <w:pPr>
              <w:spacing w:after="0"/>
              <w:rPr>
                <w:rFonts w:ascii="Arial" w:cs="Arial" w:eastAsia="Arial" w:hAnsi="Arial"/>
                <w:sz w:val="18"/>
                <w:szCs w:val="18"/>
                <w:color w:val="0000EE"/>
                <w:w w:val="92"/>
              </w:rPr>
            </w:pPr>
            <w:hyperlink r:id="rId39">
              <w:r>
                <w:rPr>
                  <w:rFonts w:ascii="Arial" w:cs="Arial" w:eastAsia="Arial" w:hAnsi="Arial"/>
                  <w:sz w:val="18"/>
                  <w:szCs w:val="18"/>
                  <w:color w:val="0000EE"/>
                  <w:w w:val="92"/>
                </w:rPr>
                <w:t>Third Amended and Restated Certificate of Incorporation (incorporated by reference from Exhibit 3.1 of our Current Report on Form 8-K, filed</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4"/>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on November 11, 2004)</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Amended and Restated Bylaws, as amended through February 23, 2016 (incorporated by reference from Exhibit 3.1 of our Current Report on</w:t>
              </w:r>
            </w:hyperlink>
          </w:p>
        </w:tc>
        <w:tc>
          <w:tcPr>
            <w:tcW w:w="1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Form 8-K, filed on February 24, 2016)</w:t>
              </w:r>
            </w:hyperlink>
          </w:p>
        </w:tc>
        <w:tc>
          <w:tcPr>
            <w:tcW w:w="7580" w:type="dxa"/>
            <w:vAlign w:val="bottom"/>
            <w:gridSpan w:val="11"/>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80" w:type="dxa"/>
            <w:vAlign w:val="bottom"/>
            <w:tcBorders>
              <w:bottom w:val="single" w:sz="8" w:color="0000EE"/>
            </w:tcBorders>
            <w:gridSpan w:val="11"/>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Specimen Stock Certificate (incorporated by reference from Exhibit 4.1 to Amendment No. 3 to our Registration Statement on Form S-1, filed</w:t>
              </w:r>
            </w:hyperlink>
          </w:p>
        </w:tc>
        <w:tc>
          <w:tcPr>
            <w:tcW w:w="1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4"/>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on October 1, 2004, Registration No. 333-118142)</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Rule 13a-14(a)/15d-14(a) certification (pursuant to Section 302 of the Sarbanes-Oxley Act of 2002, executed by the President and Chief</w:t>
              </w:r>
            </w:hyperlink>
          </w:p>
        </w:tc>
        <w:tc>
          <w:tcPr>
            <w:tcW w:w="56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Executive Officer)</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940" w:type="dxa"/>
            <w:vAlign w:val="bottom"/>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Rule 13a-14(a)/15d-14(a) certification (pursuant to Section 302 of the Sarbanes-Oxley Act of 2002, executed by the Chief Financial Officer)</w:t>
              </w:r>
            </w:hyperlink>
          </w:p>
        </w:tc>
        <w:tc>
          <w:tcPr>
            <w:tcW w:w="240" w:type="dxa"/>
            <w:vAlign w:val="bottom"/>
            <w:gridSpan w:val="5"/>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gridSpan w:val="14"/>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Section 1350 Certification (pursuant to Section 906 of the Sarbanes-Oxley Act of 2002, executed by the President and Chief Executive Officer)</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2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Section 1350 Certification (pursuant to Section 906 of the Sarbanes-Oxley Act of 2002, executed by the Chief Financial Officer)</w:t>
              </w:r>
            </w:hyperlink>
          </w:p>
        </w:tc>
        <w:tc>
          <w:tcPr>
            <w:tcW w:w="1060" w:type="dxa"/>
            <w:vAlign w:val="bottom"/>
            <w:tcBorders>
              <w:top w:val="single" w:sz="8" w:color="0000EE"/>
            </w:tcBorders>
            <w:gridSpan w:val="6"/>
          </w:tcPr>
          <w:p>
            <w:pPr>
              <w:spacing w:after="0"/>
              <w:rPr>
                <w:sz w:val="24"/>
                <w:szCs w:val="24"/>
                <w:color w:val="auto"/>
              </w:rPr>
            </w:pPr>
          </w:p>
        </w:tc>
        <w:tc>
          <w:tcPr>
            <w:tcW w:w="40" w:type="dxa"/>
            <w:vAlign w:val="bottom"/>
            <w:gridSpan w:val="2"/>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380" w:type="dxa"/>
            <w:vAlign w:val="bottom"/>
            <w:gridSpan w:val="14"/>
          </w:tcPr>
          <w:p>
            <w:pPr>
              <w:spacing w:after="0"/>
              <w:rPr>
                <w:sz w:val="20"/>
                <w:szCs w:val="20"/>
                <w:color w:val="auto"/>
              </w:rPr>
            </w:pPr>
            <w:r>
              <w:rPr>
                <w:rFonts w:ascii="Arial" w:cs="Arial" w:eastAsia="Arial" w:hAnsi="Arial"/>
                <w:sz w:val="18"/>
                <w:szCs w:val="18"/>
                <w:color w:val="auto"/>
              </w:rPr>
              <w:t>XBRL Instance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380" w:type="dxa"/>
            <w:vAlign w:val="bottom"/>
            <w:gridSpan w:val="14"/>
          </w:tcPr>
          <w:p>
            <w:pPr>
              <w:spacing w:after="0"/>
              <w:rPr>
                <w:sz w:val="20"/>
                <w:szCs w:val="20"/>
                <w:color w:val="auto"/>
              </w:rPr>
            </w:pPr>
            <w:r>
              <w:rPr>
                <w:rFonts w:ascii="Arial" w:cs="Arial" w:eastAsia="Arial" w:hAnsi="Arial"/>
                <w:sz w:val="18"/>
                <w:szCs w:val="18"/>
                <w:color w:val="auto"/>
              </w:rPr>
              <w:t>XBRL Extension Schema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0380" w:type="dxa"/>
            <w:vAlign w:val="bottom"/>
            <w:gridSpan w:val="14"/>
          </w:tcPr>
          <w:p>
            <w:pPr>
              <w:spacing w:after="0"/>
              <w:rPr>
                <w:sz w:val="20"/>
                <w:szCs w:val="20"/>
                <w:color w:val="auto"/>
              </w:rPr>
            </w:pPr>
            <w:r>
              <w:rPr>
                <w:rFonts w:ascii="Arial" w:cs="Arial" w:eastAsia="Arial" w:hAnsi="Arial"/>
                <w:sz w:val="18"/>
                <w:szCs w:val="18"/>
                <w:color w:val="auto"/>
              </w:rPr>
              <w:t>XBRL Extension Calculation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0380" w:type="dxa"/>
            <w:vAlign w:val="bottom"/>
            <w:gridSpan w:val="14"/>
          </w:tcPr>
          <w:p>
            <w:pPr>
              <w:spacing w:after="0"/>
              <w:rPr>
                <w:sz w:val="20"/>
                <w:szCs w:val="20"/>
                <w:color w:val="auto"/>
              </w:rPr>
            </w:pPr>
            <w:r>
              <w:rPr>
                <w:rFonts w:ascii="Arial" w:cs="Arial" w:eastAsia="Arial" w:hAnsi="Arial"/>
                <w:sz w:val="18"/>
                <w:szCs w:val="18"/>
                <w:color w:val="auto"/>
              </w:rPr>
              <w:t>XBRL Extension Definition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0380" w:type="dxa"/>
            <w:vAlign w:val="bottom"/>
            <w:gridSpan w:val="14"/>
          </w:tcPr>
          <w:p>
            <w:pPr>
              <w:spacing w:after="0"/>
              <w:rPr>
                <w:sz w:val="20"/>
                <w:szCs w:val="20"/>
                <w:color w:val="auto"/>
              </w:rPr>
            </w:pPr>
            <w:r>
              <w:rPr>
                <w:rFonts w:ascii="Arial" w:cs="Arial" w:eastAsia="Arial" w:hAnsi="Arial"/>
                <w:sz w:val="18"/>
                <w:szCs w:val="18"/>
                <w:color w:val="auto"/>
              </w:rPr>
              <w:t>XBRL Extension Label</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0380" w:type="dxa"/>
            <w:vAlign w:val="bottom"/>
            <w:gridSpan w:val="14"/>
          </w:tcPr>
          <w:p>
            <w:pPr>
              <w:spacing w:after="0"/>
              <w:rPr>
                <w:sz w:val="20"/>
                <w:szCs w:val="20"/>
                <w:color w:val="auto"/>
              </w:rPr>
            </w:pPr>
            <w:r>
              <w:rPr>
                <w:rFonts w:ascii="Arial" w:cs="Arial" w:eastAsia="Arial" w:hAnsi="Arial"/>
                <w:sz w:val="18"/>
                <w:szCs w:val="18"/>
                <w:color w:val="auto"/>
              </w:rPr>
              <w:t>XBRL Extension Presentation</w:t>
            </w:r>
          </w:p>
        </w:tc>
      </w:tr>
      <w:tr>
        <w:trPr>
          <w:trHeight w:val="432"/>
        </w:trPr>
        <w:tc>
          <w:tcPr>
            <w:tcW w:w="920" w:type="dxa"/>
            <w:vAlign w:val="bottom"/>
          </w:tcPr>
          <w:p>
            <w:pPr>
              <w:spacing w:after="0"/>
              <w:rPr>
                <w:sz w:val="24"/>
                <w:szCs w:val="24"/>
                <w:color w:val="auto"/>
              </w:rPr>
            </w:pPr>
          </w:p>
        </w:tc>
        <w:tc>
          <w:tcPr>
            <w:tcW w:w="8580" w:type="dxa"/>
            <w:vAlign w:val="bottom"/>
            <w:gridSpan w:val="6"/>
          </w:tcPr>
          <w:p>
            <w:pPr>
              <w:jc w:val="right"/>
              <w:ind w:right="3610"/>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2018</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2992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and Chief Executive Officer (on behalf of</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the registrant and as principal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Voin Todorovic</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29927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118"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2018</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2018</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November 3, 2018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2018</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November 3, 2018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38" Type="http://schemas.openxmlformats.org/officeDocument/2006/relationships/hyperlink" Target="http://www.sec.gov/Archives/edgar/data/1113809/000095013704006634/c86750exv2w1.txt" TargetMode="External"/><Relationship Id="rId39" Type="http://schemas.openxmlformats.org/officeDocument/2006/relationships/hyperlink" Target="http://www.sec.gov/Archives/edgar/data/1113809/000095013804000748/exh3-1.htm" TargetMode="External"/><Relationship Id="rId40" Type="http://schemas.openxmlformats.org/officeDocument/2006/relationships/hyperlink" Target="http://www.sec.gov/Archives/edgar/data/1113809/000115752316004713/a51286063ex3_1.htm" TargetMode="External"/><Relationship Id="rId41"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2019-12-28T17:19:10Z</dcterms:created>
  <dcterms:modified xsi:type="dcterms:W3CDTF">2019-12-28T17:19:10Z</dcterms:modified>
</cp:coreProperties>
</file>