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bw20260801c_10q.htm"/>
      <w:bookmarkStart w:id="1" w:name="ksbbw20260801c_10q"/>
      <w:bookmarkEnd w:id="0"/>
      <w:bookmarkEnd w:id="1"/>
      <w:r>
        <w:rPr/>
        <w:t xml:space="preserve">  </w:t>
      </w:r>
    </w:p>
    <w:p>
      <w:pPr>
        <w:pStyle w:val="TextBody"/>
        <w:bidi w:val="0"/>
        <w:spacing w:before="0" w:after="0"/>
        <w:ind w:left="0" w:right="0" w:hanging="0"/>
        <w:jc w:val="right"/>
        <w:rPr/>
      </w:pPr>
      <w:r>
        <w:rPr/>
        <w:t>  </w:t>
      </w:r>
    </w:p>
    <w:p>
      <w:pPr>
        <w:pStyle w:val="TextBody"/>
        <w:bidi w:val="0"/>
        <w:spacing w:before="0" w:after="283"/>
        <w:jc w:val="left"/>
        <w:rPr/>
      </w:pPr>
      <w:r>
        <w:rPr/>
        <w:t xml:space="preserve">  </w:t>
      </w:r>
    </w:p>
    <w:p>
      <w:pPr>
        <w:pStyle w:val="TextBody"/>
        <w:bidi w:val="0"/>
        <w:spacing w:before="0" w:after="0"/>
        <w:ind w:left="0" w:right="0" w:hanging="0"/>
        <w:jc w:val="righ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UNITED STATES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SECURITIES AND EXCHANGE COMMISSION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FORM 10-Q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(Mark One)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r>
        <w:trPr/>
        <w:tc>
          <w:tcPr>
            <w:tcW w:w="230" w:type="dxa"/>
            <w:tcBorders/>
            <w:vAlign w:val="center"/>
          </w:tcPr>
          <w:p>
            <w:pPr>
              <w:pStyle w:val="TableContents"/>
              <w:bidi w:val="0"/>
              <w:spacing w:before="0" w:after="0"/>
              <w:ind w:left="0" w:right="0" w:hanging="0"/>
              <w:jc w:val="left"/>
              <w:rPr/>
            </w:pPr>
            <w:r>
              <w:rPr/>
              <w:t> </w:t>
            </w:r>
          </w:p>
        </w:tc>
        <w:tc>
          <w:tcPr>
            <w:tcW w:w="741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pPr>
            <w:r>
              <w:rPr/>
              <w:t> </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August 1, 2026</w:t>
            </w:r>
          </w:p>
        </w:tc>
      </w:tr>
    </w:tbl>
    <w:p>
      <w:pPr>
        <w:pStyle w:val="TextBody"/>
        <w:bidi w:val="0"/>
        <w:spacing w:before="0" w:after="0"/>
        <w:ind w:left="144" w:right="144"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OR </w:t>
      </w:r>
    </w:p>
    <w:p>
      <w:pPr>
        <w:pStyle w:val="TextBody"/>
        <w:bidi w:val="0"/>
        <w:spacing w:before="0" w:after="0"/>
        <w:ind w:left="144" w:right="144" w:hanging="0"/>
        <w:jc w:val="left"/>
        <w:rPr/>
      </w:pPr>
      <w:r>
        <w:rPr/>
        <w:t> </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r>
        <w:trPr/>
        <w:tc>
          <w:tcPr>
            <w:tcW w:w="230" w:type="dxa"/>
            <w:tcBorders/>
            <w:vAlign w:val="center"/>
          </w:tcPr>
          <w:p>
            <w:pPr>
              <w:pStyle w:val="TableContents"/>
              <w:bidi w:val="0"/>
              <w:spacing w:before="0" w:after="0"/>
              <w:ind w:left="0" w:right="0" w:hanging="0"/>
              <w:jc w:val="left"/>
              <w:rPr/>
            </w:pPr>
            <w:r>
              <w:rPr/>
              <w:t> </w:t>
            </w:r>
          </w:p>
        </w:tc>
        <w:tc>
          <w:tcPr>
            <w:tcW w:w="746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pPr>
            <w:r>
              <w:rPr/>
              <w:t> </w:t>
            </w:r>
          </w:p>
        </w:tc>
        <w:tc>
          <w:tcPr>
            <w:tcW w:w="7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u w:val="single"/>
              </w:rPr>
              <w:t>             </w:t>
            </w:r>
          </w:p>
        </w:tc>
      </w:tr>
    </w:tbl>
    <w:p>
      <w:pPr>
        <w:pStyle w:val="TextBody"/>
        <w:bidi w:val="0"/>
        <w:spacing w:before="0" w:after="0"/>
        <w:ind w:left="144" w:right="144"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001-32320</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 xml:space="preserve">BUILD-A-BEAR WORKSHOP,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tbl>
      <w:tblPr>
        <w:tblW w:w="4255" w:type="dxa"/>
        <w:jc w:val="left"/>
        <w:tblInd w:w="0" w:type="dxa"/>
        <w:tblLayout w:type="fixed"/>
        <w:tblCellMar>
          <w:top w:w="0" w:type="dxa"/>
          <w:left w:w="0" w:type="dxa"/>
          <w:bottom w:w="0" w:type="dxa"/>
          <w:right w:w="0" w:type="dxa"/>
        </w:tblCellMar>
      </w:tblPr>
      <w:tblGrid>
        <w:gridCol w:w="2705"/>
        <w:gridCol w:w="1550"/>
      </w:tblGrid>
      <w:tr>
        <w:trPr/>
        <w:tc>
          <w:tcPr>
            <w:tcW w:w="27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43-1883836</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1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0" w:after="0"/>
        <w:ind w:left="144" w:right="144" w:hanging="0"/>
        <w:jc w:val="left"/>
        <w:rPr/>
      </w:pPr>
      <w:r>
        <w:rPr/>
        <w:t> </w:t>
      </w:r>
    </w:p>
    <w:tbl>
      <w:tblPr>
        <w:tblW w:w="4300" w:type="dxa"/>
        <w:jc w:val="left"/>
        <w:tblInd w:w="0" w:type="dxa"/>
        <w:tblLayout w:type="fixed"/>
        <w:tblCellMar>
          <w:top w:w="0" w:type="dxa"/>
          <w:left w:w="0" w:type="dxa"/>
          <w:bottom w:w="0" w:type="dxa"/>
          <w:right w:w="0" w:type="dxa"/>
        </w:tblCellMar>
      </w:tblPr>
      <w:tblGrid>
        <w:gridCol w:w="3380"/>
        <w:gridCol w:w="920"/>
      </w:tblGrid>
      <w:tr>
        <w:trPr/>
        <w:tc>
          <w:tcPr>
            <w:tcW w:w="338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415 South 18th St.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 Louis, Missouri</w:t>
            </w:r>
          </w:p>
        </w:tc>
        <w:tc>
          <w:tcPr>
            <w:tcW w:w="9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63103</w:t>
            </w:r>
          </w:p>
        </w:tc>
      </w:tr>
      <w:tr>
        <w:trPr/>
        <w:tc>
          <w:tcPr>
            <w:tcW w:w="33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(314) 423-8000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Securities registered pursuant to Section 12(b) of the Act:</w:t>
      </w:r>
    </w:p>
    <w:tbl>
      <w:tblPr>
        <w:tblW w:w="6420" w:type="dxa"/>
        <w:jc w:val="left"/>
        <w:tblInd w:w="0" w:type="dxa"/>
        <w:tblLayout w:type="fixed"/>
        <w:tblCellMar>
          <w:top w:w="0" w:type="dxa"/>
          <w:left w:w="0" w:type="dxa"/>
          <w:bottom w:w="28" w:type="dxa"/>
          <w:right w:w="0" w:type="dxa"/>
        </w:tblCellMar>
      </w:tblPr>
      <w:tblGrid>
        <w:gridCol w:w="1490"/>
        <w:gridCol w:w="1340"/>
        <w:gridCol w:w="3590"/>
      </w:tblGrid>
      <w:tr>
        <w:trPr/>
        <w:tc>
          <w:tcPr>
            <w:tcW w:w="14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3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BBW</w:t>
            </w:r>
          </w:p>
        </w:tc>
        <w:tc>
          <w:tcPr>
            <w:tcW w:w="359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144" w:right="144" w:firstLine="720"/>
        <w:jc w:val="left"/>
        <w:rPr/>
      </w:pPr>
      <w:r>
        <w:rPr/>
        <w:t> </w:t>
      </w:r>
    </w:p>
    <w:tbl>
      <w:tblPr>
        <w:tblW w:w="4540" w:type="dxa"/>
        <w:jc w:val="left"/>
        <w:tblInd w:w="0" w:type="dxa"/>
        <w:tblLayout w:type="fixed"/>
        <w:tblCellMar>
          <w:top w:w="0" w:type="dxa"/>
          <w:left w:w="0" w:type="dxa"/>
          <w:bottom w:w="0" w:type="dxa"/>
          <w:right w:w="0" w:type="dxa"/>
        </w:tblCellMar>
      </w:tblPr>
      <w:tblGrid>
        <w:gridCol w:w="2090"/>
        <w:gridCol w:w="2450"/>
      </w:tblGrid>
      <w:tr>
        <w:trPr/>
        <w:tc>
          <w:tcPr>
            <w:tcW w:w="2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090" w:type="dxa"/>
            <w:tcBorders/>
            <w:vAlign w:val="center"/>
          </w:tcPr>
          <w:p>
            <w:pPr>
              <w:pStyle w:val="TableContents"/>
              <w:bidi w:val="0"/>
              <w:spacing w:before="0" w:after="0"/>
              <w:ind w:left="0" w:right="0" w:hanging="0"/>
              <w:jc w:val="left"/>
              <w:rPr/>
            </w:pPr>
            <w:r>
              <w:rPr/>
              <w:t> </w:t>
            </w:r>
          </w:p>
        </w:tc>
        <w:tc>
          <w:tcPr>
            <w:tcW w:w="2450" w:type="dxa"/>
            <w:tcBorders/>
            <w:vAlign w:val="center"/>
          </w:tcPr>
          <w:p>
            <w:pPr>
              <w:pStyle w:val="TableContents"/>
              <w:bidi w:val="0"/>
              <w:spacing w:before="0" w:after="0"/>
              <w:ind w:left="0" w:right="0" w:hanging="0"/>
              <w:jc w:val="left"/>
              <w:rPr/>
            </w:pPr>
            <w:r>
              <w:rPr/>
              <w:t> </w:t>
            </w:r>
          </w:p>
        </w:tc>
      </w:tr>
      <w:tr>
        <w:trPr/>
        <w:tc>
          <w:tcPr>
            <w:tcW w:w="20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90" w:type="dxa"/>
            <w:tcBorders/>
            <w:vAlign w:val="center"/>
          </w:tcPr>
          <w:p>
            <w:pPr>
              <w:pStyle w:val="TableContents"/>
              <w:bidi w:val="0"/>
              <w:spacing w:before="0" w:after="0"/>
              <w:ind w:left="0" w:right="0" w:hanging="0"/>
              <w:jc w:val="left"/>
              <w:rPr/>
            </w:pPr>
            <w:r>
              <w:rPr/>
              <w:t> </w:t>
            </w:r>
          </w:p>
        </w:tc>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8, 2026, there were 12,319,335 issued and outstanding shares of the registrant’s common stock.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144" w:right="144" w:hanging="0"/>
        <w:jc w:val="center"/>
        <w:rPr>
          <w:rFonts w:ascii="Times New Roman;Times;serif" w:hAnsi="Times New Roman;Times;serif"/>
          <w:b/>
          <w:sz w:val="20"/>
        </w:rPr>
      </w:pPr>
      <w:bookmarkStart w:id="2" w:name="toc"/>
      <w:bookmarkEnd w:id="2"/>
      <w:r>
        <w:rPr>
          <w:rFonts w:ascii="Times New Roman;Times;serif" w:hAnsi="Times New Roman;Times;serif"/>
          <w:b/>
          <w:sz w:val="20"/>
        </w:rPr>
        <w:t xml:space="preserve">BUILD-A-BEAR WORKSHOP, INC.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INDEX TO FORM 10-Q </w:t>
      </w:r>
    </w:p>
    <w:p>
      <w:pPr>
        <w:pStyle w:val="TextBody"/>
        <w:bidi w:val="0"/>
        <w:spacing w:before="0" w:after="0"/>
        <w:ind w:left="144" w:right="144" w:hanging="0"/>
        <w:jc w:val="left"/>
        <w:rPr/>
      </w:pPr>
      <w:r>
        <w:rPr/>
        <w:t> </w:t>
      </w:r>
    </w:p>
    <w:tbl>
      <w:tblPr>
        <w:tblW w:w="8430" w:type="dxa"/>
        <w:jc w:val="left"/>
        <w:tblInd w:w="0" w:type="dxa"/>
        <w:tblLayout w:type="fixed"/>
        <w:tblCellMar>
          <w:top w:w="0" w:type="dxa"/>
          <w:left w:w="0" w:type="dxa"/>
          <w:bottom w:w="0" w:type="dxa"/>
          <w:right w:w="0" w:type="dxa"/>
        </w:tblCellMar>
      </w:tblPr>
      <w:tblGrid>
        <w:gridCol w:w="740"/>
        <w:gridCol w:w="7280"/>
        <w:gridCol w:w="410"/>
      </w:tblGrid>
      <w:tr>
        <w:trPr/>
        <w:tc>
          <w:tcPr>
            <w:tcW w:w="8020" w:type="dxa"/>
            <w:gridSpan w:val="2"/>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Page</w:t>
            </w:r>
          </w:p>
        </w:tc>
      </w:tr>
      <w:tr>
        <w:trPr/>
        <w:tc>
          <w:tcPr>
            <w:tcW w:w="80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 Financial Information</w:t>
            </w:r>
          </w:p>
        </w:tc>
        <w:tc>
          <w:tcPr>
            <w:tcW w:w="410" w:type="dxa"/>
            <w:tcBorders/>
            <w:shd w:fill="CCEEFF" w:val="clear"/>
            <w:vAlign w:val="center"/>
          </w:tcPr>
          <w:p>
            <w:pPr>
              <w:pStyle w:val="TableContents"/>
              <w:bidi w:val="0"/>
              <w:spacing w:before="0" w:after="0"/>
              <w:ind w:left="0" w:right="0" w:hanging="0"/>
              <w:jc w:val="center"/>
              <w:rPr/>
            </w:pPr>
            <w:r>
              <w:rPr/>
              <w:t> </w:t>
            </w:r>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r>
      <w:tr>
        <w:trPr/>
        <w:tc>
          <w:tcPr>
            <w:tcW w:w="740" w:type="dxa"/>
            <w:tcBorders/>
            <w:shd w:fill="CCEEFF" w:val="clear"/>
            <w:vAlign w:val="center"/>
          </w:tcPr>
          <w:p>
            <w:pPr>
              <w:pStyle w:val="TableContents"/>
              <w:bidi w:val="0"/>
              <w:spacing w:before="0" w:after="0"/>
              <w:ind w:left="180" w:right="0" w:hanging="0"/>
              <w:jc w:val="left"/>
              <w:rPr/>
            </w:pPr>
            <w:hyperlink w:anchor="bs">
              <w:r>
                <w:rPr>
                  <w:rStyle w:val="InternetLink"/>
                  <w:rFonts w:ascii="Times New Roman;Times;serif" w:hAnsi="Times New Roman;Times;serif"/>
                  <w:sz w:val="20"/>
                </w:rPr>
                <w:t>Item 1.</w:t>
              </w:r>
            </w:hyperlink>
          </w:p>
        </w:tc>
        <w:tc>
          <w:tcPr>
            <w:tcW w:w="7280" w:type="dxa"/>
            <w:tcBorders/>
            <w:shd w:fill="CCEEFF" w:val="clear"/>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Financial Statements (Unaudited)</w:t>
              </w:r>
            </w:hyperlink>
          </w:p>
        </w:tc>
        <w:tc>
          <w:tcPr>
            <w:tcW w:w="410" w:type="dxa"/>
            <w:tcBorders/>
            <w:shd w:fill="CCEEFF" w:val="clear"/>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sz w:val="20"/>
                </w:rPr>
                <w:t>4</w:t>
              </w:r>
            </w:hyperlink>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540" w:right="0" w:hanging="0"/>
              <w:jc w:val="left"/>
              <w:rPr/>
            </w:pPr>
            <w:hyperlink w:anchor="bs">
              <w:r>
                <w:rPr>
                  <w:rStyle w:val="InternetLink"/>
                  <w:rFonts w:ascii="Times New Roman;Times;serif" w:hAnsi="Times New Roman;Times;serif"/>
                  <w:sz w:val="20"/>
                </w:rPr>
                <w:t>Condensed Consolidated Balance Sheets</w:t>
              </w:r>
            </w:hyperlink>
          </w:p>
        </w:tc>
        <w:tc>
          <w:tcPr>
            <w:tcW w:w="410" w:type="dxa"/>
            <w:tcBorders/>
            <w:shd w:fill="FFFFFF" w:val="clear"/>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sz w:val="20"/>
                </w:rPr>
                <w:t>4</w:t>
              </w:r>
            </w:hyperlink>
          </w:p>
        </w:tc>
      </w:tr>
      <w:tr>
        <w:trPr/>
        <w:tc>
          <w:tcPr>
            <w:tcW w:w="74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540" w:right="0" w:hanging="0"/>
              <w:jc w:val="left"/>
              <w:rPr/>
            </w:pPr>
            <w:hyperlink w:anchor="income">
              <w:r>
                <w:rPr>
                  <w:rStyle w:val="InternetLink"/>
                  <w:rFonts w:ascii="Times New Roman;Times;serif" w:hAnsi="Times New Roman;Times;serif"/>
                  <w:sz w:val="20"/>
                </w:rPr>
                <w:t>Condensed Consolidated Statements of Operations and Comprehensive Income</w:t>
              </w:r>
            </w:hyperlink>
          </w:p>
        </w:tc>
        <w:tc>
          <w:tcPr>
            <w:tcW w:w="410" w:type="dxa"/>
            <w:tcBorders/>
            <w:shd w:fill="CCEEFF" w:val="clear"/>
            <w:vAlign w:val="center"/>
          </w:tcPr>
          <w:p>
            <w:pPr>
              <w:pStyle w:val="TableContents"/>
              <w:bidi w:val="0"/>
              <w:spacing w:before="0" w:after="0"/>
              <w:ind w:left="0" w:right="0" w:hanging="0"/>
              <w:jc w:val="center"/>
              <w:rPr/>
            </w:pPr>
            <w:hyperlink w:anchor="income">
              <w:r>
                <w:rPr>
                  <w:rStyle w:val="InternetLink"/>
                  <w:rFonts w:ascii="Times New Roman;Times;serif" w:hAnsi="Times New Roman;Times;serif"/>
                  <w:sz w:val="20"/>
                </w:rPr>
                <w:t>5</w:t>
              </w:r>
            </w:hyperlink>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540" w:right="0" w:hanging="0"/>
              <w:jc w:val="left"/>
              <w:rPr/>
            </w:pPr>
            <w:hyperlink w:anchor="cfs">
              <w:r>
                <w:rPr>
                  <w:rStyle w:val="InternetLink"/>
                  <w:rFonts w:ascii="Times New Roman;Times;serif" w:hAnsi="Times New Roman;Times;serif"/>
                  <w:sz w:val="20"/>
                </w:rPr>
                <w:t>Condensed Consolidated Statements of Cash Flows</w:t>
              </w:r>
            </w:hyperlink>
          </w:p>
        </w:tc>
        <w:tc>
          <w:tcPr>
            <w:tcW w:w="410" w:type="dxa"/>
            <w:tcBorders/>
            <w:shd w:fill="FFFFFF" w:val="clear"/>
            <w:vAlign w:val="center"/>
          </w:tcPr>
          <w:p>
            <w:pPr>
              <w:pStyle w:val="TableContents"/>
              <w:bidi w:val="0"/>
              <w:spacing w:before="0" w:after="0"/>
              <w:ind w:left="0" w:right="0" w:hanging="0"/>
              <w:jc w:val="center"/>
              <w:rPr/>
            </w:pPr>
            <w:hyperlink w:anchor="cfs">
              <w:r>
                <w:rPr>
                  <w:rStyle w:val="InternetLink"/>
                  <w:rFonts w:ascii="Times New Roman;Times;serif" w:hAnsi="Times New Roman;Times;serif"/>
                  <w:sz w:val="20"/>
                </w:rPr>
                <w:t>6</w:t>
              </w:r>
            </w:hyperlink>
          </w:p>
        </w:tc>
      </w:tr>
      <w:tr>
        <w:trPr/>
        <w:tc>
          <w:tcPr>
            <w:tcW w:w="74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540" w:right="0" w:hanging="0"/>
              <w:jc w:val="left"/>
              <w:rPr/>
            </w:pPr>
            <w:hyperlink w:anchor="Footnotes">
              <w:r>
                <w:rPr>
                  <w:rStyle w:val="InternetLink"/>
                  <w:rFonts w:ascii="Times New Roman;Times;serif" w:hAnsi="Times New Roman;Times;serif"/>
                  <w:sz w:val="20"/>
                </w:rPr>
                <w:t>Notes to Condensed Consolidated Financial Statements</w:t>
              </w:r>
            </w:hyperlink>
          </w:p>
        </w:tc>
        <w:tc>
          <w:tcPr>
            <w:tcW w:w="410" w:type="dxa"/>
            <w:tcBorders/>
            <w:shd w:fill="CCEEFF" w:val="clear"/>
            <w:vAlign w:val="center"/>
          </w:tcPr>
          <w:p>
            <w:pPr>
              <w:pStyle w:val="TableContents"/>
              <w:bidi w:val="0"/>
              <w:spacing w:before="0" w:after="0"/>
              <w:ind w:left="0" w:right="0" w:hanging="0"/>
              <w:jc w:val="center"/>
              <w:rPr/>
            </w:pPr>
            <w:hyperlink w:anchor="Footnotes">
              <w:r>
                <w:rPr>
                  <w:rStyle w:val="InternetLink"/>
                  <w:rFonts w:ascii="Times New Roman;Times;serif" w:hAnsi="Times New Roman;Times;serif"/>
                  <w:sz w:val="20"/>
                </w:rPr>
                <w:t>7</w:t>
              </w:r>
            </w:hyperlink>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r>
      <w:tr>
        <w:trPr/>
        <w:tc>
          <w:tcPr>
            <w:tcW w:w="740" w:type="dxa"/>
            <w:tcBorders/>
            <w:shd w:fill="CCEEFF" w:val="clear"/>
            <w:vAlign w:val="center"/>
          </w:tcPr>
          <w:p>
            <w:pPr>
              <w:pStyle w:val="TableContents"/>
              <w:bidi w:val="0"/>
              <w:spacing w:before="0" w:after="0"/>
              <w:ind w:left="180" w:right="0" w:hanging="0"/>
              <w:jc w:val="left"/>
              <w:rPr/>
            </w:pPr>
            <w:hyperlink w:anchor="mda">
              <w:r>
                <w:rPr>
                  <w:rStyle w:val="InternetLink"/>
                  <w:rFonts w:ascii="Times New Roman;Times;serif" w:hAnsi="Times New Roman;Times;serif"/>
                  <w:sz w:val="20"/>
                </w:rPr>
                <w:t>Item 2.</w:t>
              </w:r>
            </w:hyperlink>
          </w:p>
        </w:tc>
        <w:tc>
          <w:tcPr>
            <w:tcW w:w="7280" w:type="dxa"/>
            <w:tcBorders/>
            <w:shd w:fill="CCEEFF" w:val="clear"/>
            <w:vAlign w:val="center"/>
          </w:tcPr>
          <w:p>
            <w:pPr>
              <w:pStyle w:val="TableContents"/>
              <w:bidi w:val="0"/>
              <w:spacing w:before="0" w:after="0"/>
              <w:ind w:left="0" w:right="0" w:hanging="0"/>
              <w:jc w:val="left"/>
              <w:rPr/>
            </w:pPr>
            <w:hyperlink w:anchor="mda">
              <w:r>
                <w:rPr>
                  <w:rStyle w:val="InternetLink"/>
                  <w:rFonts w:ascii="Times New Roman;Times;serif" w:hAnsi="Times New Roman;Times;serif"/>
                  <w:sz w:val="20"/>
                </w:rPr>
                <w:t>Management’s Discussion and Analysis of Financial Condition and Results of Operations</w:t>
              </w:r>
            </w:hyperlink>
          </w:p>
        </w:tc>
        <w:tc>
          <w:tcPr>
            <w:tcW w:w="410" w:type="dxa"/>
            <w:tcBorders/>
            <w:shd w:fill="CCEEFF" w:val="clear"/>
            <w:vAlign w:val="center"/>
          </w:tcPr>
          <w:p>
            <w:pPr>
              <w:pStyle w:val="TableContents"/>
              <w:bidi w:val="0"/>
              <w:spacing w:before="0" w:after="0"/>
              <w:ind w:left="0" w:right="0" w:hanging="0"/>
              <w:jc w:val="center"/>
              <w:rPr/>
            </w:pPr>
            <w:hyperlink w:anchor="mda">
              <w:r>
                <w:rPr>
                  <w:rStyle w:val="InternetLink"/>
                  <w:rFonts w:ascii="Times New Roman;Times;serif" w:hAnsi="Times New Roman;Times;serif"/>
                  <w:sz w:val="20"/>
                </w:rPr>
                <w:t>17</w:t>
              </w:r>
            </w:hyperlink>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r>
      <w:tr>
        <w:trPr/>
        <w:tc>
          <w:tcPr>
            <w:tcW w:w="740" w:type="dxa"/>
            <w:tcBorders/>
            <w:shd w:fill="CCEEFF" w:val="clear"/>
            <w:vAlign w:val="center"/>
          </w:tcPr>
          <w:p>
            <w:pPr>
              <w:pStyle w:val="TableContents"/>
              <w:bidi w:val="0"/>
              <w:spacing w:before="0" w:after="0"/>
              <w:ind w:left="180" w:right="0" w:hanging="0"/>
              <w:jc w:val="left"/>
              <w:rPr/>
            </w:pPr>
            <w:hyperlink w:anchor="Item_3._Quantitative_and_Qualitative_Disclosures_about_Market_Risk">
              <w:r>
                <w:rPr>
                  <w:rStyle w:val="InternetLink"/>
                  <w:rFonts w:ascii="Times New Roman;Times;serif" w:hAnsi="Times New Roman;Times;serif"/>
                  <w:sz w:val="20"/>
                </w:rPr>
                <w:t>Item 3.</w:t>
              </w:r>
            </w:hyperlink>
          </w:p>
        </w:tc>
        <w:tc>
          <w:tcPr>
            <w:tcW w:w="7280" w:type="dxa"/>
            <w:tcBorders/>
            <w:shd w:fill="CCEEFF" w:val="clear"/>
            <w:vAlign w:val="center"/>
          </w:tcPr>
          <w:p>
            <w:pPr>
              <w:pStyle w:val="TableContents"/>
              <w:bidi w:val="0"/>
              <w:spacing w:before="0" w:after="0"/>
              <w:ind w:left="0" w:right="0" w:hanging="0"/>
              <w:jc w:val="left"/>
              <w:rPr/>
            </w:pPr>
            <w:hyperlink w:anchor="Item_3._Quantitative_and_Qualitative_Disclosures_about_Market_Risk">
              <w:r>
                <w:rPr>
                  <w:rStyle w:val="InternetLink"/>
                  <w:rFonts w:ascii="Times New Roman;Times;serif" w:hAnsi="Times New Roman;Times;serif"/>
                  <w:sz w:val="20"/>
                </w:rPr>
                <w:t>Quantitative and Qualitative Disclosures About Market Risk</w:t>
              </w:r>
            </w:hyperlink>
          </w:p>
        </w:tc>
        <w:tc>
          <w:tcPr>
            <w:tcW w:w="410" w:type="dxa"/>
            <w:tcBorders/>
            <w:shd w:fill="CCEEFF" w:val="clear"/>
            <w:vAlign w:val="center"/>
          </w:tcPr>
          <w:p>
            <w:pPr>
              <w:pStyle w:val="TableContents"/>
              <w:bidi w:val="0"/>
              <w:spacing w:before="0" w:after="0"/>
              <w:ind w:left="0" w:right="0" w:hanging="0"/>
              <w:jc w:val="center"/>
              <w:rPr/>
            </w:pPr>
            <w:hyperlink w:anchor="Item_3._Quantitative_and_Qualitative_Disclosures_about_Market_Risk">
              <w:r>
                <w:rPr>
                  <w:rStyle w:val="InternetLink"/>
                  <w:rFonts w:ascii="Times New Roman;Times;serif" w:hAnsi="Times New Roman;Times;serif"/>
                  <w:sz w:val="20"/>
                </w:rPr>
                <w:t>26</w:t>
              </w:r>
            </w:hyperlink>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r>
      <w:tr>
        <w:trPr/>
        <w:tc>
          <w:tcPr>
            <w:tcW w:w="740" w:type="dxa"/>
            <w:tcBorders/>
            <w:shd w:fill="CCEEFF" w:val="clear"/>
            <w:vAlign w:val="center"/>
          </w:tcPr>
          <w:p>
            <w:pPr>
              <w:pStyle w:val="TableContents"/>
              <w:bidi w:val="0"/>
              <w:spacing w:before="0" w:after="0"/>
              <w:ind w:left="180" w:right="0" w:hanging="0"/>
              <w:jc w:val="left"/>
              <w:rPr/>
            </w:pPr>
            <w:hyperlink w:anchor="Item_4._Controls_and_Procedures">
              <w:r>
                <w:rPr>
                  <w:rStyle w:val="InternetLink"/>
                  <w:rFonts w:ascii="Times New Roman;Times;serif" w:hAnsi="Times New Roman;Times;serif"/>
                  <w:sz w:val="20"/>
                </w:rPr>
                <w:t>Item 4.</w:t>
              </w:r>
            </w:hyperlink>
          </w:p>
        </w:tc>
        <w:tc>
          <w:tcPr>
            <w:tcW w:w="7280" w:type="dxa"/>
            <w:tcBorders/>
            <w:shd w:fill="CCEEFF" w:val="clear"/>
            <w:vAlign w:val="center"/>
          </w:tcPr>
          <w:p>
            <w:pPr>
              <w:pStyle w:val="TableContents"/>
              <w:bidi w:val="0"/>
              <w:spacing w:before="0" w:after="0"/>
              <w:ind w:left="0" w:right="0" w:hanging="0"/>
              <w:jc w:val="left"/>
              <w:rPr/>
            </w:pPr>
            <w:hyperlink w:anchor="Item_4._Controls_and_Procedures">
              <w:r>
                <w:rPr>
                  <w:rStyle w:val="InternetLink"/>
                  <w:rFonts w:ascii="Times New Roman;Times;serif" w:hAnsi="Times New Roman;Times;serif"/>
                  <w:sz w:val="20"/>
                </w:rPr>
                <w:t>Controls and Procedures</w:t>
              </w:r>
            </w:hyperlink>
          </w:p>
        </w:tc>
        <w:tc>
          <w:tcPr>
            <w:tcW w:w="410" w:type="dxa"/>
            <w:tcBorders/>
            <w:shd w:fill="CCEEFF" w:val="clear"/>
            <w:vAlign w:val="center"/>
          </w:tcPr>
          <w:p>
            <w:pPr>
              <w:pStyle w:val="TableContents"/>
              <w:bidi w:val="0"/>
              <w:spacing w:before="0" w:after="0"/>
              <w:ind w:left="0" w:right="0" w:hanging="0"/>
              <w:jc w:val="center"/>
              <w:rPr/>
            </w:pPr>
            <w:hyperlink w:anchor="Item_4._Controls_and_Procedures">
              <w:r>
                <w:rPr>
                  <w:rStyle w:val="InternetLink"/>
                  <w:rFonts w:ascii="Times New Roman;Times;serif" w:hAnsi="Times New Roman;Times;serif"/>
                  <w:sz w:val="20"/>
                </w:rPr>
                <w:t>26</w:t>
              </w:r>
            </w:hyperlink>
          </w:p>
        </w:tc>
      </w:tr>
      <w:tr>
        <w:trPr/>
        <w:tc>
          <w:tcPr>
            <w:tcW w:w="8430" w:type="dxa"/>
            <w:gridSpan w:val="3"/>
            <w:tcBorders/>
            <w:shd w:fill="FFFFFF" w:val="clear"/>
            <w:vAlign w:val="center"/>
          </w:tcPr>
          <w:p>
            <w:pPr>
              <w:pStyle w:val="TableContents"/>
              <w:bidi w:val="0"/>
              <w:spacing w:before="0" w:after="0"/>
              <w:ind w:left="180" w:right="0" w:hanging="0"/>
              <w:jc w:val="left"/>
              <w:rPr/>
            </w:pPr>
            <w:r>
              <w:rPr/>
              <w:t> </w:t>
            </w:r>
          </w:p>
        </w:tc>
      </w:tr>
      <w:tr>
        <w:trPr/>
        <w:tc>
          <w:tcPr>
            <w:tcW w:w="8430"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II Other Information</w:t>
            </w:r>
          </w:p>
        </w:tc>
      </w:tr>
      <w:tr>
        <w:trPr/>
        <w:tc>
          <w:tcPr>
            <w:tcW w:w="740" w:type="dxa"/>
            <w:tcBorders/>
            <w:shd w:fill="FFFFFF" w:val="clear"/>
            <w:vAlign w:val="center"/>
          </w:tcPr>
          <w:p>
            <w:pPr>
              <w:pStyle w:val="TableContents"/>
              <w:bidi w:val="0"/>
              <w:spacing w:before="0" w:after="0"/>
              <w:ind w:left="18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r>
      <w:tr>
        <w:trPr/>
        <w:tc>
          <w:tcPr>
            <w:tcW w:w="740" w:type="dxa"/>
            <w:tcBorders/>
            <w:shd w:fill="CCEEFF" w:val="clear"/>
            <w:vAlign w:val="center"/>
          </w:tcPr>
          <w:p>
            <w:pPr>
              <w:pStyle w:val="TableContents"/>
              <w:bidi w:val="0"/>
              <w:spacing w:before="0" w:after="0"/>
              <w:ind w:left="180" w:right="0" w:hanging="0"/>
              <w:jc w:val="left"/>
              <w:rPr/>
            </w:pPr>
            <w:hyperlink w:anchor="Item_1A._Risk_Factors">
              <w:r>
                <w:rPr>
                  <w:rStyle w:val="InternetLink"/>
                  <w:rFonts w:ascii="Times New Roman;Times;serif" w:hAnsi="Times New Roman;Times;serif"/>
                  <w:sz w:val="20"/>
                </w:rPr>
                <w:t>Item</w:t>
              </w:r>
            </w:hyperlink>
            <w:r>
              <w:rPr>
                <w:rFonts w:ascii="Times New Roman;Times;serif" w:hAnsi="Times New Roman;Times;serif"/>
                <w:sz w:val="20"/>
              </w:rPr>
              <w:t> </w:t>
            </w:r>
            <w:hyperlink w:anchor="Item_1A._Risk_Factors">
              <w:r>
                <w:rPr>
                  <w:rStyle w:val="InternetLink"/>
                  <w:rFonts w:ascii="Times New Roman;Times;serif" w:hAnsi="Times New Roman;Times;serif"/>
                  <w:sz w:val="20"/>
                  <w:shd w:fill="CCEEFF" w:val="clear"/>
                </w:rPr>
                <w:t>1A.</w:t>
              </w:r>
            </w:hyperlink>
          </w:p>
        </w:tc>
        <w:tc>
          <w:tcPr>
            <w:tcW w:w="7280" w:type="dxa"/>
            <w:tcBorders/>
            <w:shd w:fill="CCEEFF" w:val="clear"/>
            <w:vAlign w:val="center"/>
          </w:tcPr>
          <w:p>
            <w:pPr>
              <w:pStyle w:val="TableContents"/>
              <w:bidi w:val="0"/>
              <w:spacing w:before="0" w:after="0"/>
              <w:ind w:left="0" w:right="0" w:hanging="0"/>
              <w:jc w:val="left"/>
              <w:rPr/>
            </w:pPr>
            <w:hyperlink w:anchor="Item_1A._Risk_Factors">
              <w:r>
                <w:rPr>
                  <w:rStyle w:val="InternetLink"/>
                  <w:rFonts w:ascii="Times New Roman;Times;serif" w:hAnsi="Times New Roman;Times;serif"/>
                  <w:sz w:val="20"/>
                </w:rPr>
                <w:t>Risk Factors</w:t>
              </w:r>
            </w:hyperlink>
          </w:p>
        </w:tc>
        <w:tc>
          <w:tcPr>
            <w:tcW w:w="410" w:type="dxa"/>
            <w:tcBorders/>
            <w:shd w:fill="CCEEFF" w:val="clear"/>
            <w:vAlign w:val="center"/>
          </w:tcPr>
          <w:p>
            <w:pPr>
              <w:pStyle w:val="TableContents"/>
              <w:bidi w:val="0"/>
              <w:spacing w:before="0" w:after="0"/>
              <w:ind w:left="0" w:right="0" w:hanging="0"/>
              <w:jc w:val="center"/>
              <w:rPr/>
            </w:pPr>
            <w:hyperlink w:anchor="Item_1A._Risk_Factors">
              <w:r>
                <w:rPr>
                  <w:rStyle w:val="InternetLink"/>
                  <w:rFonts w:ascii="Times New Roman;Times;serif" w:hAnsi="Times New Roman;Times;serif"/>
                  <w:sz w:val="20"/>
                </w:rPr>
                <w:t>27</w:t>
              </w:r>
            </w:hyperlink>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r>
      <w:tr>
        <w:trPr/>
        <w:tc>
          <w:tcPr>
            <w:tcW w:w="740" w:type="dxa"/>
            <w:tcBorders/>
            <w:shd w:fill="CCEEFF" w:val="clear"/>
            <w:vAlign w:val="center"/>
          </w:tcPr>
          <w:p>
            <w:pPr>
              <w:pStyle w:val="TableContents"/>
              <w:bidi w:val="0"/>
              <w:spacing w:before="0" w:after="0"/>
              <w:ind w:left="180" w:right="0" w:hanging="0"/>
              <w:jc w:val="left"/>
              <w:rPr/>
            </w:pPr>
            <w:hyperlink w:anchor="Item_2._Unregistered_Sales_of_Equity_Securities_and_Use_of_Proceeds">
              <w:r>
                <w:rPr>
                  <w:rStyle w:val="InternetLink"/>
                  <w:rFonts w:ascii="Times New Roman;Times;serif" w:hAnsi="Times New Roman;Times;serif"/>
                  <w:sz w:val="20"/>
                </w:rPr>
                <w:t>Item 2.</w:t>
              </w:r>
            </w:hyperlink>
          </w:p>
        </w:tc>
        <w:tc>
          <w:tcPr>
            <w:tcW w:w="7280" w:type="dxa"/>
            <w:tcBorders/>
            <w:shd w:fill="CCEEFF" w:val="clear"/>
            <w:vAlign w:val="center"/>
          </w:tcPr>
          <w:p>
            <w:pPr>
              <w:pStyle w:val="TableContents"/>
              <w:bidi w:val="0"/>
              <w:spacing w:before="0" w:after="0"/>
              <w:ind w:left="0" w:right="0" w:hanging="0"/>
              <w:jc w:val="left"/>
              <w:rPr/>
            </w:pPr>
            <w:hyperlink w:anchor="Item_2._Unregistered_Sales_of_Equity_Securities_and_Use_of_Proceeds">
              <w:r>
                <w:rPr>
                  <w:rStyle w:val="InternetLink"/>
                  <w:rFonts w:ascii="Times New Roman;Times;serif" w:hAnsi="Times New Roman;Times;serif"/>
                  <w:sz w:val="20"/>
                </w:rPr>
                <w:t>Unregistered Sales of Equity Securities and Use of Proceeds</w:t>
              </w:r>
            </w:hyperlink>
          </w:p>
        </w:tc>
        <w:tc>
          <w:tcPr>
            <w:tcW w:w="410" w:type="dxa"/>
            <w:tcBorders/>
            <w:shd w:fill="CCEEFF" w:val="clear"/>
            <w:vAlign w:val="center"/>
          </w:tcPr>
          <w:p>
            <w:pPr>
              <w:pStyle w:val="TableContents"/>
              <w:bidi w:val="0"/>
              <w:spacing w:before="0" w:after="0"/>
              <w:ind w:left="0" w:right="0" w:hanging="0"/>
              <w:jc w:val="center"/>
              <w:rPr/>
            </w:pPr>
            <w:hyperlink w:anchor="Item_2._Unregistered_Sales_of_Equity_Securities_and_Use_of_Proceeds">
              <w:r>
                <w:rPr>
                  <w:rStyle w:val="InternetLink"/>
                  <w:rFonts w:ascii="Times New Roman;Times;serif" w:hAnsi="Times New Roman;Times;serif"/>
                  <w:sz w:val="20"/>
                </w:rPr>
                <w:t>27</w:t>
              </w:r>
            </w:hyperlink>
          </w:p>
        </w:tc>
      </w:tr>
      <w:tr>
        <w:trPr/>
        <w:tc>
          <w:tcPr>
            <w:tcW w:w="74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firstLine="180"/>
              <w:jc w:val="left"/>
              <w:rPr/>
            </w:pPr>
            <w:r>
              <w:rPr/>
              <w:t> </w:t>
            </w:r>
          </w:p>
        </w:tc>
      </w:tr>
      <w:tr>
        <w:trPr/>
        <w:tc>
          <w:tcPr>
            <w:tcW w:w="740" w:type="dxa"/>
            <w:tcBorders/>
            <w:shd w:fill="CCEEFF" w:val="clear"/>
            <w:vAlign w:val="center"/>
          </w:tcPr>
          <w:p>
            <w:pPr>
              <w:pStyle w:val="TableContents"/>
              <w:bidi w:val="0"/>
              <w:spacing w:before="0" w:after="283"/>
              <w:jc w:val="left"/>
              <w:rPr>
                <w:color w:val="3D85C6"/>
                <w:u w:val="single"/>
              </w:rPr>
            </w:pPr>
            <w:r>
              <w:rPr>
                <w:color w:val="3D85C6"/>
                <w:u w:val="single"/>
              </w:rPr>
              <w:t>Item 5. </w:t>
            </w:r>
          </w:p>
        </w:tc>
        <w:tc>
          <w:tcPr>
            <w:tcW w:w="7280" w:type="dxa"/>
            <w:tcBorders/>
            <w:shd w:fill="CCEEFF" w:val="clear"/>
            <w:vAlign w:val="center"/>
          </w:tcPr>
          <w:p>
            <w:pPr>
              <w:pStyle w:val="TableContents"/>
              <w:bidi w:val="0"/>
              <w:spacing w:before="0" w:after="283"/>
              <w:jc w:val="left"/>
              <w:rPr>
                <w:color w:val="3D85C6"/>
                <w:u w:val="single"/>
              </w:rPr>
            </w:pPr>
            <w:r>
              <w:rPr>
                <w:color w:val="3D85C6"/>
                <w:u w:val="single"/>
              </w:rPr>
              <w:t>Other Information</w:t>
            </w:r>
          </w:p>
        </w:tc>
        <w:tc>
          <w:tcPr>
            <w:tcW w:w="410" w:type="dxa"/>
            <w:tcBorders/>
            <w:shd w:fill="CCEEFF" w:val="clear"/>
            <w:vAlign w:val="center"/>
          </w:tcPr>
          <w:p>
            <w:pPr>
              <w:pStyle w:val="TableContents"/>
              <w:bidi w:val="0"/>
              <w:spacing w:before="0" w:after="283"/>
              <w:jc w:val="center"/>
              <w:rPr>
                <w:color w:val="3D85C6"/>
                <w:u w:val="single"/>
              </w:rPr>
            </w:pPr>
            <w:r>
              <w:rPr>
                <w:color w:val="3D85C6"/>
                <w:u w:val="single"/>
              </w:rPr>
              <w:t>26</w:t>
            </w:r>
          </w:p>
        </w:tc>
      </w:tr>
      <w:tr>
        <w:trPr/>
        <w:tc>
          <w:tcPr>
            <w:tcW w:w="740"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ind w:left="180" w:right="0" w:hanging="0"/>
              <w:jc w:val="left"/>
              <w:rPr/>
            </w:pPr>
            <w:hyperlink w:anchor="Item_6._Exhibits">
              <w:r>
                <w:rPr>
                  <w:rStyle w:val="InternetLink"/>
                  <w:rFonts w:ascii="Times New Roman;Times;serif" w:hAnsi="Times New Roman;Times;serif"/>
                  <w:sz w:val="20"/>
                </w:rPr>
                <w:t>Item 6.</w:t>
              </w:r>
            </w:hyperlink>
          </w:p>
        </w:tc>
        <w:tc>
          <w:tcPr>
            <w:tcW w:w="7280" w:type="dxa"/>
            <w:tcBorders/>
            <w:shd w:fill="CCEEFF" w:val="clear"/>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sz w:val="20"/>
                </w:rPr>
                <w:t>Exhibits</w:t>
              </w:r>
            </w:hyperlink>
          </w:p>
        </w:tc>
        <w:tc>
          <w:tcPr>
            <w:tcW w:w="410" w:type="dxa"/>
            <w:tcBorders/>
            <w:shd w:fill="CCEEFF" w:val="clear"/>
            <w:vAlign w:val="center"/>
          </w:tcPr>
          <w:p>
            <w:pPr>
              <w:pStyle w:val="TableContents"/>
              <w:bidi w:val="0"/>
              <w:spacing w:before="0" w:after="0"/>
              <w:ind w:left="0" w:right="0" w:hanging="0"/>
              <w:jc w:val="center"/>
              <w:rPr/>
            </w:pPr>
            <w:hyperlink w:anchor="Item_6._Exhibits">
              <w:r>
                <w:rPr>
                  <w:rStyle w:val="InternetLink"/>
                  <w:rFonts w:ascii="Times New Roman;Times;serif" w:hAnsi="Times New Roman;Times;serif"/>
                  <w:sz w:val="20"/>
                </w:rPr>
                <w:t>28</w:t>
              </w:r>
            </w:hyperlink>
          </w:p>
        </w:tc>
      </w:tr>
      <w:tr>
        <w:trPr/>
        <w:tc>
          <w:tcPr>
            <w:tcW w:w="8020" w:type="dxa"/>
            <w:gridSpan w:val="2"/>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r>
      <w:tr>
        <w:trPr/>
        <w:tc>
          <w:tcPr>
            <w:tcW w:w="8020" w:type="dxa"/>
            <w:gridSpan w:val="2"/>
            <w:tcBorders/>
            <w:shd w:fill="CCEEFF" w:val="clear"/>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sz w:val="20"/>
                </w:rPr>
                <w:t>Signatures</w:t>
              </w:r>
            </w:hyperlink>
          </w:p>
        </w:tc>
        <w:tc>
          <w:tcPr>
            <w:tcW w:w="410" w:type="dxa"/>
            <w:tcBorders/>
            <w:shd w:fill="CCEEFF" w:val="clear"/>
            <w:vAlign w:val="center"/>
          </w:tcPr>
          <w:p>
            <w:pPr>
              <w:pStyle w:val="TableContents"/>
              <w:bidi w:val="0"/>
              <w:spacing w:before="0" w:after="0"/>
              <w:ind w:left="0" w:right="0" w:hanging="0"/>
              <w:jc w:val="center"/>
              <w:rPr/>
            </w:pPr>
            <w:hyperlink w:anchor="Signatures">
              <w:r>
                <w:rPr>
                  <w:rStyle w:val="InternetLink"/>
                  <w:rFonts w:ascii="Times New Roman;Times;serif" w:hAnsi="Times New Roman;Times;serif"/>
                  <w:sz w:val="20"/>
                </w:rPr>
                <w:t>29</w:t>
              </w:r>
            </w:hyperlink>
          </w:p>
        </w:tc>
      </w:tr>
    </w:tbl>
    <w:p>
      <w:pPr>
        <w:pStyle w:val="TextBody"/>
        <w:bidi w:val="0"/>
        <w:spacing w:before="0" w:after="0"/>
        <w:ind w:left="144" w:right="144"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bs"/>
      <w:bookmarkEnd w:id="3"/>
      <w:r>
        <w:rPr>
          <w:rFonts w:ascii="Times New Roman;Times;serif" w:hAnsi="Times New Roman;Times;serif"/>
          <w:b/>
          <w:sz w:val="20"/>
        </w:rPr>
        <w:t xml:space="preserve">PART I -FINANCIAL INFORMATION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1. Financial Statements </w:t>
      </w:r>
    </w:p>
    <w:p>
      <w:pPr>
        <w:pStyle w:val="TextBody"/>
        <w:bidi w:val="0"/>
        <w:spacing w:before="0" w:after="0"/>
        <w:ind w:left="144" w:right="144"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BUILD-A-BEAR WORKSHOP,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share and per share data)</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6938"/>
        <w:gridCol w:w="60"/>
        <w:gridCol w:w="146"/>
        <w:gridCol w:w="818"/>
        <w:gridCol w:w="80"/>
        <w:gridCol w:w="60"/>
        <w:gridCol w:w="139"/>
        <w:gridCol w:w="777"/>
        <w:gridCol w:w="80"/>
        <w:gridCol w:w="60"/>
        <w:gridCol w:w="146"/>
        <w:gridCol w:w="818"/>
        <w:gridCol w:w="83"/>
      </w:tblGrid>
      <w:tr>
        <w:trPr/>
        <w:tc>
          <w:tcPr>
            <w:tcW w:w="6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2,</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c>
          <w:tcPr>
            <w:tcW w:w="83" w:type="dxa"/>
            <w:tcBorders/>
            <w:shd w:fill="FFFFFF" w:val="clear"/>
            <w:vAlign w:val="center"/>
          </w:tcPr>
          <w:p>
            <w:pPr>
              <w:pStyle w:val="TableContents"/>
              <w:bidi w:val="0"/>
              <w:spacing w:before="0" w:after="283"/>
              <w:jc w:val="left"/>
              <w:rPr/>
            </w:pPr>
            <w:r>
              <w:rPr/>
              <w:t> </w:t>
            </w:r>
          </w:p>
        </w:tc>
      </w:tr>
      <w:tr>
        <w:trPr/>
        <w:tc>
          <w:tcPr>
            <w:tcW w:w="10122" w:type="dxa"/>
            <w:gridSpan w:val="1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ASSETS</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39,108</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81,758</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Receivables,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13,526</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10,026</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144,418</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100,950</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58,804</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8,045</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6,021</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318,238</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0122" w:type="dxa"/>
            <w:gridSpan w:val="1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LIABILITIES AND STOCKHOLDERS' EQUITY</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16,659</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19,110</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short term</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26,996</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Gift cards and customer deposits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14,343</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and other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3,964</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81,072</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long term</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80,365</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par value $0.01, Shares authorized: 15,000,000; No shares issued or outstanding at August 1, 2026, January 31, 2026 and August 2, 2025</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$0.01, Shares authorized: 50,000,000; Issued and outstanding: 12,467,170, 12,808,954, and 13,159,408 shares, respectively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61,701</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(11,304</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9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104,866</w:t>
            </w:r>
          </w:p>
        </w:tc>
        <w:tc>
          <w:tcPr>
            <w:tcW w:w="83" w:type="dxa"/>
            <w:tcBorders/>
            <w:shd w:fill="FFFFFF" w:val="clear"/>
            <w:vAlign w:val="center"/>
          </w:tcPr>
          <w:p>
            <w:pPr>
              <w:pStyle w:val="TableContents"/>
              <w:bidi w:val="0"/>
              <w:spacing w:before="0" w:after="283"/>
              <w:jc w:val="left"/>
              <w:rPr/>
            </w:pPr>
            <w:r>
              <w:rPr/>
              <w:t> </w:t>
            </w:r>
          </w:p>
        </w:tc>
      </w:tr>
      <w:tr>
        <w:trPr/>
        <w:tc>
          <w:tcPr>
            <w:tcW w:w="6938"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155,395</w:t>
            </w:r>
          </w:p>
        </w:tc>
        <w:tc>
          <w:tcPr>
            <w:tcW w:w="83" w:type="dxa"/>
            <w:tcBorders/>
            <w:shd w:fill="CCEEFF"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318,238</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4" w:name="income"/>
      <w:bookmarkEnd w:id="4"/>
      <w:r>
        <w:rPr>
          <w:rFonts w:ascii="Times New Roman;Times;serif" w:hAnsi="Times New Roman;Times;serif"/>
          <w:b/>
          <w:sz w:val="20"/>
        </w:rPr>
        <w:t>BUILD-A-BEAR WORKSHOP,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share and per share data)</w:t>
      </w:r>
    </w:p>
    <w:p>
      <w:pPr>
        <w:pStyle w:val="TextBody"/>
        <w:bidi w:val="0"/>
        <w:spacing w:before="0" w:after="0"/>
        <w:ind w:left="0" w:right="0" w:hanging="0"/>
        <w:jc w:val="center"/>
        <w:rPr/>
      </w:pPr>
      <w:r>
        <w:rPr/>
        <w:t> </w:t>
      </w:r>
    </w:p>
    <w:tbl>
      <w:tblPr>
        <w:tblW w:w="9275" w:type="dxa"/>
        <w:jc w:val="left"/>
        <w:tblInd w:w="0" w:type="dxa"/>
        <w:tblLayout w:type="fixed"/>
        <w:tblCellMar>
          <w:top w:w="0" w:type="dxa"/>
          <w:left w:w="0" w:type="dxa"/>
          <w:bottom w:w="0" w:type="dxa"/>
          <w:right w:w="0" w:type="dxa"/>
        </w:tblCellMar>
      </w:tblPr>
      <w:tblGrid>
        <w:gridCol w:w="4415"/>
        <w:gridCol w:w="60"/>
        <w:gridCol w:w="125"/>
        <w:gridCol w:w="950"/>
        <w:gridCol w:w="80"/>
        <w:gridCol w:w="60"/>
        <w:gridCol w:w="125"/>
        <w:gridCol w:w="950"/>
        <w:gridCol w:w="80"/>
        <w:gridCol w:w="60"/>
        <w:gridCol w:w="125"/>
        <w:gridCol w:w="950"/>
        <w:gridCol w:w="80"/>
        <w:gridCol w:w="60"/>
        <w:gridCol w:w="125"/>
        <w:gridCol w:w="950"/>
        <w:gridCol w:w="80"/>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Thirteen weeks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Twenty-six weeks ended</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retail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234,224</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16,251</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 franchising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252,642</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merchandise sold - retail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100,123</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merchandise sold - 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6,433</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merchandise sold - international franchising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merchandise sold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108,144</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144,498</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109,955</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34,949</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7,263</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27,686</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28,936</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computing common per share amounts: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12,420,379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13,111,615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12,502,383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13,095,958</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12,431,533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13,139,470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12,526,722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13,142,443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r>
        <w:rPr>
          <w:rFonts w:ascii="Times New Roman;Times;serif" w:hAnsi="Times New Roman;Times;serif"/>
          <w:sz w:val="20"/>
        </w:rPr>
        <w:t>See accompanying notes to condensed consolidated financial statements. </w:t>
      </w:r>
    </w:p>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5" w:name="cfs"/>
      <w:bookmarkEnd w:id="5"/>
      <w:r>
        <w:rPr>
          <w:rFonts w:ascii="Times New Roman;Times;serif" w:hAnsi="Times New Roman;Times;serif"/>
          <w:b/>
          <w:sz w:val="20"/>
        </w:rPr>
        <w:t>BUILD-A-BEAR WORKSHOP,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w:t>
      </w:r>
    </w:p>
    <w:p>
      <w:pPr>
        <w:pStyle w:val="TextBody"/>
        <w:bidi w:val="0"/>
        <w:spacing w:before="0" w:after="0"/>
        <w:ind w:left="0" w:right="0" w:hanging="0"/>
        <w:jc w:val="left"/>
        <w:rPr/>
      </w:pPr>
      <w:r>
        <w:rPr/>
        <w:t> </w:t>
      </w:r>
    </w:p>
    <w:tbl>
      <w:tblPr>
        <w:tblW w:w="8757" w:type="dxa"/>
        <w:jc w:val="left"/>
        <w:tblInd w:w="0" w:type="dxa"/>
        <w:tblLayout w:type="fixed"/>
        <w:tblCellMar>
          <w:top w:w="0" w:type="dxa"/>
          <w:left w:w="0" w:type="dxa"/>
          <w:bottom w:w="0" w:type="dxa"/>
          <w:right w:w="0" w:type="dxa"/>
        </w:tblCellMar>
      </w:tblPr>
      <w:tblGrid>
        <w:gridCol w:w="6620"/>
        <w:gridCol w:w="60"/>
        <w:gridCol w:w="147"/>
        <w:gridCol w:w="769"/>
        <w:gridCol w:w="94"/>
        <w:gridCol w:w="71"/>
        <w:gridCol w:w="147"/>
        <w:gridCol w:w="769"/>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Twenty-six weeks ended</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1,</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provided by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27,059</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27,686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8,114</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Share-based and performance-based stock compensation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Provision/adjustments for doubtful accounts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Gain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Net change in film costs and advances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Deferred taxes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Change in assets and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Receivables,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5,066</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(1,730</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(9,813</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Gift cards and customer deposits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(1,482</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26,146</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32,017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Purchases of property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(15,421</w:t>
            </w:r>
          </w:p>
        </w:tc>
        <w:tc>
          <w:tcPr>
            <w:tcW w:w="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(6,328</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(15,421</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used in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 of common stock for employee equity awards, net of tax</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720" w:right="0" w:hanging="360"/>
              <w:jc w:val="left"/>
              <w:rPr>
                <w:rFonts w:ascii="Times New Roman" w:hAnsi="Times New Roman"/>
                <w:caps w:val="false"/>
                <w:smallCaps w:val="false"/>
                <w:sz w:val="20"/>
              </w:rPr>
            </w:pPr>
            <w:r>
              <w:rPr>
                <w:rFonts w:ascii="Times New Roman" w:hAnsi="Times New Roman"/>
                <w:caps w:val="false"/>
                <w:smallCaps w:val="false"/>
                <w:sz w:val="20"/>
              </w:rPr>
              <w:t>Cash dividends paid on vested participating securities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(5,768</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 of Company’s 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(17,153</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(23,374</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rates on cash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(12,751</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26,755</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27,758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14,004</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39,108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13,601</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38,707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Restricted cash from long-term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14,004</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39,108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paid during the period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11,212</w:t>
            </w:r>
          </w:p>
        </w:tc>
        <w:tc>
          <w:tcPr>
            <w:tcW w:w="94"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4,697</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br/>
        <w:t>See accompanying notes to condensed consolidated financial statements.</w:t>
      </w:r>
    </w:p>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6" w:name="Footnotes"/>
      <w:bookmarkEnd w:id="6"/>
      <w:r>
        <w:rPr>
          <w:rFonts w:ascii="Times New Roman;Times;serif" w:hAnsi="Times New Roman;Times;serif"/>
          <w:b/>
          <w:sz w:val="20"/>
        </w:rPr>
        <w:t xml:space="preserve">Notes to Condensed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sz w:val="20"/>
        </w:rPr>
        <w:t>1.</w:t>
      </w:r>
      <w:r>
        <w:rPr>
          <w:rFonts w:ascii="Times New Roman" w:hAnsi="Times New Roman"/>
          <w:b/>
          <w:sz w:val="20"/>
        </w:rPr>
        <w:t xml:space="preserve"> Basis of Presentation </w:t>
      </w:r>
    </w:p>
    <w:p>
      <w:pPr>
        <w:pStyle w:val="TextBody"/>
        <w:bidi w:val="0"/>
        <w:spacing w:before="0" w:after="0"/>
        <w:ind w:left="144" w:right="144" w:hanging="0"/>
        <w:jc w:val="left"/>
        <w:rPr/>
      </w:pPr>
      <w:r>
        <w:rPr/>
        <w:t> </w:t>
      </w:r>
    </w:p>
    <w:p>
      <w:pPr>
        <w:pStyle w:val="TextBody"/>
        <w:bidi w:val="0"/>
        <w:spacing w:before="0" w:after="0"/>
        <w:ind w:left="0" w:right="0" w:firstLine="720"/>
        <w:jc w:val="left"/>
        <w:rPr/>
      </w:pPr>
      <w:r>
        <w:rPr>
          <w:rFonts w:ascii="Times New Roman" w:hAnsi="Times New Roman"/>
          <w:sz w:val="20"/>
        </w:rPr>
        <w:t xml:space="preserve">The condensed consolidated financial statements included herein are unaudited and have been prepared by Build-A-Bear Workshop, Inc. and its subsidiaries (collectively, the “Company”) pursuant to the rules and regulations of the United States Securities and Exchange Commission (“SEC”). Certain information and footnote disclosures normally included in financial statements prepared in accordance with United States ("U.S.") generally accepted accounting principles (“GAAP”) have been condensed or omitted pursuant to such rules and regulations. The condensed consolidated balance sheet of the Company as of </w:t>
      </w:r>
      <w:r>
        <w:rPr>
          <w:rStyle w:val="Emphasis"/>
          <w:rFonts w:ascii="Times New Roman" w:hAnsi="Times New Roman"/>
          <w:sz w:val="20"/>
        </w:rPr>
        <w:t>January 31, 2026</w:t>
      </w:r>
      <w:r>
        <w:rPr>
          <w:rFonts w:ascii="Times New Roman" w:hAnsi="Times New Roman"/>
          <w:sz w:val="20"/>
        </w:rPr>
        <w:t xml:space="preserve">,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w:t>
      </w:r>
      <w:r>
        <w:rPr>
          <w:rStyle w:val="Emphasis"/>
          <w:rFonts w:ascii="Times New Roman" w:hAnsi="Times New Roman"/>
          <w:sz w:val="20"/>
        </w:rPr>
        <w:t>not</w:t>
      </w:r>
      <w:r>
        <w:rPr>
          <w:rFonts w:ascii="Times New Roman" w:hAnsi="Times New Roman"/>
          <w:sz w:val="20"/>
        </w:rPr>
        <w:t xml:space="preserve"> be considered as indicative of results for a full year. These condensed consolidated financial statements should be read in conjunction with the Company’s audited consolidated financial statements for the fiscal year ended </w:t>
      </w:r>
      <w:r>
        <w:rPr>
          <w:rStyle w:val="Emphasis"/>
          <w:rFonts w:ascii="Times New Roman" w:hAnsi="Times New Roman"/>
          <w:sz w:val="20"/>
        </w:rPr>
        <w:t>January 31, 2026</w:t>
      </w:r>
      <w:r>
        <w:rPr>
          <w:rFonts w:ascii="Times New Roman" w:hAnsi="Times New Roman"/>
          <w:sz w:val="20"/>
        </w:rPr>
        <w:t xml:space="preserve">, which were included in the Company’s Annual Report on Form </w:t>
      </w:r>
      <w:r>
        <w:rPr>
          <w:rStyle w:val="Emphasis"/>
          <w:rFonts w:ascii="Times New Roman" w:hAnsi="Times New Roman"/>
          <w:sz w:val="20"/>
        </w:rPr>
        <w:t>10</w:t>
      </w:r>
      <w:r>
        <w:rPr>
          <w:rFonts w:ascii="Times New Roman" w:hAnsi="Times New Roman"/>
          <w:sz w:val="20"/>
        </w:rPr>
        <w:t xml:space="preserve">-K filed with the SEC on </w:t>
      </w:r>
      <w:r>
        <w:rPr>
          <w:rStyle w:val="Emphasis"/>
          <w:rFonts w:ascii="Times New Roman" w:hAnsi="Times New Roman"/>
          <w:sz w:val="20"/>
        </w:rPr>
        <w:t xml:space="preserve">April 16, 2026, </w:t>
      </w:r>
      <w:r>
        <w:rPr>
          <w:rFonts w:ascii="Times New Roman" w:hAnsi="Times New Roman"/>
          <w:sz w:val="20"/>
        </w:rPr>
        <w:t xml:space="preserve">as amended by Amendment </w:t>
      </w:r>
      <w:r>
        <w:rPr>
          <w:rStyle w:val="Emphasis"/>
          <w:rFonts w:ascii="Times New Roman" w:hAnsi="Times New Roman"/>
          <w:sz w:val="20"/>
        </w:rPr>
        <w:t>No.</w:t>
      </w:r>
      <w:r>
        <w:rPr>
          <w:rFonts w:ascii="Times New Roman" w:hAnsi="Times New Roman"/>
          <w:sz w:val="20"/>
        </w:rPr>
        <w:t xml:space="preserve"> </w:t>
      </w:r>
      <w:r>
        <w:rPr>
          <w:rStyle w:val="Emphasis"/>
          <w:rFonts w:ascii="Times New Roman" w:hAnsi="Times New Roman"/>
          <w:sz w:val="20"/>
        </w:rPr>
        <w:t>1</w:t>
      </w:r>
      <w:r>
        <w:rPr>
          <w:rFonts w:ascii="Times New Roman" w:hAnsi="Times New Roman"/>
          <w:sz w:val="20"/>
        </w:rPr>
        <w:t xml:space="preserve"> filed with the SEC on </w:t>
      </w:r>
      <w:r>
        <w:rPr>
          <w:rStyle w:val="Emphasis"/>
          <w:rFonts w:ascii="Times New Roman" w:hAnsi="Times New Roman"/>
          <w:sz w:val="20"/>
        </w:rPr>
        <w:t>April 17, 2026 (</w:t>
      </w:r>
      <w:r>
        <w:rPr>
          <w:rFonts w:ascii="Times New Roman" w:hAnsi="Times New Roman"/>
          <w:sz w:val="20"/>
        </w:rPr>
        <w:t xml:space="preserve">the </w:t>
      </w:r>
      <w:r>
        <w:rPr>
          <w:rStyle w:val="Emphasis"/>
          <w:rFonts w:ascii="Times New Roman" w:hAnsi="Times New Roman"/>
          <w:sz w:val="20"/>
        </w:rPr>
        <w:t>"2025</w:t>
      </w:r>
      <w:r>
        <w:rPr>
          <w:rFonts w:ascii="Times New Roman" w:hAnsi="Times New Roman"/>
          <w:sz w:val="20"/>
        </w:rPr>
        <w:t xml:space="preserve"> Form </w:t>
      </w:r>
      <w:r>
        <w:rPr>
          <w:rStyle w:val="Emphasis"/>
          <w:rFonts w:ascii="Times New Roman" w:hAnsi="Times New Roman"/>
          <w:sz w:val="20"/>
        </w:rPr>
        <w:t>10</w:t>
      </w:r>
      <w:r>
        <w:rPr>
          <w:rFonts w:ascii="Times New Roman" w:hAnsi="Times New Roman"/>
          <w:sz w:val="20"/>
        </w:rPr>
        <w:t>-K"). </w:t>
      </w:r>
    </w:p>
    <w:p>
      <w:pPr>
        <w:pStyle w:val="TextBody"/>
        <w:bidi w:val="0"/>
        <w:spacing w:before="0" w:after="0"/>
        <w:ind w:left="0" w:right="0" w:firstLine="54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sz w:val="20"/>
        </w:rPr>
      </w:pPr>
      <w:r>
        <w:rPr>
          <w:rFonts w:ascii="Times New Roman" w:hAnsi="Times New Roman"/>
          <w:i/>
          <w:sz w:val="20"/>
        </w:rPr>
        <w:t>Significant Accounting Policies</w:t>
      </w:r>
    </w:p>
    <w:p>
      <w:pPr>
        <w:pStyle w:val="TextBody"/>
        <w:bidi w:val="0"/>
        <w:spacing w:before="0" w:after="0"/>
        <w:ind w:left="0" w:right="0" w:firstLine="540"/>
        <w:jc w:val="left"/>
        <w:rPr/>
      </w:pPr>
      <w:r>
        <w:rPr/>
        <w:t> </w:t>
      </w:r>
    </w:p>
    <w:p>
      <w:pPr>
        <w:pStyle w:val="TextBody"/>
        <w:bidi w:val="0"/>
        <w:spacing w:before="0" w:after="0"/>
        <w:ind w:left="0" w:right="0" w:firstLine="720"/>
        <w:jc w:val="left"/>
        <w:rPr/>
      </w:pPr>
      <w:r>
        <w:rPr>
          <w:rFonts w:ascii="Times New Roman" w:hAnsi="Times New Roman"/>
          <w:sz w:val="20"/>
        </w:rPr>
        <w:t xml:space="preserve">The Company's significant accounting policies are summarized in Note </w:t>
      </w:r>
      <w:r>
        <w:rPr>
          <w:rStyle w:val="Emphasis"/>
          <w:rFonts w:ascii="Times New Roman" w:hAnsi="Times New Roman"/>
          <w:sz w:val="20"/>
        </w:rPr>
        <w:t>2</w:t>
      </w:r>
      <w:r>
        <w:rPr>
          <w:rFonts w:ascii="Times New Roman" w:hAnsi="Times New Roman"/>
          <w:sz w:val="20"/>
        </w:rPr>
        <w:t xml:space="preserve"> to the consolidated financial statements included in its </w:t>
      </w:r>
      <w:r>
        <w:rPr>
          <w:rStyle w:val="Emphasis"/>
          <w:rFonts w:ascii="Times New Roman" w:hAnsi="Times New Roman"/>
          <w:sz w:val="20"/>
        </w:rPr>
        <w:t>2025</w:t>
      </w:r>
      <w:r>
        <w:rPr>
          <w:rFonts w:ascii="Times New Roman" w:hAnsi="Times New Roman"/>
          <w:sz w:val="20"/>
        </w:rPr>
        <w:t xml:space="preserve"> Form </w:t>
      </w:r>
      <w:r>
        <w:rPr>
          <w:rStyle w:val="Emphasis"/>
          <w:rFonts w:ascii="Times New Roman" w:hAnsi="Times New Roman"/>
          <w:sz w:val="20"/>
        </w:rPr>
        <w:t>10</w:t>
      </w:r>
      <w:r>
        <w:rPr>
          <w:rFonts w:ascii="Times New Roman" w:hAnsi="Times New Roman"/>
          <w:sz w:val="20"/>
        </w:rPr>
        <w:t>-K.</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Recently Adopted Accounting Pronouncements </w:t>
      </w:r>
    </w:p>
    <w:p>
      <w:pPr>
        <w:pStyle w:val="TextBody"/>
        <w:bidi w:val="0"/>
        <w:spacing w:before="0" w:after="0"/>
        <w:ind w:left="0" w:right="0" w:hanging="0"/>
        <w:jc w:val="left"/>
        <w:rPr/>
      </w:pPr>
      <w:r>
        <w:rPr/>
        <w:t> </w:t>
      </w:r>
    </w:p>
    <w:p>
      <w:pPr>
        <w:pStyle w:val="TextBody"/>
        <w:bidi w:val="0"/>
        <w:spacing w:before="0" w:after="0"/>
        <w:ind w:left="16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provides the option to apply a practical expedient to address implementation challenges related to the estimation of expected credit losses for current accounts receivable and current assets arising from transactions accounted for under revenue recognition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and assets acquired through business combinations. The practical expedient allows entities to assume that current conditions as of the balance sheet date remain unchanged over the life of these assets when developing forecasts. The guidance allows entities to bypass the requirement to incorporate macro-economic data into their forecast when such data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materially affect the estimate. The Company adopted the guidance 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effective </w:t>
      </w:r>
      <w:r>
        <w:rPr>
          <w:rStyle w:val="Emphasis"/>
          <w:rFonts w:ascii="Times New Roman" w:hAnsi="Times New Roman"/>
          <w:caps w:val="false"/>
          <w:smallCaps w:val="false"/>
          <w:sz w:val="20"/>
        </w:rPr>
        <w:t xml:space="preserve">February 1, 2026 </w:t>
      </w:r>
      <w:r>
        <w:rPr>
          <w:rFonts w:ascii="Times New Roman" w:hAnsi="Times New Roman"/>
          <w:caps w:val="false"/>
          <w:smallCaps w:val="false"/>
          <w:sz w:val="20"/>
        </w:rPr>
        <w:t xml:space="preserve">prospectively and applied the practical expedient. The adoption of this new accounting standard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condensed consolidated financial statements.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xml:space="preserve"> Revenue </w:t>
      </w:r>
    </w:p>
    <w:p>
      <w:pPr>
        <w:pStyle w:val="TextBody"/>
        <w:bidi w:val="0"/>
        <w:spacing w:before="0" w:after="0"/>
        <w:ind w:left="144" w:right="144"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Currently, most of the Company’s revenue is derived from direct-to-consumer ("DTC") retail sales (including from its e-commerce sites) and is recognized when control of the merchandise is transferred to the customer. The Company's disaggregated revenue is fully disclosed as net sales to external customers by reporting segment and by geographic area (See Note </w:t>
      </w:r>
      <w:r>
        <w:rPr>
          <w:rStyle w:val="Emphasis"/>
          <w:rFonts w:ascii="Times New Roman;Times;serif" w:hAnsi="Times New Roman;Times;serif"/>
          <w:sz w:val="20"/>
        </w:rPr>
        <w:t>11</w:t>
      </w:r>
      <w:r>
        <w:rPr>
          <w:rFonts w:ascii="Times New Roman;Times;serif" w:hAnsi="Times New Roman;Times;serif"/>
          <w:sz w:val="20"/>
        </w:rPr>
        <w:t xml:space="preserve"> — Segment Information for additional information). The Company's direct-to-consumer reporting segment represents 92% of consolidated revenue for the </w:t>
      </w:r>
      <w:r>
        <w:rPr>
          <w:rStyle w:val="Emphasis"/>
          <w:rFonts w:ascii="Times New Roman;Times;serif" w:hAnsi="Times New Roman;Times;serif"/>
          <w:sz w:val="20"/>
        </w:rPr>
        <w:t>second</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The majority of these sales transactions were single performance obligations that were recorded when control of merchandise was transferred to the customer.</w:t>
      </w:r>
    </w:p>
    <w:p>
      <w:pPr>
        <w:pStyle w:val="TextBody"/>
        <w:bidi w:val="0"/>
        <w:spacing w:before="0" w:after="0"/>
        <w:ind w:left="0" w:right="0" w:hanging="0"/>
        <w:jc w:val="left"/>
        <w:rPr/>
      </w:pPr>
      <w:r>
        <w:rPr/>
        <w:t> </w:t>
      </w:r>
    </w:p>
    <w:p>
      <w:pPr>
        <w:pStyle w:val="TextBody"/>
        <w:bidi w:val="0"/>
        <w:spacing w:before="0" w:after="0"/>
        <w:ind w:left="0" w:right="0" w:firstLine="180"/>
        <w:jc w:val="left"/>
        <w:rPr/>
      </w:pPr>
      <w:r>
        <w:rPr>
          <w:rFonts w:ascii="Times New Roman;Times;serif" w:hAnsi="Times New Roman;Times;serif"/>
          <w:i/>
          <w:sz w:val="20"/>
        </w:rPr>
        <w:t>The following is a description of principal activities from which the Company generates its revenue through </w:t>
      </w:r>
      <w:r>
        <w:rPr>
          <w:rStyle w:val="Emphasis"/>
          <w:rFonts w:ascii="Times New Roman;Times;serif" w:hAnsi="Times New Roman;Times;serif"/>
          <w:i/>
          <w:sz w:val="20"/>
        </w:rPr>
        <w:t>three</w:t>
      </w:r>
      <w:r>
        <w:rPr>
          <w:rFonts w:ascii="Times New Roman;Times;serif" w:hAnsi="Times New Roman;Times;serif"/>
          <w:i/>
          <w:sz w:val="20"/>
        </w:rPr>
        <w:t xml:space="preserve"> reportable segments.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w:t>
      </w:r>
      <w:r>
        <w:rPr>
          <w:rStyle w:val="Emphasis"/>
          <w:rFonts w:ascii="Times New Roman;Times;serif" w:hAnsi="Times New Roman;Times;serif"/>
          <w:sz w:val="20"/>
        </w:rPr>
        <w:t>one</w:t>
      </w:r>
      <w:r>
        <w:rPr>
          <w:rFonts w:ascii="Times New Roman;Times;serif" w:hAnsi="Times New Roman;Times;serif"/>
          <w:sz w:val="20"/>
        </w:rPr>
        <w:t xml:space="preserve">-half of </w:t>
      </w:r>
      <w:r>
        <w:rPr>
          <w:rStyle w:val="Emphasis"/>
          <w:rFonts w:ascii="Times New Roman;Times;serif" w:hAnsi="Times New Roman;Times;serif"/>
          <w:sz w:val="20"/>
        </w:rPr>
        <w:t>one</w:t>
      </w:r>
      <w:r>
        <w:rPr>
          <w:rFonts w:ascii="Times New Roman;Times;serif" w:hAnsi="Times New Roman;Times;serif"/>
          <w:sz w:val="20"/>
        </w:rPr>
        <w:t xml:space="preserve"> percent due to the personalized and interactive nature of sales, where consumers customize their own stuffed animal. The Company has elected to exclude from revenue all collected sales, value-added, and other taxes paid by its customers.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For the Company’s gift cards, revenue is deferred for single transactions until redemption including any related gift card discounts. </w:t>
      </w:r>
      <w:r>
        <w:rPr>
          <w:rFonts w:ascii="Times New Roman;Times;serif" w:hAnsi="Times New Roman;Times;serif"/>
          <w:sz w:val="20"/>
          <w:shd w:fill="FFFFFF" w:val="clear"/>
        </w:rPr>
        <w:t xml:space="preserve">Approximately 80% of gift cards issued are redeemed within three years of issuance and over the last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years, approximately 65% </w:t>
      </w:r>
      <w:r>
        <w:rPr>
          <w:rFonts w:ascii="Times New Roman;Times;serif" w:hAnsi="Times New Roman;Times;serif"/>
          <w:sz w:val="20"/>
        </w:rPr>
        <w:t xml:space="preserve">of gift cards issued have been redeemed within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twelve</w:t>
      </w:r>
      <w:r>
        <w:rPr>
          <w:rFonts w:ascii="Times New Roman;Times;serif" w:hAnsi="Times New Roman;Times;serif"/>
          <w:sz w:val="20"/>
        </w:rPr>
        <w:t xml:space="preserve"> months. In addition, unredeemed gift cards or breakage revenue is recorded in proportion to the consumers’ redemption pattern using an estimated breakage rate based on historical experience. Following the reopening of stores after the pandemic, the Company experienced lower gift card redemption rates for all periods of outstanding activated cards compared to historical redemption patterns observed prior to fiscal year </w:t>
      </w:r>
      <w:r>
        <w:rPr>
          <w:rStyle w:val="Emphasis"/>
          <w:rFonts w:ascii="Times New Roman;Times;serif" w:hAnsi="Times New Roman;Times;serif"/>
          <w:sz w:val="20"/>
        </w:rPr>
        <w:t>2020,</w:t>
      </w:r>
      <w:r>
        <w:rPr>
          <w:rFonts w:ascii="Times New Roman;Times;serif" w:hAnsi="Times New Roman;Times;serif"/>
          <w:sz w:val="20"/>
        </w:rPr>
        <w:t xml:space="preserve"> which impacted the gift card breakage rate. Management believes that the redemption behavior observed during the pandemic was </w:t>
      </w:r>
      <w:r>
        <w:rPr>
          <w:rStyle w:val="Emphasis"/>
          <w:rFonts w:ascii="Times New Roman;Times;serif" w:hAnsi="Times New Roman;Times;serif"/>
          <w:sz w:val="20"/>
        </w:rPr>
        <w:t>not</w:t>
      </w:r>
      <w:r>
        <w:rPr>
          <w:rFonts w:ascii="Times New Roman;Times;serif" w:hAnsi="Times New Roman;Times;serif"/>
          <w:sz w:val="20"/>
        </w:rPr>
        <w:t xml:space="preserve"> indicative of long-term customer behavior and accordingly adjusted the historical redemption data used to calculate the breakage rate. In more recent periods, gift card redemption patterns have generally returned to levels consistent with pre-</w:t>
      </w:r>
      <w:r>
        <w:rPr>
          <w:rStyle w:val="Emphasis"/>
          <w:rFonts w:ascii="Times New Roman;Times;serif" w:hAnsi="Times New Roman;Times;serif"/>
          <w:sz w:val="20"/>
        </w:rPr>
        <w:t>2020</w:t>
      </w:r>
      <w:r>
        <w:rPr>
          <w:rFonts w:ascii="Times New Roman;Times;serif" w:hAnsi="Times New Roman;Times;serif"/>
          <w:sz w:val="20"/>
        </w:rPr>
        <w:t xml:space="preserve"> experience. The Company continues to evaluate expected breakage annually and adjusts the breakage rates in the </w:t>
      </w:r>
      <w:r>
        <w:rPr>
          <w:rStyle w:val="Emphasis"/>
          <w:rFonts w:ascii="Times New Roman;Times;serif" w:hAnsi="Times New Roman;Times;serif"/>
          <w:sz w:val="20"/>
        </w:rPr>
        <w:t>fourth</w:t>
      </w:r>
      <w:r>
        <w:rPr>
          <w:rFonts w:ascii="Times New Roman;Times;serif" w:hAnsi="Times New Roman;Times;serif"/>
          <w:sz w:val="20"/>
        </w:rPr>
        <w:t xml:space="preserve"> quarter of each year, or at other times if significant changes in consumer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w:t>
      </w:r>
      <w:r>
        <w:rPr>
          <w:rStyle w:val="Emphasis"/>
          <w:rFonts w:ascii="Times New Roman;Times;serif" w:hAnsi="Times New Roman;Times;serif"/>
          <w:sz w:val="20"/>
        </w:rPr>
        <w:t>1%</w:t>
      </w:r>
      <w:r>
        <w:rPr>
          <w:rFonts w:ascii="Times New Roman;Times;serif" w:hAnsi="Times New Roman;Times;serif"/>
          <w:sz w:val="20"/>
        </w:rPr>
        <w:t xml:space="preserve"> change in our gift card breakage rate in fiscal </w:t>
      </w:r>
      <w:r>
        <w:rPr>
          <w:rStyle w:val="Emphasis"/>
          <w:rFonts w:ascii="Times New Roman;Times;serif" w:hAnsi="Times New Roman;Times;serif"/>
          <w:sz w:val="20"/>
        </w:rPr>
        <w:t>2025</w:t>
      </w:r>
      <w:r>
        <w:rPr>
          <w:rFonts w:ascii="Times New Roman;Times;serif" w:hAnsi="Times New Roman;Times;serif"/>
          <w:sz w:val="20"/>
        </w:rPr>
        <w:t> would have resulted in a change in breakage revenue of $</w:t>
      </w:r>
      <w:r>
        <w:rPr>
          <w:rFonts w:ascii="Times New Roman;Times;serif" w:hAnsi="Times New Roman;Times;serif"/>
          <w:sz w:val="20"/>
          <w:shd w:fill="FFFFFF" w:val="clear"/>
        </w:rPr>
        <w:t>1.3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caps w:val="false"/>
          <w:smallCaps w:val="false"/>
          <w:sz w:val="20"/>
        </w:rPr>
        <w:t xml:space="preserve">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Loyalty program points expire if there is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qualifying account activity for a period of </w:t>
      </w:r>
      <w:r>
        <w:rPr>
          <w:rStyle w:val="Emphasis"/>
          <w:rFonts w:ascii="Times New Roman;Times;serif" w:hAnsi="Times New Roman;Times;serif"/>
          <w:caps w:val="false"/>
          <w:smallCaps w:val="false"/>
          <w:sz w:val="20"/>
        </w:rPr>
        <w:t>12</w:t>
      </w:r>
      <w:r>
        <w:rPr>
          <w:rFonts w:ascii="Times New Roman;Times;serif" w:hAnsi="Times New Roman;Times;serif"/>
          <w:caps w:val="false"/>
          <w:smallCaps w:val="false"/>
          <w:sz w:val="20"/>
        </w:rPr>
        <w:t xml:space="preserve"> months. The Company issues certificates daily to loyalty program members who have earned </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or more points in North America and </w:t>
      </w:r>
      <w:r>
        <w:rPr>
          <w:rStyle w:val="Emphasis"/>
          <w:rFonts w:ascii="Times New Roman;Times;serif" w:hAnsi="Times New Roman;Times;serif"/>
          <w:caps w:val="false"/>
          <w:smallCaps w:val="false"/>
          <w:sz w:val="20"/>
        </w:rPr>
        <w:t>50</w:t>
      </w:r>
      <w:r>
        <w:rPr>
          <w:rFonts w:ascii="Times New Roman;Times;serif" w:hAnsi="Times New Roman;Times;serif"/>
          <w:caps w:val="false"/>
          <w:smallCaps w:val="false"/>
          <w:sz w:val="20"/>
        </w:rPr>
        <w:t xml:space="preserve"> points or more in the United Kingdom (the "U.K.") with certificates historically expiring in </w:t>
      </w:r>
      <w:r>
        <w:rPr>
          <w:rStyle w:val="Emphasis"/>
          <w:rFonts w:ascii="Times New Roman;Times;serif" w:hAnsi="Times New Roman;Times;serif"/>
          <w:caps w:val="false"/>
          <w:smallCaps w:val="false"/>
          <w:sz w:val="20"/>
        </w:rPr>
        <w:t>four</w:t>
      </w:r>
      <w:r>
        <w:rPr>
          <w:rFonts w:ascii="Times New Roman;Times;serif" w:hAnsi="Times New Roman;Times;serif"/>
          <w:caps w:val="false"/>
          <w:smallCaps w:val="false"/>
          <w:sz w:val="20"/>
        </w:rPr>
        <w:t> months if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redeemed. The Company assesses the redemption rates of its certifications on a quarterly basis to update the rate at which loyalty program points turn into certifications and the rate that certifications are redeemed. The Company classifies contract liabilities related to the loyalty program as deferred revenue and other on the condensed consolidated balance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caps w:val="false"/>
          <w:smallCaps w:val="false"/>
          <w:sz w:val="20"/>
        </w:rPr>
        <w:t xml:space="preserve">The Company’s commercial segment includes transactions with other businesses and is mainly comprised of  wholesale sales of merchandise, supplies and fixtures, licensing the Company's intellectual properties for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-party use, and revenues generated from entertainment activities. Revenue for wholesale sales is recognized when the control of the merchandise or fixtures is transferred to the customer, which generally occurs upon shipment to the customer. The license agreements provide the customer with highly interrelated rights, including the Build-A-Bear retail operations proprietary process,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and other on the condensed consolidated balance sheet. Entertainment revenue is generated through the sale of entertainment assets directly to customers or through licensing agreements.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w:t>
      </w:r>
      <w:r>
        <w:rPr>
          <w:rStyle w:val="Emphasis"/>
          <w:rFonts w:ascii="Times New Roman;Times;serif" w:hAnsi="Times New Roman;Times;serif"/>
          <w:sz w:val="20"/>
        </w:rPr>
        <w:t>not</w:t>
      </w:r>
      <w:r>
        <w:rPr>
          <w:rFonts w:ascii="Times New Roman;Times;serif" w:hAnsi="Times New Roman;Times;serif"/>
          <w:sz w:val="20"/>
        </w:rPr>
        <w:t xml:space="preserve"> distinct in the context of the contract and, therefore, have been accounted for as a single performance obligation and recognized as franchisee sales occur. If the contract includes an initial, </w:t>
      </w:r>
      <w:r>
        <w:rPr>
          <w:rStyle w:val="Emphasis"/>
          <w:rFonts w:ascii="Times New Roman;Times;serif" w:hAnsi="Times New Roman;Times;serif"/>
          <w:sz w:val="20"/>
        </w:rPr>
        <w:t>one</w:t>
      </w:r>
      <w:r>
        <w:rPr>
          <w:rFonts w:ascii="Times New Roman;Times;serif" w:hAnsi="Times New Roman;Times;serif"/>
          <w:sz w:val="20"/>
        </w:rPr>
        <w:t xml:space="preserve">-time nonrefundable development fee, this fee is recognized on a straight-line basis over the term of the franchise agreement, which </w:t>
      </w:r>
      <w:r>
        <w:rPr>
          <w:rStyle w:val="Emphasis"/>
          <w:rFonts w:ascii="Times New Roman;Times;serif" w:hAnsi="Times New Roman;Times;serif"/>
          <w:sz w:val="20"/>
        </w:rPr>
        <w:t xml:space="preserve">may </w:t>
      </w:r>
      <w:r>
        <w:rPr>
          <w:rFonts w:ascii="Times New Roman;Times;serif" w:hAnsi="Times New Roman;Times;serif"/>
          <w:sz w:val="20"/>
        </w:rPr>
        <w:t xml:space="preserve">extend for periods up to 25 years. The Company classifies these initial, </w:t>
      </w:r>
      <w:r>
        <w:rPr>
          <w:rStyle w:val="Emphasis"/>
          <w:rFonts w:ascii="Times New Roman;Times;serif" w:hAnsi="Times New Roman;Times;serif"/>
          <w:sz w:val="20"/>
        </w:rPr>
        <w:t>one</w:t>
      </w:r>
      <w:r>
        <w:rPr>
          <w:rFonts w:ascii="Times New Roman;Times;serif" w:hAnsi="Times New Roman;Times;serif"/>
          <w:sz w:val="20"/>
        </w:rPr>
        <w:t>-time nonrefundable franchise fee contract liabilities as deferred revenue and other on its condensed consolidated balance sheet. Revenue from merchandise and fixture sales is recognized when control is transferred to the franchisee, which generally occurs upon delivery.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 also incurs expenses directly related to the startup of new franchises, which </w:t>
      </w:r>
      <w:r>
        <w:rPr>
          <w:rStyle w:val="Emphasis"/>
          <w:rFonts w:ascii="Times New Roman;Times;serif" w:hAnsi="Times New Roman;Times;serif"/>
          <w:sz w:val="20"/>
        </w:rPr>
        <w:t xml:space="preserve">may </w:t>
      </w:r>
      <w:r>
        <w:rPr>
          <w:rFonts w:ascii="Times New Roman;Times;serif" w:hAnsi="Times New Roman;Times;serif"/>
          <w:sz w:val="20"/>
        </w:rPr>
        <w:t>include finder’s fees, legal and travel costs, expenses related to its ongoing support of the franchises and employee compensation. Accordingly, the Company’s policy is to capitalize any finder’s fee, as an incremental cost, and expense all other costs as incurred. The Company amortizes these capitalized costs into expense in the same pattern as the development fee as described previously. These capitalized costs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2026</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material to the financial statements.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xml:space="preserve">, the Company's accounts receivable are net of $4.2 million and $6.9 million, respectively, inclusive of the allowance for credit losses and the reserve for the UK's customs authority </w:t>
      </w:r>
      <w:r>
        <w:rPr>
          <w:rFonts w:ascii="Times New Roman;Times;serif" w:hAnsi="Times New Roman;Times;serif"/>
          <w:sz w:val="20"/>
          <w:shd w:fill="FFFFFF" w:val="clear"/>
        </w:rPr>
        <w:t xml:space="preserve">"HMRC" matter of $0.6 million and </w:t>
      </w:r>
      <w:r>
        <w:rPr>
          <w:rFonts w:ascii="Times New Roman;Times;serif" w:hAnsi="Times New Roman;Times;serif"/>
          <w:sz w:val="20"/>
        </w:rPr>
        <w:t>$3.6</w:t>
      </w:r>
      <w:r>
        <w:rPr>
          <w:rFonts w:ascii="Times New Roman;Times;serif" w:hAnsi="Times New Roman;Times;serif"/>
          <w:sz w:val="20"/>
          <w:shd w:fill="FFFFFF" w:val="clear"/>
        </w:rPr>
        <w:t xml:space="preserve"> million, respectively.  </w:t>
      </w:r>
      <w:r>
        <w:rPr>
          <w:rFonts w:ascii="Times New Roman;Times;serif" w:hAnsi="Times New Roman;Times;serif"/>
          <w:sz w:val="20"/>
        </w:rPr>
        <w:t xml:space="preserve">See Note </w:t>
      </w:r>
      <w:r>
        <w:rPr>
          <w:rStyle w:val="Emphasis"/>
          <w:rFonts w:ascii="Times New Roman;Times;serif" w:hAnsi="Times New Roman;Times;serif"/>
          <w:sz w:val="20"/>
        </w:rPr>
        <w:t>12</w:t>
      </w:r>
      <w:r>
        <w:rPr>
          <w:rFonts w:ascii="Times New Roman;Times;serif" w:hAnsi="Times New Roman;Times;serif"/>
          <w:sz w:val="20"/>
        </w:rPr>
        <w:t xml:space="preserve"> for further discussion of the HMRC matter.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During the </w:t>
      </w:r>
      <w:r>
        <w:rPr>
          <w:rStyle w:val="Emphasis"/>
          <w:rFonts w:ascii="Times New Roman;Times;serif" w:hAnsi="Times New Roman;Times;serif"/>
          <w:sz w:val="20"/>
        </w:rPr>
        <w:t>first</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following Supreme Court rulings regarding tariffs previously imposed under the International Emergency Economic Powers Act ("IEEPA"), the Company determined that it was entitled to recover approximately $13.2 million of previously paid tariffs. The Company recorded the related receivable, recognized a $10.4 million benefit in cost of merchandise sold-retail, including approximately $7.0 million related to prior fiscal year costs, and reduced the carrying value of inventory by approximately $2.8 million for tariffs attributable to inventory remaining on hand. During the </w:t>
      </w:r>
      <w:r>
        <w:rPr>
          <w:rStyle w:val="Emphasis"/>
          <w:rFonts w:ascii="Times New Roman;Times;serif" w:hAnsi="Times New Roman;Times;serif"/>
          <w:sz w:val="20"/>
        </w:rPr>
        <w:t>second</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the Company collected the refund including interest and recognized the remaining inventory-related benefit as the underlying inventory was sold. As a result, the Company has substantially completed recognition of the financial statement impacts associated with the IEEPA tariff refund.</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Leases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majority of the Company's leases relate to retail stores and corporate offices. For leases with terms greater than </w:t>
      </w:r>
      <w:r>
        <w:rPr>
          <w:rStyle w:val="Emphasis"/>
          <w:rFonts w:ascii="Times New Roman;Times;serif" w:hAnsi="Times New Roman;Times;serif"/>
          <w:sz w:val="20"/>
        </w:rPr>
        <w:t>12</w:t>
      </w:r>
      <w:r>
        <w:rPr>
          <w:rFonts w:ascii="Times New Roman;Times;serif" w:hAnsi="Times New Roman;Times;serif"/>
          <w:sz w:val="20"/>
        </w:rPr>
        <w:t xml:space="preserve"> months, the Company records the related asset and obligation at the present value of lease payments over the term. Most new retail store leases have an original term of a five to ten-year base period and </w:t>
      </w:r>
      <w:r>
        <w:rPr>
          <w:rStyle w:val="Emphasis"/>
          <w:rFonts w:ascii="Times New Roman;Times;serif" w:hAnsi="Times New Roman;Times;serif"/>
          <w:sz w:val="20"/>
        </w:rPr>
        <w:t xml:space="preserve">may </w:t>
      </w:r>
      <w:r>
        <w:rPr>
          <w:rFonts w:ascii="Times New Roman;Times;serif" w:hAnsi="Times New Roman;Times;serif"/>
          <w:sz w:val="20"/>
        </w:rPr>
        <w:t xml:space="preserve">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operate stores for a period of time on a month-to-month basis after the expiration of the lease term. The Company's lease agreements do </w:t>
      </w:r>
      <w:r>
        <w:rPr>
          <w:rStyle w:val="Emphasis"/>
          <w:rFonts w:ascii="Times New Roman;Times;serif" w:hAnsi="Times New Roman;Times;serif"/>
          <w:sz w:val="20"/>
        </w:rPr>
        <w:t>not</w:t>
      </w:r>
      <w:r>
        <w:rPr>
          <w:rFonts w:ascii="Times New Roman;Times;serif" w:hAnsi="Times New Roman;Times;serif"/>
          <w:sz w:val="20"/>
        </w:rPr>
        <w:t xml:space="preserve"> contain any material residual value guarantees or material restrictive covenants. Additionally, certain leases contain incentives, such as construction allowances from landlords and/or rent abatements subsequent to taking possession of the leased property.</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The table below presents certain information related to the lease costs for operating leases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(in thousands).</w:t>
      </w:r>
    </w:p>
    <w:p>
      <w:pPr>
        <w:pStyle w:val="TextBody"/>
        <w:bidi w:val="0"/>
        <w:spacing w:before="0" w:after="0"/>
        <w:ind w:left="0" w:right="0" w:firstLine="720"/>
        <w:jc w:val="left"/>
        <w:rPr/>
      </w:pPr>
      <w:r>
        <w:rPr/>
        <w:t> </w:t>
      </w:r>
    </w:p>
    <w:tbl>
      <w:tblPr>
        <w:tblW w:w="7858" w:type="dxa"/>
        <w:jc w:val="left"/>
        <w:tblInd w:w="0" w:type="dxa"/>
        <w:tblLayout w:type="fixed"/>
        <w:tblCellMar>
          <w:top w:w="0" w:type="dxa"/>
          <w:left w:w="0" w:type="dxa"/>
          <w:bottom w:w="0" w:type="dxa"/>
          <w:right w:w="0" w:type="dxa"/>
        </w:tblCellMar>
      </w:tblPr>
      <w:tblGrid>
        <w:gridCol w:w="2270"/>
        <w:gridCol w:w="60"/>
        <w:gridCol w:w="220"/>
        <w:gridCol w:w="1044"/>
        <w:gridCol w:w="69"/>
        <w:gridCol w:w="69"/>
        <w:gridCol w:w="220"/>
        <w:gridCol w:w="1044"/>
        <w:gridCol w:w="60"/>
        <w:gridCol w:w="60"/>
        <w:gridCol w:w="220"/>
        <w:gridCol w:w="1044"/>
        <w:gridCol w:w="77"/>
        <w:gridCol w:w="77"/>
        <w:gridCol w:w="220"/>
        <w:gridCol w:w="1044"/>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Thirteen weeks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Twenty-six weeks ended</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 2026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 2026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 2025</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21,208</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costs (1)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4,889</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costs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27,214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26,146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288" w:right="288" w:hanging="0"/>
        <w:jc w:val="center"/>
        <w:rPr/>
      </w:pPr>
      <w:r>
        <w:rPr/>
        <w:t> </w:t>
      </w:r>
    </w:p>
    <w:tbl>
      <w:tblPr>
        <w:tblW w:w="10205" w:type="dxa"/>
        <w:jc w:val="left"/>
        <w:tblInd w:w="0" w:type="dxa"/>
        <w:tblLayout w:type="fixed"/>
        <w:tblCellMar>
          <w:top w:w="0" w:type="dxa"/>
          <w:left w:w="0" w:type="dxa"/>
          <w:bottom w:w="0" w:type="dxa"/>
          <w:right w:w="0" w:type="dxa"/>
        </w:tblCellMar>
      </w:tblPr>
      <w:tblGrid>
        <w:gridCol w:w="60"/>
        <w:gridCol w:w="328"/>
        <w:gridCol w:w="9817"/>
      </w:tblGrid>
      <w:tr>
        <w:trPr/>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lineRule="auto" w:line="288" w:before="0" w:after="0"/>
              <w:ind w:left="0" w:right="144"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817" w:type="dxa"/>
            <w:tcBorders/>
            <w:vAlign w:val="center"/>
          </w:tcPr>
          <w:p>
            <w:pPr>
              <w:pStyle w:val="TableContents"/>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Variable lease costs consist of leases with variable rent structures, which are intended to increase flexibility in an environment with expected high sales volatility and provide a natural hedge against potential sales declines.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i/>
          <w:sz w:val="20"/>
        </w:rPr>
        <w:t>Other information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table below presents supplemental cash flow information related to leases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(in thousands).</w:t>
      </w:r>
    </w:p>
    <w:p>
      <w:pPr>
        <w:pStyle w:val="TextBody"/>
        <w:bidi w:val="0"/>
        <w:spacing w:before="0" w:after="0"/>
        <w:ind w:left="0" w:right="0" w:firstLine="720"/>
        <w:jc w:val="left"/>
        <w:rPr/>
      </w:pPr>
      <w:r>
        <w:rPr/>
        <w:t> </w:t>
      </w:r>
    </w:p>
    <w:tbl>
      <w:tblPr>
        <w:tblW w:w="8923" w:type="dxa"/>
        <w:jc w:val="left"/>
        <w:tblInd w:w="0" w:type="dxa"/>
        <w:tblLayout w:type="fixed"/>
        <w:tblCellMar>
          <w:top w:w="0" w:type="dxa"/>
          <w:left w:w="0" w:type="dxa"/>
          <w:bottom w:w="0" w:type="dxa"/>
          <w:right w:w="0" w:type="dxa"/>
        </w:tblCellMar>
      </w:tblPr>
      <w:tblGrid>
        <w:gridCol w:w="3335"/>
        <w:gridCol w:w="60"/>
        <w:gridCol w:w="220"/>
        <w:gridCol w:w="1044"/>
        <w:gridCol w:w="69"/>
        <w:gridCol w:w="69"/>
        <w:gridCol w:w="220"/>
        <w:gridCol w:w="1044"/>
        <w:gridCol w:w="60"/>
        <w:gridCol w:w="60"/>
        <w:gridCol w:w="220"/>
        <w:gridCol w:w="1044"/>
        <w:gridCol w:w="77"/>
        <w:gridCol w:w="77"/>
        <w:gridCol w:w="220"/>
        <w:gridCol w:w="1044"/>
        <w:gridCol w:w="6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Thirteen weeks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Twenty-six weeks ended</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 2026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 2026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 2025</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for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 2025</w:t>
      </w:r>
      <w:r>
        <w:rPr>
          <w:rFonts w:ascii="Times New Roman" w:hAnsi="Times New Roman"/>
          <w:caps w:val="false"/>
          <w:smallCaps w:val="false"/>
          <w:sz w:val="20"/>
        </w:rPr>
        <w:t>, the weighted-average remaining operating lease term was 6.2 years and 6.1 years, respectively, and the weighted-average discount rate was 6.9% and 7.1%, respectively, for operating leases recognized on the Company's condensed consolidated balance sheets.</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value of our operating lease asset was $119.8 million and $101.0 million as of </w:t>
      </w:r>
      <w:r>
        <w:rPr>
          <w:rStyle w:val="Emphasis"/>
          <w:rFonts w:ascii="Times New Roman" w:hAnsi="Times New Roman"/>
          <w:caps w:val="false"/>
          <w:smallCaps w:val="false"/>
          <w:sz w:val="20"/>
        </w:rPr>
        <w:t xml:space="preserve"> 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2, 2025</w:t>
      </w:r>
      <w:r>
        <w:rPr>
          <w:rFonts w:ascii="Times New Roman" w:hAnsi="Times New Roman"/>
          <w:caps w:val="false"/>
          <w:smallCaps w:val="false"/>
          <w:sz w:val="20"/>
        </w:rPr>
        <w:t>, respectively.  The increase</w:t>
      </w:r>
      <w:r>
        <w:rPr>
          <w:rFonts w:ascii="Times New Roman" w:hAnsi="Times New Roman"/>
          <w:caps w:val="false"/>
          <w:smallCaps w:val="false"/>
          <w:sz w:val="20"/>
          <w:shd w:fill="FFFFFF" w:val="clear"/>
        </w:rPr>
        <w:t> </w:t>
      </w:r>
      <w:r>
        <w:rPr>
          <w:rFonts w:ascii="Times New Roman" w:hAnsi="Times New Roman"/>
          <w:caps w:val="false"/>
          <w:smallCaps w:val="false"/>
          <w:sz w:val="20"/>
        </w:rPr>
        <w:t>was driven by the Company entering into leases for new stores as well as securing longer-term extensions for existing stores resulting in contracts with more favorable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thirteen</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twenty-six</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August 1, 2026</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thirteen</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twenty-six</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August 2, 2025</w:t>
      </w:r>
      <w:r>
        <w:rPr>
          <w:rFonts w:ascii="Times New Roman" w:hAnsi="Times New Roman"/>
          <w:caps w:val="false"/>
          <w:smallCaps w:val="false"/>
          <w:sz w:val="20"/>
        </w:rPr>
        <w:t>, the Company incurred no impairment charges against its right-of-use operating lease assets.</w:t>
      </w:r>
    </w:p>
    <w:p>
      <w:pPr>
        <w:pStyle w:val="TextBody"/>
        <w:bidi w:val="0"/>
        <w:spacing w:before="0" w:after="0"/>
        <w:ind w:left="0" w:right="0" w:firstLine="540"/>
        <w:jc w:val="left"/>
        <w:rPr>
          <w:color w:val="000000"/>
        </w:rPr>
      </w:pPr>
      <w:r>
        <w:rPr>
          <w:color w:val="000000"/>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Undiscounted cash flows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table below reconciles the undiscounted cash flows for each of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five</w:t>
      </w:r>
      <w:r>
        <w:rPr>
          <w:rFonts w:ascii="Times New Roman;Times;serif" w:hAnsi="Times New Roman;Times;serif"/>
          <w:sz w:val="20"/>
        </w:rPr>
        <w:t xml:space="preserve"> years and total of the remaining years to the operating lease liabilities recorded on the condensed consolidated balance sheet (in thousands).</w:t>
      </w:r>
    </w:p>
    <w:p>
      <w:pPr>
        <w:pStyle w:val="TextBody"/>
        <w:bidi w:val="0"/>
        <w:spacing w:before="0" w:after="0"/>
        <w:ind w:left="0" w:right="0" w:hanging="0"/>
        <w:jc w:val="left"/>
        <w:rPr/>
      </w:pPr>
      <w:r>
        <w:rPr/>
        <w:t> </w:t>
      </w:r>
    </w:p>
    <w:tbl>
      <w:tblPr>
        <w:tblW w:w="5240" w:type="dxa"/>
        <w:jc w:val="left"/>
        <w:tblInd w:w="0" w:type="dxa"/>
        <w:tblLayout w:type="fixed"/>
        <w:tblCellMar>
          <w:top w:w="0" w:type="dxa"/>
          <w:left w:w="0" w:type="dxa"/>
          <w:bottom w:w="28" w:type="dxa"/>
          <w:right w:w="0" w:type="dxa"/>
        </w:tblCellMar>
      </w:tblPr>
      <w:tblGrid>
        <w:gridCol w:w="4280"/>
        <w:gridCol w:w="60"/>
        <w:gridCol w:w="125"/>
        <w:gridCol w:w="695"/>
        <w:gridCol w:w="80"/>
      </w:tblGrid>
      <w:tr>
        <w:trPr/>
        <w:tc>
          <w:tcPr>
            <w:tcW w:w="42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283"/>
              <w:jc w:val="center"/>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33,912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26,510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20,987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43,184</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428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157,020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of lease payments representing interest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(31,509</w:t>
            </w:r>
          </w:p>
        </w:tc>
        <w:tc>
          <w:tcPr>
            <w:tcW w:w="8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Present value of future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125,511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obligations under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Long-term lease obligations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97,373</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August 1, 2026</w:t>
      </w:r>
      <w:r>
        <w:rPr>
          <w:rFonts w:ascii="Times New Roman;Times;serif" w:hAnsi="Times New Roman;Times;serif"/>
          <w:sz w:val="20"/>
        </w:rPr>
        <w:t xml:space="preserve">, the Company had additional executed leases that had </w:t>
      </w:r>
      <w:r>
        <w:rPr>
          <w:rStyle w:val="Emphasis"/>
          <w:rFonts w:ascii="Times New Roman;Times;serif" w:hAnsi="Times New Roman;Times;serif"/>
          <w:sz w:val="20"/>
        </w:rPr>
        <w:t>not</w:t>
      </w:r>
      <w:r>
        <w:rPr>
          <w:rFonts w:ascii="Times New Roman;Times;serif" w:hAnsi="Times New Roman;Times;serif"/>
          <w:sz w:val="20"/>
        </w:rPr>
        <w:t xml:space="preserve"> yet commenced with operating lease liabilities of $0.9 million. These leases are expected to commence in the </w:t>
      </w:r>
      <w:r>
        <w:rPr>
          <w:rStyle w:val="Emphasis"/>
          <w:rFonts w:ascii="Times New Roman;Times;serif" w:hAnsi="Times New Roman;Times;serif"/>
          <w:sz w:val="20"/>
        </w:rPr>
        <w:t>third</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with lease terms of three to ten years.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Other Assets </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p>
      <w:pPr>
        <w:pStyle w:val="TextBody"/>
        <w:bidi w:val="0"/>
        <w:spacing w:before="0" w:after="0"/>
        <w:ind w:left="144" w:right="144" w:hanging="0"/>
        <w:jc w:val="center"/>
        <w:rPr/>
      </w:pPr>
      <w:r>
        <w:rPr/>
        <w:t> </w:t>
      </w:r>
    </w:p>
    <w:tbl>
      <w:tblPr>
        <w:tblW w:w="4802" w:type="dxa"/>
        <w:jc w:val="left"/>
        <w:tblInd w:w="0" w:type="dxa"/>
        <w:tblLayout w:type="fixed"/>
        <w:tblCellMar>
          <w:top w:w="0" w:type="dxa"/>
          <w:left w:w="0" w:type="dxa"/>
          <w:bottom w:w="0" w:type="dxa"/>
          <w:right w:w="0" w:type="dxa"/>
        </w:tblCellMar>
      </w:tblPr>
      <w:tblGrid>
        <w:gridCol w:w="1835"/>
        <w:gridCol w:w="60"/>
        <w:gridCol w:w="139"/>
        <w:gridCol w:w="660"/>
        <w:gridCol w:w="60"/>
        <w:gridCol w:w="60"/>
        <w:gridCol w:w="206"/>
        <w:gridCol w:w="803"/>
        <w:gridCol w:w="60"/>
        <w:gridCol w:w="60"/>
        <w:gridCol w:w="139"/>
        <w:gridCol w:w="660"/>
        <w:gridCol w:w="60"/>
      </w:tblGrid>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2,</w:t>
            </w:r>
          </w:p>
        </w:tc>
        <w:tc>
          <w:tcPr>
            <w:tcW w:w="60" w:type="dxa"/>
            <w:tcBorders/>
            <w:shd w:fill="FFFF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occupancy (1)</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3,757</w:t>
            </w:r>
          </w:p>
        </w:tc>
        <w:tc>
          <w:tcPr>
            <w:tcW w:w="6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6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taxes (2)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gift card fees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w:t>
            </w:r>
          </w:p>
        </w:tc>
        <w:tc>
          <w:tcPr>
            <w:tcW w:w="6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royalties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6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(3)</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5,084</w:t>
            </w:r>
          </w:p>
        </w:tc>
        <w:tc>
          <w:tcPr>
            <w:tcW w:w="6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64"/>
        <w:gridCol w:w="9781"/>
      </w:tblGrid>
      <w:tr>
        <w:trPr/>
        <w:tc>
          <w:tcPr>
            <w:tcW w:w="6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288" w:before="0" w:after="0"/>
              <w:ind w:left="0" w:right="144"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781" w:type="dxa"/>
            <w:tcBorders/>
            <w:vAlign w:val="center"/>
          </w:tcPr>
          <w:p>
            <w:pPr>
              <w:pStyle w:val="TableContents"/>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Prepaid occupancy consists of prepaid expenses related to variable non-lease components.</w:t>
            </w:r>
          </w:p>
        </w:tc>
      </w:tr>
      <w:tr>
        <w:trPr/>
        <w:tc>
          <w:tcPr>
            <w:tcW w:w="6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288" w:before="0" w:after="283"/>
              <w:jc w:val="left"/>
              <w:rPr/>
            </w:pPr>
            <w:r>
              <w:rPr/>
              <w:t>(</w:t>
            </w:r>
            <w:r>
              <w:rPr>
                <w:rStyle w:val="Emphasis"/>
              </w:rPr>
              <w:t>2</w:t>
            </w:r>
            <w:r>
              <w:rPr/>
              <w:t>)</w:t>
            </w:r>
          </w:p>
        </w:tc>
        <w:tc>
          <w:tcPr>
            <w:tcW w:w="9781" w:type="dxa"/>
            <w:tcBorders/>
            <w:vAlign w:val="center"/>
          </w:tcPr>
          <w:p>
            <w:pPr>
              <w:pStyle w:val="TableContents"/>
              <w:bidi w:val="0"/>
              <w:spacing w:before="0" w:after="283"/>
              <w:jc w:val="left"/>
              <w:rPr/>
            </w:pPr>
            <w:r>
              <w:rPr/>
              <w:t>Prepaid taxes consist of prepaid federal and state income tax. </w:t>
            </w:r>
          </w:p>
        </w:tc>
      </w:tr>
      <w:tr>
        <w:trPr/>
        <w:tc>
          <w:tcPr>
            <w:tcW w:w="6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lineRule="auto" w:line="288" w:before="0" w:after="283"/>
              <w:jc w:val="left"/>
              <w:rPr/>
            </w:pPr>
            <w:r>
              <w:rPr/>
              <w:t>(</w:t>
            </w:r>
            <w:r>
              <w:rPr>
                <w:rStyle w:val="Emphasis"/>
              </w:rPr>
              <w:t>3</w:t>
            </w:r>
            <w:r>
              <w:rPr/>
              <w:t>)</w:t>
            </w:r>
          </w:p>
        </w:tc>
        <w:tc>
          <w:tcPr>
            <w:tcW w:w="9781" w:type="dxa"/>
            <w:tcBorders/>
            <w:vAlign w:val="center"/>
          </w:tcPr>
          <w:p>
            <w:pPr>
              <w:pStyle w:val="TableContents"/>
              <w:bidi w:val="0"/>
              <w:spacing w:before="0" w:after="283"/>
              <w:jc w:val="left"/>
              <w:rPr/>
            </w:pPr>
            <w:r>
              <w:rPr/>
              <w:t>Other consists primarily of prepaid expense related to information technology maintenance contracts and software as a service.</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non-current assets consist of the following (in thousands):</w:t>
      </w:r>
    </w:p>
    <w:p>
      <w:pPr>
        <w:pStyle w:val="TextBody"/>
        <w:bidi w:val="0"/>
        <w:spacing w:before="0" w:after="0"/>
        <w:ind w:left="144" w:right="144" w:hanging="0"/>
        <w:jc w:val="left"/>
        <w:rPr/>
      </w:pPr>
      <w:r>
        <w:rPr/>
        <w:t> </w:t>
      </w:r>
    </w:p>
    <w:tbl>
      <w:tblPr>
        <w:tblW w:w="5822" w:type="dxa"/>
        <w:jc w:val="left"/>
        <w:tblInd w:w="0" w:type="dxa"/>
        <w:tblLayout w:type="fixed"/>
        <w:tblCellMar>
          <w:top w:w="0" w:type="dxa"/>
          <w:left w:w="0" w:type="dxa"/>
          <w:bottom w:w="0" w:type="dxa"/>
          <w:right w:w="0" w:type="dxa"/>
        </w:tblCellMar>
      </w:tblPr>
      <w:tblGrid>
        <w:gridCol w:w="2840"/>
        <w:gridCol w:w="60"/>
        <w:gridCol w:w="163"/>
        <w:gridCol w:w="636"/>
        <w:gridCol w:w="60"/>
        <w:gridCol w:w="60"/>
        <w:gridCol w:w="206"/>
        <w:gridCol w:w="803"/>
        <w:gridCol w:w="60"/>
        <w:gridCol w:w="60"/>
        <w:gridCol w:w="163"/>
        <w:gridCol w:w="636"/>
        <w:gridCol w:w="75"/>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January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Entertainment production asset (1)</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4,336</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compensation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(2)</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43"/>
        <w:gridCol w:w="9802"/>
      </w:tblGrid>
      <w:tr>
        <w:trPr/>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lineRule="auto" w:line="288" w:before="0" w:after="283"/>
              <w:jc w:val="left"/>
              <w:rPr/>
            </w:pPr>
            <w:r>
              <w:rPr/>
              <w:t>(</w:t>
            </w:r>
            <w:r>
              <w:rPr>
                <w:rStyle w:val="Emphasis"/>
              </w:rPr>
              <w:t>1</w:t>
            </w:r>
            <w:r>
              <w:rPr/>
              <w:t>)</w:t>
            </w:r>
          </w:p>
        </w:tc>
        <w:tc>
          <w:tcPr>
            <w:tcW w:w="9802" w:type="dxa"/>
            <w:tcBorders/>
            <w:vAlign w:val="center"/>
          </w:tcPr>
          <w:p>
            <w:pPr>
              <w:pStyle w:val="TableContents"/>
              <w:bidi w:val="0"/>
              <w:spacing w:before="0" w:after="283"/>
              <w:jc w:val="left"/>
              <w:rPr/>
            </w:pPr>
            <w:r>
              <w:rPr/>
              <w:t>Entertainment production asset includes the direct costs, production overhead and development costs in producing entertainment assets such as films or music.</w:t>
            </w:r>
          </w:p>
        </w:tc>
      </w:tr>
      <w:tr>
        <w:trPr/>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lineRule="auto" w:line="288" w:before="0" w:after="0"/>
              <w:ind w:left="0" w:right="144"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9802" w:type="dxa"/>
            <w:tcBorders/>
            <w:vAlign w:val="center"/>
          </w:tcPr>
          <w:p>
            <w:pPr>
              <w:pStyle w:val="TableContents"/>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Other consists primarily of deferred financing costs related to the Company's credit facility.</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5.</w:t>
      </w:r>
      <w:r>
        <w:rPr>
          <w:rFonts w:ascii="Times New Roman;Times;serif" w:hAnsi="Times New Roman;Times;serif"/>
          <w:b/>
          <w:sz w:val="20"/>
        </w:rPr>
        <w:t xml:space="preserve"> Accrued Expenses</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0"/>
        <w:ind w:left="144" w:right="144" w:hanging="0"/>
        <w:jc w:val="left"/>
        <w:rPr/>
      </w:pPr>
      <w:r>
        <w:rPr/>
        <w:t> </w:t>
      </w:r>
    </w:p>
    <w:tbl>
      <w:tblPr>
        <w:tblW w:w="6677" w:type="dxa"/>
        <w:jc w:val="left"/>
        <w:tblInd w:w="0" w:type="dxa"/>
        <w:tblLayout w:type="fixed"/>
        <w:tblCellMar>
          <w:top w:w="0" w:type="dxa"/>
          <w:left w:w="0" w:type="dxa"/>
          <w:bottom w:w="0" w:type="dxa"/>
          <w:right w:w="0" w:type="dxa"/>
        </w:tblCellMar>
      </w:tblPr>
      <w:tblGrid>
        <w:gridCol w:w="3710"/>
        <w:gridCol w:w="60"/>
        <w:gridCol w:w="139"/>
        <w:gridCol w:w="660"/>
        <w:gridCol w:w="60"/>
        <w:gridCol w:w="60"/>
        <w:gridCol w:w="176"/>
        <w:gridCol w:w="833"/>
        <w:gridCol w:w="60"/>
        <w:gridCol w:w="60"/>
        <w:gridCol w:w="139"/>
        <w:gridCol w:w="660"/>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August 2,</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wages, bonuses and related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12,122</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value added taxes payable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2,597</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income taxes payable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2,156</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rent and related expenses (1)</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Accrued expense - other (2)</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1,350</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tbl>
      <w:tblPr>
        <w:tblW w:w="8518" w:type="dxa"/>
        <w:jc w:val="left"/>
        <w:tblInd w:w="0" w:type="dxa"/>
        <w:tblLayout w:type="fixed"/>
        <w:tblCellMar>
          <w:top w:w="0" w:type="dxa"/>
          <w:left w:w="0" w:type="dxa"/>
          <w:bottom w:w="0" w:type="dxa"/>
          <w:right w:w="0" w:type="dxa"/>
        </w:tblCellMar>
      </w:tblPr>
      <w:tblGrid>
        <w:gridCol w:w="60"/>
        <w:gridCol w:w="389"/>
        <w:gridCol w:w="8069"/>
      </w:tblGrid>
      <w:tr>
        <w:trPr/>
        <w:tc>
          <w:tcPr>
            <w:tcW w:w="6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288" w:before="0" w:after="0"/>
              <w:ind w:left="0" w:right="144"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8069" w:type="dxa"/>
            <w:tcBorders/>
            <w:vAlign w:val="center"/>
          </w:tcPr>
          <w:p>
            <w:pPr>
              <w:pStyle w:val="TableContents"/>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Accrued rent and related expenses consist of accrued costs associated with non-lease components.</w:t>
            </w:r>
          </w:p>
        </w:tc>
      </w:tr>
      <w:tr>
        <w:trPr/>
        <w:tc>
          <w:tcPr>
            <w:tcW w:w="6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lineRule="auto" w:line="288" w:before="0" w:after="283"/>
              <w:jc w:val="left"/>
              <w:rPr/>
            </w:pPr>
            <w:r>
              <w:rPr/>
              <w:t>(</w:t>
            </w:r>
            <w:r>
              <w:rPr>
                <w:rStyle w:val="Emphasis"/>
              </w:rPr>
              <w:t>2</w:t>
            </w:r>
            <w:r>
              <w:rPr/>
              <w:t>)</w:t>
            </w:r>
          </w:p>
        </w:tc>
        <w:tc>
          <w:tcPr>
            <w:tcW w:w="8069" w:type="dxa"/>
            <w:tcBorders/>
            <w:vAlign w:val="center"/>
          </w:tcPr>
          <w:p>
            <w:pPr>
              <w:pStyle w:val="TableContents"/>
              <w:bidi w:val="0"/>
              <w:spacing w:before="0" w:after="283"/>
              <w:jc w:val="left"/>
              <w:rPr/>
            </w:pPr>
            <w:r>
              <w:rPr/>
              <w:t>Accrued expense - other consists of costs associated with legal accruals.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6.</w:t>
      </w:r>
      <w:r>
        <w:rPr>
          <w:rFonts w:ascii="Times New Roman;Times;serif" w:hAnsi="Times New Roman;Times;serif"/>
          <w:b/>
          <w:sz w:val="20"/>
        </w:rPr>
        <w:t xml:space="preserve"> Stock-based Compensation </w:t>
      </w:r>
    </w:p>
    <w:p>
      <w:pPr>
        <w:pStyle w:val="TextBody"/>
        <w:bidi w:val="0"/>
        <w:spacing w:before="0" w:after="0"/>
        <w:ind w:left="144" w:right="144"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14,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Company's Board of Directors (the “Board”) adopted, subject to stockholder approval, the Build-A-Bear Workshop, Inc.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Omnibus Incentive Plan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On </w:t>
      </w:r>
      <w:r>
        <w:rPr>
          <w:rStyle w:val="Emphasis"/>
          <w:rFonts w:ascii="Times New Roman" w:hAnsi="Times New Roman"/>
          <w:caps w:val="false"/>
          <w:smallCaps w:val="false"/>
          <w:sz w:val="20"/>
        </w:rPr>
        <w:t xml:space="preserve">June 11, 2020, </w:t>
      </w:r>
      <w:r>
        <w:rPr>
          <w:rFonts w:ascii="Times New Roman" w:hAnsi="Times New Roman"/>
          <w:caps w:val="false"/>
          <w:smallCaps w:val="false"/>
          <w:sz w:val="20"/>
        </w:rPr>
        <w:t xml:space="preserve">the Company’s stockholders approved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On </w:t>
      </w:r>
      <w:r>
        <w:rPr>
          <w:rStyle w:val="Emphasis"/>
          <w:rFonts w:ascii="Times New Roman" w:hAnsi="Times New Roman"/>
          <w:caps w:val="false"/>
          <w:smallCaps w:val="false"/>
          <w:sz w:val="20"/>
        </w:rPr>
        <w:t>April 11,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Board adopted, subject to stockholder approval, the Build-A-Bear Workshop, Inc. Amended and Restated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Omnibus Incentive Plan (the “Restated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On </w:t>
      </w:r>
      <w:r>
        <w:rPr>
          <w:rStyle w:val="Emphasis"/>
          <w:rFonts w:ascii="Times New Roman" w:hAnsi="Times New Roman"/>
          <w:caps w:val="false"/>
          <w:smallCaps w:val="false"/>
          <w:sz w:val="20"/>
        </w:rPr>
        <w:t xml:space="preserve">June 8, 2023, </w:t>
      </w:r>
      <w:r>
        <w:rPr>
          <w:rFonts w:ascii="Times New Roman" w:hAnsi="Times New Roman"/>
          <w:caps w:val="false"/>
          <w:smallCaps w:val="false"/>
          <w:sz w:val="20"/>
        </w:rPr>
        <w:t xml:space="preserve">at the Company’s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Annual Meeting of Stockholders, the Company’s stockholders approved the Restated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The Restated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which is administered by the Compensation and Human Capital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The Restated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will terminate on </w:t>
      </w:r>
      <w:r>
        <w:rPr>
          <w:rStyle w:val="Emphasis"/>
          <w:rFonts w:ascii="Times New Roman" w:hAnsi="Times New Roman"/>
          <w:caps w:val="false"/>
          <w:smallCaps w:val="false"/>
          <w:sz w:val="20"/>
        </w:rPr>
        <w:t xml:space="preserve">April 11, 2033, </w:t>
      </w:r>
      <w:r>
        <w:rPr>
          <w:rFonts w:ascii="Times New Roman" w:hAnsi="Times New Roman"/>
          <w:caps w:val="false"/>
          <w:smallCaps w:val="false"/>
          <w:sz w:val="20"/>
        </w:rPr>
        <w:t xml:space="preserve">unless earlier terminated by the Board. The total number of shares of the Company’s common stock authorized for issuance under the Restated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increased by 800,000 to a maximum of 1,800,000 since its inception as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Incentive Plan, subject to customary capitalization adjustments, substitutions of acquired company awards and certain additions of acquired company plan shares, plus shares that are subject to outstanding awards made under the Build-A-Bear Workshop, Inc.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Omnibus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that on or after </w:t>
      </w:r>
      <w:r>
        <w:rPr>
          <w:rStyle w:val="Emphasis"/>
          <w:rFonts w:ascii="Times New Roman" w:hAnsi="Times New Roman"/>
          <w:caps w:val="false"/>
          <w:smallCaps w:val="false"/>
          <w:sz w:val="20"/>
        </w:rPr>
        <w:t xml:space="preserve">April 14, 2020, may </w:t>
      </w:r>
      <w:r>
        <w:rPr>
          <w:rFonts w:ascii="Times New Roman" w:hAnsi="Times New Roman"/>
          <w:caps w:val="false"/>
          <w:smallCaps w:val="false"/>
          <w:sz w:val="20"/>
        </w:rPr>
        <w:t>be forfeited, expire or be settled for cash.</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thirteen</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selling, general and administrative expense included stock-based compensation expense of $(0.8) million and $0.7 million, respectively. For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xml:space="preserve">  selling, general and administrative expense included stock-based compensation expense of $(0.1) million and $1.2 million, respectively. As of </w:t>
      </w:r>
      <w:r>
        <w:rPr>
          <w:rStyle w:val="Emphasis"/>
          <w:rFonts w:ascii="Times New Roman;Times;serif" w:hAnsi="Times New Roman;Times;serif"/>
          <w:sz w:val="20"/>
        </w:rPr>
        <w:t>August 1, 2026</w:t>
      </w:r>
      <w:r>
        <w:rPr>
          <w:rFonts w:ascii="Times New Roman;Times;serif" w:hAnsi="Times New Roman;Times;serif"/>
          <w:sz w:val="20"/>
        </w:rPr>
        <w:t>, there was $5.4 million of total unrecognized compensation expense related to unvested restricted stock awards which is expected to be recognized over a weighted-average period of 2.0 years.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August 1, 2026</w:t>
      </w:r>
      <w:r>
        <w:rPr>
          <w:rFonts w:ascii="Times New Roman;Times;serif" w:hAnsi="Times New Roman;Times;serif"/>
          <w:sz w:val="20"/>
        </w:rPr>
        <w:t> and </w:t>
      </w:r>
      <w:r>
        <w:rPr>
          <w:rStyle w:val="Emphasis"/>
          <w:rFonts w:ascii="Times New Roman;Times;serif" w:hAnsi="Times New Roman;Times;serif"/>
          <w:sz w:val="20"/>
        </w:rPr>
        <w:t xml:space="preserve"> January 31, 2026</w:t>
      </w:r>
      <w:r>
        <w:rPr>
          <w:rFonts w:ascii="Times New Roman;Times;serif" w:hAnsi="Times New Roman;Times;serif"/>
          <w:sz w:val="20"/>
        </w:rPr>
        <w:t xml:space="preserve">, the Company had </w:t>
      </w:r>
      <w:r>
        <w:rPr>
          <w:rStyle w:val="Emphasis"/>
          <w:rFonts w:ascii="Times New Roman;Times;serif" w:hAnsi="Times New Roman;Times;serif"/>
          <w:sz w:val="20"/>
        </w:rPr>
        <w:t>no</w:t>
      </w:r>
      <w:r>
        <w:rPr>
          <w:rFonts w:ascii="Times New Roman;Times;serif" w:hAnsi="Times New Roman;Times;serif"/>
          <w:sz w:val="20"/>
        </w:rPr>
        <w:t xml:space="preserve"> outstanding stock options.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following table is a summary of the balances and activity related to time-based and performance-based restricted stock for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2026</w:t>
      </w:r>
      <w:r>
        <w:rPr>
          <w:rFonts w:ascii="Times New Roman;Times;serif" w:hAnsi="Times New Roman;Times;serif"/>
          <w:sz w:val="20"/>
        </w:rPr>
        <w:t>:</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2459"/>
        <w:gridCol w:w="60"/>
        <w:gridCol w:w="83"/>
        <w:gridCol w:w="904"/>
        <w:gridCol w:w="110"/>
        <w:gridCol w:w="83"/>
        <w:gridCol w:w="510"/>
        <w:gridCol w:w="1911"/>
        <w:gridCol w:w="60"/>
        <w:gridCol w:w="60"/>
        <w:gridCol w:w="97"/>
        <w:gridCol w:w="1153"/>
        <w:gridCol w:w="131"/>
        <w:gridCol w:w="97"/>
        <w:gridCol w:w="525"/>
        <w:gridCol w:w="1896"/>
        <w:gridCol w:w="66"/>
      </w:tblGrid>
      <w:tr>
        <w:trPr/>
        <w:tc>
          <w:tcPr>
            <w:tcW w:w="24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Time-Based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Performance-Based Restricted Stock</w:t>
            </w:r>
          </w:p>
        </w:tc>
        <w:tc>
          <w:tcPr>
            <w:tcW w:w="66" w:type="dxa"/>
            <w:tcBorders/>
            <w:shd w:fill="FFFFFF" w:val="clear"/>
            <w:vAlign w:val="center"/>
          </w:tcPr>
          <w:p>
            <w:pPr>
              <w:pStyle w:val="TableContents"/>
              <w:bidi w:val="0"/>
              <w:spacing w:before="0" w:after="283"/>
              <w:jc w:val="left"/>
              <w:rPr/>
            </w:pPr>
            <w:r>
              <w:rPr/>
              <w:t> </w:t>
            </w:r>
          </w:p>
        </w:tc>
      </w:tr>
      <w:tr>
        <w:trPr/>
        <w:tc>
          <w:tcPr>
            <w:tcW w:w="24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24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Grant Date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4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Grant Date Fair Value</w:t>
            </w:r>
          </w:p>
        </w:tc>
        <w:tc>
          <w:tcPr>
            <w:tcW w:w="66" w:type="dxa"/>
            <w:tcBorders/>
            <w:shd w:fill="FFFFFF" w:val="clear"/>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January 31, 2026 (1)</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73,588</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156,665</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32.82</w:t>
            </w:r>
          </w:p>
        </w:tc>
        <w:tc>
          <w:tcPr>
            <w:tcW w:w="66" w:type="dxa"/>
            <w:tcBorders/>
            <w:shd w:fill="CCEEFF" w:val="clear"/>
            <w:vAlign w:val="center"/>
          </w:tcPr>
          <w:p>
            <w:pPr>
              <w:pStyle w:val="TableContents"/>
              <w:bidi w:val="0"/>
              <w:spacing w:before="0" w:after="283"/>
              <w:jc w:val="left"/>
              <w:rPr/>
            </w:pPr>
            <w:r>
              <w:rPr/>
              <w:t> </w:t>
            </w:r>
          </w:p>
        </w:tc>
      </w:tr>
      <w:tr>
        <w:trPr/>
        <w:tc>
          <w:tcPr>
            <w:tcW w:w="2459"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 (1)</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87,383</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ind w:left="0" w:right="0" w:hanging="0"/>
              <w:jc w:val="left"/>
              <w:rPr/>
            </w:pPr>
            <w:r>
              <w:rPr/>
              <w:t> </w:t>
            </w:r>
          </w:p>
        </w:tc>
        <w:tc>
          <w:tcPr>
            <w:tcW w:w="1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110,337</w:t>
            </w:r>
          </w:p>
        </w:tc>
        <w:tc>
          <w:tcPr>
            <w:tcW w:w="1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1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w:t>
            </w:r>
          </w:p>
        </w:tc>
        <w:tc>
          <w:tcPr>
            <w:tcW w:w="66" w:type="dxa"/>
            <w:tcBorders/>
            <w:shd w:fill="FFFFFF" w:val="clear"/>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ind w:left="0" w:right="0" w:hanging="0"/>
              <w:jc w:val="left"/>
              <w:rPr/>
            </w:pPr>
            <w:r>
              <w:rPr/>
              <w:t> </w:t>
            </w:r>
          </w:p>
        </w:tc>
        <w:tc>
          <w:tcPr>
            <w:tcW w:w="1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1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r>
      <w:tr>
        <w:trPr/>
        <w:tc>
          <w:tcPr>
            <w:tcW w:w="245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for performance achievement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ind w:left="0" w:right="0" w:hanging="0"/>
              <w:jc w:val="left"/>
              <w:rPr/>
            </w:pPr>
            <w:r>
              <w:rPr/>
              <w:t> </w:t>
            </w:r>
          </w:p>
        </w:tc>
        <w:tc>
          <w:tcPr>
            <w:tcW w:w="1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(40,494</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1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w:t>
            </w:r>
          </w:p>
        </w:tc>
        <w:tc>
          <w:tcPr>
            <w:tcW w:w="66" w:type="dxa"/>
            <w:tcBorders/>
            <w:shd w:fill="FFFFFF" w:val="clear"/>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Earned and vested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ind w:left="0" w:right="0" w:hanging="0"/>
              <w:jc w:val="left"/>
              <w:rPr/>
            </w:pPr>
            <w:r>
              <w:rPr/>
              <w:t> </w:t>
            </w:r>
          </w:p>
        </w:tc>
        <w:tc>
          <w:tcPr>
            <w:tcW w:w="1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(9,810</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1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w:t>
            </w:r>
          </w:p>
        </w:tc>
        <w:tc>
          <w:tcPr>
            <w:tcW w:w="66" w:type="dxa"/>
            <w:tcBorders/>
            <w:shd w:fill="CCEEFF" w:val="clear"/>
            <w:vAlign w:val="center"/>
          </w:tcPr>
          <w:p>
            <w:pPr>
              <w:pStyle w:val="TableContents"/>
              <w:bidi w:val="0"/>
              <w:spacing w:before="0" w:after="283"/>
              <w:jc w:val="left"/>
              <w:rPr/>
            </w:pPr>
            <w:r>
              <w:rPr/>
              <w:t> </w:t>
            </w:r>
          </w:p>
        </w:tc>
      </w:tr>
      <w:tr>
        <w:trPr/>
        <w:tc>
          <w:tcPr>
            <w:tcW w:w="2459"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Forfeited (1)</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(23,336</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(70,549</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w:t>
            </w:r>
          </w:p>
        </w:tc>
        <w:tc>
          <w:tcPr>
            <w:tcW w:w="66" w:type="dxa"/>
            <w:tcBorders/>
            <w:shd w:fill="FFFFFF" w:val="clear"/>
            <w:vAlign w:val="center"/>
          </w:tcPr>
          <w:p>
            <w:pPr>
              <w:pStyle w:val="TableContents"/>
              <w:bidi w:val="0"/>
              <w:spacing w:before="0" w:after="283"/>
              <w:jc w:val="left"/>
              <w:rPr/>
            </w:pPr>
            <w:r>
              <w:rPr/>
              <w:t> </w:t>
            </w:r>
          </w:p>
        </w:tc>
      </w:tr>
      <w:tr>
        <w:trPr/>
        <w:tc>
          <w:tcPr>
            <w:tcW w:w="2459"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August 1, 2026 (1)</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96,220</w:t>
            </w:r>
          </w:p>
        </w:tc>
        <w:tc>
          <w:tcPr>
            <w:tcW w:w="11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146,149</w:t>
            </w:r>
          </w:p>
        </w:tc>
        <w:tc>
          <w:tcPr>
            <w:tcW w:w="13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38.59</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000" w:type="dxa"/>
        <w:jc w:val="left"/>
        <w:tblInd w:w="0" w:type="dxa"/>
        <w:tblLayout w:type="fixed"/>
        <w:tblCellMar>
          <w:top w:w="0" w:type="dxa"/>
          <w:left w:w="0" w:type="dxa"/>
          <w:bottom w:w="0" w:type="dxa"/>
          <w:right w:w="0" w:type="dxa"/>
        </w:tblCellMar>
      </w:tblPr>
      <w:tblGrid>
        <w:gridCol w:w="60"/>
        <w:gridCol w:w="290"/>
        <w:gridCol w:w="965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lineRule="auto" w:line="288" w:before="0" w:after="283"/>
              <w:jc w:val="left"/>
              <w:rPr/>
            </w:pPr>
            <w:r>
              <w:rPr/>
              <w:t>(</w:t>
            </w:r>
            <w:r>
              <w:rPr>
                <w:rStyle w:val="Emphasis"/>
              </w:rPr>
              <w:t>1</w:t>
            </w:r>
            <w:r>
              <w:rPr/>
              <w:t>)</w:t>
            </w:r>
          </w:p>
        </w:tc>
        <w:tc>
          <w:tcPr>
            <w:tcW w:w="9650" w:type="dxa"/>
            <w:tcBorders/>
            <w:vAlign w:val="center"/>
          </w:tcPr>
          <w:p>
            <w:pPr>
              <w:pStyle w:val="TableContents"/>
              <w:bidi w:val="0"/>
              <w:spacing w:before="0" w:after="283"/>
              <w:jc w:val="left"/>
              <w:rPr/>
            </w:pPr>
            <w:r>
              <w:rPr/>
              <w:t xml:space="preserve">Performance-based restricted stock outstanding, granted, and forfeited are presented at </w:t>
            </w:r>
            <w:r>
              <w:rPr>
                <w:rStyle w:val="Emphasis"/>
              </w:rPr>
              <w:t>100%</w:t>
            </w:r>
            <w:r>
              <w:rPr/>
              <w:t xml:space="preserve"> of target.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total fair value of shares vested during the </w:t>
      </w:r>
      <w:r>
        <w:rPr>
          <w:rStyle w:val="Emphasis"/>
          <w:rFonts w:ascii="Times New Roman;Times;serif" w:hAnsi="Times New Roman;Times;serif"/>
          <w:sz w:val="20"/>
          <w:shd w:fill="FFFFFF" w:val="clear"/>
        </w:rPr>
        <w:t>twenty-six</w:t>
      </w:r>
      <w:r>
        <w:rPr>
          <w:rFonts w:ascii="Times New Roman;Times;serif" w:hAnsi="Times New Roman;Times;serif"/>
          <w:sz w:val="20"/>
          <w:shd w:fill="FFFFFF" w:val="clear"/>
        </w:rPr>
        <w:t> weeks ended </w:t>
      </w:r>
      <w:r>
        <w:rPr>
          <w:rStyle w:val="Emphasis"/>
          <w:rFonts w:ascii="Times New Roman;Times;serif" w:hAnsi="Times New Roman;Times;serif"/>
          <w:sz w:val="20"/>
        </w:rPr>
        <w:t xml:space="preserve"> 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was $1.8 million and $2.5 million,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outstanding performance shares as of </w:t>
      </w:r>
      <w:r>
        <w:rPr>
          <w:rStyle w:val="Emphasis"/>
          <w:rFonts w:ascii="Times New Roman;Times;serif" w:hAnsi="Times New Roman;Times;serif"/>
          <w:sz w:val="20"/>
        </w:rPr>
        <w:t>August 1, 2026</w:t>
      </w:r>
      <w:r>
        <w:rPr>
          <w:rFonts w:ascii="Times New Roman;Times;serif" w:hAnsi="Times New Roman;Times;serif"/>
          <w:sz w:val="20"/>
        </w:rPr>
        <w:t> consist of the following:</w:t>
      </w:r>
    </w:p>
    <w:p>
      <w:pPr>
        <w:pStyle w:val="TextBody"/>
        <w:bidi w:val="0"/>
        <w:spacing w:before="0" w:after="0"/>
        <w:ind w:left="144" w:right="144" w:hanging="0"/>
        <w:jc w:val="left"/>
        <w:rPr/>
      </w:pPr>
      <w:r>
        <w:rPr/>
        <w:t> </w:t>
      </w:r>
    </w:p>
    <w:tbl>
      <w:tblPr>
        <w:tblW w:w="7299" w:type="dxa"/>
        <w:jc w:val="left"/>
        <w:tblInd w:w="0" w:type="dxa"/>
        <w:tblLayout w:type="fixed"/>
        <w:tblCellMar>
          <w:top w:w="0" w:type="dxa"/>
          <w:left w:w="0" w:type="dxa"/>
          <w:bottom w:w="0" w:type="dxa"/>
          <w:right w:w="0" w:type="dxa"/>
        </w:tblCellMar>
      </w:tblPr>
      <w:tblGrid>
        <w:gridCol w:w="5480"/>
        <w:gridCol w:w="60"/>
        <w:gridCol w:w="133"/>
        <w:gridCol w:w="1551"/>
        <w:gridCol w:w="75"/>
      </w:tblGrid>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Performance Shares</w:t>
            </w:r>
          </w:p>
        </w:tc>
        <w:tc>
          <w:tcPr>
            <w:tcW w:w="7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Unearned shares subject to performance-based restrictions at target: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2024 - 2026 consolidated, cumulative EBITDA objectives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5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18,398</w:t>
            </w:r>
          </w:p>
        </w:tc>
        <w:tc>
          <w:tcPr>
            <w:tcW w:w="7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2024 - 2026 consolidated, cumulative revenue objectives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6,133</w:t>
            </w:r>
          </w:p>
        </w:tc>
        <w:tc>
          <w:tcPr>
            <w:tcW w:w="7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2025 - 2027 consolidated revenue growth objectives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5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37,832</w:t>
            </w:r>
          </w:p>
        </w:tc>
        <w:tc>
          <w:tcPr>
            <w:tcW w:w="7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2026 - 2028 consolidated revenue growth objectives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5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83,786</w:t>
            </w:r>
          </w:p>
        </w:tc>
        <w:tc>
          <w:tcPr>
            <w:tcW w:w="7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Performance shares outstanding, August 1, 2026</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Income Taxes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The Company's effective tax rate was 24.7% and 23.8%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2026</w:t>
      </w:r>
      <w:r>
        <w:rPr>
          <w:rFonts w:ascii="Times New Roman;Times;serif" w:hAnsi="Times New Roman;Times;serif"/>
          <w:sz w:val="20"/>
        </w:rPr>
        <w:t xml:space="preserve">, respectively, compared to 19.3% and 20.8%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2, 2025</w:t>
      </w:r>
      <w:r>
        <w:rPr>
          <w:rFonts w:ascii="Times New Roman;Times;serif" w:hAnsi="Times New Roman;Times;serif"/>
          <w:sz w:val="20"/>
        </w:rPr>
        <w:t>, respectively. The fiscal</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2026</w:t>
      </w:r>
      <w:r>
        <w:rPr>
          <w:rFonts w:ascii="Times New Roman;Times;serif" w:hAnsi="Times New Roman;Times;serif"/>
          <w:sz w:val="20"/>
          <w:shd w:fill="FFFFFF" w:val="clear"/>
        </w:rPr>
        <w:t> effective tax rate differed from the statutory rate of 21%</w:t>
      </w:r>
      <w:r>
        <w:rPr>
          <w:rFonts w:ascii="Times New Roman;Times;serif" w:hAnsi="Times New Roman;Times;serif"/>
          <w:sz w:val="20"/>
        </w:rPr>
        <w:t xml:space="preserve"> primarily due to state income tax expense offset partially by the tax impact of equity awards vesting and the foreign-derived deduction eligible income (formerly foreign derived intangible income). The fiscal </w:t>
      </w:r>
      <w:r>
        <w:rPr>
          <w:rStyle w:val="Emphasis"/>
          <w:rFonts w:ascii="Times New Roman;Times;serif" w:hAnsi="Times New Roman;Times;serif"/>
          <w:sz w:val="20"/>
        </w:rPr>
        <w:t>2025</w:t>
      </w:r>
      <w:r>
        <w:rPr>
          <w:rFonts w:ascii="Times New Roman;Times;serif" w:hAnsi="Times New Roman;Times;serif"/>
          <w:sz w:val="20"/>
        </w:rPr>
        <w:t xml:space="preserve"> effective tax rate differed from the statutory rate of 21% primarily due to state income tax expense offset by the tax impact of equity awards vesting, the foreign-derived intangible income deduction and discrete benefits related to settlement of a prior period tax position. In addition, in the </w:t>
      </w:r>
      <w:r>
        <w:rPr>
          <w:rStyle w:val="Emphasis"/>
          <w:rFonts w:ascii="Times New Roman;Times;serif" w:hAnsi="Times New Roman;Times;serif"/>
          <w:sz w:val="20"/>
        </w:rPr>
        <w:t>second</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the Company remains in a full valuation allowance in certain foreign jurisdictions. </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Stockholders’ Equity </w:t>
      </w:r>
    </w:p>
    <w:p>
      <w:pPr>
        <w:pStyle w:val="TextBody"/>
        <w:bidi w:val="0"/>
        <w:spacing w:before="0" w:after="0"/>
        <w:ind w:left="144" w:right="144"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following table sets forth the changes in stockholders’ equity (in thousands) for the </w:t>
      </w:r>
      <w:r>
        <w:rPr>
          <w:rStyle w:val="Emphasis"/>
          <w:rFonts w:ascii="Times New Roman;Times;serif" w:hAnsi="Times New Roman;Times;serif"/>
          <w:sz w:val="20"/>
        </w:rPr>
        <w:t>thirteen</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18"/>
        <w:gridCol w:w="60"/>
        <w:gridCol w:w="191"/>
        <w:gridCol w:w="504"/>
        <w:gridCol w:w="80"/>
        <w:gridCol w:w="60"/>
        <w:gridCol w:w="116"/>
        <w:gridCol w:w="544"/>
        <w:gridCol w:w="80"/>
        <w:gridCol w:w="60"/>
        <w:gridCol w:w="113"/>
        <w:gridCol w:w="596"/>
        <w:gridCol w:w="80"/>
        <w:gridCol w:w="60"/>
        <w:gridCol w:w="110"/>
        <w:gridCol w:w="605"/>
        <w:gridCol w:w="80"/>
        <w:gridCol w:w="60"/>
        <w:gridCol w:w="110"/>
        <w:gridCol w:w="605"/>
        <w:gridCol w:w="80"/>
        <w:gridCol w:w="60"/>
        <w:gridCol w:w="191"/>
        <w:gridCol w:w="504"/>
        <w:gridCol w:w="60"/>
        <w:gridCol w:w="60"/>
        <w:gridCol w:w="116"/>
        <w:gridCol w:w="544"/>
        <w:gridCol w:w="80"/>
        <w:gridCol w:w="60"/>
        <w:gridCol w:w="113"/>
        <w:gridCol w:w="596"/>
        <w:gridCol w:w="80"/>
        <w:gridCol w:w="60"/>
        <w:gridCol w:w="110"/>
        <w:gridCol w:w="605"/>
        <w:gridCol w:w="80"/>
        <w:gridCol w:w="60"/>
        <w:gridCol w:w="110"/>
        <w:gridCol w:w="605"/>
        <w:gridCol w:w="99"/>
      </w:tblGrid>
      <w:tr>
        <w:trPr/>
        <w:tc>
          <w:tcPr>
            <w:tcW w:w="1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thirteen weeks ended August 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thirteen weeks ended August 2, 2025</w:t>
            </w:r>
          </w:p>
        </w:tc>
        <w:tc>
          <w:tcPr>
            <w:tcW w:w="99" w:type="dxa"/>
            <w:tcBorders/>
            <w:shd w:fill="FFFFFF"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9" w:type="dxa"/>
            <w:tcBorders/>
            <w:shd w:fill="FFFFFF"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APIC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AOCI (2)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APIC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AOCI (2)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9" w:type="dxa"/>
            <w:tcBorders/>
            <w:shd w:fill="FFFFFF" w:val="clear"/>
            <w:vAlign w:val="center"/>
          </w:tcPr>
          <w:p>
            <w:pPr>
              <w:pStyle w:val="TableContents"/>
              <w:bidi w:val="0"/>
              <w:spacing w:before="0" w:after="283"/>
              <w:jc w:val="left"/>
              <w:rPr/>
            </w:pPr>
            <w:r>
              <w:rPr/>
              <w:t> </w:t>
            </w:r>
          </w:p>
        </w:tc>
      </w:tr>
      <w:tr>
        <w:trPr/>
        <w:tc>
          <w:tcPr>
            <w:tcW w:w="18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beginning</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(10,939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148,682</w:t>
            </w:r>
          </w:p>
        </w:tc>
        <w:tc>
          <w:tcPr>
            <w:tcW w:w="99" w:type="dxa"/>
            <w:tcBorders/>
            <w:shd w:fill="CCEEFF"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employee stock plans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99" w:type="dxa"/>
            <w:tcBorders/>
            <w:shd w:fill="FFFFFF" w:val="clear"/>
            <w:vAlign w:val="center"/>
          </w:tcPr>
          <w:p>
            <w:pPr>
              <w:pStyle w:val="TableContents"/>
              <w:bidi w:val="0"/>
              <w:spacing w:before="0" w:after="283"/>
              <w:jc w:val="left"/>
              <w:rPr/>
            </w:pPr>
            <w:r>
              <w:rPr/>
              <w:t> </w:t>
            </w:r>
          </w:p>
        </w:tc>
      </w:tr>
      <w:tr>
        <w:trPr/>
        <w:tc>
          <w:tcPr>
            <w:tcW w:w="18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375</w:t>
            </w:r>
          </w:p>
        </w:tc>
        <w:tc>
          <w:tcPr>
            <w:tcW w:w="99" w:type="dxa"/>
            <w:tcBorders/>
            <w:shd w:fill="CCEEFF"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withheld in lieu of tax withholdings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99" w:type="dxa"/>
            <w:tcBorders/>
            <w:shd w:fill="FFFFFF" w:val="clear"/>
            <w:vAlign w:val="center"/>
          </w:tcPr>
          <w:p>
            <w:pPr>
              <w:pStyle w:val="TableContents"/>
              <w:bidi w:val="0"/>
              <w:spacing w:before="0" w:after="283"/>
              <w:jc w:val="left"/>
              <w:rPr/>
            </w:pPr>
            <w:r>
              <w:rPr/>
              <w:t> </w:t>
            </w:r>
          </w:p>
        </w:tc>
      </w:tr>
      <w:tr>
        <w:trPr/>
        <w:tc>
          <w:tcPr>
            <w:tcW w:w="18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repurchase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(4,909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(2,839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(3,115</w:t>
            </w:r>
          </w:p>
        </w:tc>
        <w:tc>
          <w:tcPr>
            <w:tcW w:w="9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18"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(2,905</w:t>
            </w:r>
          </w:p>
        </w:tc>
        <w:tc>
          <w:tcPr>
            <w:tcW w:w="9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99" w:type="dxa"/>
            <w:tcBorders/>
            <w:shd w:fill="CCEEFF"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8"/>
              </w:rPr>
              <w:t>(193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9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8,760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8,760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12,367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12,367</w:t>
            </w:r>
          </w:p>
        </w:tc>
        <w:tc>
          <w:tcPr>
            <w:tcW w:w="99" w:type="dxa"/>
            <w:tcBorders/>
            <w:shd w:fill="CCEEFF" w:val="clear"/>
            <w:vAlign w:val="center"/>
          </w:tcPr>
          <w:p>
            <w:pPr>
              <w:pStyle w:val="TableContents"/>
              <w:bidi w:val="0"/>
              <w:spacing w:before="0" w:after="283"/>
              <w:jc w:val="left"/>
              <w:rPr/>
            </w:pPr>
            <w:r>
              <w:rPr/>
              <w:t> </w:t>
            </w:r>
          </w:p>
        </w:tc>
      </w:tr>
      <w:tr>
        <w:trPr/>
        <w:tc>
          <w:tcPr>
            <w:tcW w:w="18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ending</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155,395</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Additional paid-in capital (“APIC”)</w:t>
      </w:r>
    </w:p>
    <w:p>
      <w:pPr>
        <w:pStyle w:val="TextBody"/>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Accumulated other comprehensive loss (“AOCI”)</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following table sets forth the changes in stockholders’ equity for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(in thousands).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1801"/>
        <w:gridCol w:w="60"/>
        <w:gridCol w:w="191"/>
        <w:gridCol w:w="504"/>
        <w:gridCol w:w="80"/>
        <w:gridCol w:w="60"/>
        <w:gridCol w:w="116"/>
        <w:gridCol w:w="544"/>
        <w:gridCol w:w="80"/>
        <w:gridCol w:w="60"/>
        <w:gridCol w:w="113"/>
        <w:gridCol w:w="595"/>
        <w:gridCol w:w="80"/>
        <w:gridCol w:w="60"/>
        <w:gridCol w:w="110"/>
        <w:gridCol w:w="605"/>
        <w:gridCol w:w="80"/>
        <w:gridCol w:w="60"/>
        <w:gridCol w:w="110"/>
        <w:gridCol w:w="605"/>
        <w:gridCol w:w="80"/>
        <w:gridCol w:w="60"/>
        <w:gridCol w:w="191"/>
        <w:gridCol w:w="504"/>
        <w:gridCol w:w="80"/>
        <w:gridCol w:w="60"/>
        <w:gridCol w:w="116"/>
        <w:gridCol w:w="544"/>
        <w:gridCol w:w="80"/>
        <w:gridCol w:w="60"/>
        <w:gridCol w:w="113"/>
        <w:gridCol w:w="595"/>
        <w:gridCol w:w="80"/>
        <w:gridCol w:w="60"/>
        <w:gridCol w:w="110"/>
        <w:gridCol w:w="605"/>
        <w:gridCol w:w="80"/>
        <w:gridCol w:w="60"/>
        <w:gridCol w:w="110"/>
        <w:gridCol w:w="605"/>
        <w:gridCol w:w="98"/>
      </w:tblGrid>
      <w:tr>
        <w:trPr/>
        <w:tc>
          <w:tcPr>
            <w:tcW w:w="1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twenty-six weeks ended August 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For the twenty-six weeks ended August 2, 2025</w:t>
            </w:r>
          </w:p>
        </w:tc>
        <w:tc>
          <w:tcPr>
            <w:tcW w:w="98" w:type="dxa"/>
            <w:tcBorders/>
            <w:shd w:fill="FFFF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8" w:type="dxa"/>
            <w:tcBorders/>
            <w:shd w:fill="FFFF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APIC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AOCI (2)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APIC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AOCI (2)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8" w:type="dxa"/>
            <w:tcBorders/>
            <w:shd w:fill="FFFFFF" w:val="clear"/>
            <w:vAlign w:val="center"/>
          </w:tcPr>
          <w:p>
            <w:pPr>
              <w:pStyle w:val="TableContents"/>
              <w:bidi w:val="0"/>
              <w:spacing w:before="0" w:after="283"/>
              <w:jc w:val="left"/>
              <w:rPr/>
            </w:pPr>
            <w:r>
              <w:rPr/>
              <w:t>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beginning</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(12,554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139,082</w:t>
            </w:r>
          </w:p>
        </w:tc>
        <w:tc>
          <w:tcPr>
            <w:tcW w:w="98" w:type="dxa"/>
            <w:tcBorders/>
            <w:shd w:fill="CCEE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employee stock plans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1,103</w:t>
            </w:r>
          </w:p>
        </w:tc>
        <w:tc>
          <w:tcPr>
            <w:tcW w:w="98" w:type="dxa"/>
            <w:tcBorders/>
            <w:shd w:fill="FFFFFF" w:val="clear"/>
            <w:vAlign w:val="center"/>
          </w:tcPr>
          <w:p>
            <w:pPr>
              <w:pStyle w:val="TableContents"/>
              <w:bidi w:val="0"/>
              <w:spacing w:before="0" w:after="283"/>
              <w:jc w:val="left"/>
              <w:rPr/>
            </w:pPr>
            <w:r>
              <w:rPr/>
              <w:t>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659</w:t>
            </w:r>
          </w:p>
        </w:tc>
        <w:tc>
          <w:tcPr>
            <w:tcW w:w="98" w:type="dxa"/>
            <w:tcBorders/>
            <w:shd w:fill="CCEE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withheld in lieu of tax withholdings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(1,266</w:t>
            </w:r>
          </w:p>
        </w:tc>
        <w:tc>
          <w:tcPr>
            <w:tcW w:w="98"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 repurchase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(7,323</w:t>
            </w:r>
          </w:p>
        </w:tc>
        <w:tc>
          <w:tcPr>
            <w:tcW w:w="9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dividends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(5,796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(5,796</w:t>
            </w:r>
          </w:p>
        </w:tc>
        <w:tc>
          <w:tcPr>
            <w:tcW w:w="98"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8" w:type="dxa"/>
            <w:tcBorders/>
            <w:shd w:fill="CCEE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1,250</w:t>
            </w:r>
          </w:p>
        </w:tc>
        <w:tc>
          <w:tcPr>
            <w:tcW w:w="98" w:type="dxa"/>
            <w:tcBorders/>
            <w:shd w:fill="FFFFFF" w:val="clear"/>
            <w:vAlign w:val="center"/>
          </w:tcPr>
          <w:p>
            <w:pPr>
              <w:pStyle w:val="TableContents"/>
              <w:bidi w:val="0"/>
              <w:spacing w:before="0" w:after="283"/>
              <w:jc w:val="left"/>
              <w:rPr/>
            </w:pPr>
            <w:r>
              <w:rPr/>
              <w:t>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27,686</w:t>
            </w:r>
          </w:p>
        </w:tc>
        <w:tc>
          <w:tcPr>
            <w:tcW w:w="98" w:type="dxa"/>
            <w:tcBorders/>
            <w:shd w:fill="CCEE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ending</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155,395</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Additional paid-in capital (“APIC”)</w:t>
      </w:r>
    </w:p>
    <w:p>
      <w:pPr>
        <w:pStyle w:val="TextBody"/>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Accumulated other comprehensive loss (“AOCI”)</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During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2026</w:t>
      </w:r>
      <w:r>
        <w:rPr>
          <w:rFonts w:ascii="Times New Roman;Times;serif" w:hAnsi="Times New Roman;Times;serif"/>
          <w:sz w:val="20"/>
        </w:rPr>
        <w:t xml:space="preserve">, the Company utilized $5.6 million in cash to repurchase 155,118 shares and utilized $17.0 million in cash to repurchase 403,236 shares, respectively, under its $100 million stock repurchase program that was authorized by the Board on </w:t>
      </w:r>
      <w:r>
        <w:rPr>
          <w:rStyle w:val="Emphasis"/>
          <w:rFonts w:ascii="Times New Roman;Times;serif" w:hAnsi="Times New Roman;Times;serif"/>
          <w:sz w:val="20"/>
        </w:rPr>
        <w:t>September 11, 2024 (</w:t>
      </w:r>
      <w:r>
        <w:rPr>
          <w:rFonts w:ascii="Times New Roman;Times;serif" w:hAnsi="Times New Roman;Times;serif"/>
          <w:sz w:val="20"/>
        </w:rPr>
        <w:t xml:space="preserve">the </w:t>
      </w:r>
      <w:r>
        <w:rPr>
          <w:rStyle w:val="Emphasis"/>
          <w:rFonts w:ascii="Times New Roman;Times;serif" w:hAnsi="Times New Roman;Times;serif"/>
          <w:sz w:val="20"/>
        </w:rPr>
        <w:t xml:space="preserve">"September 2024 </w:t>
      </w:r>
      <w:r>
        <w:rPr>
          <w:rFonts w:ascii="Times New Roman;Times;serif" w:hAnsi="Times New Roman;Times;serif"/>
          <w:sz w:val="20"/>
        </w:rPr>
        <w:t xml:space="preserve">Stock Repurchase Program"). Between the end of the </w:t>
      </w:r>
      <w:r>
        <w:rPr>
          <w:rStyle w:val="Emphasis"/>
          <w:rFonts w:ascii="Times New Roman;Times;serif" w:hAnsi="Times New Roman;Times;serif"/>
          <w:sz w:val="20"/>
        </w:rPr>
        <w:t>second</w:t>
      </w:r>
      <w:r>
        <w:rPr>
          <w:rFonts w:ascii="Times New Roman;Times;serif" w:hAnsi="Times New Roman;Times;serif"/>
          <w:sz w:val="20"/>
        </w:rPr>
        <w:t xml:space="preserve"> fiscal quarter of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September 8, 2026,</w:t>
      </w:r>
      <w:r>
        <w:rPr>
          <w:rFonts w:ascii="Times New Roman;Times;serif" w:hAnsi="Times New Roman;Times;serif"/>
          <w:sz w:val="20"/>
        </w:rPr>
        <w:t xml:space="preserve"> the Company utilized an additional $4.2 million in cash to repurchase 129,194 shares under the </w:t>
      </w:r>
      <w:r>
        <w:rPr>
          <w:rStyle w:val="Emphasis"/>
          <w:rFonts w:ascii="Times New Roman;Times;serif" w:hAnsi="Times New Roman;Times;serif"/>
          <w:sz w:val="20"/>
        </w:rPr>
        <w:t xml:space="preserve">September 2024 </w:t>
      </w:r>
      <w:r>
        <w:rPr>
          <w:rFonts w:ascii="Times New Roman;Times;serif" w:hAnsi="Times New Roman;Times;serif"/>
          <w:sz w:val="20"/>
        </w:rPr>
        <w:t xml:space="preserve">Stock Repurchase Program, leaving an aggregate of $40.5 million available for future repurchases under that plan.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2026</w:t>
      </w:r>
      <w:r>
        <w:rPr>
          <w:rFonts w:ascii="Times New Roman;Times;serif" w:hAnsi="Times New Roman;Times;serif"/>
          <w:sz w:val="20"/>
        </w:rPr>
        <w:t xml:space="preserve">, the Board authorized cash dividends to stockholders of </w:t>
      </w:r>
      <w:r>
        <w:rPr>
          <w:rFonts w:ascii="Times New Roman;Times;serif" w:hAnsi="Times New Roman;Times;serif"/>
          <w:sz w:val="20"/>
          <w:shd w:fill="FFFFFF" w:val="clear"/>
        </w:rPr>
        <w:t>$2.9 million and $5.8 million, respectively.</w:t>
      </w:r>
    </w:p>
    <w:p>
      <w:pPr>
        <w:pStyle w:val="TextBody"/>
        <w:bidi w:val="0"/>
        <w:spacing w:before="0" w:after="0"/>
        <w:ind w:left="0" w:right="0" w:firstLine="54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During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2, 2025</w:t>
      </w:r>
      <w:r>
        <w:rPr>
          <w:rFonts w:ascii="Times New Roman;Times;serif" w:hAnsi="Times New Roman;Times;serif"/>
          <w:sz w:val="20"/>
        </w:rPr>
        <w:t>, the Company utilized $3.1 million in cash to repurchase 59,083 </w:t>
      </w:r>
      <w:r>
        <w:rPr>
          <w:rFonts w:ascii="Times New Roman;Times;serif" w:hAnsi="Times New Roman;Times;serif"/>
          <w:sz w:val="20"/>
          <w:shd w:fill="FFFFFF" w:val="clear"/>
        </w:rPr>
        <w:t>shares and utilized $7.3 million to repurchase 167,585 shares, respectively, </w:t>
      </w:r>
      <w:r>
        <w:rPr>
          <w:rFonts w:ascii="Times New Roman;Times;serif" w:hAnsi="Times New Roman;Times;serif"/>
          <w:sz w:val="20"/>
        </w:rPr>
        <w:t xml:space="preserve">under the </w:t>
      </w:r>
      <w:r>
        <w:rPr>
          <w:rStyle w:val="Emphasis"/>
          <w:rFonts w:ascii="Times New Roman;Times;serif" w:hAnsi="Times New Roman;Times;serif"/>
          <w:sz w:val="20"/>
        </w:rPr>
        <w:t xml:space="preserve">September 2024 </w:t>
      </w:r>
      <w:r>
        <w:rPr>
          <w:rFonts w:ascii="Times New Roman;Times;serif" w:hAnsi="Times New Roman;Times;serif"/>
          <w:sz w:val="20"/>
        </w:rPr>
        <w:t xml:space="preserve">Stock Repurchase Program.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2, 2025</w:t>
      </w:r>
      <w:r>
        <w:rPr>
          <w:rFonts w:ascii="Times New Roman;Times;serif" w:hAnsi="Times New Roman;Times;serif"/>
          <w:sz w:val="20"/>
        </w:rPr>
        <w:t>, the Company's Board of Directors authorized cash dividends to stockholders of $2.9 million and $5.8 million, respectively.</w:t>
      </w:r>
    </w:p>
    <w:p>
      <w:pPr>
        <w:pStyle w:val="TextBody"/>
        <w:bidi w:val="0"/>
        <w:spacing w:before="0" w:after="0"/>
        <w:ind w:left="0" w:right="0" w:firstLine="72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Income per Share </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income per share (in thousands, except share and per share data):</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5425"/>
        <w:gridCol w:w="60"/>
        <w:gridCol w:w="125"/>
        <w:gridCol w:w="950"/>
        <w:gridCol w:w="60"/>
        <w:gridCol w:w="60"/>
        <w:gridCol w:w="125"/>
        <w:gridCol w:w="950"/>
        <w:gridCol w:w="60"/>
        <w:gridCol w:w="60"/>
        <w:gridCol w:w="125"/>
        <w:gridCol w:w="950"/>
        <w:gridCol w:w="60"/>
        <w:gridCol w:w="60"/>
        <w:gridCol w:w="125"/>
        <w:gridCol w:w="950"/>
        <w:gridCol w:w="60"/>
      </w:tblGrid>
      <w:tr>
        <w:trPr/>
        <w:tc>
          <w:tcPr>
            <w:tcW w:w="5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Thirteen weeks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Twenty-six weeks ended</w:t>
            </w:r>
          </w:p>
        </w:tc>
        <w:tc>
          <w:tcPr>
            <w:tcW w:w="60" w:type="dxa"/>
            <w:tcBorders/>
            <w:shd w:fill="FFFFFF" w:val="clear"/>
            <w:vAlign w:val="center"/>
          </w:tcPr>
          <w:p>
            <w:pPr>
              <w:pStyle w:val="TableContents"/>
              <w:bidi w:val="0"/>
              <w:spacing w:before="0" w:after="283"/>
              <w:jc w:val="left"/>
              <w:rPr/>
            </w:pPr>
            <w:r>
              <w:rPr/>
              <w:t> </w:t>
            </w:r>
          </w:p>
        </w:tc>
      </w:tr>
      <w:tr>
        <w:trPr/>
        <w:tc>
          <w:tcPr>
            <w:tcW w:w="5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August 2,</w:t>
            </w:r>
          </w:p>
        </w:tc>
        <w:tc>
          <w:tcPr>
            <w:tcW w:w="60" w:type="dxa"/>
            <w:tcBorders/>
            <w:shd w:fill="FFFFFF" w:val="clear"/>
            <w:vAlign w:val="center"/>
          </w:tcPr>
          <w:p>
            <w:pPr>
              <w:pStyle w:val="TableContents"/>
              <w:bidi w:val="0"/>
              <w:spacing w:before="0" w:after="283"/>
              <w:jc w:val="left"/>
              <w:rPr/>
            </w:pPr>
            <w:r>
              <w:rPr/>
              <w:t> </w:t>
            </w:r>
          </w:p>
        </w:tc>
      </w:tr>
      <w:tr>
        <w:trPr/>
        <w:tc>
          <w:tcPr>
            <w:tcW w:w="5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27,686</w:t>
            </w:r>
          </w:p>
        </w:tc>
        <w:tc>
          <w:tcPr>
            <w:tcW w:w="60" w:type="dxa"/>
            <w:tcBorders/>
            <w:shd w:fill="FFFFFF" w:val="clear"/>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12,420,379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13,111,615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12,502,383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13,095,958</w:t>
            </w:r>
          </w:p>
        </w:tc>
        <w:tc>
          <w:tcPr>
            <w:tcW w:w="60" w:type="dxa"/>
            <w:tcBorders/>
            <w:shd w:fill="CCEEFF" w:val="clear"/>
            <w:vAlign w:val="center"/>
          </w:tcPr>
          <w:p>
            <w:pPr>
              <w:pStyle w:val="TableContents"/>
              <w:bidi w:val="0"/>
              <w:spacing w:before="0" w:after="283"/>
              <w:jc w:val="left"/>
              <w:rPr/>
            </w:pPr>
            <w:r>
              <w:rPr/>
              <w:t> </w:t>
            </w:r>
          </w:p>
        </w:tc>
      </w:tr>
      <w:tr>
        <w:trPr/>
        <w:tc>
          <w:tcPr>
            <w:tcW w:w="54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share-based awards: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46,485</w:t>
            </w:r>
          </w:p>
        </w:tc>
        <w:tc>
          <w:tcPr>
            <w:tcW w:w="60" w:type="dxa"/>
            <w:tcBorders/>
            <w:shd w:fill="FFFFFF" w:val="clear"/>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 dilutive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12,431,533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13,139,470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12,526,722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13,142,443</w:t>
            </w:r>
          </w:p>
        </w:tc>
        <w:tc>
          <w:tcPr>
            <w:tcW w:w="60" w:type="dxa"/>
            <w:tcBorders/>
            <w:shd w:fill="CCEEFF" w:val="clear"/>
            <w:vAlign w:val="center"/>
          </w:tcPr>
          <w:p>
            <w:pPr>
              <w:pStyle w:val="TableContents"/>
              <w:bidi w:val="0"/>
              <w:spacing w:before="0" w:after="283"/>
              <w:jc w:val="left"/>
              <w:rPr/>
            </w:pPr>
            <w:r>
              <w:rPr/>
              <w:t> </w:t>
            </w:r>
          </w:p>
        </w:tc>
      </w:tr>
      <w:tr>
        <w:trPr/>
        <w:tc>
          <w:tcPr>
            <w:tcW w:w="5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income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r>
      <w:tr>
        <w:trPr/>
        <w:tc>
          <w:tcPr>
            <w:tcW w:w="5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income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In calculating the diluted income per share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2026</w:t>
      </w:r>
      <w:r>
        <w:rPr>
          <w:rFonts w:ascii="Times New Roman;Times;serif" w:hAnsi="Times New Roman;Times;serif"/>
          <w:sz w:val="20"/>
        </w:rPr>
        <w:t xml:space="preserve">, respectively, there were 162,065 and 115,630 shares of common stock that were outstanding at the end of the period that were </w:t>
      </w:r>
      <w:r>
        <w:rPr>
          <w:rStyle w:val="Emphasis"/>
          <w:rFonts w:ascii="Times New Roman;Times;serif" w:hAnsi="Times New Roman;Times;serif"/>
          <w:sz w:val="20"/>
        </w:rPr>
        <w:t>not</w:t>
      </w:r>
      <w:r>
        <w:rPr>
          <w:rFonts w:ascii="Times New Roman;Times;serif" w:hAnsi="Times New Roman;Times;serif"/>
          <w:sz w:val="20"/>
        </w:rPr>
        <w:t xml:space="preserve"> included in the computation of diluted income per share due to their anti-dilutive effect.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2, 2025</w:t>
      </w:r>
      <w:r>
        <w:rPr>
          <w:rFonts w:ascii="Times New Roman;Times;serif" w:hAnsi="Times New Roman;Times;serif"/>
          <w:sz w:val="20"/>
        </w:rPr>
        <w:t xml:space="preserve">, respectively, there were 28,036 and 14,018 shares of common stock that were outstanding at the end of the period that were </w:t>
      </w:r>
      <w:r>
        <w:rPr>
          <w:rStyle w:val="Emphasis"/>
          <w:rFonts w:ascii="Times New Roman;Times;serif" w:hAnsi="Times New Roman;Times;serif"/>
          <w:sz w:val="20"/>
        </w:rPr>
        <w:t>not</w:t>
      </w:r>
      <w:r>
        <w:rPr>
          <w:rFonts w:ascii="Times New Roman;Times;serif" w:hAnsi="Times New Roman;Times;serif"/>
          <w:sz w:val="20"/>
        </w:rPr>
        <w:t xml:space="preserve"> included in the computation of diluted income per share due to their anti-dilutive effect.</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Comprehensive Income</w:t>
      </w:r>
    </w:p>
    <w:p>
      <w:pPr>
        <w:pStyle w:val="TextBody"/>
        <w:bidi w:val="0"/>
        <w:spacing w:before="0" w:after="0"/>
        <w:ind w:left="144" w:right="144"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difference between comprehensive income or loss and net income or loss is the result of foreign currency translation adjustments on the balance sheets of subsidiaries whose functional currency is </w:t>
      </w:r>
      <w:r>
        <w:rPr>
          <w:rStyle w:val="Emphasis"/>
          <w:rFonts w:ascii="Times New Roman;Times;serif" w:hAnsi="Times New Roman;Times;serif"/>
          <w:sz w:val="20"/>
        </w:rPr>
        <w:t>not</w:t>
      </w:r>
      <w:r>
        <w:rPr>
          <w:rFonts w:ascii="Times New Roman;Times;serif" w:hAnsi="Times New Roman;Times;serif"/>
          <w:sz w:val="20"/>
        </w:rPr>
        <w:t xml:space="preserve"> the U.S. dollar. The accumulated other comprehensive loss balance on </w:t>
      </w:r>
      <w:r>
        <w:rPr>
          <w:rStyle w:val="Emphasis"/>
          <w:rFonts w:ascii="Times New Roman;Times;serif" w:hAnsi="Times New Roman;Times;serif"/>
          <w:sz w:val="20"/>
        </w:rPr>
        <w:t xml:space="preserve"> 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xml:space="preserve"> was comprised entirely of foreign currency translation. For the </w:t>
      </w:r>
      <w:r>
        <w:rPr>
          <w:rStyle w:val="Emphasis"/>
          <w:rFonts w:ascii="Times New Roman;Times;serif" w:hAnsi="Times New Roman;Times;serif"/>
          <w:sz w:val="20"/>
        </w:rPr>
        <w:t>thirteen</w:t>
      </w:r>
      <w:r>
        <w:rPr>
          <w:rFonts w:ascii="Times New Roman;Times;serif" w:hAnsi="Times New Roman;Times;serif"/>
          <w:sz w:val="20"/>
        </w:rPr>
        <w:t xml:space="preserve"> weeks ended </w:t>
      </w:r>
      <w:r>
        <w:rPr>
          <w:rStyle w:val="Emphasis"/>
          <w:rFonts w:ascii="Times New Roman;Times;serif" w:hAnsi="Times New Roman;Times;serif"/>
          <w:sz w:val="20"/>
        </w:rPr>
        <w:t xml:space="preserve">August 1, 2026 </w:t>
      </w:r>
      <w:r>
        <w:rPr>
          <w:rFonts w:ascii="Times New Roman;Times;serif" w:hAnsi="Times New Roman;Times;serif"/>
          <w:sz w:val="20"/>
        </w:rPr>
        <w:t xml:space="preserve">and </w:t>
      </w:r>
      <w:r>
        <w:rPr>
          <w:rStyle w:val="Emphasis"/>
          <w:rFonts w:ascii="Times New Roman;Times;serif" w:hAnsi="Times New Roman;Times;serif"/>
          <w:sz w:val="20"/>
        </w:rPr>
        <w:t>August 2, 2025</w:t>
      </w:r>
      <w:r>
        <w:rPr>
          <w:rFonts w:ascii="Times New Roman;Times;serif" w:hAnsi="Times New Roman;Times;serif"/>
          <w:sz w:val="20"/>
        </w:rPr>
        <w:t>, the Company had no reclassifications out of accumulated other comprehensive loss.</w:t>
      </w:r>
    </w:p>
    <w:p>
      <w:pPr>
        <w:pStyle w:val="TextBody"/>
        <w:bidi w:val="0"/>
        <w:spacing w:before="0" w:after="0"/>
        <w:ind w:left="144" w:right="144"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Segment Information </w:t>
      </w:r>
    </w:p>
    <w:p>
      <w:pPr>
        <w:pStyle w:val="TextBody"/>
        <w:bidi w:val="0"/>
        <w:spacing w:before="0" w:after="0"/>
        <w:ind w:left="144" w:right="144"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operations are conducted through three operating segments, consisting of DTC, commercial and international franchising. The DTC segment includes the operating activities of corporately-managed locations and other retail delivery operations in the U.S., Canada, Puerto Rico, the Republic of Ireland and the U.K., including the Company’s e-commerce sites and temporary stores. The commercial segment includes the Company’s transactions with other businesses, mainly comprised of wholesale sales of merchandise, supplies and fixtures, licensing the Company's intellectual properties for </w:t>
      </w:r>
      <w:r>
        <w:rPr>
          <w:rStyle w:val="Emphasis"/>
          <w:rFonts w:ascii="Times New Roman;Times;serif" w:hAnsi="Times New Roman;Times;serif"/>
          <w:sz w:val="20"/>
        </w:rPr>
        <w:t>third</w:t>
      </w:r>
      <w:r>
        <w:rPr>
          <w:rFonts w:ascii="Times New Roman;Times;serif" w:hAnsi="Times New Roman;Times;serif"/>
          <w:sz w:val="20"/>
        </w:rPr>
        <w:t xml:space="preserve"> party use, and revenues generated from entertainment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the financial information for the Company’s reportable segments (in thousands):</w:t>
      </w:r>
    </w:p>
    <w:p>
      <w:pPr>
        <w:pStyle w:val="TextBody"/>
        <w:bidi w:val="0"/>
        <w:spacing w:before="0" w:after="0"/>
        <w:ind w:left="0" w:right="0" w:firstLine="720"/>
        <w:jc w:val="left"/>
        <w:rPr/>
      </w:pPr>
      <w:r>
        <w:rPr/>
        <w:t> </w:t>
      </w:r>
    </w:p>
    <w:tbl>
      <w:tblPr>
        <w:tblW w:w="7675" w:type="dxa"/>
        <w:jc w:val="left"/>
        <w:tblInd w:w="0" w:type="dxa"/>
        <w:tblLayout w:type="fixed"/>
        <w:tblCellMar>
          <w:top w:w="0" w:type="dxa"/>
          <w:left w:w="0" w:type="dxa"/>
          <w:bottom w:w="0" w:type="dxa"/>
          <w:right w:w="0" w:type="dxa"/>
        </w:tblCellMar>
      </w:tblPr>
      <w:tblGrid>
        <w:gridCol w:w="3305"/>
        <w:gridCol w:w="60"/>
        <w:gridCol w:w="131"/>
        <w:gridCol w:w="729"/>
        <w:gridCol w:w="60"/>
        <w:gridCol w:w="60"/>
        <w:gridCol w:w="181"/>
        <w:gridCol w:w="859"/>
        <w:gridCol w:w="60"/>
        <w:gridCol w:w="60"/>
        <w:gridCol w:w="231"/>
        <w:gridCol w:w="899"/>
        <w:gridCol w:w="80"/>
        <w:gridCol w:w="60"/>
        <w:gridCol w:w="125"/>
        <w:gridCol w:w="695"/>
        <w:gridCol w:w="8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Commercial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Franchising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Thirteen weeks ended August 1, 2026</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115,291</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52,802</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62,489</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&amp;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36,060</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Contribution Margin</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26,429</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lineRule="auto" w:line="288" w:before="0" w:after="0"/>
              <w:ind w:left="180" w:right="0" w:hanging="0"/>
              <w:jc w:val="left"/>
              <w:rPr>
                <w:rFonts w:ascii="Times New Roman" w:hAnsi="Times New Roman"/>
                <w:sz w:val="20"/>
              </w:rPr>
            </w:pPr>
            <w:r>
              <w:rPr>
                <w:rFonts w:ascii="Times New Roman" w:hAnsi="Times New Roman"/>
                <w:sz w:val="20"/>
              </w:rPr>
              <w:t>Overhead Expenses(1)</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15,350</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11,631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Thirteen weeks ended August 2, 2025</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124,247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52,736</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71,511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&amp;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34,280</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Contribution Margin</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37,231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sz w:val="20"/>
              </w:rPr>
            </w:pPr>
            <w:r>
              <w:rPr>
                <w:rFonts w:ascii="Times New Roman;Times;serif" w:hAnsi="Times New Roman;Times;serif"/>
                <w:sz w:val="20"/>
              </w:rPr>
              <w:t>Overhead Expenses</w:t>
            </w:r>
            <w:r>
              <w:rPr>
                <w:rFonts w:ascii="Times New Roman;Times;serif" w:hAnsi="Times New Roman;Times;serif"/>
                <w:position w:val="-2"/>
                <w:sz w:val="16"/>
                <w:sz w:val="20"/>
              </w:rPr>
              <w:t>(1)</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22,119</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15,318</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Twenty-six weeks ended August 1, 2026</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220,010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240,561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89,320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98,200</w:t>
            </w:r>
          </w:p>
        </w:tc>
        <w:tc>
          <w:tcPr>
            <w:tcW w:w="80" w:type="dxa"/>
            <w:tcBorders/>
            <w:shd w:fill="FFFFFF" w:val="clear"/>
            <w:vAlign w:val="center"/>
          </w:tcPr>
          <w:p>
            <w:pPr>
              <w:pStyle w:val="TableContents"/>
              <w:bidi w:val="0"/>
              <w:spacing w:before="0" w:after="0"/>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142,361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&amp;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70,847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72,243</w:t>
            </w:r>
          </w:p>
        </w:tc>
        <w:tc>
          <w:tcPr>
            <w:tcW w:w="80" w:type="dxa"/>
            <w:tcBorders/>
            <w:shd w:fill="FFFFFF" w:val="clear"/>
            <w:vAlign w:val="center"/>
          </w:tcPr>
          <w:p>
            <w:pPr>
              <w:pStyle w:val="TableContents"/>
              <w:bidi w:val="0"/>
              <w:spacing w:before="0" w:after="0"/>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Contribution Margin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70,118</w:t>
            </w:r>
          </w:p>
        </w:tc>
        <w:tc>
          <w:tcPr>
            <w:tcW w:w="80" w:type="dxa"/>
            <w:tcBorders/>
            <w:shd w:fill="CCEEFF" w:val="clear"/>
            <w:vAlign w:val="center"/>
          </w:tcPr>
          <w:p>
            <w:pPr>
              <w:pStyle w:val="TableContents"/>
              <w:bidi w:val="0"/>
              <w:spacing w:before="0" w:after="0"/>
              <w:jc w:val="left"/>
              <w:rPr/>
            </w:pPr>
            <w:r>
              <w:rPr/>
              <w:t> </w:t>
            </w:r>
          </w:p>
        </w:tc>
      </w:tr>
      <w:tr>
        <w:trPr/>
        <w:tc>
          <w:tcPr>
            <w:tcW w:w="3305" w:type="dxa"/>
            <w:tcBorders/>
            <w:shd w:fill="FFFFFF" w:val="clear"/>
            <w:vAlign w:val="center"/>
          </w:tcPr>
          <w:p>
            <w:pPr>
              <w:pStyle w:val="TableContents"/>
              <w:bidi w:val="0"/>
              <w:spacing w:lineRule="auto" w:line="288" w:before="0" w:after="0"/>
              <w:ind w:left="180" w:right="0" w:hanging="0"/>
              <w:jc w:val="left"/>
              <w:rPr>
                <w:rFonts w:ascii="Times New Roman" w:hAnsi="Times New Roman"/>
                <w:sz w:val="20"/>
              </w:rPr>
            </w:pPr>
            <w:r>
              <w:rPr>
                <w:rFonts w:ascii="Times New Roman" w:hAnsi="Times New Roman"/>
                <w:sz w:val="20"/>
              </w:rPr>
              <w:t>Overhead Expenses(1)</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35,293</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35,511</w:t>
            </w:r>
          </w:p>
        </w:tc>
        <w:tc>
          <w:tcPr>
            <w:tcW w:w="80" w:type="dxa"/>
            <w:tcBorders/>
            <w:shd w:fill="FFFFFF" w:val="clear"/>
            <w:vAlign w:val="center"/>
          </w:tcPr>
          <w:p>
            <w:pPr>
              <w:pStyle w:val="TableContents"/>
              <w:bidi w:val="0"/>
              <w:spacing w:before="0" w:after="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Twenty-six weeks ended August 2, 2025</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252,642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100,123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108,144</w:t>
            </w:r>
          </w:p>
        </w:tc>
        <w:tc>
          <w:tcPr>
            <w:tcW w:w="80" w:type="dxa"/>
            <w:tcBorders/>
            <w:shd w:fill="CCEEFF" w:val="clear"/>
            <w:vAlign w:val="center"/>
          </w:tcPr>
          <w:p>
            <w:pPr>
              <w:pStyle w:val="TableContents"/>
              <w:bidi w:val="0"/>
              <w:spacing w:before="0" w:after="0"/>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144,498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&amp;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68,535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68,728</w:t>
            </w:r>
          </w:p>
        </w:tc>
        <w:tc>
          <w:tcPr>
            <w:tcW w:w="80" w:type="dxa"/>
            <w:tcBorders/>
            <w:shd w:fill="CCEEFF" w:val="clear"/>
            <w:vAlign w:val="center"/>
          </w:tcPr>
          <w:p>
            <w:pPr>
              <w:pStyle w:val="TableContents"/>
              <w:bidi w:val="0"/>
              <w:spacing w:before="0" w:after="0"/>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Contribution Margin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579</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75,770</w:t>
            </w:r>
          </w:p>
        </w:tc>
        <w:tc>
          <w:tcPr>
            <w:tcW w:w="80" w:type="dxa"/>
            <w:tcBorders/>
            <w:shd w:fill="FFFFFF" w:val="clear"/>
            <w:vAlign w:val="center"/>
          </w:tcPr>
          <w:p>
            <w:pPr>
              <w:pStyle w:val="TableContents"/>
              <w:bidi w:val="0"/>
              <w:spacing w:before="0" w:after="0"/>
              <w:jc w:val="left"/>
              <w:rPr/>
            </w:pPr>
            <w:r>
              <w:rPr/>
              <w:t> </w:t>
            </w:r>
          </w:p>
        </w:tc>
      </w:tr>
      <w:tr>
        <w:trPr/>
        <w:tc>
          <w:tcPr>
            <w:tcW w:w="3305" w:type="dxa"/>
            <w:tcBorders/>
            <w:shd w:fill="CCEEFF" w:val="clear"/>
            <w:vAlign w:val="center"/>
          </w:tcPr>
          <w:p>
            <w:pPr>
              <w:pStyle w:val="TableContents"/>
              <w:bidi w:val="0"/>
              <w:spacing w:lineRule="auto" w:line="288" w:before="0" w:after="0"/>
              <w:ind w:left="180" w:right="0" w:hanging="0"/>
              <w:jc w:val="left"/>
              <w:rPr>
                <w:rFonts w:ascii="Times New Roman" w:hAnsi="Times New Roman"/>
                <w:sz w:val="20"/>
              </w:rPr>
            </w:pPr>
            <w:r>
              <w:rPr>
                <w:rFonts w:ascii="Times New Roman" w:hAnsi="Times New Roman"/>
                <w:sz w:val="20"/>
              </w:rPr>
              <w:t>Overhead Expenses(1)</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41,227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34,949</w:t>
            </w:r>
          </w:p>
        </w:tc>
        <w:tc>
          <w:tcPr>
            <w:tcW w:w="80" w:type="dxa"/>
            <w:tcBorders/>
            <w:shd w:fill="CCEEFF" w:val="clear"/>
            <w:vAlign w:val="center"/>
          </w:tcPr>
          <w:p>
            <w:pPr>
              <w:pStyle w:val="TableContents"/>
              <w:bidi w:val="0"/>
              <w:spacing w:before="0" w:after="0"/>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620" w:type="dxa"/>
        <w:jc w:val="left"/>
        <w:tblInd w:w="0" w:type="dxa"/>
        <w:tblLayout w:type="fixed"/>
        <w:tblCellMar>
          <w:top w:w="0" w:type="dxa"/>
          <w:left w:w="0" w:type="dxa"/>
          <w:bottom w:w="0" w:type="dxa"/>
          <w:right w:w="0" w:type="dxa"/>
        </w:tblCellMar>
      </w:tblPr>
      <w:tblGrid>
        <w:gridCol w:w="75"/>
        <w:gridCol w:w="245"/>
        <w:gridCol w:w="83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283"/>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8300" w:type="dxa"/>
            <w:tcBorders/>
            <w:vAlign w:val="center"/>
          </w:tcPr>
          <w:p>
            <w:pPr>
              <w:pStyle w:val="TableContents"/>
              <w:bidi w:val="0"/>
              <w:spacing w:before="0" w:after="283"/>
              <w:jc w:val="left"/>
              <w:rPr/>
            </w:pPr>
            <w:r>
              <w:rPr>
                <w:rFonts w:ascii="Times New Roman;Times;serif" w:hAnsi="Times New Roman;Times;serif"/>
                <w:sz w:val="20"/>
              </w:rPr>
              <w:t xml:space="preserve">Overhead expenses contain selling, general and administrative expenses </w:t>
            </w:r>
            <w:r>
              <w:rPr>
                <w:rStyle w:val="Emphasis"/>
                <w:rFonts w:ascii="Times New Roman;Times;serif" w:hAnsi="Times New Roman;Times;serif"/>
                <w:sz w:val="20"/>
              </w:rPr>
              <w:t>not</w:t>
            </w:r>
            <w:r>
              <w:rPr>
                <w:rFonts w:ascii="Times New Roman;Times;serif" w:hAnsi="Times New Roman;Times;serif"/>
                <w:sz w:val="20"/>
              </w:rPr>
              <w:t xml:space="preserve"> attributable to a segment.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assets, depreciation and amortization, and capital expenditures for the Company's segments, as well as for Corporate and support,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8630" w:type="dxa"/>
        <w:jc w:val="left"/>
        <w:tblInd w:w="0" w:type="dxa"/>
        <w:tblLayout w:type="fixed"/>
        <w:tblCellMar>
          <w:top w:w="0" w:type="dxa"/>
          <w:left w:w="0" w:type="dxa"/>
          <w:bottom w:w="0" w:type="dxa"/>
          <w:right w:w="0" w:type="dxa"/>
        </w:tblCellMar>
      </w:tblPr>
      <w:tblGrid>
        <w:gridCol w:w="3305"/>
        <w:gridCol w:w="60"/>
        <w:gridCol w:w="131"/>
        <w:gridCol w:w="729"/>
        <w:gridCol w:w="60"/>
        <w:gridCol w:w="60"/>
        <w:gridCol w:w="181"/>
        <w:gridCol w:w="859"/>
        <w:gridCol w:w="60"/>
        <w:gridCol w:w="60"/>
        <w:gridCol w:w="231"/>
        <w:gridCol w:w="899"/>
        <w:gridCol w:w="60"/>
        <w:gridCol w:w="60"/>
        <w:gridCol w:w="152"/>
        <w:gridCol w:w="723"/>
        <w:gridCol w:w="60"/>
        <w:gridCol w:w="60"/>
        <w:gridCol w:w="125"/>
        <w:gridCol w:w="695"/>
        <w:gridCol w:w="6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Direct-to-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Consumer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Franchising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 August 1, 2026</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334,101</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8,552</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Thirteen weeks ended August 2, 2025</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318,238</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Twenty-six weeks ended August 1, 2026</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334,101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8,114</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15,421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Twenty-six weeks ended August 2, 2025</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318,238</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reportable segments are primarily determined by the types of products and services that they offer. Each reportable segment </w:t>
      </w:r>
      <w:r>
        <w:rPr>
          <w:rStyle w:val="Emphasis"/>
          <w:rFonts w:ascii="Times New Roman;Times;serif" w:hAnsi="Times New Roman;Times;serif"/>
          <w:sz w:val="20"/>
        </w:rPr>
        <w:t xml:space="preserve">may </w:t>
      </w:r>
      <w:r>
        <w:rPr>
          <w:rFonts w:ascii="Times New Roman;Times;serif" w:hAnsi="Times New Roman;Times;serif"/>
          <w:sz w:val="20"/>
        </w:rPr>
        <w:t>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pStyle w:val="TextBody"/>
        <w:bidi w:val="0"/>
        <w:spacing w:before="0" w:after="0"/>
        <w:ind w:left="0" w:right="0" w:firstLine="720"/>
        <w:jc w:val="left"/>
        <w:rPr/>
      </w:pPr>
      <w:r>
        <w:rPr/>
        <w:t> </w:t>
      </w:r>
    </w:p>
    <w:tbl>
      <w:tblPr>
        <w:tblW w:w="7332" w:type="dxa"/>
        <w:jc w:val="left"/>
        <w:tblInd w:w="0" w:type="dxa"/>
        <w:tblLayout w:type="fixed"/>
        <w:tblCellMar>
          <w:top w:w="0" w:type="dxa"/>
          <w:left w:w="0" w:type="dxa"/>
          <w:bottom w:w="0" w:type="dxa"/>
          <w:right w:w="0" w:type="dxa"/>
        </w:tblCellMar>
      </w:tblPr>
      <w:tblGrid>
        <w:gridCol w:w="3305"/>
        <w:gridCol w:w="60"/>
        <w:gridCol w:w="156"/>
        <w:gridCol w:w="868"/>
        <w:gridCol w:w="60"/>
        <w:gridCol w:w="60"/>
        <w:gridCol w:w="160"/>
        <w:gridCol w:w="759"/>
        <w:gridCol w:w="60"/>
        <w:gridCol w:w="60"/>
        <w:gridCol w:w="160"/>
        <w:gridCol w:w="624"/>
        <w:gridCol w:w="60"/>
        <w:gridCol w:w="60"/>
        <w:gridCol w:w="125"/>
        <w:gridCol w:w="695"/>
        <w:gridCol w:w="6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North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America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Europe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Thirteen weeks ended August 1, 2026</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sales to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115,291</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Thirteen weeks ended August 2, 2025</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sales to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124,247</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Twenty-six weeks ended August 1, 2026</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sales to external customers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240,561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79,058</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Twenty-six weeks ended August 2, 2025</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sales to external customers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218,339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252,642</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58,804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144" w:firstLine="72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purposes of this table only:</w:t>
            </w:r>
          </w:p>
        </w:tc>
      </w:tr>
      <w:tr>
        <w:trPr/>
        <w:tc>
          <w:tcPr>
            <w:tcW w:w="10205" w:type="dxa"/>
            <w:tcBorders/>
            <w:vAlign w:val="center"/>
          </w:tcPr>
          <w:p>
            <w:pPr>
              <w:pStyle w:val="TableContents"/>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North America includes corporately-managed locations and sales to wholesale customers in the United States and Canada.</w:t>
            </w:r>
          </w:p>
        </w:tc>
      </w:tr>
      <w:tr>
        <w:trPr/>
        <w:tc>
          <w:tcPr>
            <w:tcW w:w="10205" w:type="dxa"/>
            <w:tcBorders/>
            <w:vAlign w:val="center"/>
          </w:tcPr>
          <w:p>
            <w:pPr>
              <w:pStyle w:val="TableContents"/>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Europe includes corporately-managed locations in the U.K. and the Republic of Ireland and sales to wholesale customers in Europe.</w:t>
            </w:r>
          </w:p>
        </w:tc>
      </w:tr>
      <w:tr>
        <w:trPr/>
        <w:tc>
          <w:tcPr>
            <w:tcW w:w="10205" w:type="dxa"/>
            <w:tcBorders/>
            <w:vAlign w:val="center"/>
          </w:tcPr>
          <w:p>
            <w:pPr>
              <w:pStyle w:val="TableContents"/>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  Other includes wholesale and franchise businesses outside of North America and Europe.</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Contingencies</w:t>
      </w:r>
    </w:p>
    <w:p>
      <w:pPr>
        <w:pStyle w:val="TextBody"/>
        <w:bidi w:val="0"/>
        <w:spacing w:before="0" w:after="0"/>
        <w:ind w:left="144" w:right="144"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In the normal course of business, the Company is subject to legal proceedings, government inquiries and claims, and other commercial disputes. If </w:t>
      </w:r>
      <w:r>
        <w:rPr>
          <w:rStyle w:val="Emphasis"/>
          <w:rFonts w:ascii="Times New Roman;Times;serif" w:hAnsi="Times New Roman;Times;serif"/>
          <w:sz w:val="20"/>
        </w:rPr>
        <w:t>one</w:t>
      </w:r>
      <w:r>
        <w:rPr>
          <w:rFonts w:ascii="Times New Roman;Times;serif" w:hAnsi="Times New Roman;Times;serif"/>
          <w:sz w:val="20"/>
        </w:rPr>
        <w:t xml:space="preserv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Assessments made by the U.K. customs authority in </w:t>
      </w:r>
      <w:r>
        <w:rPr>
          <w:rStyle w:val="Emphasis"/>
          <w:rFonts w:ascii="Times New Roman;Times;serif" w:hAnsi="Times New Roman;Times;serif"/>
          <w:sz w:val="20"/>
        </w:rPr>
        <w:t>2012</w:t>
      </w:r>
      <w:r>
        <w:rPr>
          <w:rFonts w:ascii="Times New Roman;Times;serif" w:hAnsi="Times New Roman;Times;serif"/>
          <w:sz w:val="20"/>
        </w:rPr>
        <w:t xml:space="preserve">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w:t>
      </w:r>
      <w:r>
        <w:rPr>
          <w:rStyle w:val="Emphasis"/>
          <w:rFonts w:ascii="Times New Roman;Times;serif" w:hAnsi="Times New Roman;Times;serif"/>
          <w:sz w:val="20"/>
        </w:rPr>
        <w:t xml:space="preserve"> November 2019 </w:t>
      </w:r>
      <w:r>
        <w:rPr>
          <w:rFonts w:ascii="Times New Roman;Times;serif" w:hAnsi="Times New Roman;Times;serif"/>
          <w:sz w:val="20"/>
        </w:rPr>
        <w:t>and Upper Tribunal in </w:t>
      </w:r>
      <w:r>
        <w:rPr>
          <w:rStyle w:val="Emphasis"/>
          <w:rFonts w:ascii="Times New Roman;Times;serif" w:hAnsi="Times New Roman;Times;serif"/>
          <w:sz w:val="20"/>
        </w:rPr>
        <w:t xml:space="preserve"> March 2021 </w:t>
      </w:r>
      <w:r>
        <w:rPr>
          <w:rFonts w:ascii="Times New Roman;Times;serif" w:hAnsi="Times New Roman;Times;serif"/>
          <w:sz w:val="20"/>
        </w:rPr>
        <w:t>held that duty was due on some, but </w:t>
      </w:r>
      <w:r>
        <w:rPr>
          <w:rStyle w:val="Emphasis"/>
          <w:rFonts w:ascii="Times New Roman;Times;serif" w:hAnsi="Times New Roman;Times;serif"/>
          <w:sz w:val="20"/>
        </w:rPr>
        <w:t>not</w:t>
      </w:r>
      <w:r>
        <w:rPr>
          <w:rFonts w:ascii="Times New Roman;Times;serif" w:hAnsi="Times New Roman;Times;serif"/>
          <w:sz w:val="20"/>
        </w:rPr>
        <w:t xml:space="preserve"> all, of the products at issue. The Company petitioned the Court of Appeal for permission to appeal certain elements of the Upper Tribunal decision, and in early </w:t>
      </w:r>
      <w:r>
        <w:rPr>
          <w:rStyle w:val="Emphasis"/>
          <w:rFonts w:ascii="Times New Roman;Times;serif" w:hAnsi="Times New Roman;Times;serif"/>
          <w:sz w:val="20"/>
        </w:rPr>
        <w:t xml:space="preserve">November 2021, </w:t>
      </w:r>
      <w:r>
        <w:rPr>
          <w:rFonts w:ascii="Times New Roman;Times;serif" w:hAnsi="Times New Roman;Times;serif"/>
          <w:sz w:val="20"/>
        </w:rPr>
        <w:t xml:space="preserve">a judge granted the Company's petition for permission to appeal those elements of the Upper Tribunal decision on some, but </w:t>
      </w:r>
      <w:r>
        <w:rPr>
          <w:rStyle w:val="Emphasis"/>
          <w:rFonts w:ascii="Times New Roman;Times;serif" w:hAnsi="Times New Roman;Times;serif"/>
          <w:sz w:val="20"/>
        </w:rPr>
        <w:t>not</w:t>
      </w:r>
      <w:r>
        <w:rPr>
          <w:rFonts w:ascii="Times New Roman;Times;serif" w:hAnsi="Times New Roman;Times;serif"/>
          <w:sz w:val="20"/>
        </w:rPr>
        <w:t xml:space="preserve"> all, of the grounds of appeal that the Company had put forward. An appeal was heard by the Court of Appeal during the </w:t>
      </w:r>
      <w:r>
        <w:rPr>
          <w:rStyle w:val="Emphasis"/>
          <w:rFonts w:ascii="Times New Roman;Times;serif" w:hAnsi="Times New Roman;Times;serif"/>
          <w:sz w:val="20"/>
        </w:rPr>
        <w:t>first</w:t>
      </w:r>
      <w:r>
        <w:rPr>
          <w:rFonts w:ascii="Times New Roman;Times;serif" w:hAnsi="Times New Roman;Times;serif"/>
          <w:sz w:val="20"/>
        </w:rPr>
        <w:t xml:space="preserve"> quarter of fiscal </w:t>
      </w:r>
      <w:r>
        <w:rPr>
          <w:rStyle w:val="Emphasis"/>
          <w:rFonts w:ascii="Times New Roman;Times;serif" w:hAnsi="Times New Roman;Times;serif"/>
          <w:sz w:val="20"/>
        </w:rPr>
        <w:t>2022,</w:t>
      </w:r>
      <w:r>
        <w:rPr>
          <w:rFonts w:ascii="Times New Roman;Times;serif" w:hAnsi="Times New Roman;Times;serif"/>
          <w:sz w:val="20"/>
        </w:rPr>
        <w:t xml:space="preserve"> and the Court of Appeal dismissed the appeal in the </w:t>
      </w:r>
      <w:r>
        <w:rPr>
          <w:rStyle w:val="Emphasis"/>
          <w:rFonts w:ascii="Times New Roman;Times;serif" w:hAnsi="Times New Roman;Times;serif"/>
          <w:sz w:val="20"/>
        </w:rPr>
        <w:t>third</w:t>
      </w:r>
      <w:r>
        <w:rPr>
          <w:rFonts w:ascii="Times New Roman;Times;serif" w:hAnsi="Times New Roman;Times;serif"/>
          <w:sz w:val="20"/>
        </w:rPr>
        <w:t xml:space="preserve"> quarter of fiscal </w:t>
      </w:r>
      <w:r>
        <w:rPr>
          <w:rStyle w:val="Emphasis"/>
          <w:rFonts w:ascii="Times New Roman;Times;serif" w:hAnsi="Times New Roman;Times;serif"/>
          <w:sz w:val="20"/>
        </w:rPr>
        <w:t>2022.</w:t>
      </w:r>
      <w:r>
        <w:rPr>
          <w:rFonts w:ascii="Times New Roman;Times;serif" w:hAnsi="Times New Roman;Times;serif"/>
          <w:sz w:val="20"/>
        </w:rPr>
        <w:t xml:space="preserve"> During the </w:t>
      </w:r>
      <w:r>
        <w:rPr>
          <w:rStyle w:val="Emphasis"/>
          <w:rFonts w:ascii="Times New Roman;Times;serif" w:hAnsi="Times New Roman;Times;serif"/>
          <w:sz w:val="20"/>
        </w:rPr>
        <w:t>fourth</w:t>
      </w:r>
      <w:r>
        <w:rPr>
          <w:rFonts w:ascii="Times New Roman;Times;serif" w:hAnsi="Times New Roman;Times;serif"/>
          <w:sz w:val="20"/>
        </w:rPr>
        <w:t> quarter of fiscal </w:t>
      </w:r>
      <w:r>
        <w:rPr>
          <w:rStyle w:val="Emphasis"/>
          <w:rFonts w:ascii="Times New Roman;Times;serif" w:hAnsi="Times New Roman;Times;serif"/>
          <w:sz w:val="20"/>
        </w:rPr>
        <w:t>2022</w:t>
      </w:r>
      <w:r>
        <w:rPr>
          <w:rFonts w:ascii="Times New Roman;Times;serif" w:hAnsi="Times New Roman;Times;serif"/>
          <w:i/>
          <w:sz w:val="20"/>
        </w:rPr>
        <w:t>,</w:t>
      </w:r>
      <w:r>
        <w:rPr>
          <w:rFonts w:ascii="Times New Roman;Times;serif" w:hAnsi="Times New Roman;Times;serif"/>
          <w:sz w:val="20"/>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During the </w:t>
      </w:r>
      <w:r>
        <w:rPr>
          <w:rStyle w:val="Emphasis"/>
          <w:rFonts w:ascii="Times New Roman;Times;serif" w:hAnsi="Times New Roman;Times;serif"/>
          <w:sz w:val="20"/>
        </w:rPr>
        <w:t>first</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the Company received approximately $0.6 million from His Majesty's Revenue and Customs ("HMRC"). Following this receipt, the Company reassessed the collectability of the related receivable and adjusted both the gross receivable balance and the associated reserve by $3.2 million, leaving a gross receivable balance of $0.8 million, a reserve of $0.6 million, and a net receivable of $0.2 million as of </w:t>
      </w:r>
      <w:r>
        <w:rPr>
          <w:rStyle w:val="Emphasis"/>
          <w:rFonts w:ascii="Times New Roman;Times;serif" w:hAnsi="Times New Roman;Times;serif"/>
          <w:sz w:val="20"/>
        </w:rPr>
        <w:t xml:space="preserve">August 1, 2026. </w:t>
      </w:r>
      <w:r>
        <w:rPr>
          <w:rFonts w:ascii="Times New Roman;Times;serif" w:hAnsi="Times New Roman;Times;serif"/>
          <w:sz w:val="20"/>
        </w:rPr>
        <w:t>The Company believes that the outcome of this dispute will </w:t>
      </w:r>
      <w:r>
        <w:rPr>
          <w:rStyle w:val="Emphasis"/>
          <w:rFonts w:ascii="Times New Roman;Times;serif" w:hAnsi="Times New Roman;Times;serif"/>
          <w:sz w:val="20"/>
        </w:rPr>
        <w:t>not</w:t>
      </w:r>
      <w:r>
        <w:rPr>
          <w:rFonts w:ascii="Times New Roman;Times;serif" w:hAnsi="Times New Roman;Times;serif"/>
          <w:sz w:val="20"/>
        </w:rPr>
        <w:t> have a material adverse impact on the results of operations, liquidity, or financial position of the Company.</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7" w:name="mda"/>
      <w:bookmarkEnd w:id="7"/>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Notice Regarding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31, 2026, as amended by Amendment No. 1, as filed with the SEC, and include the following:</w:t>
      </w:r>
    </w:p>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the uncertainty of the impact of tariffs on countries from which we import is expected to have an impact on our business, mainly our cost of goods and profit margin;</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consumer interests can change rapidly, and our success depends on the ongoing effectiveness of our marketing and online initiatives to build consumer affinity for our brand and drive consumer demand for our products and services;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depend upon the shopping malls and tourist locations in which our stores are located to attract guests. Continued or further volatility in retail consumer traffic could adversely affect our financial performance and profitability;</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business may be adversely impacted at any time by various significant competitive threats;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global or regional health pandemics or epidemics could negatively impact our business, financial position and results of operations;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profitability could be adversely affected by fluctuations in petroleum product prices;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use of artificial intelligence technologies presents operational, reputational, data security and legal risks that could adversely affect our business and financial performance, and any failure to effectively leverage artificial technologies in our business could negatively impact our customer engagement and competitive position;</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if we cannot renew, renegotiate or replace our store leases or enter into leases for new stores on favorable terms, or if we violate any of the terms of our current leases, our revenue and profitability could be harmed;</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failure to successfully execute our omnichannel and brand expansion strategy and the cost of our investments in e-commerce and digital transformation may materially adversely affect our financial condition and profitability;</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are subject to risks associated with technology and digital operations;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not be able to evolve our store locations over time to align with market trends, successfully diversify our store formats and business models in accordance with our strategic goals or otherwise effectively manage our overall portfolio of stores which could adversely affect our ability to grow and could significantly harm our profitability;</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merchandise is manufactured by foreign manufacturers, we transact business in various foreign countries, and the availability and costs of our products, as well as our product pricing, may be negatively affected by risks associated with international manufacturing and trade and foreign currency fluctuations;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not be able to operate our international corporately-managed locations profitably;</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if we cannot effectively manage our international partner-operated locations, attract new partners or if the laws relating to our international partners change, our growth and profitability could be adversely affected, and we could be exposed to additional liability;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suffer negative publicity or be sued if the manufacturers of our merchandise violate labor laws or engage in practices that consumers believe are unethical;</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suffer negative publicity or a decrease in sales or profitability if the products from other companies that we sell in our stores do not meet our quality standards or fail to achieve our sales expectations;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suffer negative publicity and damage to our reputation if we do not continue to evolve environmental, social, and governance initiatives in a timely manner;</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fluctuations in our quarterly results of operations could cause the price of our common stock to substantially decline;</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 </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relatively low market capitalization can cause the market price of our common stock to become volatile;</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our certificate of incorporation and bylaws and Delaware law contain provisions that may prevent or frustrate attempts to replace or remove our current management by our stockholders, even if such replacement or removal may be in our stockholders’ best interests;</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 may not be able to operate successfully if we lose key personnel, are unable to hire qualified additional personnel, or experience turnover of our management team;</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because our business is largely based on a vertical retail model, labor-related matters, ranging from union formation to labor disputes, may adversely affect our operations; and</w:t>
            </w:r>
          </w:p>
        </w:tc>
      </w:tr>
      <w:tr>
        <w:trPr/>
        <w:tc>
          <w:tcPr>
            <w:tcW w:w="60" w:type="dxa"/>
            <w:tcBorders/>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we may be unsuccessful in acquiring businesses or engaging in other strategic transactions, which may negatively affect our financial condition and profitability.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Build-A-Bear Workshop, Inc., a Delaware corporation, was formed in 1997 as a mall-based, experiential specialty retailer for children. Build</w:t>
        <w:noBreakHyphen/>
        <w:t>A</w:t>
        <w:noBreakHyphen/>
        <w:t>Bear has evolved to become a leading global "retailtainment" brand on a mission to add a little more heart to life. At Build-A-Bear, guests are invited to create personalized furry friends through a unique stuffing, dressing, accessorizing and naming process, accentuated by a memorable Heart Ceremony that creates moments of connection for people of all ages. Over the years, Build</w:t>
        <w:noBreakHyphen/>
        <w:t>A</w:t>
        <w:noBreakHyphen/>
        <w:t>Bear has grown into a multi</w:t>
        <w:noBreakHyphen/>
        <w:t>generational phenomenon, positioned at the intersection of pop</w:t>
        <w:noBreakHyphen/>
        <w:t>culture trends. Beyond its signature retail experience, our brand also offers pre</w:t>
        <w:noBreakHyphen/>
        <w:t>stuffed plush, gifting, partnerships with best</w:t>
        <w:noBreakHyphen/>
        <w:t>in</w:t>
        <w:noBreakHyphen/>
        <w:t>class licensed and collectible characters, and original storytelling through Build</w:t>
        <w:noBreakHyphen/>
        <w:t>A</w:t>
        <w:noBreakHyphen/>
        <w:t>Bear Entertainment, LLC.  Build</w:t>
        <w:noBreakHyphen/>
        <w:t>A</w:t>
        <w:noBreakHyphen/>
        <w:t>Bear’s current brand platform and message, “The Stuff You Love,” crosses ages and cultures while celebrating nearly 30 years of helping people mark life’s meaningful moments.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Build-A-Bear brand has high consumer awareness and positive affinity, and we leverage our brand strength to expand the footprint of our retail experience locations through a range of store sizes, formats, and locations, including tourist destinations. In addition to growing our corporately-managed store footprint, we are also growing through partner-operated and franchise locations, particularly for our international expansion. Our ongoing digital transformation, which touches our e-commerce business, consumer loyalty program, and digital content, has led to omnichannel growth over the past several years. Build-A-Bear's pop-culture appeal plays a key role in expanding our total addressable market beyond children to teens and adults with sports licensing, collectible and gifting offerings, as well as to categories beyond plush.</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August 1, 2026, the Company had 674 global locations through a combination of its corporately-managed, partner-operated, and franchise models. This reflects 379 corporately-managed locations,  including 337 stores in the United States (“U.S.”) and Canada and 42 stores in the United Kingdom ("U.K.") and the Republic of Ireland, 177 partner-operated locations in which we sell our products on a wholesale basis to other companies that then, in turn, execute our retail experience, and 118 international franchise locations, all under the Build-A-Bear Workshop brand. In addition to these locations, we sell products on our company-owned e-commerce sites and third-party marketplace sites, our franchisees sell products through sites that they manage as well as other third-party marketplace sites and other parties sell products on their sites under wholesale agreements. For fiscal year 2026 year-to-date, the Company achieved net new unit growth of 12 experience locations, comprising four corporately managed locations and nine international franchise locations, partially offset by one fewer partner-operated location compared with the prior fiscal year.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operate in three segments that share the same infrastructure, including management, systems, merchandising and marketing, and generate revenues as follows:</w:t>
      </w:r>
    </w:p>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Direct to Consumer (“DTC”) – Corporately-managed retail stores located in the U.S., Canada, Puerto Rico, the U.K., Ireland, and two e-commerce sites;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Commercial – Transactions with other businesses, mainly comprised of wholesale product sales and licensing our intellectual property, including entertainment properties, for third-party use;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franchising – Royalties as well as product and fixture sales from other international operations under franchise agreements.</w:t>
            </w:r>
          </w:p>
        </w:tc>
      </w:tr>
    </w:tbl>
    <w:p>
      <w:pPr>
        <w:pStyle w:val="TextBody"/>
        <w:bidi w:val="0"/>
        <w:spacing w:before="0" w:after="0"/>
        <w:ind w:left="144" w:right="144"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Selected financial data attributable to each segment for the thirteen and twenty-six weeks ended August 1, 2026 and August 2, 2025 are set forth in the notes to our condensed consolidated financial statements included elsewhere in this Quarterly Report on Form 10-Q.</w:t>
      </w:r>
    </w:p>
    <w:p>
      <w:pPr>
        <w:pStyle w:val="TextBody"/>
        <w:bidi w:val="0"/>
        <w:spacing w:before="0" w:after="0"/>
        <w:ind w:left="0" w:right="0" w:firstLine="72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Recent Events and Trends Regarding Tariffs and International Trade</w:t>
      </w:r>
      <w:r>
        <w:rPr>
          <w:rFonts w:ascii="Times New Roman" w:hAnsi="Times New Roman"/>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Global trade policy continues to evolve and the ultimate impact of recent developments with respect to U.S. tariffs is unclear. During the first quarter of fiscal 2026, following Supreme Court rulings regarding tariffs previously imposed under the International Emergency Economic Powers Act ("IEEPA"), the Company determined that it was entitled to recover approximately $13.2 million of previously paid tariffs. The Company recorded the related receivable, recognized a $10.4 million benefit in cost of merchandise sold-retail, including approximately $7.0 million related to prior fiscal year costs, and reduced the carrying value of inventory by approximately $2.8 million for tariffs attributable to inventory remaining on hand. During the second quarter of fiscal 2026, the Company collected the refund including interest and recognized the remaining inventory-related benefit as the underlying inventory was sold. As a result, the Company has substantially completed recognition of the financial statement impacts associated with the IEEPA tariff refund.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Company continues to be subject to tariffs imposed under other legal authorities. Based on current information, the Company's fiscal 2026 outlook reflects the impact of ongoing tariffs and related costs associated with an estimated effective tariff rate of approximately 12.5%. There remains uncertainty regarding future tariff policies, tariff rates, trade negotiations, potential retaliatory actions, and the duration of existing tariffs. The Company continues to monitor these developments and evaluate their potential impact on its business, financial condition, results of operations, and cash flows. </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we import the vast majority of our products from vendors outside the U.S., we face uncertainty and risks related to tariffs and other trade policies that could negatively impact our Company.  Tariffs and other non-tariff trade practices can adversely affect our business in multiple ways, including increased costs of our products. While we have taken steps in recent years to diversify our supply chain and reduce China sourcing by shifting primarily to Vietnam, we remain subject to substantial potential exposure to tariffs. Specifically, the latest tariffs implemented by the U.S. continue to have an impact on our cost structure and product margins. Additionally, the uncertainty about trade policy, tariff rates, and other changes in practices affecting international trade, including whether such tariffs or other measures will be withdrawn, or modified in the future, makes it difficult for us to operate optimally. Depending on the level and longevity of the tariff disruption, we will continue to adjust our pricing while monitoring the impact of inflation and consumer confidence, on both a micro and macro basis.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Description of Operations</w:t>
      </w:r>
    </w:p>
    <w:p>
      <w:pPr>
        <w:pStyle w:val="TextBody"/>
        <w:bidi w:val="0"/>
        <w:spacing w:before="0" w:after="0"/>
        <w:ind w:left="0" w:right="0" w:hanging="0"/>
        <w:jc w:val="left"/>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corporately-operated experience locations that feature a unique combination of interactivity and product in which guests can “make their own” furry friends by participating in the stuffing, dressing, accessorizing and naming of their own teddy bears and other stuffed animals along with the now-famous Heart Ceremony that helps to make the experience memorable by bringing the furry friend to "life."  Our retail footprint also comprises both domestic and international partner-operated and franchise locations that extend our unique combination of experience and product beyond our corporately-operated locations. We also operate buildabear.com, which serves as an information and communications tool to plan a store visit as well as an e-commerce platform that focuses on gift-giving, collectible merchandise and licensed products that appeal to consumers that have an affinity for characters from a range of entertainment, sports, art, and gaming properties. Our engaging digital purchasing experiences include our online “Bear-Builder” and an age-gated adult-focused “Bear Cave” microsite. Our retail stores also act as “mini distribution centers” that provide efficient omnichannel support for our digital demand. While the primary consumer target for our retail stores is families with children,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pStyle w:val="TextBody"/>
        <w:bidi w:val="0"/>
        <w:ind w:left="0" w:right="0" w:firstLine="720"/>
        <w:jc w:val="left"/>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rPr>
        <w:t>We seek to provide outstanding guest experiences across all channels and touch points including our retail locations, our e-commerce sites, our mobile sites and apps as well as traditional, digital, and social media. We believe the hands-on and interactive nature of our experiencial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pStyle w:val="TextBody"/>
        <w:bidi w:val="0"/>
        <w:ind w:left="0" w:right="0" w:firstLine="720"/>
        <w:jc w:val="left"/>
        <w:rPr/>
      </w:pPr>
      <w:r>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Operating Strategies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operating strategies have enabled us to build a strong foundation while continuing to invest in the brand’s iconic status, diversifying and growing the business by reaching more consumers, in more places, with more products, for more occasions. Upon that foundation, we have evolved to focus on scaling our company through a four-pillar strategic framework, supported by four platform areas. These four pillars are intended to leverage the strength of the brand to drive incremental revenue, with pillars one and two continuing to activate proven strategies, with an expectation that they will help fund the expansion into the newer revenue streams represented by pillars three and four.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These four pillars are as follows:</w:t>
      </w:r>
    </w:p>
    <w:p>
      <w:pPr>
        <w:pStyle w:val="TextBody"/>
        <w:bidi w:val="0"/>
        <w:spacing w:before="0" w:after="0"/>
        <w:ind w:left="7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Pillar One - Organic Growth.</w:t>
            </w:r>
            <w:r>
              <w:rPr/>
              <w:t> While we expect to add new and faster-growing revenue streams over time, we must also continue to drive our core business. We plan to do this by optimizing our omnichannel model via deeper integration, greater visibility, and more meaningful engagement with guests to improve lifetime value. Our physical experiencial locations remain critical in building the strength of the Build-A-Bear brand with our core kid consumer. At the same time, our e-commerce business remains our single largest store, serving as a key information destination and a highly complementary channel that extends our reach beyond the core by over-indexing with teen and adult gifting and collectible consumers.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Pillar Two - Location Expansion.</w:t>
            </w:r>
            <w:r>
              <w:rPr/>
              <w:t>  We expect to continue growing our experiential location footprint across all three retail business models, including corporately operated, partner-operated, and franchise, with a particular focus on international growth through our asset-light partner-operated approach. We expect to continue opening across global locations, in a broad range of formats, from smaller standalone locations, shop-in-shops to larger, tourist-destination locations.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Pillar Three - Wholesale and Outbound Brand Licensing</w:t>
            </w:r>
            <w:r>
              <w:rPr/>
              <w:t>. We are enhancing our capabilities, from systems to sourcing to replenishment, to be able to sell branded products to traditional wholesale customers beyond our experience locations. These products will be based on a variety of form factors and designed for the wholesale channel, including, for example, pre-stuffed plush. This effort is designed not only to drive incremental revenue but also to extend the brand presence to tens of thousands of new points of sale. We also intend to leverage our nearly 30 years of multi-generational brand equity to access substantial whitespace and enter adjacent non-plush categories through outbound licensing relationships, again, to bring Build-A-Bear-branded items to more places. Importantly, we view these additional spaces as complementary to our Workshops, with the intention of ultimately serving as a mechanism for awareness and trial, driving more traffic to our stores for the full Build-A-Bear experience.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Pillar Four - Gifting and Personalization</w:t>
            </w:r>
            <w:r>
              <w:rPr/>
              <w:t>. This pillar is designed to gain more share of the growing multi-billion-dollar gifting and personalization markets. Build-A-Bear offers beloved gifts that create memories for both the gift-giver and recipient across multiple age groups and occasions. With over one-third of our revenue currently driven by birthdays, we have already proven that the brand is associated with gifting occasions but believe there is a robust opportunity to expand into gifts for more of life’s special moments, with our powerful brand and personalization options serving as an important competitive point of difference.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These four pillars are enabled by our continued focus on four platform areas that span each of the pillars and support their continued growth. The four platforms are as follows:</w:t>
      </w:r>
    </w:p>
    <w:p>
      <w:pPr>
        <w:pStyle w:val="TextBody"/>
        <w:bidi w:val="0"/>
        <w:spacing w:before="0" w:after="0"/>
        <w:ind w:left="7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Platform One - Enhance Brand.</w:t>
            </w:r>
            <w:r>
              <w:rPr/>
              <w:t>  Building our brand is core to our long-term growth, as it is the cornerstone of our ability to bring the unique and memorable Build-A-Bear experience to more guests around the world. We leverage innovative, brand-aligned marketing strategies to reach and engage our guests to enhance their affinity with and trust of Build-A-Bear.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Platform Two - Leverage Content.</w:t>
            </w:r>
            <w:r>
              <w:rPr/>
              <w:t>  We drive elevated consumer engagement with Build-A-Bear through the strategic integration of product and experience across several different content strategies, including: stories that we tell through the launches of seasonal collections; owned Intellectual Property that can evolve from a screen-based character into plush; and partnerships with licensed brands for whom we can create unique “make-your-own” plush interpretations of their beloved characters.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Platform Three - Evolve Technology.</w:t>
            </w:r>
            <w:r>
              <w:rPr/>
              <w:t>  We strategically evolve our technological infrastructure as needed to support our future growth and make data-driven decisions that allow us to scale more effectively.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u w:val="single"/>
              </w:rPr>
              <w:t>Platform Four - Elevate Organization.</w:t>
            </w:r>
            <w:r>
              <w:rPr/>
              <w:t>  We elevate our workforce to support the capabilities required for growth both through the development of current talent and the strategic addition of new team members to our organization.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Stores: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Corporately-Managed Locations: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the number of Build-A-Bear Workshop corporately-managed stores in the U.S., Canada, and Puerto Rico (collectively, North America) and the U.K. and Ireland (collectively, Europe) for the periods presented:</w:t>
      </w:r>
    </w:p>
    <w:p>
      <w:pPr>
        <w:pStyle w:val="TextBody"/>
        <w:bidi w:val="0"/>
        <w:spacing w:before="0" w:after="0"/>
        <w:ind w:left="0" w:right="0" w:firstLine="720"/>
        <w:jc w:val="left"/>
        <w:rPr/>
      </w:pPr>
      <w:r>
        <w:rPr/>
        <w:t> </w:t>
      </w:r>
    </w:p>
    <w:tbl>
      <w:tblPr>
        <w:tblW w:w="7328" w:type="dxa"/>
        <w:jc w:val="left"/>
        <w:tblInd w:w="0" w:type="dxa"/>
        <w:tblLayout w:type="fixed"/>
        <w:tblCellMar>
          <w:top w:w="0" w:type="dxa"/>
          <w:left w:w="0" w:type="dxa"/>
          <w:bottom w:w="0" w:type="dxa"/>
          <w:right w:w="0" w:type="dxa"/>
        </w:tblCellMar>
      </w:tblPr>
      <w:tblGrid>
        <w:gridCol w:w="1670"/>
        <w:gridCol w:w="60"/>
        <w:gridCol w:w="195"/>
        <w:gridCol w:w="1099"/>
        <w:gridCol w:w="80"/>
        <w:gridCol w:w="60"/>
        <w:gridCol w:w="134"/>
        <w:gridCol w:w="516"/>
        <w:gridCol w:w="60"/>
        <w:gridCol w:w="60"/>
        <w:gridCol w:w="73"/>
        <w:gridCol w:w="412"/>
        <w:gridCol w:w="80"/>
        <w:gridCol w:w="60"/>
        <w:gridCol w:w="195"/>
        <w:gridCol w:w="1099"/>
        <w:gridCol w:w="80"/>
        <w:gridCol w:w="60"/>
        <w:gridCol w:w="134"/>
        <w:gridCol w:w="516"/>
        <w:gridCol w:w="60"/>
        <w:gridCol w:w="60"/>
        <w:gridCol w:w="73"/>
        <w:gridCol w:w="412"/>
        <w:gridCol w:w="80"/>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18"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Twenty-six weeks ended</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2, 2025</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 America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 America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Opened</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Closed</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 of period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August 1, 2026, 55%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expansion in other locations outside of traditional malls.</w:t>
      </w:r>
    </w:p>
    <w:p>
      <w:pPr>
        <w:pStyle w:val="TextBody"/>
        <w:bidi w:val="0"/>
        <w:spacing w:before="0" w:after="0"/>
        <w:ind w:left="144" w:right="144" w:hanging="180"/>
        <w:jc w:val="left"/>
        <w:rPr/>
      </w:pPr>
      <w:r>
        <w:rPr/>
        <w:t> </w:t>
      </w:r>
    </w:p>
    <w:p>
      <w:pPr>
        <w:pStyle w:val="TextBody"/>
        <w:bidi w:val="0"/>
        <w:spacing w:before="0" w:after="0"/>
        <w:ind w:left="144" w:right="144" w:hanging="180"/>
        <w:jc w:val="left"/>
        <w:rPr>
          <w:rFonts w:ascii="Times New Roman;Times;serif" w:hAnsi="Times New Roman;Times;serif"/>
          <w:b/>
          <w:i/>
          <w:sz w:val="20"/>
        </w:rPr>
      </w:pPr>
      <w:r>
        <w:rPr>
          <w:rFonts w:ascii="Times New Roman;Times;serif" w:hAnsi="Times New Roman;Times;serif"/>
          <w:b/>
          <w:i/>
          <w:sz w:val="20"/>
        </w:rPr>
        <w:t>Partner-Operated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number of partner-operated locations opened and closed for the periods presented below is summarized as follows:</w:t>
      </w:r>
    </w:p>
    <w:p>
      <w:pPr>
        <w:pStyle w:val="TextBody"/>
        <w:bidi w:val="0"/>
        <w:spacing w:before="0" w:after="0"/>
        <w:ind w:left="0" w:right="0" w:hanging="0"/>
        <w:jc w:val="center"/>
        <w:rPr/>
      </w:pPr>
      <w:r>
        <w:rPr/>
        <w:t> </w:t>
      </w:r>
    </w:p>
    <w:tbl>
      <w:tblPr>
        <w:tblW w:w="4621" w:type="dxa"/>
        <w:jc w:val="left"/>
        <w:tblInd w:w="0" w:type="dxa"/>
        <w:tblLayout w:type="fixed"/>
        <w:tblCellMar>
          <w:top w:w="0" w:type="dxa"/>
          <w:left w:w="0" w:type="dxa"/>
          <w:bottom w:w="0" w:type="dxa"/>
          <w:right w:w="0" w:type="dxa"/>
        </w:tblCellMar>
      </w:tblPr>
      <w:tblGrid>
        <w:gridCol w:w="1670"/>
        <w:gridCol w:w="60"/>
        <w:gridCol w:w="191"/>
        <w:gridCol w:w="1073"/>
        <w:gridCol w:w="173"/>
        <w:gridCol w:w="130"/>
        <w:gridCol w:w="190"/>
        <w:gridCol w:w="1074"/>
        <w:gridCol w:w="60"/>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Twenty-six weeks ended</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1, 2026</w:t>
            </w:r>
          </w:p>
        </w:tc>
        <w:tc>
          <w:tcPr>
            <w:tcW w:w="17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 2025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17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6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Opened</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7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6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Closed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7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18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Through our partner-operated model, there were 177 stores in operation at the end of the second quarter of 2026 with relationships that included Carnival Cruise Line, Great Wolf Lodge Resorts, Landry's and Girl Scouts of the USA. The partner-operated model is capital light for us, with the partner company building out and operating the workshops including providing the real estate location and covering the cost of labor and inventory, which is purchased from us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pStyle w:val="TextBody"/>
        <w:bidi w:val="0"/>
        <w:spacing w:before="0" w:after="0"/>
        <w:ind w:left="144" w:right="144" w:hanging="18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International Franchise Locations: </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first franchisee location opened in November 2003. All franchise stores have similar signage, store layout, merchandise characteristics and guest experience as our corporately-managed stores. As of August 1, 2026, we had seven master franchise agreements, which typically grant franchise rights for a particular country or group of countries, covering a total of twelve countries.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number of international franchise locations opened and closed for the periods presented below is summarized as follows:</w:t>
      </w:r>
    </w:p>
    <w:p>
      <w:pPr>
        <w:pStyle w:val="TextBody"/>
        <w:bidi w:val="0"/>
        <w:spacing w:before="0" w:after="0"/>
        <w:ind w:left="0" w:right="0" w:firstLine="720"/>
        <w:jc w:val="left"/>
        <w:rPr/>
      </w:pPr>
      <w:r>
        <w:rPr/>
        <w:t> </w:t>
      </w:r>
    </w:p>
    <w:tbl>
      <w:tblPr>
        <w:tblW w:w="5026" w:type="dxa"/>
        <w:jc w:val="left"/>
        <w:tblInd w:w="0" w:type="dxa"/>
        <w:tblLayout w:type="fixed"/>
        <w:tblCellMar>
          <w:top w:w="0" w:type="dxa"/>
          <w:left w:w="0" w:type="dxa"/>
          <w:bottom w:w="0" w:type="dxa"/>
          <w:right w:w="0" w:type="dxa"/>
        </w:tblCellMar>
      </w:tblPr>
      <w:tblGrid>
        <w:gridCol w:w="1895"/>
        <w:gridCol w:w="60"/>
        <w:gridCol w:w="191"/>
        <w:gridCol w:w="1073"/>
        <w:gridCol w:w="173"/>
        <w:gridCol w:w="130"/>
        <w:gridCol w:w="190"/>
        <w:gridCol w:w="1074"/>
        <w:gridCol w:w="24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c>
          <w:tcPr>
            <w:tcW w:w="24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August 1, 2026</w:t>
            </w:r>
          </w:p>
        </w:tc>
        <w:tc>
          <w:tcPr>
            <w:tcW w:w="17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August 2, 2025</w:t>
            </w:r>
          </w:p>
        </w:tc>
        <w:tc>
          <w:tcPr>
            <w:tcW w:w="24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Beginning of period(1)</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7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0" w:type="dxa"/>
            <w:tcBorders/>
            <w:shd w:fill="CCEEFF" w:val="clear"/>
            <w:vAlign w:val="center"/>
          </w:tcPr>
          <w:p>
            <w:pPr>
              <w:pStyle w:val="TableContents"/>
              <w:bidi w:val="0"/>
              <w:spacing w:before="0" w:after="283"/>
              <w:ind w:left="0" w:right="0" w:firstLine="180"/>
              <w:jc w:val="left"/>
              <w:rPr/>
            </w:pPr>
            <w:r>
              <w:rPr/>
              <w:t> </w:t>
            </w:r>
          </w:p>
        </w:tc>
      </w:tr>
      <w:tr>
        <w:trPr/>
        <w:tc>
          <w:tcPr>
            <w:tcW w:w="189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Opened</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7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Closed</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4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7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975" w:type="dxa"/>
        <w:jc w:val="left"/>
        <w:tblInd w:w="0" w:type="dxa"/>
        <w:tblLayout w:type="fixed"/>
        <w:tblCellMar>
          <w:top w:w="0" w:type="dxa"/>
          <w:left w:w="0" w:type="dxa"/>
          <w:bottom w:w="0" w:type="dxa"/>
          <w:right w:w="0" w:type="dxa"/>
        </w:tblCellMar>
      </w:tblPr>
      <w:tblGrid>
        <w:gridCol w:w="260"/>
        <w:gridCol w:w="7715"/>
      </w:tblGrid>
      <w:tr>
        <w:trPr/>
        <w:tc>
          <w:tcPr>
            <w:tcW w:w="260" w:type="dxa"/>
            <w:tcBorders/>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w:t>
            </w:r>
          </w:p>
        </w:tc>
        <w:tc>
          <w:tcPr>
            <w:tcW w:w="7715" w:type="dxa"/>
            <w:tcBorders/>
            <w:vAlign w:val="center"/>
          </w:tcPr>
          <w:p>
            <w:pPr>
              <w:pStyle w:val="TableContents"/>
              <w:bidi w:val="0"/>
              <w:spacing w:before="0" w:after="283"/>
              <w:jc w:val="left"/>
              <w:rPr/>
            </w:pPr>
            <w:r>
              <w:rPr/>
              <w:t> </w:t>
            </w:r>
            <w:r>
              <w:rPr>
                <w:rFonts w:ascii="Times New Roman;Times;serif" w:hAnsi="Times New Roman;Times;serif"/>
                <w:sz w:val="20"/>
              </w:rPr>
              <w:t>Count for both years include nine shop-in-shop locations in Australia not previously reported.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pStyle w:val="TextBody"/>
        <w:bidi w:val="0"/>
        <w:spacing w:before="0" w:after="0"/>
        <w:ind w:left="144" w:right="144"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BUILD-A-BEAR WORKSHOP, INC. AND SUBSIDIARIES</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CONDENSED CONSOLIDATED STATEMENTS OF INCOME</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144" w:right="144" w:hanging="0"/>
        <w:jc w:val="center"/>
        <w:rPr/>
      </w:pPr>
      <w:r>
        <w:rPr/>
        <w:t> </w:t>
      </w:r>
    </w:p>
    <w:tbl>
      <w:tblPr>
        <w:tblW w:w="8942" w:type="dxa"/>
        <w:jc w:val="left"/>
        <w:tblInd w:w="0" w:type="dxa"/>
        <w:tblLayout w:type="fixed"/>
        <w:tblCellMar>
          <w:top w:w="0" w:type="dxa"/>
          <w:left w:w="0" w:type="dxa"/>
          <w:bottom w:w="0" w:type="dxa"/>
          <w:right w:w="0" w:type="dxa"/>
        </w:tblCellMar>
      </w:tblPr>
      <w:tblGrid>
        <w:gridCol w:w="4490"/>
        <w:gridCol w:w="60"/>
        <w:gridCol w:w="87"/>
        <w:gridCol w:w="712"/>
        <w:gridCol w:w="254"/>
        <w:gridCol w:w="82"/>
        <w:gridCol w:w="87"/>
        <w:gridCol w:w="712"/>
        <w:gridCol w:w="185"/>
        <w:gridCol w:w="60"/>
        <w:gridCol w:w="91"/>
        <w:gridCol w:w="737"/>
        <w:gridCol w:w="281"/>
        <w:gridCol w:w="91"/>
        <w:gridCol w:w="91"/>
        <w:gridCol w:w="737"/>
        <w:gridCol w:w="185"/>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Thirteen weeks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Twenty-six weeks ended</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1,</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1,</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2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retail sales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2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revenue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 franchising</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merchandise sold - retail (1)</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merchandise sold - commercial (1)</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merchandise sold - international franchising (1)</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merchandise sold</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gross profit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79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28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Gross Margin (2)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2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tc>
      </w:tr>
      <w:tr>
        <w:trPr/>
        <w:tc>
          <w:tcPr>
            <w:tcW w:w="208" w:type="dxa"/>
            <w:tcBorders/>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gross margin represents net retail sales less cost of merchandise sold - retail; retail gross margin percentage represents retail gross margin divided by net retail sales.</w:t>
            </w:r>
          </w:p>
        </w:tc>
      </w:tr>
    </w:tbl>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Thirteen weeks ended August 1, 2026 compared to thirteen weeks ended August 2, 2025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i/>
          <w:color w:val="000000"/>
          <w:sz w:val="20"/>
        </w:rPr>
        <w:t xml:space="preserve">Total revenues. </w:t>
      </w:r>
      <w:r>
        <w:rPr>
          <w:rFonts w:ascii="Times New Roman;Times;serif" w:hAnsi="Times New Roman;Times;serif"/>
          <w:color w:val="000000"/>
          <w:sz w:val="20"/>
        </w:rPr>
        <w:t>Consolidated revenues</w:t>
      </w:r>
      <w:r>
        <w:rPr>
          <w:rFonts w:ascii="Times New Roman;Times;serif" w:hAnsi="Times New Roman;Times;serif"/>
          <w:color w:val="000000"/>
          <w:sz w:val="20"/>
          <w:shd w:fill="FFFFFF" w:val="clear"/>
        </w:rPr>
        <w:t> decreased </w:t>
      </w:r>
      <w:r>
        <w:rPr>
          <w:rFonts w:ascii="Times New Roman;Times;serif" w:hAnsi="Times New Roman;Times;serif"/>
          <w:color w:val="000000"/>
          <w:sz w:val="20"/>
        </w:rPr>
        <w:t>$9.0 million or 7.2%, primarily driven by a $8.1 million or 7.1% decrease in net retail sales and a $0.9 million or 9.0% decrease in combined commercial and international franchising revenue when compared to the second fiscal quarter of 2025.  The decrease</w:t>
      </w:r>
      <w:r>
        <w:rPr>
          <w:rFonts w:ascii="Times New Roman;Times;serif" w:hAnsi="Times New Roman;Times;serif"/>
          <w:color w:val="000000"/>
          <w:sz w:val="20"/>
          <w:shd w:fill="FFFFFF" w:val="clear"/>
        </w:rPr>
        <w:t> in</w:t>
      </w:r>
      <w:r>
        <w:rPr>
          <w:rFonts w:ascii="Times New Roman;Times;serif" w:hAnsi="Times New Roman;Times;serif"/>
          <w:color w:val="000000"/>
          <w:sz w:val="20"/>
        </w:rPr>
        <w:t xml:space="preserve"> net retail sales was driven by lower sales at existing stores and decreased e-commerce demand offset by sales at new stores. The decrease in commercial revenue was due to lower sales volume from our wholesale customers through our partner-operated retail model. The decrease in international franchising revenue was due to timing of product shipments.  </w:t>
      </w:r>
    </w:p>
    <w:p>
      <w:pPr>
        <w:pStyle w:val="TextBody"/>
        <w:bidi w:val="0"/>
        <w:ind w:left="0" w:right="0" w:firstLine="720"/>
        <w:jc w:val="left"/>
        <w:rPr>
          <w:color w:val="000000"/>
        </w:rPr>
      </w:pPr>
      <w:r>
        <w:rPr>
          <w:color w:val="000000"/>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retail sales for the thirteen weeks ended August 1, 2026 were $106.5 million, compared to $114.6 million for the thirteen weeks ended August 2, 2025.  The components of the performance are as follows (dollars in thousands):</w:t>
      </w:r>
    </w:p>
    <w:p>
      <w:pPr>
        <w:pStyle w:val="TextBody"/>
        <w:bidi w:val="0"/>
        <w:spacing w:before="0" w:after="0"/>
        <w:ind w:left="144" w:right="144" w:hanging="0"/>
        <w:jc w:val="center"/>
        <w:rPr/>
      </w:pPr>
      <w:r>
        <w:rPr/>
        <w:t> </w:t>
      </w:r>
    </w:p>
    <w:tbl>
      <w:tblPr>
        <w:tblW w:w="4319" w:type="dxa"/>
        <w:jc w:val="left"/>
        <w:tblInd w:w="0" w:type="dxa"/>
        <w:tblLayout w:type="fixed"/>
        <w:tblCellMar>
          <w:top w:w="0" w:type="dxa"/>
          <w:left w:w="0" w:type="dxa"/>
          <w:bottom w:w="0" w:type="dxa"/>
          <w:right w:w="0" w:type="dxa"/>
        </w:tblCellMar>
      </w:tblPr>
      <w:tblGrid>
        <w:gridCol w:w="2330"/>
        <w:gridCol w:w="60"/>
        <w:gridCol w:w="295"/>
        <w:gridCol w:w="1539"/>
        <w:gridCol w:w="95"/>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4"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Thirteen weeks ended</w:t>
            </w:r>
          </w:p>
        </w:tc>
        <w:tc>
          <w:tcPr>
            <w:tcW w:w="9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August 1, 2026</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from:</w:t>
            </w:r>
          </w:p>
        </w:tc>
        <w:tc>
          <w:tcPr>
            <w:tcW w:w="60" w:type="dxa"/>
            <w:tcBorders/>
            <w:shd w:fill="FFFFFF" w:val="clear"/>
            <w:vAlign w:val="center"/>
          </w:tcPr>
          <w:p>
            <w:pPr>
              <w:pStyle w:val="TableContents"/>
              <w:bidi w:val="0"/>
              <w:spacing w:before="0" w:after="0"/>
              <w:ind w:left="0" w:right="0" w:hanging="0"/>
              <w:jc w:val="left"/>
              <w:rPr/>
            </w:pPr>
            <w:r>
              <w:rPr/>
              <w:t> </w:t>
            </w:r>
          </w:p>
        </w:tc>
        <w:tc>
          <w:tcPr>
            <w:tcW w:w="295" w:type="dxa"/>
            <w:tcBorders/>
            <w:shd w:fill="FFFFFF" w:val="clear"/>
            <w:vAlign w:val="center"/>
          </w:tcPr>
          <w:p>
            <w:pPr>
              <w:pStyle w:val="TableContents"/>
              <w:bidi w:val="0"/>
              <w:spacing w:before="0" w:after="0"/>
              <w:ind w:left="0" w:right="0" w:hanging="0"/>
              <w:jc w:val="left"/>
              <w:rPr/>
            </w:pPr>
            <w:r>
              <w:rPr/>
              <w:t> </w:t>
            </w:r>
          </w:p>
        </w:tc>
        <w:tc>
          <w:tcPr>
            <w:tcW w:w="1539" w:type="dxa"/>
            <w:tcBorders/>
            <w:shd w:fill="FFFFFF" w:val="clear"/>
            <w:vAlign w:val="center"/>
          </w:tcPr>
          <w:p>
            <w:pPr>
              <w:pStyle w:val="TableContents"/>
              <w:bidi w:val="0"/>
              <w:spacing w:before="0" w:after="0"/>
              <w:ind w:left="0" w:right="0" w:hanging="0"/>
              <w:jc w:val="right"/>
              <w:rPr/>
            </w:pPr>
            <w:r>
              <w:rPr/>
              <w:t> </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stores</w:t>
            </w:r>
          </w:p>
        </w:tc>
        <w:tc>
          <w:tcPr>
            <w:tcW w:w="60"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(10,921</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stores</w:t>
            </w:r>
          </w:p>
        </w:tc>
        <w:tc>
          <w:tcPr>
            <w:tcW w:w="60" w:type="dxa"/>
            <w:tcBorders/>
            <w:shd w:fill="FFFFFF" w:val="clear"/>
            <w:vAlign w:val="center"/>
          </w:tcPr>
          <w:p>
            <w:pPr>
              <w:pStyle w:val="TableContents"/>
              <w:bidi w:val="0"/>
              <w:spacing w:before="0" w:after="0"/>
              <w:ind w:left="0" w:right="0" w:hanging="0"/>
              <w:jc w:val="left"/>
              <w:rPr/>
            </w:pPr>
            <w:r>
              <w:rPr/>
              <w:t> </w:t>
            </w:r>
          </w:p>
        </w:tc>
        <w:tc>
          <w:tcPr>
            <w:tcW w:w="295" w:type="dxa"/>
            <w:tcBorders/>
            <w:shd w:fill="FFFFFF" w:val="clear"/>
            <w:vAlign w:val="center"/>
          </w:tcPr>
          <w:p>
            <w:pPr>
              <w:pStyle w:val="TableContents"/>
              <w:bidi w:val="0"/>
              <w:spacing w:before="0" w:after="0"/>
              <w:ind w:left="0" w:right="0" w:hanging="0"/>
              <w:jc w:val="left"/>
              <w:rPr/>
            </w:pPr>
            <w:r>
              <w:rPr/>
              <w:t> </w:t>
            </w:r>
          </w:p>
        </w:tc>
        <w:tc>
          <w:tcPr>
            <w:tcW w:w="153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4,141</w:t>
            </w:r>
          </w:p>
        </w:tc>
        <w:tc>
          <w:tcPr>
            <w:tcW w:w="95" w:type="dxa"/>
            <w:tcBorders/>
            <w:shd w:fill="FFFFFF" w:val="clear"/>
            <w:vAlign w:val="center"/>
          </w:tcPr>
          <w:p>
            <w:pPr>
              <w:pStyle w:val="TableContents"/>
              <w:bidi w:val="0"/>
              <w:spacing w:before="0" w:after="0"/>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Store closures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5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breakage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discounts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5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9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sales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(1,144</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95" w:type="dxa"/>
            <w:tcBorders/>
            <w:shd w:fill="FFFFFF" w:val="clear"/>
            <w:vAlign w:val="center"/>
          </w:tcPr>
          <w:p>
            <w:pPr>
              <w:pStyle w:val="TableContents"/>
              <w:bidi w:val="0"/>
              <w:spacing w:before="0" w:after="0"/>
              <w:jc w:val="left"/>
              <w:rPr/>
            </w:pPr>
            <w:r>
              <w:rPr/>
              <w:t> </w:t>
            </w:r>
          </w:p>
        </w:tc>
      </w:tr>
      <w:tr>
        <w:trPr/>
        <w:tc>
          <w:tcPr>
            <w:tcW w:w="23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Change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 w:right="144"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lower retail revenue performance was primarily due to lower sales at existing stores and decreased e-commerce demand offset by sales at new stores. </w:t>
      </w:r>
      <w:r>
        <w:rPr>
          <w:rFonts w:ascii="Times New Roman;Times;serif" w:hAnsi="Times New Roman;Times;serif"/>
          <w:sz w:val="20"/>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Commercial revenue was $8.1 million for the thirteen weeks ended August 1, 2026 compared to $8.6 million for the thirteen weeks ended August 2, 2025. The $0.5 million decrease was primarily due to lower sales volume from our wholesale accounts.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International franchising revenue was $0.7 million for the thirteen weeks ended August 1, 2026 compared to $1.0 million for the thirteen weeks ended August 2, 2025. The $0.3 million decrease was primarily due to lower royalties and other sales to franchisees.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Retail gross margin. </w:t>
      </w:r>
      <w:r>
        <w:rPr>
          <w:rFonts w:ascii="Times New Roman;Times;serif" w:hAnsi="Times New Roman;Times;serif"/>
          <w:sz w:val="20"/>
          <w:shd w:fill="FFFFFF" w:val="clear"/>
        </w:rPr>
        <w:t>Retail gross margin dollars decreased </w:t>
      </w:r>
      <w:r>
        <w:rPr>
          <w:rFonts w:ascii="Times New Roman;Times;serif" w:hAnsi="Times New Roman;Times;serif"/>
          <w:sz w:val="20"/>
        </w:rPr>
        <w:t>$8.5</w:t>
      </w:r>
      <w:r>
        <w:rPr>
          <w:rFonts w:ascii="Times New Roman;Times;serif" w:hAnsi="Times New Roman;Times;serif"/>
          <w:sz w:val="20"/>
          <w:shd w:fill="FFFFFF" w:val="clear"/>
        </w:rPr>
        <w:t xml:space="preserve"> million to </w:t>
      </w:r>
      <w:r>
        <w:rPr>
          <w:rFonts w:ascii="Times New Roman;Times;serif" w:hAnsi="Times New Roman;Times;serif"/>
          <w:sz w:val="20"/>
        </w:rPr>
        <w:t>$57.6</w:t>
      </w:r>
      <w:r>
        <w:rPr>
          <w:rFonts w:ascii="Times New Roman;Times;serif" w:hAnsi="Times New Roman;Times;serif"/>
          <w:sz w:val="20"/>
          <w:shd w:fill="FFFFFF" w:val="clear"/>
        </w:rPr>
        <w:t xml:space="preserve"> million from </w:t>
      </w:r>
      <w:r>
        <w:rPr>
          <w:rFonts w:ascii="Times New Roman;Times;serif" w:hAnsi="Times New Roman;Times;serif"/>
          <w:sz w:val="20"/>
        </w:rPr>
        <w:t>$66.1</w:t>
      </w:r>
      <w:r>
        <w:rPr>
          <w:rFonts w:ascii="Times New Roman;Times;serif" w:hAnsi="Times New Roman;Times;serif"/>
          <w:sz w:val="20"/>
          <w:shd w:fill="FFFFFF" w:val="clear"/>
        </w:rPr>
        <w:t xml:space="preserve"> million for the thirteen weeks ended </w:t>
      </w:r>
      <w:r>
        <w:rPr>
          <w:rFonts w:ascii="Times New Roman;Times;serif" w:hAnsi="Times New Roman;Times;serif"/>
          <w:sz w:val="20"/>
        </w:rPr>
        <w:t>August 2, 2025</w:t>
      </w:r>
      <w:r>
        <w:rPr>
          <w:rFonts w:ascii="Times New Roman;Times;serif" w:hAnsi="Times New Roman;Times;serif"/>
          <w:sz w:val="20"/>
          <w:shd w:fill="FFFFFF" w:val="clear"/>
        </w:rPr>
        <w:t>. The retail gross margin rate decreased </w:t>
      </w:r>
      <w:r>
        <w:rPr>
          <w:rFonts w:ascii="Times New Roman;Times;serif" w:hAnsi="Times New Roman;Times;serif"/>
          <w:sz w:val="20"/>
        </w:rPr>
        <w:t>360</w:t>
      </w:r>
      <w:r>
        <w:rPr>
          <w:rFonts w:ascii="Times New Roman;Times;serif" w:hAnsi="Times New Roman;Times;serif"/>
          <w:sz w:val="20"/>
          <w:shd w:fill="FFFFFF" w:val="clear"/>
        </w:rPr>
        <w:t> basis points compared to the prior year</w:t>
      </w:r>
      <w:r>
        <w:rPr>
          <w:rFonts w:ascii="Times New Roman;Times;serif" w:hAnsi="Times New Roman;Times;serif"/>
          <w:sz w:val="20"/>
        </w:rPr>
        <w:t> primarily due to occupancy cost deleverage and increased promotional activity.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Selling, general and administrative. </w:t>
      </w:r>
      <w:r>
        <w:rPr>
          <w:rFonts w:ascii="Times New Roman;Times;serif" w:hAnsi="Times New Roman;Times;serif"/>
          <w:sz w:val="20"/>
        </w:rPr>
        <w:t>SG&amp;A expenses were $51.4 million, or 44.6% of consolidated revenue, for the thirteen weeks ended August 1, 2026, compared to $56.4 million, or 45.4% of consolidated revenue, for the thirteen weeks ended August 2, 2025. The</w:t>
      </w:r>
      <w:r>
        <w:rPr>
          <w:rFonts w:ascii="Times New Roman;Times;serif" w:hAnsi="Times New Roman;Times;serif"/>
          <w:sz w:val="20"/>
          <w:shd w:fill="FFFFFF" w:val="clear"/>
        </w:rPr>
        <w:t> decrease</w:t>
      </w:r>
      <w:r>
        <w:rPr>
          <w:rFonts w:ascii="Times New Roman;Times;serif" w:hAnsi="Times New Roman;Times;serif"/>
          <w:sz w:val="20"/>
        </w:rPr>
        <w:t> was primarily driven by lower incentive compensation.   </w:t>
      </w:r>
    </w:p>
    <w:p>
      <w:pPr>
        <w:pStyle w:val="TextBody"/>
        <w:bidi w:val="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Interest income, net. </w:t>
      </w:r>
      <w:r>
        <w:rPr>
          <w:rFonts w:ascii="Times New Roman;Times;serif" w:hAnsi="Times New Roman;Times;serif"/>
          <w:sz w:val="20"/>
        </w:rPr>
        <w:t>Interest income was $0.6 million for the thirteen weeks ended August 1, 2026, compared to interest income of $0.2 million for the thirteen weeks ended August 2, 2025. The increase was driven by higher interest income from IEEPA tariff refunds. </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Provision for income taxes</w:t>
      </w:r>
      <w:r>
        <w:rPr>
          <w:rFonts w:ascii="Times New Roman" w:hAnsi="Times New Roman"/>
          <w:caps w:val="false"/>
          <w:smallCaps w:val="false"/>
          <w:sz w:val="20"/>
        </w:rPr>
        <w:t>. Income tax expense was $2.9 million with a tax rate of 24.7% for the thirteen weeks ended August 1, 2026, as compared to $3.0 million with a tax rate of 19.3% for the thirteen weeks ended August 2, 2025</w:t>
      </w:r>
      <w:r>
        <w:rPr>
          <w:rFonts w:ascii="Times New Roman" w:hAnsi="Times New Roman"/>
          <w:caps w:val="false"/>
          <w:smallCaps w:val="false"/>
          <w:sz w:val="20"/>
          <w:shd w:fill="FFFFFF" w:val="clear"/>
        </w:rPr>
        <w:t xml:space="preserve">. In the second quarter of fiscal 2026, the effective tax rate differed from the statutory rate of 21% primarily due to state income tax expense partially offset by the tax impact of equity awards vesting and the foreign-derived eligible income deduction (formerly foreign derived intangible income). </w:t>
      </w:r>
      <w:r>
        <w:rPr>
          <w:rFonts w:ascii="Times New Roman" w:hAnsi="Times New Roman"/>
          <w:caps w:val="false"/>
          <w:smallCaps w:val="false"/>
          <w:sz w:val="20"/>
        </w:rPr>
        <w:t>In the second quarter of fiscal 2025, the effective tax rate differed from the statutory rate of 21% primarily due to state income tax expense  offset by the tax impact of equity awards vesting, the foreign-derived intangible income deduction and discrete benefits related to settlement of a prior period tax position.</w:t>
      </w:r>
      <w:r>
        <w:rPr>
          <w:rFonts w:ascii="Times New Roman" w:hAnsi="Times New Roman"/>
          <w:caps w:val="false"/>
          <w:smallCaps w:val="false"/>
          <w:sz w:val="20"/>
          <w:shd w:fill="FFFFFF" w:val="clear"/>
        </w:rPr>
        <w:t> In addition, in the second quarter of fiscal 2026 and 2025, the Company remains in a full valuation allowance in certain foreign jurisdictions.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Twenty-six weeks ended August 1, 2026 compared to twenty-six weeks ended August 2, 2025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i/>
          <w:color w:val="000000"/>
          <w:sz w:val="20"/>
        </w:rPr>
        <w:t xml:space="preserve">Total revenues. </w:t>
      </w:r>
      <w:r>
        <w:rPr>
          <w:rFonts w:ascii="Times New Roman;Times;serif" w:hAnsi="Times New Roman;Times;serif"/>
          <w:color w:val="000000"/>
          <w:sz w:val="20"/>
        </w:rPr>
        <w:t>Consolidated revenues</w:t>
      </w:r>
      <w:r>
        <w:rPr>
          <w:rFonts w:ascii="Times New Roman;Times;serif" w:hAnsi="Times New Roman;Times;serif"/>
          <w:color w:val="000000"/>
          <w:sz w:val="20"/>
          <w:shd w:fill="FFFFFF" w:val="clear"/>
        </w:rPr>
        <w:t> decreased $12.1</w:t>
      </w:r>
      <w:r>
        <w:rPr>
          <w:rFonts w:ascii="Times New Roman;Times;serif" w:hAnsi="Times New Roman;Times;serif"/>
          <w:color w:val="000000"/>
          <w:sz w:val="20"/>
        </w:rPr>
        <w:t> million or 4.8%, primarily driven by a $14.2 million or 6.1% decrease in net retail sales partially offset by a $2.1 million or 11.6%  increase in combined commercial and international franchising revenue when compared to the same period of 2025.  The decrease</w:t>
      </w:r>
      <w:r>
        <w:rPr>
          <w:rFonts w:ascii="Times New Roman;Times;serif" w:hAnsi="Times New Roman;Times;serif"/>
          <w:color w:val="000000"/>
          <w:sz w:val="20"/>
          <w:shd w:fill="FFFFFF" w:val="clear"/>
        </w:rPr>
        <w:t> i</w:t>
      </w:r>
      <w:r>
        <w:rPr>
          <w:rFonts w:ascii="Times New Roman;Times;serif" w:hAnsi="Times New Roman;Times;serif"/>
          <w:color w:val="000000"/>
          <w:sz w:val="20"/>
        </w:rPr>
        <w:t>n net retail sales was driven by lower sales at existing stores and decreased e-commerce demand. The increase in commercial revenue was due to higher sales to our wholesale customers, including sales to new wholesale customers resulting from a net increase of 16 partner-operated locations since the second quarter of 2025.</w:t>
      </w:r>
    </w:p>
    <w:p>
      <w:pPr>
        <w:pStyle w:val="TextBody"/>
        <w:bidi w:val="0"/>
        <w:ind w:left="0" w:right="0" w:firstLine="720"/>
        <w:jc w:val="left"/>
        <w:rPr>
          <w:color w:val="000000"/>
        </w:rPr>
      </w:pPr>
      <w:r>
        <w:rPr>
          <w:color w:val="000000"/>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retail sales for the twenty-six weeks ended August 1, 2026 were $220.0 million compared to $234.2 million for the twenty-six weeks ended August 2, 2025.  The components of the performance are as follows (dollars in thousands):</w:t>
      </w:r>
    </w:p>
    <w:p>
      <w:pPr>
        <w:pStyle w:val="TextBody"/>
        <w:bidi w:val="0"/>
        <w:spacing w:before="0" w:after="0"/>
        <w:ind w:left="144" w:right="144" w:hanging="0"/>
        <w:jc w:val="center"/>
        <w:rPr/>
      </w:pPr>
      <w:r>
        <w:rPr/>
        <w:t> </w:t>
      </w:r>
    </w:p>
    <w:tbl>
      <w:tblPr>
        <w:tblW w:w="4484" w:type="dxa"/>
        <w:jc w:val="left"/>
        <w:tblInd w:w="0" w:type="dxa"/>
        <w:tblLayout w:type="fixed"/>
        <w:tblCellMar>
          <w:top w:w="0" w:type="dxa"/>
          <w:left w:w="0" w:type="dxa"/>
          <w:bottom w:w="0" w:type="dxa"/>
          <w:right w:w="0" w:type="dxa"/>
        </w:tblCellMar>
      </w:tblPr>
      <w:tblGrid>
        <w:gridCol w:w="2315"/>
        <w:gridCol w:w="60"/>
        <w:gridCol w:w="326"/>
        <w:gridCol w:w="1703"/>
        <w:gridCol w:w="8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Twenty-six weeks ended</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1, 2026</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from:</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stores</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stores</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7,679</w:t>
            </w:r>
          </w:p>
        </w:tc>
        <w:tc>
          <w:tcPr>
            <w:tcW w:w="8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Store closures</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8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Gift card breakage</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Gift card discounts</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8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sales</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w:t>
            </w:r>
          </w:p>
        </w:tc>
        <w:tc>
          <w:tcPr>
            <w:tcW w:w="8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 w:right="144"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lower retail revenue performance was primarily due to lower sales at existing stores and decreased e-commerce demand. </w:t>
      </w:r>
      <w:r>
        <w:rPr>
          <w:rFonts w:ascii="Times New Roman;Times;serif" w:hAnsi="Times New Roman;Times;serif"/>
          <w:sz w:val="20"/>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Commercial revenue was $19.0 million for the twenty-six weeks ended August 1, 2026 compared to $16.3 million for the twenty-six weeks ended August 2, 2025. The $2.8 million increase</w:t>
      </w:r>
      <w:r>
        <w:rPr>
          <w:rFonts w:ascii="Times New Roman;Times;serif" w:hAnsi="Times New Roman;Times;serif"/>
          <w:sz w:val="20"/>
          <w:shd w:fill="FFFFFF" w:val="clear"/>
        </w:rPr>
        <w:t> i</w:t>
      </w:r>
      <w:r>
        <w:rPr>
          <w:rFonts w:ascii="Times New Roman;Times;serif" w:hAnsi="Times New Roman;Times;serif"/>
          <w:sz w:val="20"/>
        </w:rPr>
        <w:t>s primarily due to increased sales volume from our wholesale accounts.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International franchising revenue was $1.5 million for the twenty-six weeks ended August 1, 2026 compared to $2.2 million for the twenty-six weeks ended August 2, 2025. The $0.7 million decrease</w:t>
      </w:r>
      <w:r>
        <w:rPr>
          <w:rFonts w:ascii="Times New Roman;Times;serif" w:hAnsi="Times New Roman;Times;serif"/>
          <w:sz w:val="20"/>
          <w:shd w:fill="FFFFFF" w:val="clear"/>
        </w:rPr>
        <w:t> </w:t>
      </w:r>
      <w:r>
        <w:rPr>
          <w:rFonts w:ascii="Times New Roman;Times;serif" w:hAnsi="Times New Roman;Times;serif"/>
          <w:sz w:val="20"/>
        </w:rPr>
        <w:t>is primarily due to lower royalties and other sales to franchisees.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Retail gross margin. </w:t>
      </w:r>
      <w:r>
        <w:rPr>
          <w:rFonts w:ascii="Times New Roman;Times;serif" w:hAnsi="Times New Roman;Times;serif"/>
          <w:sz w:val="20"/>
          <w:shd w:fill="FFFFFF" w:val="clear"/>
        </w:rPr>
        <w:t>Retail gross margin dollars decreased $3.4 million to $130.7 million from $134.1 million for the </w:t>
      </w:r>
      <w:r>
        <w:rPr>
          <w:rFonts w:ascii="Times New Roman;Times;serif" w:hAnsi="Times New Roman;Times;serif"/>
          <w:sz w:val="20"/>
        </w:rPr>
        <w:t>twenty-six weeks ended August 2, 2025</w:t>
      </w:r>
      <w:r>
        <w:rPr>
          <w:rFonts w:ascii="Times New Roman;Times;serif" w:hAnsi="Times New Roman;Times;serif"/>
          <w:sz w:val="20"/>
          <w:shd w:fill="FFFFFF" w:val="clear"/>
        </w:rPr>
        <w:t>. The retail gross margin rate increased 210 basis points compared to the prior year. Ex</w:t>
      </w:r>
      <w:r>
        <w:rPr>
          <w:rFonts w:ascii="Times New Roman;Times;serif" w:hAnsi="Times New Roman;Times;serif"/>
          <w:sz w:val="20"/>
        </w:rPr>
        <w:t>cluding a 535 basis-point benefit from the $7.0 million IEEPA tariff refund related to prior fiscal year costs, retail gross margin increased primarily driven by selective price increases partially offset by occupancy cost deleverage and higher promotional activity.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Selling, general and administrative. </w:t>
      </w:r>
      <w:r>
        <w:rPr>
          <w:rFonts w:ascii="Times New Roman;Times;serif" w:hAnsi="Times New Roman;Times;serif"/>
          <w:sz w:val="20"/>
        </w:rPr>
        <w:t>SG&amp;A expenses were $107.5 million, or 44.7% of consolidated revenue, for the twenty-six weeks ended August 1, 2026, compared to $110.0 million, or 43.5% of consolidated revenue, for the twenty-six weeks ended August 2, 2025. The</w:t>
      </w:r>
      <w:r>
        <w:rPr>
          <w:rFonts w:ascii="Times New Roman;Times;serif" w:hAnsi="Times New Roman;Times;serif"/>
          <w:sz w:val="20"/>
          <w:shd w:fill="FFFFFF" w:val="clear"/>
        </w:rPr>
        <w:t> 120</w:t>
      </w:r>
      <w:r>
        <w:rPr>
          <w:rFonts w:ascii="Times New Roman;Times;serif" w:hAnsi="Times New Roman;Times;serif"/>
          <w:sz w:val="20"/>
        </w:rPr>
        <w:t>-basis-point increase in SG&amp;A expense was driven mainly by higher store-level compensation expense, general inflationary pressures, and longer-term investments, partially offset by lower incentive compensation expense. </w:t>
      </w:r>
    </w:p>
    <w:p>
      <w:pPr>
        <w:pStyle w:val="TextBody"/>
        <w:bidi w:val="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Interest income, net. </w:t>
      </w:r>
      <w:r>
        <w:rPr>
          <w:rFonts w:ascii="Times New Roman;Times;serif" w:hAnsi="Times New Roman;Times;serif"/>
          <w:sz w:val="20"/>
        </w:rPr>
        <w:t>Interest income was $0.7 million for the twenty-six weeks ended August 1, 2026, compared to interest income of $0.4 million for the twenty-six weeks ended August 2, 2025. The increase was driven by higher interest income from IEEPA tariff refunds. </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Provision for income taxes</w:t>
      </w:r>
      <w:r>
        <w:rPr>
          <w:rFonts w:ascii="Times New Roman" w:hAnsi="Times New Roman"/>
          <w:caps w:val="false"/>
          <w:smallCaps w:val="false"/>
          <w:sz w:val="20"/>
        </w:rPr>
        <w:t>. Income tax expense was $8.5 million with a tax rate of 23.8% for the twenty-six weeks ended August 1, 2026, as compared to $7.3 million with a tax rate of 20.8% for the twenty-six weeks ended August 1, 2026</w:t>
      </w:r>
      <w:r>
        <w:rPr>
          <w:rFonts w:ascii="Times New Roman" w:hAnsi="Times New Roman"/>
          <w:caps w:val="false"/>
          <w:smallCaps w:val="false"/>
          <w:sz w:val="20"/>
          <w:shd w:fill="FFFFFF" w:val="clear"/>
        </w:rPr>
        <w:t>. The fiscal 2026 effective tax rate differed from the statutory rate of 21% primarily due to state income tax expense partially offset by the tax impact of equity awards vesting and the foreign-derived eligible income deduction (formerly foreign derived intangible income). </w:t>
      </w:r>
      <w:r>
        <w:rPr>
          <w:rFonts w:ascii="Times New Roman" w:hAnsi="Times New Roman"/>
          <w:caps w:val="false"/>
          <w:smallCaps w:val="false"/>
          <w:sz w:val="20"/>
        </w:rPr>
        <w:t>The fiscal 2025 effective tax rate differed from the statutory rate of 21% primarily due to state income tax expense offset by the tax impact of equity awards vesting, the foreign-derived intangible income deduction and discrete benefits related to settlement of a prior period tax position.</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Earnings before Interest, Taxes, Depreciation, and Amortization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4709"/>
        <w:gridCol w:w="60"/>
        <w:gridCol w:w="213"/>
        <w:gridCol w:w="1006"/>
        <w:gridCol w:w="91"/>
        <w:gridCol w:w="69"/>
        <w:gridCol w:w="213"/>
        <w:gridCol w:w="1006"/>
        <w:gridCol w:w="80"/>
        <w:gridCol w:w="60"/>
        <w:gridCol w:w="212"/>
        <w:gridCol w:w="1007"/>
        <w:gridCol w:w="101"/>
        <w:gridCol w:w="75"/>
        <w:gridCol w:w="212"/>
        <w:gridCol w:w="1007"/>
        <w:gridCol w:w="84"/>
      </w:tblGrid>
      <w:tr>
        <w:trPr/>
        <w:tc>
          <w:tcPr>
            <w:tcW w:w="4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Thirteen weeks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Twenty-six weeks ended</w:t>
            </w:r>
          </w:p>
        </w:tc>
        <w:tc>
          <w:tcPr>
            <w:tcW w:w="84" w:type="dxa"/>
            <w:tcBorders/>
            <w:shd w:fill="FFFFFF" w:val="clear"/>
            <w:vAlign w:val="center"/>
          </w:tcPr>
          <w:p>
            <w:pPr>
              <w:pStyle w:val="TableContents"/>
              <w:bidi w:val="0"/>
              <w:spacing w:before="0" w:after="283"/>
              <w:jc w:val="left"/>
              <w:rPr/>
            </w:pPr>
            <w:r>
              <w:rPr/>
              <w:t> </w:t>
            </w:r>
          </w:p>
        </w:tc>
      </w:tr>
      <w:tr>
        <w:trPr/>
        <w:tc>
          <w:tcPr>
            <w:tcW w:w="4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1, 2026</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1, 2026</w:t>
            </w:r>
          </w:p>
        </w:tc>
        <w:tc>
          <w:tcPr>
            <w:tcW w:w="1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2, 2025</w:t>
            </w:r>
          </w:p>
        </w:tc>
        <w:tc>
          <w:tcPr>
            <w:tcW w:w="84" w:type="dxa"/>
            <w:tcBorders/>
            <w:shd w:fill="FFFFFF" w:val="clear"/>
            <w:vAlign w:val="center"/>
          </w:tcPr>
          <w:p>
            <w:pPr>
              <w:pStyle w:val="TableContents"/>
              <w:bidi w:val="0"/>
              <w:spacing w:before="0" w:after="283"/>
              <w:jc w:val="left"/>
              <w:rPr/>
            </w:pPr>
            <w:r>
              <w:rPr/>
              <w:t> </w:t>
            </w:r>
          </w:p>
        </w:tc>
      </w:tr>
      <w:tr>
        <w:trPr/>
        <w:tc>
          <w:tcPr>
            <w:tcW w:w="47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 (pre-tax)</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11,631</w:t>
            </w:r>
          </w:p>
        </w:tc>
        <w:tc>
          <w:tcPr>
            <w:tcW w:w="9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35,511</w:t>
            </w:r>
          </w:p>
        </w:tc>
        <w:tc>
          <w:tcPr>
            <w:tcW w:w="10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34,949</w:t>
            </w:r>
          </w:p>
        </w:tc>
        <w:tc>
          <w:tcPr>
            <w:tcW w:w="84" w:type="dxa"/>
            <w:tcBorders/>
            <w:shd w:fill="CCEEFF" w:val="clear"/>
            <w:vAlign w:val="center"/>
          </w:tcPr>
          <w:p>
            <w:pPr>
              <w:pStyle w:val="TableContents"/>
              <w:bidi w:val="0"/>
              <w:spacing w:before="0" w:after="283"/>
              <w:jc w:val="left"/>
              <w:rPr/>
            </w:pPr>
            <w:r>
              <w:rPr/>
              <w:t> </w:t>
            </w:r>
          </w:p>
        </w:tc>
      </w:tr>
      <w:tr>
        <w:trPr/>
        <w:tc>
          <w:tcPr>
            <w:tcW w:w="47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9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8,114</w:t>
            </w:r>
          </w:p>
        </w:tc>
        <w:tc>
          <w:tcPr>
            <w:tcW w:w="10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7,368</w:t>
            </w:r>
          </w:p>
        </w:tc>
        <w:tc>
          <w:tcPr>
            <w:tcW w:w="84" w:type="dxa"/>
            <w:tcBorders/>
            <w:shd w:fill="CCEEFF" w:val="clear"/>
            <w:vAlign w:val="center"/>
          </w:tcPr>
          <w:p>
            <w:pPr>
              <w:pStyle w:val="TableContents"/>
              <w:bidi w:val="0"/>
              <w:spacing w:before="0" w:after="283"/>
              <w:jc w:val="left"/>
              <w:rPr/>
            </w:pPr>
            <w:r>
              <w:rPr/>
              <w:t> </w:t>
            </w:r>
          </w:p>
        </w:tc>
      </w:tr>
      <w:tr>
        <w:trPr/>
        <w:tc>
          <w:tcPr>
            <w:tcW w:w="47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interest, taxes, depreciation, and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15,191</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42,939</w:t>
            </w:r>
          </w:p>
        </w:tc>
        <w:tc>
          <w:tcPr>
            <w:tcW w:w="1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41,911</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EBITDA for the thirteen weeks ended August 1, 2026 decreased</w:t>
      </w:r>
      <w:r>
        <w:rPr>
          <w:rFonts w:ascii="Times New Roman;Times;serif" w:hAnsi="Times New Roman;Times;serif"/>
          <w:sz w:val="20"/>
          <w:shd w:fill="FFFFFF" w:val="clear"/>
        </w:rPr>
        <w:t> $3.6</w:t>
      </w:r>
      <w:r>
        <w:rPr>
          <w:rFonts w:ascii="Times New Roman;Times;serif" w:hAnsi="Times New Roman;Times;serif"/>
          <w:sz w:val="20"/>
        </w:rPr>
        <w:t> million, or 19.1% to $15.2 million from $18.8 million for the thirteen weeks ended August 2, 2025.  The decrease was driven by lower gross profit resulting from occupancy cost deleverage and increased promotional activity, partially offset by lower SG&amp;A expenses, primarily due to reduced incentive compensation.</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EBITDA for the twenty-six weeks ended August 1, 2026 increased </w:t>
      </w:r>
      <w:r>
        <w:rPr>
          <w:rFonts w:ascii="Times New Roman;Times;serif" w:hAnsi="Times New Roman;Times;serif"/>
          <w:sz w:val="20"/>
          <w:shd w:fill="FFFFFF" w:val="clear"/>
        </w:rPr>
        <w:t> $1.0</w:t>
      </w:r>
      <w:r>
        <w:rPr>
          <w:rFonts w:ascii="Times New Roman;Times;serif" w:hAnsi="Times New Roman;Times;serif"/>
          <w:sz w:val="20"/>
        </w:rPr>
        <w:t> million, or 2.5% to $42.9 million from $41.9 million for the twenty-six weeks ended August 2, 2025.  The increase</w:t>
      </w:r>
      <w:r>
        <w:rPr>
          <w:rFonts w:ascii="Times New Roman;Times;serif" w:hAnsi="Times New Roman;Times;serif"/>
          <w:sz w:val="20"/>
          <w:shd w:fill="FFFFFF" w:val="clear"/>
        </w:rPr>
        <w:t> </w:t>
      </w:r>
      <w:r>
        <w:rPr>
          <w:rFonts w:ascii="Times New Roman;Times;serif" w:hAnsi="Times New Roman;Times;serif"/>
          <w:sz w:val="20"/>
        </w:rPr>
        <w:t>was driven by higher gross profit resulting from increased retail and commercial margins partially offset by higher SG&amp;A expenses. The increase to retail margin primarily resulted from the benefit of IEEPA tariff refund, $7.0 million of which related to prior fiscal year costs.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Seasonality and Quarterly Results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(5) changes in foreign currency exchange rates; (6) the timing of new store openings, closings, relocations and remodeling and related expenses; (7) changes in consumer preferences; (8) the effectiveness of our inventory management; (9) the actions of our competitors or mall anchors and co-tenants; (10) seasonal shopping patterns and holiday and vacation schedules; (11) disruptions in store operations due to civil unrest; and (12) weather conditions.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lease-triggered clause; when the closure is communicated to store associates; and at the time of closure. We typically incur most preopening costs for a new store in the three months immediately preceding the store’s opening.</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w:t>
      </w:r>
      <w:r>
        <w:rPr>
          <w:rFonts w:ascii="Times New Roman;Times;serif" w:hAnsi="Times New Roman;Times;serif"/>
          <w:sz w:val="20"/>
          <w:shd w:fill="FFFFFF" w:val="clear"/>
        </w:rPr>
        <w:t>Our most recent 14-week quarter was the 2023 fiscal fourth quarter.</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requirements are primarily for the opening, remodeling or reformatting of stores, installation and upgrades of information systems and working capital. Over the past several years, we have met these requirements through cash generated from operations.  A summary of cash provided by or used in our operating, investing and financing activities is shown in the following table (dollars in thousands).</w:t>
      </w:r>
    </w:p>
    <w:p>
      <w:pPr>
        <w:pStyle w:val="TextBody"/>
        <w:bidi w:val="0"/>
        <w:spacing w:before="0" w:after="0"/>
        <w:ind w:left="0" w:right="0" w:firstLine="720"/>
        <w:jc w:val="left"/>
        <w:rPr/>
      </w:pPr>
      <w:r>
        <w:rPr/>
        <w:t> </w:t>
      </w:r>
    </w:p>
    <w:tbl>
      <w:tblPr>
        <w:tblW w:w="7393" w:type="dxa"/>
        <w:jc w:val="left"/>
        <w:tblInd w:w="0" w:type="dxa"/>
        <w:tblLayout w:type="fixed"/>
        <w:tblCellMar>
          <w:top w:w="0" w:type="dxa"/>
          <w:left w:w="0" w:type="dxa"/>
          <w:bottom w:w="0" w:type="dxa"/>
          <w:right w:w="0" w:type="dxa"/>
        </w:tblCellMar>
      </w:tblPr>
      <w:tblGrid>
        <w:gridCol w:w="5225"/>
        <w:gridCol w:w="60"/>
        <w:gridCol w:w="150"/>
        <w:gridCol w:w="780"/>
        <w:gridCol w:w="96"/>
        <w:gridCol w:w="72"/>
        <w:gridCol w:w="150"/>
        <w:gridCol w:w="780"/>
        <w:gridCol w:w="80"/>
      </w:tblGrid>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Twenty-six weeks ended</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2,</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26,146</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32,017</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(15,421</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(23,374</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rates on cash</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(Decrease)/Increase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(12,751</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xml:space="preserve"> Cash provided by operating activities decreased $5.9 million for the twenty-six weeks ended August 1, 2026, as compared to the twenty-six weeks ended August 2, 2025. The</w:t>
      </w:r>
      <w:r>
        <w:rPr>
          <w:rFonts w:ascii="Times New Roman;Times;serif" w:hAnsi="Times New Roman;Times;serif"/>
          <w:sz w:val="20"/>
          <w:shd w:fill="FFFFFF" w:val="clear"/>
        </w:rPr>
        <w:t> decrease i</w:t>
      </w:r>
      <w:r>
        <w:rPr>
          <w:rFonts w:ascii="Times New Roman;Times;serif" w:hAnsi="Times New Roman;Times;serif"/>
          <w:sz w:val="20"/>
        </w:rPr>
        <w:t>n cash from operating activities was driven by changes in working capital balances.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xml:space="preserve"> Cash used in investing activities increased  $9.1 million for the twenty-six weeks ended August 1, 2026, as compared to the twenty-six weeks ended August 2, 2025. The increase in cash used in investing activities was primarily driven by increased spending on capital expenditures.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Financing Activities.</w:t>
      </w:r>
      <w:r>
        <w:rPr>
          <w:rFonts w:ascii="Times New Roman;Times;serif" w:hAnsi="Times New Roman;Times;serif"/>
          <w:sz w:val="20"/>
        </w:rPr>
        <w:t> Cash used in financing activitie</w:t>
      </w:r>
      <w:r>
        <w:rPr>
          <w:rFonts w:ascii="Times New Roman;Times;serif" w:hAnsi="Times New Roman;Times;serif"/>
          <w:sz w:val="20"/>
          <w:shd w:fill="FFFFFF" w:val="clear"/>
        </w:rPr>
        <w:t>s increased </w:t>
      </w:r>
      <w:r>
        <w:rPr>
          <w:rFonts w:ascii="Times New Roman;Times;serif" w:hAnsi="Times New Roman;Times;serif"/>
          <w:sz w:val="20"/>
        </w:rPr>
        <w:t>$8.9 million for the twenty-six weeks ended August 1, 2026, as compared to the twenty-six weeks ended August 2, 2025. This increase in cash used in financing activities was driven by higher share repurchases compared to the prior year.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Capital Resources: </w:t>
      </w:r>
      <w:r>
        <w:rPr>
          <w:rFonts w:ascii="Times New Roman;Times;serif" w:hAnsi="Times New Roman;Times;serif"/>
          <w:sz w:val="20"/>
        </w:rPr>
        <w:t>As of August 1, 2026, we had a consolidated cash balance of $14.0 million, 66%</w:t>
      </w:r>
      <w:r>
        <w:rPr>
          <w:rFonts w:ascii="Times New Roman;Times;serif" w:hAnsi="Times New Roman;Times;serif"/>
          <w:sz w:val="20"/>
          <w:shd w:fill="FFFFFF" w:val="clear"/>
        </w:rPr>
        <w:t> of which w</w:t>
      </w:r>
      <w:r>
        <w:rPr>
          <w:rFonts w:ascii="Times New Roman;Times;serif" w:hAnsi="Times New Roman;Times;serif"/>
          <w:sz w:val="20"/>
        </w:rPr>
        <w:t>as domiciled within the U.S., after investing $15.4 million in capital projects in fiscal 2026.</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revolving credit and security agreement with PNC Bank, as agent, that provides for a secured revolving loan in an aggregate principal amount of up to $40.0 million, subject to a borrowing base formula. As of August 1, 2026, borrowings under the agreement would bear interest at (a) a base rate determined under the agreement, or (b) at a rate based on SOFR reference rate, plus in either case a margin based on average undrawn availability as determined in accordance with the agreement. As of August 1, 2026, the Company had approximately $39.5 million of available borrowing base, net of a $0.5 million outstanding letter of credit, and no amounts were outstanding under the agreement as of the end of the quarter.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Most of our corporately-managed retail stores are located within shopping malls and all are operated under leases classified as operating leases. Our leases in North America tend to be shorter term leases to provide flexibility in aligning stores with </w:t>
      </w:r>
      <w:r>
        <w:rPr>
          <w:rFonts w:ascii="Times New Roman;Times;serif" w:hAnsi="Times New Roman;Times;serif"/>
          <w:sz w:val="20"/>
          <w:shd w:fill="FFFFFF" w:val="clear"/>
        </w:rPr>
        <w:t>market trends. Beginning in </w:t>
      </w:r>
      <w:r>
        <w:rPr>
          <w:rFonts w:ascii="Times New Roman;Times;serif" w:hAnsi="Times New Roman;Times;serif"/>
          <w:sz w:val="20"/>
        </w:rPr>
        <w:t xml:space="preserve">fiscal 2023, lease extensions began to have longer terms as we have secured longer contracts with more favorable terms. </w:t>
      </w:r>
      <w:r>
        <w:rPr>
          <w:rFonts w:ascii="Times New Roman;Times;serif" w:hAnsi="Times New Roman;Times;serif"/>
          <w:sz w:val="20"/>
          <w:shd w:fill="FFFFFF" w:val="clear"/>
        </w:rPr>
        <w:t>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leases in the U.K. and the Republic of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cannot do so, our results of operations and financial condition could be harmed, and we may be required to record significant additional impairment charges.</w:t>
      </w:r>
    </w:p>
    <w:p>
      <w:pPr>
        <w:pStyle w:val="TextBody"/>
        <w:bidi w:val="0"/>
        <w:spacing w:before="0" w:after="0"/>
        <w:ind w:left="0" w:right="144"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Capital spending for the </w:t>
      </w:r>
      <w:r>
        <w:rPr>
          <w:rFonts w:ascii="Times New Roman;Times;serif" w:hAnsi="Times New Roman;Times;serif"/>
          <w:sz w:val="20"/>
        </w:rPr>
        <w:t>twenty-six weeks ended August 1, 2026</w:t>
      </w:r>
      <w:r>
        <w:rPr>
          <w:rFonts w:ascii="Times New Roman;Times;serif" w:hAnsi="Times New Roman;Times;serif"/>
          <w:sz w:val="20"/>
          <w:shd w:fill="FFFFFF" w:val="clear"/>
        </w:rPr>
        <w:t> totaled </w:t>
      </w:r>
      <w:r>
        <w:rPr>
          <w:rFonts w:ascii="Times New Roman;Times;serif" w:hAnsi="Times New Roman;Times;serif"/>
          <w:sz w:val="20"/>
        </w:rPr>
        <w:t>$15.4</w:t>
      </w:r>
      <w:r>
        <w:rPr>
          <w:rFonts w:ascii="Times New Roman;Times;serif" w:hAnsi="Times New Roman;Times;serif"/>
          <w:sz w:val="20"/>
          <w:shd w:fill="FFFFFF" w:val="clear"/>
        </w:rPr>
        <w:t xml:space="preserve"> million for</w:t>
      </w:r>
      <w:r>
        <w:rPr>
          <w:rFonts w:ascii="Times New Roman;Times;serif" w:hAnsi="Times New Roman;Times;serif"/>
          <w:sz w:val="20"/>
        </w:rPr>
        <w:t> information technology projects and new store openings, </w:t>
      </w:r>
      <w:r>
        <w:rPr>
          <w:rFonts w:ascii="Times New Roman;Times;serif" w:hAnsi="Times New Roman;Times;serif"/>
          <w:sz w:val="20"/>
          <w:shd w:fill="FFFFFF" w:val="clear"/>
        </w:rPr>
        <w:t xml:space="preserve">and we expect to spend approximately $25 million on capital expenditures in fiscal </w:t>
      </w:r>
      <w:r>
        <w:rPr>
          <w:rFonts w:ascii="Times New Roman;Times;serif" w:hAnsi="Times New Roman;Times;serif"/>
          <w:sz w:val="20"/>
        </w:rPr>
        <w:t>2026</w:t>
      </w:r>
      <w:r>
        <w:rPr>
          <w:rFonts w:ascii="Times New Roman;Times;serif" w:hAnsi="Times New Roman;Times;serif"/>
          <w:sz w:val="20"/>
          <w:shd w:fill="FFFFFF" w:val="clear"/>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inventory at quarter end was $81.1 million, a decrease of $0.6 million or 1% from the end of the fiscal 2025 second quarter. We are comfortable with the level and composition of our inventory to support customer demand and critical seasonal products.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various contractual or other obligations, including operating lease commitments and obligations under deferred compensation plans. As of August 1, 2026, we had purchase obligations totaling approximately $126.8 million, of whi</w:t>
      </w:r>
      <w:r>
        <w:rPr>
          <w:rFonts w:ascii="Times New Roman" w:hAnsi="Times New Roman"/>
          <w:caps w:val="false"/>
          <w:smallCaps w:val="false"/>
          <w:sz w:val="20"/>
          <w:shd w:fill="FFFFFF" w:val="clear"/>
        </w:rPr>
        <w:t>ch $28.4 million are due in the next 12 months. We believe our operating cash flows are sufficient to meet our material cash requirements for at least the next 12 months.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shd w:fill="FFFFFF" w:val="clear"/>
        </w:rPr>
        <w:t>We utilized $17.0 million in cash to repurchase 403,236 shares during the twenty-six weeks ended August 1, 2026 under our current September 2024 Stock Repurchase Program, compared to using $7.3</w:t>
      </w:r>
      <w:r>
        <w:rPr>
          <w:rFonts w:ascii="Times New Roman" w:hAnsi="Times New Roman"/>
          <w:sz w:val="20"/>
        </w:rPr>
        <w:t> million in cash to repurchase 167,585</w:t>
      </w:r>
      <w:r>
        <w:rPr>
          <w:rFonts w:ascii="Times New Roman" w:hAnsi="Times New Roman"/>
          <w:sz w:val="20"/>
          <w:shd w:fill="FFFFFF" w:val="clear"/>
        </w:rPr>
        <w:t> shares during the twenty-six weeks ended August 2, 2025 under our September 2024 Stock Repurchase Program and completed August 2022 program.</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Off-Balance Sheet Arrangements </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hanging="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Company continued to experience inflationary pressures during the first half of fiscal 2026, primarily through higher store labor, product, freight, transportation and other supply chain costs. In addition, evolving tariffs and trade policies have increased cost and pricing pressure and created additional uncertainty across our sourcing and supply chain activities. We have taken actions to help mitigate these pressures, including cost reduction initiatives, process efficiencies, supplier negotiations, sourcing actions and selective pricing and assortment decisions. We expect inflationary and trade-related pressures to continue during fiscal 2026 and they may persist thereafter. The ultimate scope, duration and impact of existing and newly announced tariffs, any changes or pauses to such tariffs, and the timing and amount of any related refunds remain uncertain. These conditions may continue to affect product costs, freight and warehousing expense, other operating costs, customer spending patterns and our gross margins. In addition, broader geopolitical and macroeconomic developments may further increase transportation and supply chain costs or otherwise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Although we continue to monitor these developments and adjust our operating and pricing strategies as appropriate, we cannot reasonably estimate the ultimate impact of inflation, tariffs, trade policy developments or related macroeconomic uncertainty on our future results. If we are unable to offset these higher costs or if consumer demand weakens, our sales, results of operations, financial condition and cash flows could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Estimates </w:t>
      </w:r>
    </w:p>
    <w:p>
      <w:pPr>
        <w:pStyle w:val="TextBody"/>
        <w:bidi w:val="0"/>
        <w:spacing w:before="0" w:after="0"/>
        <w:ind w:left="144" w:right="144"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31, 2026 as filed with the SEC on April 16, 2026, as amended by Amendment No. 1 as filed with the SEC on April 17, 2026 (the"2025 Form 10-K"), which includes audited consolidated financial statements for our 2025 and 2024 fiscal years. There have been no material changes to the critical accounting estimates disclosed in the 2025 Form 10-K.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 to the Condensed Consolidated Financial Statements — Basis of Presentation — Recent Accounting Pronouncements – Adopted in the Current Year as disclosed in our 2025 Form 10-K.</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8" w:name="Item_3._Quantitative_and_Qualitative_Dis"/>
      <w:bookmarkEnd w:id="8"/>
      <w:r>
        <w:rPr>
          <w:rFonts w:ascii="Times New Roman;Times;serif" w:hAnsi="Times New Roman;Times;serif"/>
          <w:b/>
          <w:sz w:val="20"/>
        </w:rPr>
        <w:t xml:space="preserve">Item 3. Quantitative and Qualitative Disclosures About Market Risk. </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our Quantitative and Qualitative Disclosures About Market Risk as disclosed in our 2025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9" w:name="Item_4._Controls_and_Procedures"/>
      <w:bookmarkEnd w:id="9"/>
      <w:r>
        <w:rPr>
          <w:rFonts w:ascii="Times New Roman;Times;serif" w:hAnsi="Times New Roman;Times;serif"/>
          <w:b/>
          <w:sz w:val="20"/>
        </w:rPr>
        <w:t>Item 4. Controls and Procedures.</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August 1, 2026, the end of the period covered by this Quarterly Report.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The Company’s management, with the participation of the Company’s President and Chief 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 OTHER INFORMATION</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0" w:name="Item_1A._Risk_Factors"/>
      <w:bookmarkEnd w:id="10"/>
      <w:r>
        <w:rPr>
          <w:rFonts w:ascii="Times New Roman;Times;serif" w:hAnsi="Times New Roman;Times;serif"/>
          <w:b/>
          <w:sz w:val="20"/>
        </w:rPr>
        <w:t>Item 1A. Risk Factors</w:t>
      </w:r>
    </w:p>
    <w:p>
      <w:pPr>
        <w:pStyle w:val="TextBody"/>
        <w:bidi w:val="0"/>
        <w:spacing w:before="0" w:after="0"/>
        <w:ind w:left="144" w:right="144"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our risk factors as disclosed in our 2025 Form 10-K.</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1" w:name="Item_2._Unregistered_Sales_of_Equity_Sec"/>
      <w:bookmarkEnd w:id="11"/>
      <w:r>
        <w:rPr>
          <w:rFonts w:ascii="Times New Roman;Times;serif" w:hAnsi="Times New Roman;Times;serif"/>
          <w:b/>
          <w:sz w:val="20"/>
        </w:rPr>
        <w:t xml:space="preserve">Item 2. Unregistered Sales of Equity Securities and Use of Proceeds </w:t>
      </w:r>
    </w:p>
    <w:p>
      <w:pPr>
        <w:pStyle w:val="TextBody"/>
        <w:bidi w:val="0"/>
        <w:spacing w:before="0" w:after="0"/>
        <w:ind w:left="144" w:right="144" w:hanging="0"/>
        <w:jc w:val="left"/>
        <w:rPr/>
      </w:pPr>
      <w:r>
        <w:rPr/>
        <w:t> </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 xml:space="preserve">ISSUER PURCHASES OF EQUITY SECURITIES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28" w:type="dxa"/>
          <w:right w:w="0" w:type="dxa"/>
        </w:tblCellMar>
      </w:tblPr>
      <w:tblGrid>
        <w:gridCol w:w="1078"/>
        <w:gridCol w:w="60"/>
        <w:gridCol w:w="120"/>
        <w:gridCol w:w="1396"/>
        <w:gridCol w:w="60"/>
        <w:gridCol w:w="60"/>
        <w:gridCol w:w="265"/>
        <w:gridCol w:w="1032"/>
        <w:gridCol w:w="60"/>
        <w:gridCol w:w="60"/>
        <w:gridCol w:w="198"/>
        <w:gridCol w:w="2322"/>
        <w:gridCol w:w="60"/>
        <w:gridCol w:w="60"/>
        <w:gridCol w:w="384"/>
        <w:gridCol w:w="2926"/>
        <w:gridCol w:w="64"/>
      </w:tblGrid>
      <w:tr>
        <w:trPr/>
        <w:tc>
          <w:tcPr>
            <w:tcW w:w="107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16"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 Total Number of Shares (or Units) Purchased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7"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 Average Price Paid Per Share (or Unit)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 Total Number of Shares (or Units) Purchased as Part of Publicly Announced Plans or Programs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1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 Maximum Number (or Approximate Dollar Value) of Shares (or Units) that May Yet Be Purchased Under the Plans or Programs (3)</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07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May 3, 2026 - May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103,064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2"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322"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103,064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926"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46,493,551</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07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May 31, 2026 - July 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9,521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37.94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2322"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6,592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 w:type="dxa"/>
            <w:tcBorders/>
            <w:shd w:fill="FFFFFF" w:val="clear"/>
            <w:tcMar>
              <w:bottom w:w="0" w:type="dxa"/>
            </w:tcMar>
            <w:vAlign w:val="center"/>
          </w:tcPr>
          <w:p>
            <w:pPr>
              <w:pStyle w:val="TableContents"/>
              <w:bidi w:val="0"/>
              <w:spacing w:before="0" w:after="283"/>
              <w:jc w:val="left"/>
              <w:rPr/>
            </w:pPr>
            <w:r>
              <w:rPr/>
              <w:t> </w:t>
            </w:r>
          </w:p>
        </w:tc>
        <w:tc>
          <w:tcPr>
            <w:tcW w:w="2926"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46,243,418</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07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July 5, 2026 - August 1,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6" w:type="dxa"/>
            <w:tcBorders>
              <w:bottom w:val="single" w:sz="2"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45,462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32" w:type="dxa"/>
            <w:tcBorders>
              <w:bottom w:val="single" w:sz="2"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322" w:type="dxa"/>
            <w:tcBorders>
              <w:bottom w:val="single" w:sz="2"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45,462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926" w:type="dxa"/>
            <w:tcBorders>
              <w:bottom w:val="single" w:sz="2"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44,722,547</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07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9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158,047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35.93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32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155,118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2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44,722,547</w:t>
            </w:r>
          </w:p>
        </w:tc>
        <w:tc>
          <w:tcPr>
            <w:tcW w:w="6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(1)</w:t>
            </w:r>
          </w:p>
        </w:tc>
        <w:tc>
          <w:tcPr>
            <w:tcW w:w="9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shares of our common stock delivered to us in satisfaction of the tax withholding obligation of holders of restricted shares which vested during the quarter, if any. Our equity incentive plans provide that the value of shares delivered to us to pay the withholding tax obligations is calculated at the closing trading price of our common stock on the date the relevant transactions occur.</w:t>
            </w:r>
          </w:p>
        </w:tc>
      </w:tr>
      <w:tr>
        <w:trPr/>
        <w:tc>
          <w:tcPr>
            <w:tcW w:w="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Price Paid Per Share includes commissions</w:t>
            </w:r>
          </w:p>
        </w:tc>
      </w:tr>
      <w:tr>
        <w:trPr/>
        <w:tc>
          <w:tcPr>
            <w:tcW w:w="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September 11, 2024, we announced that our Board of Directors authorized a share repurchase program of up to $100 million (replacing the previous stock repurchase program which was terminated). This program authorizes the Company to repurchase shares through September 30, 2028, does not require the Company to repurchase any specific number of shares, and may be modified, suspended or terminated at any time without prior notice. Shares repurchased under the program will be subsequently retired.</w:t>
            </w:r>
          </w:p>
        </w:tc>
      </w:tr>
    </w:tbl>
    <w:p>
      <w:pPr>
        <w:pStyle w:val="TextBody"/>
        <w:bidi w:val="0"/>
        <w:spacing w:before="0" w:after="0"/>
        <w:ind w:left="0" w:right="0" w:firstLine="18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Security Trading Plans of Directors and Executive Officers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Item </w:t>
      </w:r>
      <w:r>
        <w:rPr>
          <w:rStyle w:val="Emphasis"/>
          <w:rFonts w:ascii="Times New Roman;Times;serif" w:hAnsi="Times New Roman;Times;serif"/>
          <w:sz w:val="20"/>
        </w:rPr>
        <w:t>408</w:t>
      </w:r>
      <w:r>
        <w:rPr>
          <w:rFonts w:ascii="Times New Roman;Times;serif" w:hAnsi="Times New Roman;Times;serif"/>
          <w:sz w:val="20"/>
        </w:rPr>
        <w:t xml:space="preserve">(a) of Regulation S-K requires the Company to disclose whether any of its directors or officers have adopted or terminated (i) any trading arrangement that is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and/or (ii) any written trading arrangement that meets the requirements of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as defined in Item </w:t>
      </w:r>
      <w:r>
        <w:rPr>
          <w:rStyle w:val="Emphasis"/>
          <w:rFonts w:ascii="Times New Roman;Times;serif" w:hAnsi="Times New Roman;Times;serif"/>
          <w:sz w:val="20"/>
        </w:rPr>
        <w:t>408</w:t>
      </w:r>
      <w:r>
        <w:rPr>
          <w:rFonts w:ascii="Times New Roman;Times;serif" w:hAnsi="Times New Roman;Times;serif"/>
          <w:sz w:val="20"/>
        </w:rPr>
        <w:t xml:space="preserve">(c) of Regulation S-K. During the Company's fiscal quarter ended </w:t>
      </w:r>
      <w:r>
        <w:rPr>
          <w:rStyle w:val="Emphasis"/>
          <w:rFonts w:ascii="Times New Roman;Times;serif" w:hAnsi="Times New Roman;Times;serif"/>
          <w:sz w:val="20"/>
        </w:rPr>
        <w:t>August 1, 2026</w:t>
      </w:r>
      <w:r>
        <w:rPr>
          <w:rFonts w:ascii="Times New Roman;Times;serif" w:hAnsi="Times New Roman;Times;serif"/>
          <w:sz w:val="20"/>
        </w:rPr>
        <w:t xml:space="preserve">, </w:t>
      </w:r>
      <w:r>
        <w:rPr>
          <w:rStyle w:val="Emphasis"/>
          <w:rFonts w:ascii="Times New Roman;Times;serif" w:hAnsi="Times New Roman;Times;serif"/>
          <w:sz w:val="20"/>
        </w:rPr>
        <w:t>none</w:t>
      </w:r>
      <w:r>
        <w:rPr>
          <w:rFonts w:ascii="Times New Roman;Times;serif" w:hAnsi="Times New Roman;Times;serif"/>
          <w:sz w:val="20"/>
        </w:rPr>
        <w:t xml:space="preserve"> of the Company's directors or executive officers adopted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as such terms are defined under Item </w:t>
      </w:r>
      <w:r>
        <w:rPr>
          <w:rStyle w:val="Emphasis"/>
          <w:rFonts w:ascii="Times New Roman;Times;serif" w:hAnsi="Times New Roman;Times;serif"/>
          <w:sz w:val="20"/>
        </w:rPr>
        <w:t>408</w:t>
      </w:r>
      <w:r>
        <w:rPr>
          <w:rFonts w:ascii="Times New Roman;Times;serif" w:hAnsi="Times New Roman;Times;serif"/>
          <w:sz w:val="20"/>
        </w:rPr>
        <w:t>(a) of Regulation S-K.</w:t>
      </w:r>
    </w:p>
    <w:p>
      <w:pPr>
        <w:pStyle w:val="TextBody"/>
        <w:bidi w:val="0"/>
        <w:spacing w:before="0" w:after="0"/>
        <w:ind w:left="0" w:right="0" w:firstLine="720"/>
        <w:jc w:val="left"/>
        <w:rPr/>
      </w:pPr>
      <w:r>
        <w:rPr/>
        <w:t> </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2" w:name="Item_6._Exhibits"/>
      <w:bookmarkEnd w:id="12"/>
      <w:r>
        <w:rPr>
          <w:rFonts w:ascii="Times New Roman;Times;serif" w:hAnsi="Times New Roman;Times;serif"/>
          <w:b/>
          <w:sz w:val="20"/>
        </w:rPr>
        <w:t xml:space="preserve">Item 6. Exhibits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list of exhibits filed as a part of the quarterly report on Form 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sz w:val="20"/>
                  <w:u w:val="single"/>
                </w:rPr>
                <w:t>Agreement and Plan of Merger dated April 3, 2000 between Build-A-Bear Workshop, L.L.C. and the Registrant (incorporated by reference from Exhibit 2.1 to our Registration Statement on Form S-1, filed on August 12, 2004, Registration No. 333-118142)</w:t>
              </w:r>
            </w:hyperlink>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u w:val="single"/>
                </w:rPr>
                <w:t>Third Amended and Restated Certificate of Incorporation (incorporated by reference from Exhibit 3.1 of our Current Report on Form 8-K, filed on November 11, 2004)</w:t>
              </w:r>
            </w:hyperlink>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283"/>
              <w:jc w:val="left"/>
              <w:rPr/>
            </w:pPr>
            <w:r>
              <w:fldChar w:fldCharType="begin"/>
            </w:r>
            <w:r>
              <w:rPr>
                <w:rStyle w:val="InternetLink"/>
                <w:u w:val="single"/>
              </w:rPr>
              <w:instrText xml:space="preserve"> HYPERLINK "http://www.sec.gov/Archives/edgar/data/1113809/000115752318000029/a51738867_ex31.htm" \l "Exhibit31"</w:instrText>
            </w:r>
            <w:r>
              <w:rPr>
                <w:rStyle w:val="InternetLink"/>
                <w:u w:val="single"/>
              </w:rPr>
              <w:fldChar w:fldCharType="separate"/>
            </w:r>
            <w:r>
              <w:rPr>
                <w:rStyle w:val="InternetLink"/>
                <w:u w:val="single"/>
              </w:rPr>
              <w:t>Amended and Restated Bylaws, as amended through January 4, 2018 (incorporated by reference from Exhibit 3.1 to our Current Report on Form 8-K, file</w:t>
            </w:r>
            <w:r>
              <w:rPr>
                <w:rStyle w:val="InternetLink"/>
                <w:u w:val="single"/>
              </w:rPr>
              <w:fldChar w:fldCharType="end"/>
            </w:r>
            <w:r>
              <w:fldChar w:fldCharType="begin"/>
            </w:r>
            <w:r>
              <w:rPr>
                <w:rStyle w:val="InternetLink"/>
                <w:u w:val="single"/>
              </w:rPr>
              <w:instrText xml:space="preserve"> HYPERLINK "http://www.sec.gov/Archives/edgar/data/1113809/000115752318000029/a51738867_ex31.htm" \l "Exhibit31"</w:instrText>
            </w:r>
            <w:r>
              <w:rPr>
                <w:rStyle w:val="InternetLink"/>
                <w:u w:val="single"/>
              </w:rPr>
              <w:fldChar w:fldCharType="separate"/>
            </w:r>
            <w:r>
              <w:rPr>
                <w:rStyle w:val="InternetLink"/>
                <w:u w:val="single"/>
              </w:rPr>
              <w:t>d on January 4, 2018)</w:t>
            </w:r>
            <w:r>
              <w:rPr>
                <w:rStyle w:val="InternetLink"/>
                <w:u w:val="single"/>
              </w:rPr>
              <w:fldChar w:fldCharType="end"/>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r:id="rId4">
              <w:r>
                <w:rPr>
                  <w:rStyle w:val="InternetLink"/>
                </w:rPr>
                <w:t>Specimen Stock </w:t>
              </w:r>
            </w:hyperlink>
            <w:hyperlink r:id="rId5">
              <w:r>
                <w:rPr>
                  <w:rStyle w:val="InternetLink"/>
                  <w:u w:val="single"/>
                </w:rPr>
                <w:t>Certificate (incorporated by reference from Exhibit 4.1 to Amendment No. 3 to our Registration Statement on Form S-1, filed on October 1, 2004, Registration No. 333</w:t>
              </w:r>
            </w:hyperlink>
            <w:hyperlink r:id="rId6">
              <w:r>
                <w:rPr>
                  <w:rStyle w:val="InternetLink"/>
                </w:rPr>
                <w:t>-118142)</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r:id="rId7">
              <w:r>
                <w:rPr>
                  <w:rStyle w:val="InternetLink"/>
                </w:rPr>
                <w:t xml:space="preserve">Amended and Restated Employment, Confidentiality, and Noncompete Agreement, effective as of June 11, 2026, by and between David Henderson and Build-A-Bear Workshop, Inc. </w:t>
              </w:r>
            </w:hyperlink>
            <w:hyperlink r:id="rId8">
              <w:r>
                <w:rPr>
                  <w:rStyle w:val="InternetLink"/>
                </w:rPr>
                <w:t>(incorporated by reference from Exhibit 10.2 of our Quarterly Report on Form 10-Q filed on May 2, 2026)</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r:id="rId9">
              <w:r>
                <w:rPr>
                  <w:rStyle w:val="InternetLink"/>
                </w:rPr>
                <w:t>Second Amended and Restated Employment, Confidentiality and Noncompete Agreement, effective as of June 11, 2026 by and between Voin Todorovic and Build-A-Bear Workshop, Inc. (Incorporated by reference from Exhibit 10.1 of our Current Report on Form 8-K filed on June 12, 2026)</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w:anchor="ex_1012166.htm">
              <w:r>
                <w:rPr>
                  <w:rStyle w:val="InternetLink"/>
                </w:rPr>
                <w:t>Agreement Form of Executive Office Restricted Stock/Performance Share Unit Agreement under the Registrant's Amended and Restated 2020 Omnibus Incentive Plan</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79312.htm">
              <w:r>
                <w:rPr>
                  <w:rStyle w:val="InternetLink"/>
                  <w:rFonts w:ascii="Times New Roman;Times;serif" w:hAnsi="Times New Roman;Times;serif"/>
                  <w:sz w:val="20"/>
                  <w:u w:val="single"/>
                </w:rPr>
                <w:t>Rule 13a-14(a)/15d-14(a) certification (pursuant to Section 302 of the Sarbanes-Oxley Act of 2002, executed by the President and Chief Executive Officer)</w:t>
              </w:r>
            </w:hyperlink>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79313.htm">
              <w:r>
                <w:rPr>
                  <w:rStyle w:val="InternetLink"/>
                  <w:rFonts w:ascii="Times New Roman;Times;serif" w:hAnsi="Times New Roman;Times;serif"/>
                  <w:sz w:val="20"/>
                  <w:u w:val="single"/>
                </w:rPr>
                <w:t>Rule 13a-14(a)/15d-14(a) certification (pursuant to Section 302 of the Sarbanes-Oxley Act of 2002, executed by the Chief Financial Officer)</w:t>
              </w:r>
            </w:hyperlink>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79314.htm">
              <w:r>
                <w:rPr>
                  <w:rStyle w:val="InternetLink"/>
                  <w:rFonts w:ascii="Times New Roman;Times;serif" w:hAnsi="Times New Roman;Times;serif"/>
                  <w:sz w:val="20"/>
                  <w:u w:val="single"/>
                </w:rPr>
                <w:t>Section 1350 Certification (pursuant to Section 906 of the Sarbanes-Oxley Act of 2002, executed by the President and Chief Executive Officer)</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79315.htm">
              <w:r>
                <w:rPr>
                  <w:rStyle w:val="InternetLink"/>
                  <w:rFonts w:ascii="Times New Roman;Times;serif" w:hAnsi="Times New Roman;Times;serif"/>
                  <w:sz w:val="20"/>
                  <w:u w:val="single"/>
                </w:rPr>
                <w:t>Section 1350 Certification (pursuant to Section 906 of the Sarbanes-Oxley Act of 2002, executed by the Chief Financial Officer)</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Calculation Linkbase Document</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Definition Linkbase Document</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Label Linkbase Document</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Presentation Linkbase Document</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144" w:right="144"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bookmarkStart w:id="13" w:name="Signatures"/>
      <w:bookmarkEnd w:id="13"/>
      <w:r>
        <w:rPr>
          <w:rFonts w:ascii="Times New Roman;Times;serif" w:hAnsi="Times New Roman;Times;serif"/>
          <w:b/>
          <w:sz w:val="20"/>
        </w:rPr>
        <w:t xml:space="preserve">SIGNATURES </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10, 2026</w:t>
      </w:r>
    </w:p>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5815" w:type="dxa"/>
        <w:jc w:val="left"/>
        <w:tblInd w:w="0" w:type="dxa"/>
        <w:tblLayout w:type="fixed"/>
        <w:tblCellMar>
          <w:top w:w="0" w:type="dxa"/>
          <w:left w:w="0" w:type="dxa"/>
          <w:bottom w:w="0" w:type="dxa"/>
          <w:right w:w="0" w:type="dxa"/>
        </w:tblCellMar>
      </w:tblPr>
      <w:tblGrid>
        <w:gridCol w:w="75"/>
        <w:gridCol w:w="320"/>
        <w:gridCol w:w="5420"/>
      </w:tblGrid>
      <w:tr>
        <w:trPr/>
        <w:tc>
          <w:tcPr>
            <w:tcW w:w="75" w:type="dxa"/>
            <w:tcBorders/>
            <w:vAlign w:val="center"/>
          </w:tcPr>
          <w:p>
            <w:pPr>
              <w:pStyle w:val="TableContents"/>
              <w:bidi w:val="0"/>
              <w:spacing w:before="0" w:after="0"/>
              <w:ind w:left="0" w:right="0" w:hanging="0"/>
              <w:jc w:val="left"/>
              <w:rPr/>
            </w:pPr>
            <w:r>
              <w:rPr/>
              <w:t> </w:t>
            </w:r>
          </w:p>
        </w:tc>
        <w:tc>
          <w:tcPr>
            <w:tcW w:w="57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75" w:type="dxa"/>
            <w:tcBorders/>
            <w:vAlign w:val="center"/>
          </w:tcPr>
          <w:p>
            <w:pPr>
              <w:pStyle w:val="TableContents"/>
              <w:bidi w:val="0"/>
              <w:spacing w:before="0" w:after="0"/>
              <w:ind w:left="0" w:right="0" w:hanging="0"/>
              <w:jc w:val="left"/>
              <w:rPr/>
            </w:pPr>
            <w:r>
              <w:rPr/>
              <w:t> </w:t>
            </w:r>
          </w:p>
        </w:tc>
        <w:tc>
          <w:tcPr>
            <w:tcW w:w="57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 Christopher Hurt</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Christopher Hurt</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(on behalf of</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 and as principal executive officer)</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Voin Todorovic</w:t>
            </w:r>
          </w:p>
        </w:tc>
      </w:tr>
      <w:tr>
        <w:trPr/>
        <w:tc>
          <w:tcPr>
            <w:tcW w:w="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(on behalf of the registrant and as principal</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officer)</w:t>
            </w:r>
          </w:p>
        </w:tc>
      </w:tr>
    </w:tbl>
    <w:p>
      <w:pPr>
        <w:pStyle w:val="TextBody"/>
        <w:bidi w:val="0"/>
        <w:spacing w:before="0" w:after="0"/>
        <w:ind w:left="144" w:right="144" w:hanging="0"/>
        <w:jc w:val="left"/>
        <w:rPr/>
      </w:pPr>
      <w:r>
        <w:rPr/>
        <w:t> </w:t>
      </w:r>
    </w:p>
    <w:p>
      <w:pPr>
        <w:pStyle w:val="TextBody"/>
        <w:bidi w:val="0"/>
        <w:spacing w:before="0" w:after="0"/>
        <w:ind w:left="144" w:right="144" w:hanging="0"/>
        <w:jc w:val="center"/>
        <w:rPr/>
      </w:pPr>
      <w:r>
        <w:rPr/>
        <w:t> </w:t>
      </w:r>
    </w:p>
    <w:p>
      <w:pPr>
        <w:pStyle w:val="TextBody"/>
        <w:bidi w:val="0"/>
        <w:jc w:val="center"/>
        <w:rPr>
          <w:rFonts w:ascii="Times New Roman" w:hAnsi="Times New Roman"/>
          <w:sz w:val="20"/>
        </w:rPr>
      </w:pPr>
      <w:r>
        <w:rPr>
          <w:rFonts w:ascii="Times New Roman" w:hAnsi="Times New Roman"/>
          <w:sz w:val="20"/>
        </w:rPr>
        <w:t xml:space="preserve">29 </w:t>
      </w:r>
    </w:p>
    <w:p>
      <w:pPr>
        <w:pStyle w:val="TextBody"/>
        <w:bidi w:val="0"/>
        <w:spacing w:before="0" w:after="0"/>
        <w:ind w:left="0" w:right="0" w:hanging="0"/>
        <w:jc w:val="right"/>
        <w:rPr>
          <w:rFonts w:ascii="Times New Roman;Times;serif" w:hAnsi="Times New Roman;Times;serif"/>
          <w:b/>
          <w:sz w:val="20"/>
        </w:rPr>
      </w:pPr>
      <w:bookmarkStart w:id="14" w:name="ex_1012166.htm"/>
      <w:bookmarkStart w:id="15" w:name="ksex_1012166"/>
      <w:bookmarkEnd w:id="14"/>
      <w:bookmarkEnd w:id="15"/>
      <w:r>
        <w:rPr>
          <w:rFonts w:ascii="Times New Roman;Times;serif" w:hAnsi="Times New Roman;Times;serif"/>
          <w:b/>
          <w:sz w:val="20"/>
        </w:rPr>
        <w:t>Exhibit 10.3</w:t>
      </w:r>
      <w:r>
        <w:br w:type="page"/>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960"/>
        <w:gridCol w:w="4169"/>
        <w:gridCol w:w="76"/>
      </w:tblGrid>
      <w:tr>
        <w:trPr/>
        <w:tc>
          <w:tcPr>
            <w:tcW w:w="5960" w:type="dxa"/>
            <w:vMerge w:val="restart"/>
            <w:tcBorders/>
            <w:vAlign w:val="center"/>
          </w:tcPr>
          <w:p>
            <w:pPr>
              <w:pStyle w:val="TableContents"/>
              <w:bidi w:val="0"/>
              <w:spacing w:before="0" w:after="0"/>
              <w:ind w:left="180" w:right="18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BUILD-A-BEAR WORKSHOP, INC.</w:t>
            </w:r>
          </w:p>
          <w:p>
            <w:pPr>
              <w:pStyle w:val="TableContents"/>
              <w:bidi w:val="0"/>
              <w:spacing w:before="0" w:after="0"/>
              <w:ind w:left="180" w:right="18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 xml:space="preserve">RESTRICTED STOCK/PERFORMANCE SHARE UNIT </w:t>
            </w:r>
          </w:p>
          <w:p>
            <w:pPr>
              <w:pStyle w:val="TableContents"/>
              <w:bidi w:val="0"/>
              <w:spacing w:before="0" w:after="0"/>
              <w:ind w:left="180" w:right="180" w:hanging="0"/>
              <w:jc w:val="center"/>
              <w:rPr>
                <w:rFonts w:ascii="Times New Roman;Times;serif" w:hAnsi="Times New Roman;Times;serif"/>
                <w:b/>
                <w:caps w:val="false"/>
                <w:smallCaps w:val="false"/>
                <w:sz w:val="24"/>
              </w:rPr>
            </w:pPr>
            <w:r>
              <w:rPr>
                <w:rFonts w:ascii="Times New Roman;Times;serif" w:hAnsi="Times New Roman;Times;serif"/>
                <w:b/>
                <w:caps w:val="false"/>
                <w:smallCaps w:val="false"/>
                <w:sz w:val="24"/>
              </w:rPr>
              <w:t>AGREEMENT</w:t>
            </w:r>
          </w:p>
        </w:tc>
        <w:tc>
          <w:tcPr>
            <w:tcW w:w="4169" w:type="dxa"/>
            <w:tcBorders/>
            <w:vAlign w:val="center"/>
          </w:tcPr>
          <w:p>
            <w:pPr>
              <w:pStyle w:val="TableContents"/>
              <w:bidi w:val="0"/>
              <w:spacing w:before="0" w:after="0"/>
              <w:ind w:left="180" w:right="18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w:t>
            </w:r>
          </w:p>
        </w:tc>
        <w:tc>
          <w:tcPr>
            <w:tcW w:w="76"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960" w:type="dxa"/>
            <w:vMerge w:val="continue"/>
            <w:tcBorders/>
            <w:vAlign w:val="center"/>
          </w:tcPr>
          <w:p>
            <w:pPr>
              <w:pStyle w:val="Normal"/>
              <w:bidi w:val="0"/>
              <w:jc w:val="left"/>
              <w:rPr/>
            </w:pPr>
            <w:r>
              <w:rPr/>
            </w:r>
          </w:p>
        </w:tc>
        <w:tc>
          <w:tcPr>
            <w:tcW w:w="4169" w:type="dxa"/>
            <w:tcBorders/>
            <w:vAlign w:val="center"/>
          </w:tcPr>
          <w:p>
            <w:pPr>
              <w:pStyle w:val="TableContents"/>
              <w:bidi w:val="0"/>
              <w:spacing w:before="0" w:after="0"/>
              <w:ind w:left="180" w:right="18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60" w:type="dxa"/>
            <w:vMerge w:val="continue"/>
            <w:tcBorders/>
            <w:vAlign w:val="center"/>
          </w:tcPr>
          <w:p>
            <w:pPr>
              <w:pStyle w:val="Normal"/>
              <w:bidi w:val="0"/>
              <w:jc w:val="left"/>
              <w:rPr/>
            </w:pPr>
            <w:r>
              <w:rPr/>
            </w:r>
          </w:p>
        </w:tc>
        <w:tc>
          <w:tcPr>
            <w:tcW w:w="4169" w:type="dxa"/>
            <w:tcBorders/>
            <w:vAlign w:val="center"/>
          </w:tcPr>
          <w:p>
            <w:pPr>
              <w:pStyle w:val="TableContents"/>
              <w:bidi w:val="0"/>
              <w:spacing w:before="0" w:after="0"/>
              <w:ind w:left="360" w:right="18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of Shares of Time-Based Restricted Stock:</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60" w:type="dxa"/>
            <w:vMerge w:val="continue"/>
            <w:tcBorders/>
            <w:vAlign w:val="center"/>
          </w:tcPr>
          <w:p>
            <w:pPr>
              <w:pStyle w:val="Normal"/>
              <w:bidi w:val="0"/>
              <w:jc w:val="left"/>
              <w:rPr/>
            </w:pPr>
            <w:r>
              <w:rPr/>
            </w:r>
          </w:p>
        </w:tc>
        <w:tc>
          <w:tcPr>
            <w:tcW w:w="4169" w:type="dxa"/>
            <w:tcBorders/>
            <w:vAlign w:val="center"/>
          </w:tcPr>
          <w:p>
            <w:pPr>
              <w:pStyle w:val="TableContents"/>
              <w:bidi w:val="0"/>
              <w:spacing w:before="0" w:after="0"/>
              <w:ind w:left="360" w:right="18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Target Number of Shares of Performance Share Units:</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will certify that the employee named above (the “</w:t>
      </w:r>
      <w:r>
        <w:rPr>
          <w:rFonts w:ascii="Times New Roman" w:hAnsi="Times New Roman"/>
          <w:b/>
          <w:caps w:val="false"/>
          <w:smallCaps w:val="false"/>
          <w:sz w:val="20"/>
        </w:rPr>
        <w:t>Employee</w:t>
      </w:r>
      <w:r>
        <w:rPr>
          <w:rFonts w:ascii="Times New Roman" w:hAnsi="Times New Roman"/>
          <w:caps w:val="false"/>
          <w:smallCaps w:val="false"/>
          <w:sz w:val="20"/>
        </w:rPr>
        <w:t>”) is awarded the total number of restricted shares of common stock, $0.01 par value per share (the “</w:t>
      </w:r>
      <w:r>
        <w:rPr>
          <w:rFonts w:ascii="Times New Roman" w:hAnsi="Times New Roman"/>
          <w:b/>
          <w:caps w:val="false"/>
          <w:smallCaps w:val="false"/>
          <w:sz w:val="20"/>
        </w:rPr>
        <w:t>Common Stock</w:t>
      </w:r>
      <w:r>
        <w:rPr>
          <w:rFonts w:ascii="Times New Roman" w:hAnsi="Times New Roman"/>
          <w:caps w:val="false"/>
          <w:smallCaps w:val="false"/>
          <w:sz w:val="20"/>
        </w:rPr>
        <w:t>”), of Build-A-Bear Workshop, Inc. (the “</w:t>
      </w:r>
      <w:r>
        <w:rPr>
          <w:rFonts w:ascii="Times New Roman" w:hAnsi="Times New Roman"/>
          <w:b/>
          <w:caps w:val="false"/>
          <w:smallCaps w:val="false"/>
          <w:sz w:val="20"/>
        </w:rPr>
        <w:t>Company</w:t>
      </w:r>
      <w:r>
        <w:rPr>
          <w:rFonts w:ascii="Times New Roman" w:hAnsi="Times New Roman"/>
          <w:caps w:val="false"/>
          <w:smallCaps w:val="false"/>
          <w:sz w:val="20"/>
        </w:rPr>
        <w:t>”) designated above (the “</w:t>
      </w:r>
      <w:r>
        <w:rPr>
          <w:rFonts w:ascii="Times New Roman" w:hAnsi="Times New Roman"/>
          <w:b/>
          <w:caps w:val="false"/>
          <w:smallCaps w:val="false"/>
          <w:sz w:val="20"/>
        </w:rPr>
        <w:t>Restricted Stock</w:t>
      </w:r>
      <w:r>
        <w:rPr>
          <w:rFonts w:ascii="Times New Roman" w:hAnsi="Times New Roman"/>
          <w:caps w:val="false"/>
          <w:smallCaps w:val="false"/>
          <w:sz w:val="20"/>
        </w:rPr>
        <w:t>”), pursuant to the Build-A-Bear Workshop, Inc. Amended and Restated 2020 Omnibus Incentive Plan (the “</w:t>
      </w:r>
      <w:r>
        <w:rPr>
          <w:rFonts w:ascii="Times New Roman" w:hAnsi="Times New Roman"/>
          <w:b/>
          <w:caps w:val="false"/>
          <w:smallCaps w:val="false"/>
          <w:sz w:val="20"/>
        </w:rPr>
        <w:t>Plan</w:t>
      </w:r>
      <w:r>
        <w:rPr>
          <w:rFonts w:ascii="Times New Roman" w:hAnsi="Times New Roman"/>
          <w:caps w:val="false"/>
          <w:smallCaps w:val="false"/>
          <w:sz w:val="20"/>
        </w:rPr>
        <w:t>”), as of the date indicated above (the “</w:t>
      </w:r>
      <w:r>
        <w:rPr>
          <w:rFonts w:ascii="Times New Roman" w:hAnsi="Times New Roman"/>
          <w:b/>
          <w:caps w:val="false"/>
          <w:smallCaps w:val="false"/>
          <w:sz w:val="20"/>
        </w:rPr>
        <w:t>Grant Date</w:t>
      </w:r>
      <w:r>
        <w:rPr>
          <w:rFonts w:ascii="Times New Roman" w:hAnsi="Times New Roman"/>
          <w:caps w:val="false"/>
          <w:smallCaps w:val="false"/>
          <w:sz w:val="20"/>
        </w:rPr>
        <w:t>”) and subject to the terms, conditions and restrictions in the Plan and those set forth below. The Employee is also awarded the total number of Performance Share Units (“</w:t>
      </w:r>
      <w:r>
        <w:rPr>
          <w:rFonts w:ascii="Times New Roman" w:hAnsi="Times New Roman"/>
          <w:b/>
          <w:caps w:val="false"/>
          <w:smallCaps w:val="false"/>
          <w:sz w:val="20"/>
        </w:rPr>
        <w:t>PSUs</w:t>
      </w:r>
      <w:r>
        <w:rPr>
          <w:rFonts w:ascii="Times New Roman" w:hAnsi="Times New Roman"/>
          <w:caps w:val="false"/>
          <w:smallCaps w:val="false"/>
          <w:sz w:val="20"/>
        </w:rPr>
        <w:t>”) designated above pursuant to the Plan, as of the Grant Date and subject to the terms, conditions and restrictions in the Plan and those set forth below. Each PSU represents the right to receive one share of the Common Stock, subject to the terms, conditions and restrictions in the Plan and those set forth below. Any capitalized, but undefined, term used in this Agreement shall have the meaning ascribed to it in the Plan. In the event of a conflict between any term or provision contained herein and a term or provision of the Plan, the applicable terms and provisions of the Plan shall control. The Employee’s electronic acceptance within sixty (60) days on his/her personal Merrill Lynch account constitutes Employee’s acceptance of this award and acknowledgement of Employee’s agreement to all the terms, conditions and restrictions contained in the Plan and this Agreement. If the Employee does not accept this award on his/her personal Merrill Lynch account within sixty (60) days of the Grant Date, the Employer may revoke this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BUILD-A-BEAR WORKSHOP, INC.</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By: ________________________________________________________</w:t>
      </w:r>
    </w:p>
    <w:p>
      <w:pPr>
        <w:pStyle w:val="TextBody"/>
        <w:bidi w:val="0"/>
        <w:spacing w:before="0" w:after="0"/>
        <w:ind w:left="0" w:right="0" w:hanging="0"/>
        <w:jc w:val="center"/>
        <w:rPr>
          <w:rFonts w:ascii="Times New Roman" w:hAnsi="Times New Roman"/>
          <w:sz w:val="20"/>
        </w:rPr>
      </w:pPr>
      <w:r>
        <w:rPr>
          <w:rFonts w:ascii="Times New Roman" w:hAnsi="Times New Roman"/>
          <w:sz w:val="20"/>
        </w:rPr>
        <w:t>______________________</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4"/>
        <w:gridCol w:w="60"/>
        <w:gridCol w:w="5501"/>
      </w:tblGrid>
      <w:tr>
        <w:trPr/>
        <w:tc>
          <w:tcPr>
            <w:tcW w:w="46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Terms and Conditions Applicable to Restricted Stock and Performance Share Units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u w:val="single"/>
              </w:rPr>
              <w:t>Terms of Restricted Stock Award</w:t>
            </w:r>
            <w:r>
              <w:rPr>
                <w:rFonts w:ascii="Times New Roman;Times;serif" w:hAnsi="Times New Roman;Times;serif"/>
                <w:b/>
                <w:sz w:val="20"/>
              </w:rPr>
              <w:t>.</w:t>
            </w:r>
            <w:r>
              <w:rPr>
                <w:rFonts w:ascii="Times New Roman;Times;serif" w:hAnsi="Times New Roman;Times;serif"/>
                <w:sz w:val="20"/>
              </w:rPr>
              <w:t xml:space="preserve"> Pursuant to action of the Compensation and Human Capital Committee (the “</w:t>
            </w:r>
            <w:r>
              <w:rPr>
                <w:rFonts w:ascii="Times New Roman;Times;serif" w:hAnsi="Times New Roman;Times;serif"/>
                <w:b/>
                <w:sz w:val="20"/>
              </w:rPr>
              <w:t>Committee</w:t>
            </w:r>
            <w:r>
              <w:rPr>
                <w:rFonts w:ascii="Times New Roman;Times;serif" w:hAnsi="Times New Roman;Times;serif"/>
                <w:sz w:val="20"/>
              </w:rPr>
              <w:t>”), the Company awards to the Employee the number of shares of Restricted Stock set forth above. The Restricted Stock is nontransferable by the Employee during the period described below and is subject to the risk of forfeiture as described below.</w:t>
            </w:r>
          </w:p>
        </w:tc>
        <w:tc>
          <w:tcPr>
            <w:tcW w:w="6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time shares become transferable, the shares of Restricted Stock shall bear a legend indicating their nontransferability, and, subject to the terms of this Agreement, other than as set forth herein, if the Employee terminates service as an employee of the Company prior to the time a restriction lapses, the Employee shall forfeit any shares of Restricted Stock which are still subject to the restrictions at the time of termination of such service.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28"/>
        <w:gridCol w:w="88"/>
        <w:gridCol w:w="3932"/>
        <w:gridCol w:w="60"/>
        <w:gridCol w:w="2152"/>
        <w:gridCol w:w="79"/>
        <w:gridCol w:w="2666"/>
      </w:tblGrid>
      <w:tr>
        <w:trPr/>
        <w:tc>
          <w:tcPr>
            <w:tcW w:w="5248" w:type="dxa"/>
            <w:gridSpan w:val="3"/>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Time-Based Restricted Stock</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restrictions on transfer described in this Section A.1 applicable to the Time-Based Restricted Stock awarded above shall lapse and be of no further force and effect as follows, if the Employee is still an employee of the Company on the respective dates set forth below, and has been continuously serving as such an employee of the Company from the Grant Date until such date:</w:t>
            </w:r>
          </w:p>
        </w:tc>
        <w:tc>
          <w:tcPr>
            <w:tcW w:w="60" w:type="dxa"/>
            <w:tcBorders/>
            <w:vAlign w:val="center"/>
          </w:tcPr>
          <w:p>
            <w:pPr>
              <w:pStyle w:val="TableContents"/>
              <w:bidi w:val="0"/>
              <w:spacing w:before="0" w:after="283"/>
              <w:jc w:val="left"/>
              <w:rPr/>
            </w:pPr>
            <w:r>
              <w:rPr/>
              <w:t> </w:t>
            </w:r>
          </w:p>
        </w:tc>
        <w:tc>
          <w:tcPr>
            <w:tcW w:w="4897" w:type="dxa"/>
            <w:gridSpan w:val="3"/>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   Performance Share Units</w:t>
            </w:r>
          </w:p>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PSUs awarded above shall vest, if (1) the performance criteria applicable to the PSUs as established by the Committee and included in </w:t>
            </w:r>
            <w:r>
              <w:rPr>
                <w:rFonts w:ascii="Times New Roman;Times;serif" w:hAnsi="Times New Roman;Times;serif"/>
                <w:b/>
                <w:caps w:val="false"/>
                <w:smallCaps w:val="false"/>
                <w:sz w:val="20"/>
                <w:u w:val="single"/>
              </w:rPr>
              <w:t>Exhibit A</w:t>
            </w:r>
            <w:r>
              <w:rPr>
                <w:rFonts w:ascii="Times New Roman;Times;serif" w:hAnsi="Times New Roman;Times;serif"/>
                <w:caps w:val="false"/>
                <w:smallCaps w:val="false"/>
                <w:sz w:val="20"/>
              </w:rPr>
              <w:t xml:space="preserve"> hereto (the “</w:t>
            </w:r>
            <w:r>
              <w:rPr>
                <w:rFonts w:ascii="Times New Roman;Times;serif" w:hAnsi="Times New Roman;Times;serif"/>
                <w:b/>
                <w:caps w:val="false"/>
                <w:smallCaps w:val="false"/>
                <w:sz w:val="20"/>
              </w:rPr>
              <w:t>Performance Criteria</w:t>
            </w:r>
            <w:r>
              <w:rPr>
                <w:rFonts w:ascii="Times New Roman;Times;serif" w:hAnsi="Times New Roman;Times;serif"/>
                <w:caps w:val="false"/>
                <w:smallCaps w:val="false"/>
                <w:sz w:val="20"/>
              </w:rPr>
              <w:t>”) have been satisfied, and (2) other than as set forth herein in the event of death, permanent and total disability, or retirement, the Employee is still an employee of the Company on the date set forth below, and has been continuously serving as such an employee of the Company from the Grant Date to such vesting date:</w:t>
            </w:r>
          </w:p>
        </w:tc>
      </w:tr>
      <w:tr>
        <w:trPr/>
        <w:tc>
          <w:tcPr>
            <w:tcW w:w="524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7" w:type="dxa"/>
            <w:gridSpan w:val="3"/>
            <w:tcBorders/>
            <w:vAlign w:val="center"/>
          </w:tcPr>
          <w:p>
            <w:pPr>
              <w:pStyle w:val="TableContents"/>
              <w:bidi w:val="0"/>
              <w:spacing w:before="0" w:after="283"/>
              <w:jc w:val="left"/>
              <w:rPr/>
            </w:pPr>
            <w:r>
              <w:rPr/>
              <w:t> </w:t>
            </w:r>
          </w:p>
        </w:tc>
      </w:tr>
      <w:tr>
        <w:trPr/>
        <w:tc>
          <w:tcPr>
            <w:tcW w:w="122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88" w:type="dxa"/>
            <w:tcBorders/>
            <w:vAlign w:val="center"/>
          </w:tcPr>
          <w:p>
            <w:pPr>
              <w:pStyle w:val="TableContents"/>
              <w:bidi w:val="0"/>
              <w:spacing w:before="0" w:after="283"/>
              <w:jc w:val="left"/>
              <w:rPr/>
            </w:pPr>
            <w:r>
              <w:rPr/>
              <w:t> </w:t>
            </w:r>
          </w:p>
        </w:tc>
        <w:tc>
          <w:tcPr>
            <w:tcW w:w="3932"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Portion of Grant for which Restrictions Lapse on Indicated Date</w:t>
            </w:r>
          </w:p>
        </w:tc>
        <w:tc>
          <w:tcPr>
            <w:tcW w:w="60" w:type="dxa"/>
            <w:tcBorders/>
            <w:vAlign w:val="center"/>
          </w:tcPr>
          <w:p>
            <w:pPr>
              <w:pStyle w:val="TableContents"/>
              <w:bidi w:val="0"/>
              <w:spacing w:before="0" w:after="283"/>
              <w:jc w:val="left"/>
              <w:rPr/>
            </w:pPr>
            <w:r>
              <w:rPr/>
              <w:t> </w:t>
            </w:r>
          </w:p>
        </w:tc>
        <w:tc>
          <w:tcPr>
            <w:tcW w:w="2152"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79" w:type="dxa"/>
            <w:tcBorders/>
            <w:vAlign w:val="center"/>
          </w:tcPr>
          <w:p>
            <w:pPr>
              <w:pStyle w:val="TableContents"/>
              <w:bidi w:val="0"/>
              <w:spacing w:before="0" w:after="283"/>
              <w:jc w:val="left"/>
              <w:rPr/>
            </w:pPr>
            <w:r>
              <w:rPr/>
              <w:t> </w:t>
            </w:r>
          </w:p>
        </w:tc>
        <w:tc>
          <w:tcPr>
            <w:tcW w:w="2666"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Portion of Grant for which PSUs vest on Indicated Date</w:t>
            </w:r>
          </w:p>
        </w:tc>
      </w:tr>
      <w:tr>
        <w:trPr/>
        <w:tc>
          <w:tcPr>
            <w:tcW w:w="1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88" w:type="dxa"/>
            <w:tcBorders/>
            <w:vAlign w:val="center"/>
          </w:tcPr>
          <w:p>
            <w:pPr>
              <w:pStyle w:val="TableContents"/>
              <w:bidi w:val="0"/>
              <w:spacing w:before="0" w:after="283"/>
              <w:jc w:val="left"/>
              <w:rPr/>
            </w:pPr>
            <w:r>
              <w:rPr/>
              <w:t> </w:t>
            </w:r>
          </w:p>
        </w:tc>
        <w:tc>
          <w:tcPr>
            <w:tcW w:w="39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c>
          <w:tcPr>
            <w:tcW w:w="60"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79"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r>
      <w:tr>
        <w:trPr/>
        <w:tc>
          <w:tcPr>
            <w:tcW w:w="122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39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Date/___________:</w:t>
            </w:r>
          </w:p>
        </w:tc>
        <w:tc>
          <w:tcPr>
            <w:tcW w:w="79"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w:t>
            </w:r>
          </w:p>
        </w:tc>
      </w:tr>
      <w:tr>
        <w:trPr/>
        <w:tc>
          <w:tcPr>
            <w:tcW w:w="524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7" w:type="dxa"/>
            <w:gridSpan w:val="3"/>
            <w:tcBorders/>
            <w:vAlign w:val="center"/>
          </w:tcPr>
          <w:p>
            <w:pPr>
              <w:pStyle w:val="TableContents"/>
              <w:bidi w:val="0"/>
              <w:spacing w:before="0" w:after="283"/>
              <w:jc w:val="left"/>
              <w:rPr/>
            </w:pPr>
            <w:r>
              <w:rPr/>
              <w:t> </w:t>
            </w:r>
          </w:p>
        </w:tc>
      </w:tr>
      <w:tr>
        <w:trPr/>
        <w:tc>
          <w:tcPr>
            <w:tcW w:w="5248" w:type="dxa"/>
            <w:gridSpan w:val="3"/>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avoidance of doubt, on __________, one hundred percent (100%) of the Time-Based Restricted Stock shall be transferable by the Employee if the Employee is still an employee of the Company and has been continuously serving from the Grant Date through __________ as an employee of the Company.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the foregoing, in the event of a Change in Control, all previously granted shares of Time-Based Restricted Stock not yet free of the restrictions of this Section A.1.(a) shall only become immediately free of such restrictions in accordance with Section 12.B of the Plan.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2.</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u w:val="single"/>
              </w:rPr>
              <w:t>Terms of Performance Share Units Award</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xml:space="preserve"> Pursuant to action of the Committee, the Company awards to the Employee the number of shares of PSUs set forth above. PSUs are nontransferable by the Employee during the period described below and are subject to the risk of forfeiture as described below. Subject to the terms of this Agreement, other than as set forth herein, if the Employee terminates service as an employee of the Company prior to the time performance criteria are satisfied, the Employee shall forfeit any PSUs which are still subject to such performance criteria at the time of termination of service.</w:t>
            </w:r>
          </w:p>
        </w:tc>
        <w:tc>
          <w:tcPr>
            <w:tcW w:w="60" w:type="dxa"/>
            <w:tcBorders/>
            <w:vAlign w:val="center"/>
          </w:tcPr>
          <w:p>
            <w:pPr>
              <w:pStyle w:val="TableContents"/>
              <w:bidi w:val="0"/>
              <w:spacing w:before="0" w:after="283"/>
              <w:jc w:val="left"/>
              <w:rPr/>
            </w:pPr>
            <w:r>
              <w:rPr/>
              <w:t> </w:t>
            </w:r>
          </w:p>
        </w:tc>
        <w:tc>
          <w:tcPr>
            <w:tcW w:w="4897" w:type="dxa"/>
            <w:gridSpan w:val="3"/>
            <w:tcBorders/>
            <w:vAlign w:val="center"/>
          </w:tcPr>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For avoidance of doubt, on the date ending _________, one hundred percent (100%) of the Target Number of PSUs shall become fully vested if (1) the Performance Criteria set forth in </w:t>
            </w:r>
            <w:r>
              <w:rPr>
                <w:rFonts w:ascii="Times New Roman;Times;serif" w:hAnsi="Times New Roman;Times;serif"/>
                <w:b/>
                <w:caps w:val="false"/>
                <w:smallCaps w:val="false"/>
                <w:sz w:val="20"/>
                <w:u w:val="single"/>
              </w:rPr>
              <w:t>Exhibit A</w:t>
            </w:r>
            <w:r>
              <w:rPr>
                <w:rFonts w:ascii="Times New Roman;Times;serif" w:hAnsi="Times New Roman;Times;serif"/>
                <w:caps w:val="false"/>
                <w:smallCaps w:val="false"/>
                <w:sz w:val="20"/>
              </w:rPr>
              <w:t xml:space="preserve"> hereto have been satisfied, and (2) other than as set forth herein, the Employee is still an employee, and has been continuously serving from the Grant Date through ____________ as an employee of the Company on such vesting date.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the foregoing, in the event of a Change in Control prior to __________, one hundred percent (100%) of the Target Number of PSUs shall become fully vested in accordance with Section 12.B of the Plan.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fully vested PSUs shall be made in shares of Common Stock as soon as practicable following the vesting date. The Company shall (a) issue or deliver to the Employee the number of shares of Common Stock equal to the vested PSUs and (b) enter the Employee’s name on the books of the Company as the Shareholder of record with respect to the shares of Common Stock delivered to the Employee.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723"/>
        <w:gridCol w:w="60"/>
        <w:gridCol w:w="6422"/>
      </w:tblGrid>
      <w:tr>
        <w:trPr/>
        <w:tc>
          <w:tcPr>
            <w:tcW w:w="37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3.     </w:t>
            </w:r>
            <w:r>
              <w:rPr>
                <w:rFonts w:ascii="Times New Roman;Times;serif" w:hAnsi="Times New Roman;Times;serif"/>
                <w:b/>
                <w:caps w:val="false"/>
                <w:smallCaps w:val="false"/>
                <w:sz w:val="20"/>
                <w:u w:val="single"/>
              </w:rPr>
              <w:t>Death or Disability of the Employee</w:t>
            </w:r>
            <w:r>
              <w:rPr>
                <w:rFonts w:ascii="Times New Roman;Times;serif" w:hAnsi="Times New Roman;Times;serif"/>
                <w:b/>
                <w:caps w:val="false"/>
                <w:smallCaps w:val="false"/>
                <w:sz w:val="20"/>
              </w:rPr>
              <w:t xml:space="preserv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Time-Based Restricted Stock</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(i) of the death of the Employee, or (ii) the Company terminates the Employee’s employment due to a permanent and total disability which results in the Employee’s inability to return to work with the Company, all previously granted shares of Time-Based Restricted Stock not yet free of the restrictions of Section A.1(a) shall become immediately free of such restrictions.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    Performance Share Units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(i) of the death of the Employee, or (ii) the Company terminates the Employee’s employment due to a permanent and total disability which results in the Employee’s inability to return to work with the Company, in either case prior to the end of Fiscal Year _____, one hundred percent (100%) of Target Number of PSUs (as set forth on page 1) shall become immediately free of the restrictions of Section A.2(a).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(i) of the death of the Employee, or (ii) the Company terminates the Employee’s employment due to a permanent and total disability which results in the Employee’s inability to return to work with the Company, in either case subsequent to the end of Fiscal Year _____, one hundred percent (100%) of Target number of PSUs which are earned but not yet free of the restrictions of Section A.2(a) shall become immediately free of such restrictions.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4.</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u w:val="single"/>
              </w:rPr>
              <w:t>Retirement of the Employee</w:t>
            </w:r>
            <w:r>
              <w:rPr>
                <w:rFonts w:ascii="Times New Roman;Times;serif" w:hAnsi="Times New Roman;Times;serif"/>
                <w:b/>
                <w:caps w:val="false"/>
                <w:smallCaps w:val="false"/>
                <w:sz w:val="20"/>
              </w:rPr>
              <w:t xml:space="preserv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the purposes of this Agreement: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Retirement” means a termination of employment, other than for Cause, occurring (i) on or after age 65, or (ii) on or after the date at which the combination of Employee’s age and years of service with the Company or any company or division acquired by the Company is greater than or equal to 70 years;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Cause” shall have the same meaning as ascribed to such term in that certain Employment, Confidentiality and Noncompete Agreement entered into by and between Employee and the Company as of the date hereof.</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Retirement Prorated Portion” means the PSUs prorated by the number of days in the three Fiscal Year performance period that elapsed prior to the Employee’s Retirement divided by the total number of days in the three Fiscal Year performance period.</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Time-Based Restricted Stock</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event Employee’s employment terminates prior to __________ due to Retirement, the Employee shall forfeit any shares of Restricted Stock which are still subject to the restrictions at the time of such Retirement.</w:t>
            </w:r>
          </w:p>
          <w:p>
            <w:pPr>
              <w:pStyle w:val="TableContents"/>
              <w:bidi w:val="0"/>
              <w:spacing w:before="0" w:after="0"/>
              <w:ind w:left="0" w:right="0" w:hanging="0"/>
              <w:jc w:val="left"/>
              <w:rPr/>
            </w:pPr>
            <w:r>
              <w:rPr/>
              <w:t> </w:t>
            </w:r>
          </w:p>
          <w:p>
            <w:pPr>
              <w:pStyle w:val="TableContents"/>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    Performance Share Units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event Employee’s employment terminates prior to _________ due to Retirement, a Retirement Prorated Portion of the PSUs shall become vested on ________ if the Performance Criteria set forth in </w:t>
            </w:r>
            <w:r>
              <w:rPr>
                <w:rFonts w:ascii="Times New Roman;Times;serif" w:hAnsi="Times New Roman;Times;serif"/>
                <w:b/>
                <w:sz w:val="20"/>
                <w:u w:val="single"/>
              </w:rPr>
              <w:t>Exhibit A</w:t>
            </w:r>
            <w:r>
              <w:rPr>
                <w:rFonts w:ascii="Times New Roman;Times;serif" w:hAnsi="Times New Roman;Times;serif"/>
                <w:sz w:val="20"/>
              </w:rPr>
              <w:t> hereto have been satisfied.</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5.</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u w:val="single"/>
              </w:rPr>
              <w:t>Cost of Restricted Stock/PSUs</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xml:space="preserve"> The purchase price of the shares of Restricted Stock or PSUs shall be $0.00.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6.</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u w:val="single"/>
              </w:rPr>
              <w:t>Rights as Stockholder</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xml:space="preserve"> The Employee shall be entitled to all of the rights of a stockholder, including the right to vote such shares and to receive dividends and other distributions payable with respect to such shares, with respect to the shares of Time-Based Restricted Stock, since the Grant Date; If any dividends or distributions are paid in shares, the shares shall be deposited with the Company and shall be subject to the same restrictions on transferability and forfeitability as the Restricted Stock with respect to which they were paid. If the Employee forfeits any rights the Employee has under this Agreement, the Employee shall, on the date of the forfeiture, no longer have any rights as a shareholder with respect to the shares of Restricted Stock described in this award which are subject to such forfeiture and shall no longer be entitled to vote or receive dividends with respect to such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 Performance Share Units. The Employee shall not be entitled to any of the rights of a stockholder, including the right to vote such PSUs and to receive dividends and other distributions payable with respect to such awarded PSUs.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449"/>
        <w:gridCol w:w="60"/>
        <w:gridCol w:w="5696"/>
      </w:tblGrid>
      <w:tr>
        <w:trPr/>
        <w:tc>
          <w:tcPr>
            <w:tcW w:w="44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u w:val="single"/>
              </w:rPr>
              <w:t>Escrow of Share Certificates</w:t>
            </w:r>
            <w:r>
              <w:rPr>
                <w:rFonts w:ascii="Times New Roman" w:hAnsi="Times New Roman"/>
                <w:b/>
                <w:caps w:val="false"/>
                <w:smallCaps w:val="false"/>
                <w:sz w:val="20"/>
              </w:rPr>
              <w:t xml:space="preserve">. </w:t>
            </w:r>
            <w:r>
              <w:rPr>
                <w:rFonts w:ascii="Times New Roman" w:hAnsi="Times New Roman"/>
                <w:caps w:val="false"/>
                <w:smallCaps w:val="false"/>
                <w:sz w:val="20"/>
              </w:rPr>
              <w:t>Certificates for the Restricted Stock shall be issued in the Employee’s name and shall be held in escrow by the Company until all restrictions lapse or such shares are forfeited as provided herein. A certificate or certificates representing the Restricted Stock as to which restrictions have lapsed shall be delivered to the Employee upon such lapse</w:t>
            </w:r>
            <w:r>
              <w:rPr>
                <w:rFonts w:ascii="Times New Roman" w:hAnsi="Times New Roman"/>
                <w:b/>
                <w:caps w:val="false"/>
                <w:smallCaps w:val="false"/>
                <w:sz w:val="20"/>
              </w:rPr>
              <w:t xml:space="preserv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u w:val="single"/>
              </w:rPr>
              <w:t>Government Regulations</w:t>
            </w:r>
            <w:r>
              <w:rPr>
                <w:rFonts w:ascii="Times New Roman" w:hAnsi="Times New Roman"/>
                <w:b/>
                <w:caps w:val="false"/>
                <w:smallCaps w:val="false"/>
                <w:sz w:val="20"/>
              </w:rPr>
              <w:t xml:space="preserve">. </w:t>
            </w:r>
            <w:r>
              <w:rPr>
                <w:rFonts w:ascii="Times New Roman" w:hAnsi="Times New Roman"/>
                <w:caps w:val="false"/>
                <w:smallCaps w:val="false"/>
                <w:sz w:val="20"/>
              </w:rPr>
              <w:t>Notwithstanding anything contained herein to the contrary, the Company’s obligation to issue or deliver certificates evidencing the Restricted Stock, Common Shares, or PSUs shall be subject to all applicable laws, rules and regulations and to such approvals by any governmental agencies or national securities exchanges as may be required.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u w:val="single"/>
              </w:rPr>
              <w:t>Withholding Taxes</w:t>
            </w:r>
            <w:r>
              <w:rPr>
                <w:rFonts w:ascii="Times New Roman" w:hAnsi="Times New Roman"/>
                <w:b/>
                <w:caps w:val="false"/>
                <w:smallCaps w:val="false"/>
                <w:sz w:val="20"/>
              </w:rPr>
              <w:t>.</w:t>
            </w:r>
            <w:r>
              <w:rPr>
                <w:rFonts w:ascii="Times New Roman" w:hAnsi="Times New Roman"/>
                <w:caps w:val="false"/>
                <w:smallCaps w:val="false"/>
                <w:sz w:val="20"/>
              </w:rPr>
              <w:t xml:space="preserve"> The Company shall have the right to require the Employee to remit to the Company, or to withhold from other amounts payable to the Employee, as compensation or otherwise, an amount sufficient to satisfy all federal, state and local withholding tax requirements.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10.    </w:t>
            </w:r>
            <w:r>
              <w:rPr>
                <w:rFonts w:ascii="Times New Roman" w:hAnsi="Times New Roman"/>
                <w:b/>
                <w:caps w:val="false"/>
                <w:smallCaps w:val="false"/>
                <w:sz w:val="20"/>
                <w:u w:val="single"/>
              </w:rPr>
              <w:t>Mandatory Clawback</w:t>
            </w:r>
            <w:r>
              <w:rPr>
                <w:rFonts w:ascii="Times New Roman" w:hAnsi="Times New Roman"/>
                <w:caps w:val="false"/>
                <w:smallCaps w:val="false"/>
                <w:sz w:val="20"/>
              </w:rPr>
              <w:t>. The Performance-Based Restricted Stock awarded above shall be subject to the Build-A-Bear Workshop, Inc. Clawback Policy adopted by the Company’s Board of Directors on November 7, 2023, as such policy may be amended from time to time.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smallCaps/>
                <w:sz w:val="20"/>
              </w:rPr>
            </w:pPr>
            <w:r>
              <w:rPr>
                <w:rFonts w:ascii="Times New Roman" w:hAnsi="Times New Roman"/>
                <w:b/>
                <w:smallCaps/>
                <w:sz w:val="20"/>
              </w:rPr>
              <w:t>B.</w:t>
            </w:r>
            <w:r>
              <w:rPr>
                <w:rFonts w:ascii="Times New Roman" w:hAnsi="Times New Roman"/>
                <w:smallCaps/>
                <w:sz w:val="20"/>
              </w:rPr>
              <w:t>     </w:t>
            </w:r>
            <w:r>
              <w:rPr>
                <w:rFonts w:ascii="Times New Roman" w:hAnsi="Times New Roman"/>
                <w:b/>
                <w:smallCaps/>
                <w:sz w:val="20"/>
              </w:rPr>
              <w:t>Terms and Conditions Applicable to All Awards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u w:val="single"/>
              </w:rPr>
              <w:t>Adjustments Upon Changes in Capitalization or Corporate Acquisitions</w:t>
            </w:r>
            <w:r>
              <w:rPr>
                <w:rFonts w:ascii="Times New Roman" w:hAnsi="Times New Roman"/>
                <w:b/>
                <w:caps w:val="false"/>
                <w:smallCaps w:val="false"/>
                <w:sz w:val="20"/>
              </w:rPr>
              <w:t>.</w:t>
            </w:r>
            <w:r>
              <w:rPr>
                <w:rFonts w:ascii="Times New Roman" w:hAnsi="Times New Roman"/>
                <w:caps w:val="false"/>
                <w:smallCaps w:val="false"/>
                <w:sz w:val="20"/>
              </w:rPr>
              <w:t xml:space="preserve"> Notwithstanding any other provision in the Agreement, if there is any change in the Common Stock by reason of stock dividends, spin-offs, split ups, recapitalizations, mergers, consolidations, reorganizations, combinations or exchanges of shares, the number of shares of Restricted Stock and PSUs under this award not yet vested, and the price thereof, as applicable, shall be appropriately adjusted by the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u w:val="single"/>
              </w:rPr>
              <w:t>Consideration/No Right to Continued Service</w:t>
            </w:r>
            <w:r>
              <w:rPr>
                <w:rFonts w:ascii="Times New Roman" w:hAnsi="Times New Roman"/>
                <w:b/>
                <w:caps w:val="false"/>
                <w:smallCaps w:val="false"/>
                <w:sz w:val="20"/>
              </w:rPr>
              <w:t xml:space="preserve">. </w:t>
            </w:r>
            <w:r>
              <w:rPr>
                <w:rFonts w:ascii="Times New Roman" w:hAnsi="Times New Roman"/>
                <w:caps w:val="false"/>
                <w:smallCaps w:val="false"/>
                <w:sz w:val="20"/>
              </w:rPr>
              <w:t>This award is made in consideration of the services to be rendered by the Employee to the Company. Nonetheless, nothing in this Agreement shall be deemed to create any limitation or restriction on such rights as the Company otherwise would have to terminate the service of the Employee, with or without cause.</w:t>
            </w:r>
          </w:p>
        </w:tc>
        <w:tc>
          <w:tcPr>
            <w:tcW w:w="60" w:type="dxa"/>
            <w:tcBorders/>
            <w:vAlign w:val="center"/>
          </w:tcPr>
          <w:p>
            <w:pPr>
              <w:pStyle w:val="TableContents"/>
              <w:bidi w:val="0"/>
              <w:spacing w:before="0" w:after="283"/>
              <w:jc w:val="left"/>
              <w:rPr/>
            </w:pPr>
            <w:r>
              <w:rPr/>
              <w:t> </w:t>
            </w:r>
          </w:p>
        </w:tc>
        <w:tc>
          <w:tcPr>
            <w:tcW w:w="56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u w:val="single"/>
              </w:rPr>
              <w:t>Committee Administration</w:t>
            </w:r>
            <w:r>
              <w:rPr>
                <w:rFonts w:ascii="Times New Roman" w:hAnsi="Times New Roman"/>
                <w:b/>
                <w:caps w:val="false"/>
                <w:smallCaps w:val="false"/>
                <w:sz w:val="20"/>
              </w:rPr>
              <w:t>.</w:t>
            </w:r>
            <w:r>
              <w:rPr>
                <w:rFonts w:ascii="Times New Roman" w:hAnsi="Times New Roman"/>
                <w:caps w:val="false"/>
                <w:smallCaps w:val="false"/>
                <w:sz w:val="20"/>
              </w:rPr>
              <w:t xml:space="preserve"> This award has been made pursuant to a determination made by the Committee, and the Committee or any successor or substitute committee authorized by the Board of Directors or the Board of Directors itself, subject to the express terms of this Agreement, shall have plenary authority to interpret any provision of this Agreement and to make any determinations necessary or advisable for the administration of this Agreement and may waive or amend any provisions hereof in any manner not adversely affecting the rights granted to the Employee by the express terms hereof.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u w:val="single"/>
              </w:rPr>
              <w:t>Grant Subject to Plan</w:t>
            </w:r>
            <w:r>
              <w:rPr>
                <w:rFonts w:ascii="Times New Roman" w:hAnsi="Times New Roman"/>
                <w:b/>
                <w:caps w:val="false"/>
                <w:smallCaps w:val="false"/>
                <w:sz w:val="20"/>
              </w:rPr>
              <w:t>.</w:t>
            </w:r>
            <w:r>
              <w:rPr>
                <w:rFonts w:ascii="Times New Roman" w:hAnsi="Times New Roman"/>
                <w:caps w:val="false"/>
                <w:smallCaps w:val="false"/>
                <w:sz w:val="20"/>
              </w:rPr>
              <w:t xml:space="preserve"> These Restricted Stock and PSUs awards are granted under and is expressly subject to all the terms and provisions of the Plan, and the terms of the Plan are incorporated herein by reference. The Employee hereby acknowledges receipt of a copy of the Plan and agrees to be bound by all the terms and provisions thereof. The Committee has been appointed by the Board of Directors and designated by it, as the Committee to make grants of Restricted Stock and PSUs.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u w:val="single"/>
              </w:rPr>
              <w:t>Section 83(b) Election</w:t>
            </w:r>
            <w:r>
              <w:rPr>
                <w:rFonts w:ascii="Times New Roman" w:hAnsi="Times New Roman"/>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Time Based Restricted Stock</w:t>
            </w:r>
            <w:r>
              <w:rPr>
                <w:rFonts w:ascii="Times New Roman" w:hAnsi="Times New Roman"/>
                <w:caps w:val="false"/>
                <w:smallCaps w:val="false"/>
                <w:sz w:val="20"/>
              </w:rPr>
              <w:t>. The Employee may make an election under Internal Revenue Code Section 83(b) (a “Section 83(b) Election”) with respect to the Restricted Stock awarded. Any such election must be made within thirty (30) days after the Grant Date. If Employee elects to make a Section 83(b) Election, the Employee shall provide the Company with a copy of an executed version and satisfactory evidence of the filing of the executed Section 83(b) Election with the Internal Revenue Service. The Employee agrees to assume full responsibility for ensuring that the Section 83(b) Election is actually and timely filed with the Internal Revenue Service and for all tax consequences resulting from the Section 83(b) Election.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b/>
                <w:caps w:val="false"/>
                <w:smallCaps w:val="false"/>
                <w:sz w:val="20"/>
              </w:rPr>
              <w:t>Performance Share Units</w:t>
            </w:r>
            <w:r>
              <w:rPr>
                <w:rFonts w:ascii="Times New Roman" w:hAnsi="Times New Roman"/>
                <w:caps w:val="false"/>
                <w:smallCaps w:val="false"/>
                <w:sz w:val="20"/>
              </w:rPr>
              <w:t>. The Employee may not make a Section 83(b) election with respect to PSUs.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398"/>
        <w:gridCol w:w="60"/>
        <w:gridCol w:w="4747"/>
      </w:tblGrid>
      <w:tr>
        <w:trPr/>
        <w:tc>
          <w:tcPr>
            <w:tcW w:w="53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u w:val="single"/>
              </w:rPr>
              <w:t>Notices</w:t>
            </w:r>
            <w:r>
              <w:rPr>
                <w:rFonts w:ascii="Times New Roman" w:hAnsi="Times New Roman"/>
                <w:caps w:val="false"/>
                <w:smallCaps w:val="false"/>
                <w:sz w:val="20"/>
              </w:rPr>
              <w:t>. Any notice required to be delivered to the Company under this Agreement shall be in writing and addressed to the Chief Administrative Officer &amp; General Counsel of the Company at the Company’s principal corporate offices. Any notice required to be delivered to the Employee under this Agreement shall be in writing and addressed to the Employee at the Employee’s address as shown in the records of the Company. Either party may designate another address in writing (or by such other method approved by the Company) from time to time.</w:t>
            </w:r>
          </w:p>
        </w:tc>
        <w:tc>
          <w:tcPr>
            <w:tcW w:w="60" w:type="dxa"/>
            <w:tcBorders/>
            <w:vAlign w:val="center"/>
          </w:tcPr>
          <w:p>
            <w:pPr>
              <w:pStyle w:val="TableContents"/>
              <w:bidi w:val="0"/>
              <w:spacing w:before="0" w:after="283"/>
              <w:jc w:val="left"/>
              <w:rPr/>
            </w:pPr>
            <w:r>
              <w:rPr/>
              <w:t> </w:t>
            </w:r>
          </w:p>
        </w:tc>
        <w:tc>
          <w:tcPr>
            <w:tcW w:w="47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u w:val="single"/>
              </w:rPr>
              <w:t>Successors and Assigns</w:t>
            </w:r>
            <w:r>
              <w:rPr>
                <w:rFonts w:ascii="Times New Roman" w:hAnsi="Times New Roman"/>
                <w:caps w:val="false"/>
                <w:smallCaps w:val="false"/>
                <w:sz w:val="20"/>
              </w:rPr>
              <w:t>. The Company may assign any of its rights under this Agreement. This Agreement will be binding upon and inure to the benefit of the successors and assigns of the Company. Subject to the restrictions on transfer set forth herein, this Agreement will be binding upon the Employee and the Employee’s beneficiaries, executors, administrators and the person(s) to whom the Restricted Stock or PSUs may be transferred by will or the laws of descent or distribution</w:t>
            </w:r>
            <w:r>
              <w:rPr>
                <w:rFonts w:ascii="Times New Roman" w:hAnsi="Times New Roman"/>
                <w:b/>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u w:val="single"/>
              </w:rPr>
              <w:t>Governing Law</w:t>
            </w:r>
            <w:r>
              <w:rPr>
                <w:rFonts w:ascii="Times New Roman" w:hAnsi="Times New Roman"/>
                <w:b/>
                <w:caps w:val="false"/>
                <w:smallCaps w:val="false"/>
                <w:sz w:val="20"/>
              </w:rPr>
              <w:t>.</w:t>
            </w:r>
            <w:r>
              <w:rPr>
                <w:rFonts w:ascii="Times New Roman" w:hAnsi="Times New Roman"/>
                <w:caps w:val="false"/>
                <w:smallCaps w:val="false"/>
                <w:sz w:val="20"/>
              </w:rPr>
              <w:t xml:space="preserve"> This Agreement shall be construed under the laws of the State of Delaware.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Performance Criteria Applicable to Performance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6</w:t>
      </w:r>
    </w:p>
    <w:p>
      <w:pPr>
        <w:pStyle w:val="TextBody"/>
        <w:bidi w:val="0"/>
        <w:spacing w:before="0" w:after="0"/>
        <w:ind w:left="0" w:right="0" w:hanging="0"/>
        <w:jc w:val="right"/>
        <w:rPr>
          <w:rFonts w:ascii="Times New Roman;Times;serif" w:hAnsi="Times New Roman;Times;serif"/>
          <w:b/>
          <w:sz w:val="20"/>
        </w:rPr>
      </w:pPr>
      <w:bookmarkStart w:id="16" w:name="ex_979312.htm"/>
      <w:bookmarkStart w:id="17" w:name="ksex_979312"/>
      <w:bookmarkEnd w:id="16"/>
      <w:bookmarkEnd w:id="17"/>
      <w:r>
        <w:rPr>
          <w:rFonts w:ascii="Times New Roman;Times;serif" w:hAnsi="Times New Roman;Times;serif"/>
          <w:b/>
          <w:sz w:val="20"/>
        </w:rPr>
        <w:t xml:space="preserve">Exhibit 31.1 </w:t>
      </w:r>
      <w:r>
        <w:br w:type="page"/>
      </w:r>
    </w:p>
    <w:p>
      <w:pPr>
        <w:pStyle w:val="TextBody"/>
        <w:bidi w:val="0"/>
        <w:spacing w:before="0" w:after="0"/>
        <w:ind w:left="288" w:right="288"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302 OF THE SARBANES-OXLEY ACT OF 2002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AND RULE 13a-14(a) OF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SECURITIES EXCHANGE ACT OF 1934 </w:t>
      </w:r>
    </w:p>
    <w:p>
      <w:pPr>
        <w:pStyle w:val="TextBody"/>
        <w:bidi w:val="0"/>
        <w:spacing w:before="0" w:after="0"/>
        <w:ind w:left="288" w:right="288"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 Christopher Hurt, certify that:</w:t>
      </w:r>
    </w:p>
    <w:p>
      <w:pPr>
        <w:pStyle w:val="TextBody"/>
        <w:bidi w:val="0"/>
        <w:spacing w:before="0" w:after="0"/>
        <w:ind w:left="288" w:right="288" w:hanging="0"/>
        <w:jc w:val="left"/>
        <w:rPr/>
      </w:pPr>
      <w:r>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Build-A-Bear Workshop, Inc.;</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288" w:right="288"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288" w:right="288" w:hanging="0"/>
        <w:jc w:val="left"/>
        <w:rPr/>
      </w:pPr>
      <w:r>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283"/>
              <w:jc w:val="left"/>
              <w:rPr/>
            </w:pPr>
            <w:r>
              <w:rPr/>
              <w:t>/s/ J. Christopher Hurt</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J. Christopher Hurt</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288" w:right="288"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10, </w:t>
      </w:r>
      <w:bookmarkStart w:id="18" w:name="led58637F20216121626107378373"/>
      <w:bookmarkEnd w:id="18"/>
      <w:r>
        <w:rPr>
          <w:rFonts w:ascii="Times New Roman;Times;serif" w:hAnsi="Times New Roman;Times;serif"/>
          <w:sz w:val="20"/>
        </w:rPr>
        <w:t>2026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9" w:name="ex_979313.htm"/>
      <w:bookmarkStart w:id="20" w:name="ksex_979313"/>
      <w:bookmarkEnd w:id="19"/>
      <w:bookmarkEnd w:id="20"/>
      <w:r>
        <w:rPr>
          <w:rFonts w:ascii="Times New Roman;Times;serif" w:hAnsi="Times New Roman;Times;serif"/>
          <w:b/>
          <w:sz w:val="20"/>
        </w:rPr>
        <w:t xml:space="preserve">Exhibit 31.2 </w:t>
      </w:r>
      <w:r>
        <w:br w:type="page"/>
      </w:r>
    </w:p>
    <w:p>
      <w:pPr>
        <w:pStyle w:val="TextBody"/>
        <w:bidi w:val="0"/>
        <w:spacing w:before="0" w:after="0"/>
        <w:ind w:left="432" w:right="432" w:hanging="0"/>
        <w:jc w:val="left"/>
        <w:rPr/>
      </w:pPr>
      <w:r>
        <w:rPr/>
        <w:t> </w:t>
      </w:r>
    </w:p>
    <w:p>
      <w:pPr>
        <w:pStyle w:val="TextBody"/>
        <w:bidi w:val="0"/>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SECTION 302 OF THE SARBANES-OXLEY ACT OF 2002 </w:t>
      </w:r>
    </w:p>
    <w:p>
      <w:pPr>
        <w:pStyle w:val="TextBody"/>
        <w:bidi w:val="0"/>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AND RULE 13a-14(a) OF </w:t>
      </w:r>
    </w:p>
    <w:p>
      <w:pPr>
        <w:pStyle w:val="TextBody"/>
        <w:bidi w:val="0"/>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THE SECURITIES EXCHANGE ACT OF 1934 </w:t>
      </w:r>
    </w:p>
    <w:p>
      <w:pPr>
        <w:pStyle w:val="TextBody"/>
        <w:bidi w:val="0"/>
        <w:spacing w:before="0" w:after="0"/>
        <w:ind w:left="432" w:right="432"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Voin Todorovic, certify that:</w:t>
      </w:r>
    </w:p>
    <w:p>
      <w:pPr>
        <w:pStyle w:val="TextBody"/>
        <w:bidi w:val="0"/>
        <w:spacing w:before="0" w:after="0"/>
        <w:ind w:left="432" w:right="432" w:hanging="0"/>
        <w:jc w:val="left"/>
        <w:rPr/>
      </w:pPr>
      <w:r>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Build-A-Bear Workshop, Inc.;</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432" w:right="43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432" w:right="432" w:hanging="0"/>
        <w:jc w:val="left"/>
        <w:rPr/>
      </w:pPr>
      <w:r>
        <w:rPr/>
        <w:t> </w:t>
      </w:r>
    </w:p>
    <w:tbl>
      <w:tblPr>
        <w:tblW w:w="2450" w:type="dxa"/>
        <w:jc w:val="left"/>
        <w:tblInd w:w="0" w:type="dxa"/>
        <w:tblLayout w:type="fixed"/>
        <w:tblCellMar>
          <w:top w:w="0" w:type="dxa"/>
          <w:left w:w="0" w:type="dxa"/>
          <w:bottom w:w="0" w:type="dxa"/>
          <w:right w:w="0" w:type="dxa"/>
        </w:tblCellMar>
      </w:tblPr>
      <w:tblGrid>
        <w:gridCol w:w="60"/>
        <w:gridCol w:w="2390"/>
      </w:tblGrid>
      <w:tr>
        <w:trPr/>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90" w:type="dxa"/>
            <w:tcBorders>
              <w:bottom w:val="single" w:sz="2" w:space="0" w:color="000000"/>
            </w:tcBorders>
            <w:tcMar>
              <w:bottom w:w="28" w:type="dxa"/>
            </w:tcMar>
            <w:vAlign w:val="center"/>
          </w:tcPr>
          <w:p>
            <w:pPr>
              <w:pStyle w:val="TableContents"/>
              <w:bidi w:val="0"/>
              <w:spacing w:before="0" w:after="283"/>
              <w:jc w:val="left"/>
              <w:rPr/>
            </w:pPr>
            <w:r>
              <w:rPr/>
              <w:t>/s/ Voin Todorovic</w:t>
            </w:r>
          </w:p>
        </w:tc>
      </w:tr>
      <w:tr>
        <w:trPr/>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Voin Todorovic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432" w:right="432"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10, </w:t>
      </w:r>
      <w:bookmarkStart w:id="21" w:name="led58637F20216121626107405749"/>
      <w:bookmarkEnd w:id="21"/>
      <w:r>
        <w:rPr>
          <w:rFonts w:ascii="Times New Roman;Times;serif" w:hAnsi="Times New Roman;Times;serif"/>
          <w:sz w:val="20"/>
        </w:rPr>
        <w:t>2026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2" w:name="ex_979314.htm"/>
      <w:bookmarkStart w:id="23" w:name="ksex_979314"/>
      <w:bookmarkEnd w:id="22"/>
      <w:bookmarkEnd w:id="23"/>
      <w:r>
        <w:rPr>
          <w:rFonts w:ascii="Times New Roman;Times;serif" w:hAnsi="Times New Roman;Times;serif"/>
          <w:b/>
          <w:sz w:val="20"/>
        </w:rPr>
        <w:t xml:space="preserve">Exhibit 32.1 </w:t>
      </w:r>
      <w:r>
        <w:br w:type="page"/>
      </w:r>
    </w:p>
    <w:p>
      <w:pPr>
        <w:pStyle w:val="TextBody"/>
        <w:bidi w:val="0"/>
        <w:spacing w:before="0" w:after="0"/>
        <w:ind w:left="576" w:right="576" w:hanging="0"/>
        <w:jc w:val="left"/>
        <w:rPr/>
      </w:pPr>
      <w:r>
        <w:rPr/>
        <w:t> </w:t>
      </w:r>
    </w:p>
    <w:p>
      <w:pPr>
        <w:pStyle w:val="TextBody"/>
        <w:bidi w:val="0"/>
        <w:spacing w:before="0" w:after="0"/>
        <w:ind w:left="576" w:right="576"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bidi w:val="0"/>
        <w:spacing w:before="0" w:after="0"/>
        <w:ind w:left="576" w:right="576"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before="0" w:after="0"/>
        <w:ind w:left="576" w:right="576"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before="0" w:after="0"/>
        <w:ind w:left="576" w:right="576"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Build-A-Bear Workshop, Inc. (the “Company”) on Form 10-Q for the period ended </w:t>
      </w:r>
      <w:bookmarkStart w:id="24" w:name="led58638F2020531591149503798"/>
      <w:bookmarkEnd w:id="24"/>
      <w:r>
        <w:rPr>
          <w:rFonts w:ascii="Times New Roman;Times;serif" w:hAnsi="Times New Roman;Times;serif"/>
          <w:sz w:val="20"/>
        </w:rPr>
        <w:t>August 1, 2026 filed with the Securities and Exchange Commission on the date hereof (the “Report”), I, J. Christopher Hurt, President and Chief Executive Officer of the Company, certify, to the best of my knowledge, pursuant to Rule 13a-14(b) and Section 1350 of Chapter 63 of Title 18 of the United States Code, as adopted pursuant to Section 906 of the Sarbanes-Oxley Act of 2002, that:</w:t>
      </w:r>
    </w:p>
    <w:p>
      <w:pPr>
        <w:pStyle w:val="TextBody"/>
        <w:bidi w:val="0"/>
        <w:spacing w:before="0" w:after="0"/>
        <w:ind w:left="576" w:right="576"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576" w:right="576" w:hanging="0"/>
        <w:jc w:val="left"/>
        <w:rPr/>
      </w:pPr>
      <w:r>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283"/>
              <w:jc w:val="left"/>
              <w:rPr/>
            </w:pPr>
            <w:r>
              <w:rPr/>
              <w:t>/s/ J. Christopher Hurt</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 Christopher Hurt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576" w:right="576"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10, </w:t>
      </w:r>
      <w:bookmarkStart w:id="25" w:name="led58637F20216121626107431178"/>
      <w:bookmarkEnd w:id="25"/>
      <w:r>
        <w:rPr>
          <w:rFonts w:ascii="Times New Roman;Times;serif" w:hAnsi="Times New Roman;Times;serif"/>
          <w:sz w:val="20"/>
        </w:rPr>
        <w:t>2026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6" w:name="ex_979315.htm"/>
      <w:bookmarkStart w:id="27" w:name="ksex_979315"/>
      <w:bookmarkEnd w:id="26"/>
      <w:bookmarkEnd w:id="27"/>
      <w:r>
        <w:rPr>
          <w:rFonts w:ascii="Times New Roman;Times;serif" w:hAnsi="Times New Roman;Times;serif"/>
          <w:b/>
          <w:sz w:val="20"/>
        </w:rPr>
        <w:t xml:space="preserve">Exhibit 32.2 </w:t>
      </w:r>
      <w:r>
        <w:br w:type="page"/>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bidi w:val="0"/>
        <w:spacing w:before="0" w:after="0"/>
        <w:ind w:left="720" w:right="72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before="0" w:after="0"/>
        <w:ind w:left="720" w:right="72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before="0" w:after="0"/>
        <w:ind w:left="720" w:right="72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Build-A-Bear Workshop, Inc. (the “Company”) on Form 10-Q for the period ended </w:t>
      </w:r>
      <w:bookmarkStart w:id="28" w:name="led58638F2020531591149539964"/>
      <w:bookmarkEnd w:id="28"/>
      <w:r>
        <w:rPr>
          <w:rFonts w:ascii="Times New Roman;Times;serif" w:hAnsi="Times New Roman;Times;serif"/>
          <w:sz w:val="20"/>
        </w:rPr>
        <w:t>August 1, 2026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pStyle w:val="TextBody"/>
        <w:bidi w:val="0"/>
        <w:spacing w:before="0" w:after="0"/>
        <w:ind w:left="720" w:right="72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720" w:right="720" w:hanging="0"/>
        <w:jc w:val="left"/>
        <w:rPr/>
      </w:pPr>
      <w:r>
        <w:rPr/>
        <w:t> </w:t>
      </w:r>
    </w:p>
    <w:tbl>
      <w:tblPr>
        <w:tblW w:w="2450" w:type="dxa"/>
        <w:jc w:val="left"/>
        <w:tblInd w:w="0" w:type="dxa"/>
        <w:tblLayout w:type="fixed"/>
        <w:tblCellMar>
          <w:top w:w="0" w:type="dxa"/>
          <w:left w:w="0" w:type="dxa"/>
          <w:bottom w:w="0" w:type="dxa"/>
          <w:right w:w="0" w:type="dxa"/>
        </w:tblCellMar>
      </w:tblPr>
      <w:tblGrid>
        <w:gridCol w:w="60"/>
        <w:gridCol w:w="2390"/>
      </w:tblGrid>
      <w:tr>
        <w:trPr/>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Voin Todorovic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r>
              <w:rPr>
                <w:rFonts w:ascii="Times New Roman;Times;serif" w:hAnsi="Times New Roman;Times;serif"/>
                <w:i/>
                <w:sz w:val="20"/>
              </w:rPr>
              <w:t>.</w:t>
            </w:r>
          </w:p>
        </w:tc>
      </w:tr>
      <w:tr>
        <w:trPr/>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720" w:right="72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10, </w:t>
      </w:r>
      <w:bookmarkStart w:id="29" w:name="led58637F20216121626107455704"/>
      <w:bookmarkEnd w:id="29"/>
      <w:r>
        <w:rPr>
          <w:rFonts w:ascii="Times New Roman;Times;serif" w:hAnsi="Times New Roman;Times;serif"/>
          <w:sz w:val="20"/>
        </w:rPr>
        <w:t>2026</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3809/000095013704006634/c86750exv2w1.txt" TargetMode="External"/><Relationship Id="rId3" Type="http://schemas.openxmlformats.org/officeDocument/2006/relationships/hyperlink" Target="http://www.sec.gov/Archives/edgar/data/1113809/000095013804000748/exh3-1.htm" TargetMode="External"/><Relationship Id="rId4" Type="http://schemas.openxmlformats.org/officeDocument/2006/relationships/hyperlink" Target="http://www.sec.gov/Archives/edgar/data/1113809/000095013704008227/c86750a3exv4w1.txt" TargetMode="External"/><Relationship Id="rId5" Type="http://schemas.openxmlformats.org/officeDocument/2006/relationships/hyperlink" Target="http://www.sec.gov/Archives/edgar/data/1113809/000095013704008227/c86750a3exv4w1.txt" TargetMode="External"/><Relationship Id="rId6" Type="http://schemas.openxmlformats.org/officeDocument/2006/relationships/hyperlink" Target="http://www.sec.gov/Archives/edgar/data/1113809/000095013704008227/c86750a3exv4w1.txt" TargetMode="External"/><Relationship Id="rId7" Type="http://schemas.openxmlformats.org/officeDocument/2006/relationships/hyperlink" Target="http://www.sec.gov/Archives/edgar/data/1113809/000143774926020239/ex_972791.htm" TargetMode="External"/><Relationship Id="rId8" Type="http://schemas.openxmlformats.org/officeDocument/2006/relationships/hyperlink" Target="http://www.sec.gov/Archives/edgar/data/1113809/000143774926020239/bbw20260417_10q.htm" TargetMode="External"/><Relationship Id="rId9" Type="http://schemas.openxmlformats.org/officeDocument/2006/relationships/hyperlink" Target="http://www.sec.gov/Archives/edgar/data/1113809/000143774926020380/ex_975606.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19863</Words>
  <Characters>109579</Characters>
  <CharactersWithSpaces>132128</CharactersWithSpaces>
  <Paragraphs>6777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