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74295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85725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April 2, 2016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spacing w:after="0"/>
        <w:tabs>
          <w:tab w:leader="none" w:pos="2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1510665</wp:posOffset>
            </wp:positionH>
            <wp:positionV relativeFrom="paragraph">
              <wp:posOffset>-20320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223520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BUILD-A-BEAR WORKSHOP, INC.</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85725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(State or Other Jurisdiction of</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20" w:type="dxa"/>
            <w:vAlign w:val="bottom"/>
          </w:tcPr>
          <w:p>
            <w:pPr>
              <w:jc w:val="center"/>
              <w:ind w:right="3330"/>
              <w:spacing w:after="0"/>
              <w:rPr>
                <w:sz w:val="20"/>
                <w:szCs w:val="20"/>
                <w:color w:val="auto"/>
              </w:rPr>
            </w:pPr>
            <w:r>
              <w:rPr>
                <w:rFonts w:ascii="Arial" w:cs="Arial" w:eastAsia="Arial" w:hAnsi="Arial"/>
                <w:sz w:val="18"/>
                <w:szCs w:val="18"/>
                <w:b w:val="1"/>
                <w:bCs w:val="1"/>
                <w:color w:val="auto"/>
                <w:w w:val="93"/>
              </w:rPr>
              <w:t>Incorporation or Organization)</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40" w:type="dxa"/>
            <w:vAlign w:val="bottom"/>
          </w:tcPr>
          <w:p>
            <w:pPr>
              <w:spacing w:after="0"/>
              <w:rPr>
                <w:sz w:val="24"/>
                <w:szCs w:val="24"/>
                <w:color w:val="auto"/>
              </w:rPr>
            </w:pPr>
          </w:p>
        </w:tc>
      </w:tr>
      <w:tr>
        <w:trPr>
          <w:trHeight w:val="216"/>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89"/>
              </w:rPr>
              <w:t>St. Louis, Missouri</w:t>
            </w: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20" w:type="dxa"/>
            <w:vAlign w:val="bottom"/>
          </w:tcPr>
          <w:p>
            <w:pPr>
              <w:jc w:val="center"/>
              <w:ind w:right="33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20" w:type="dxa"/>
            <w:vAlign w:val="bottom"/>
          </w:tcPr>
          <w:p>
            <w:pPr>
              <w:jc w:val="right"/>
              <w:ind w:right="1470"/>
              <w:spacing w:after="0"/>
              <w:rPr>
                <w:sz w:val="20"/>
                <w:szCs w:val="20"/>
                <w:color w:val="auto"/>
              </w:rPr>
            </w:pPr>
            <w:r>
              <w:rPr>
                <w:rFonts w:ascii="Arial" w:cs="Arial" w:eastAsia="Arial" w:hAnsi="Arial"/>
                <w:sz w:val="18"/>
                <w:szCs w:val="18"/>
                <w:b w:val="1"/>
                <w:bCs w:val="1"/>
                <w:color w:val="auto"/>
              </w:rPr>
              <w:t>(314) 423-8000</w:t>
            </w:r>
          </w:p>
        </w:tc>
        <w:tc>
          <w:tcPr>
            <w:tcW w:w="1440" w:type="dxa"/>
            <w:vAlign w:val="bottom"/>
          </w:tcPr>
          <w:p>
            <w:pPr>
              <w:spacing w:after="0"/>
              <w:rPr>
                <w:sz w:val="24"/>
                <w:szCs w:val="24"/>
                <w:color w:val="auto"/>
              </w:rPr>
            </w:pPr>
          </w:p>
        </w:tc>
      </w:tr>
      <w:tr>
        <w:trPr>
          <w:trHeight w:val="234"/>
        </w:trPr>
        <w:tc>
          <w:tcPr>
            <w:tcW w:w="652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68580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18" w:right="239" w:bottom="1440" w:gutter="0" w:footer="0" w:header="0"/>
        </w:sectPr>
      </w:pPr>
    </w:p>
    <w:p>
      <w:pPr>
        <w:spacing w:after="0" w:line="9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000" w:space="720"/>
            <w:col w:w="4700"/>
          </w:cols>
          <w:pgMar w:left="240" w:top="418" w:right="239" w:bottom="1440" w:gutter="0" w:footer="0" w:header="0"/>
          <w:type w:val="continuous"/>
        </w:sectPr>
      </w:pPr>
    </w:p>
    <w:p>
      <w:pPr>
        <w:spacing w:after="0" w:line="48"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25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4" w:lineRule="exact"/>
        <w:rPr>
          <w:sz w:val="24"/>
          <w:szCs w:val="24"/>
          <w:color w:val="auto"/>
        </w:rPr>
      </w:pPr>
    </w:p>
    <w:p>
      <w:pPr>
        <w:sectPr>
          <w:pgSz w:w="11900" w:h="16838" w:orient="portrait"/>
          <w:cols w:equalWidth="0" w:num="2">
            <w:col w:w="6000" w:space="720"/>
            <w:col w:w="4700"/>
          </w:cols>
          <w:pgMar w:left="240" w:top="418" w:right="239" w:bottom="1440" w:gutter="0" w:footer="0" w:header="0"/>
          <w:type w:val="continuous"/>
        </w:sect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6, 2016, there were 15,817,751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733425</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Page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7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Statements (Unaudited)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ind w:left="480"/>
              <w:spacing w:after="0"/>
              <w:rPr>
                <w:sz w:val="20"/>
                <w:szCs w:val="20"/>
                <w:color w:val="auto"/>
              </w:rPr>
            </w:pPr>
            <w:r>
              <w:rPr>
                <w:rFonts w:ascii="Arial" w:cs="Arial" w:eastAsia="Arial" w:hAnsi="Arial"/>
                <w:sz w:val="18"/>
                <w:szCs w:val="18"/>
                <w:color w:val="auto"/>
              </w:rPr>
              <w:t>Condensed Consolidated Balance Sheets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Condensed Consolidated Income Statements and Statements of Comprehensive Income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ind w:left="480"/>
              <w:spacing w:after="0"/>
              <w:rPr>
                <w:sz w:val="20"/>
                <w:szCs w:val="20"/>
                <w:color w:val="auto"/>
              </w:rPr>
            </w:pPr>
            <w:r>
              <w:rPr>
                <w:rFonts w:ascii="Arial" w:cs="Arial" w:eastAsia="Arial" w:hAnsi="Arial"/>
                <w:sz w:val="18"/>
                <w:szCs w:val="18"/>
                <w:color w:val="auto"/>
              </w:rPr>
              <w:t>Condensed Consolidated Statements of Cash Flows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to Condensed Consolidated Financial Statements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3.</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1A.</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Risk Factors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200"/>
              <w:spacing w:after="0"/>
              <w:rPr>
                <w:sz w:val="20"/>
                <w:szCs w:val="20"/>
                <w:color w:val="auto"/>
              </w:rPr>
            </w:pPr>
            <w:r>
              <w:rPr>
                <w:rFonts w:ascii="Arial" w:cs="Arial" w:eastAsia="Arial" w:hAnsi="Arial"/>
                <w:sz w:val="18"/>
                <w:szCs w:val="18"/>
                <w:color w:val="auto"/>
              </w:rPr>
              <w:t>Item 2.</w:t>
            </w:r>
          </w:p>
        </w:tc>
        <w:tc>
          <w:tcPr>
            <w:tcW w:w="9680" w:type="dxa"/>
            <w:vAlign w:val="bottom"/>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6.</w:t>
            </w: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96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80" w:type="dxa"/>
            <w:vAlign w:val="bottom"/>
          </w:tcPr>
          <w:p>
            <w:pPr>
              <w:ind w:left="460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96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April 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January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April 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30,778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45,196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53,877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16,312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13,891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$185,915; $183,686 and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$187,958, respectively</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68,886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67,741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196,015</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213,334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192,037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Borders>
              <w:right w:val="single" w:sz="8" w:color="CCEEFF"/>
            </w:tcBorders>
            <w:gridSpan w:val="3"/>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27,812</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42,551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Gift cards and customer deposits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35,391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79,874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99,861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76,891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w w:val="90"/>
              </w:rPr>
              <w:t>Preferred stock, par value $0.01, Shares authorized: 15,000,000; No shares issued or</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outstanding at April 2, 2016, January 2, 2016 and April 4, 2015</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200" w:type="dxa"/>
            <w:vAlign w:val="bottom"/>
            <w:shd w:val="clear" w:color="auto" w:fill="CCEEFF"/>
          </w:tcPr>
          <w:p>
            <w:pPr>
              <w:spacing w:after="0"/>
              <w:rPr>
                <w:sz w:val="17"/>
                <w:szCs w:val="17"/>
                <w:color w:val="auto"/>
              </w:rPr>
            </w:pPr>
          </w:p>
        </w:tc>
        <w:tc>
          <w:tcPr>
            <w:tcW w:w="13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15,815,211; 15,795,891 and 17,310,853 shares, respectively</w:t>
            </w:r>
          </w:p>
        </w:tc>
        <w:tc>
          <w:tcPr>
            <w:tcW w:w="200" w:type="dxa"/>
            <w:vAlign w:val="bottom"/>
            <w:shd w:val="clear" w:color="auto" w:fill="CCEEFF"/>
          </w:tcPr>
          <w:p>
            <w:pPr>
              <w:spacing w:after="0"/>
              <w:rPr>
                <w:sz w:val="20"/>
                <w:szCs w:val="20"/>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65,713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66,009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43,218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101,080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196,015</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213,334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192,037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 AND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9"/>
              </w:rPr>
              <w:t>April 2, 2016</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April 4, 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94,056</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revenue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Franchise fees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0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Costs and expenses: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merchandise sold - retail</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Cost of merchandise sold - commercial</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Store preopening</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expense, net</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89,704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86,341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20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2,875</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tcPr>
          <w:p>
            <w:pPr>
              <w:ind w:left="160"/>
              <w:spacing w:after="0" w:line="196" w:lineRule="exact"/>
              <w:rPr>
                <w:sz w:val="20"/>
                <w:szCs w:val="20"/>
                <w:color w:val="auto"/>
              </w:rPr>
            </w:pPr>
            <w:r>
              <w:rPr>
                <w:rFonts w:ascii="Arial" w:cs="Arial" w:eastAsia="Arial" w:hAnsi="Arial"/>
                <w:sz w:val="18"/>
                <w:szCs w:val="18"/>
                <w:color w:val="auto"/>
              </w:rPr>
              <w:t>Diluted</w:t>
            </w:r>
          </w:p>
        </w:tc>
        <w:tc>
          <w:tcPr>
            <w:tcW w:w="208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0.22</w:t>
            </w:r>
          </w:p>
        </w:tc>
        <w:tc>
          <w:tcPr>
            <w:tcW w:w="24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15,410,699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16,399,397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15,592,347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16,671,340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9"/>
              </w:rPr>
              <w:t>April 2, 2016</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April 4, 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3,518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Store asset impairment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credit utilization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Lease related liabilities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Gift cards and customer deposits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 net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maturity of short-term investments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(4,724)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Purchases of Company's common stock</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(1,879)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(14,418)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30,778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54,679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2, 2016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2, 2016, which were included in the Company’s annual report on Form 10-K filed with the SEC on March 17, 2016.</w:t>
      </w:r>
    </w:p>
    <w:p>
      <w:pPr>
        <w:spacing w:after="0" w:line="17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 reclassification was made in the current year presentation of the consolidated balance sheet as of April 4, 2015. The Company adjusted the classification of the impact of shares repurchased, which had previously been recorded as a deduction to additional paid-in capital, to a deduction which was allocated between additional paid-in capital and retained earnings. As a result of this reclassification, retained earnings were reduced by $4.4 million and additional paid-in capital was increased by the same amount.</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Additionally, the Company early adopted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effective January 2, 2016, retrospectively. Adoption resulted in a $1.8 million decrease in total current assets, a $2.8 million increase in non-current deferred tax assets and a $1.0 million decrease in non-current other assets, net on the Consolidated Balance Sheet as of April 4, 2015, compared to the prior period presentation. The adoption had no impact on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January 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6"/>
          </w:tcPr>
          <w:p>
            <w:pPr>
              <w:ind w:left="80"/>
              <w:spacing w:after="0"/>
              <w:rPr>
                <w:sz w:val="20"/>
                <w:szCs w:val="20"/>
                <w:color w:val="auto"/>
              </w:rPr>
            </w:pPr>
            <w:r>
              <w:rPr>
                <w:rFonts w:ascii="Arial" w:cs="Arial" w:eastAsia="Arial" w:hAnsi="Arial"/>
                <w:sz w:val="18"/>
                <w:szCs w:val="18"/>
                <w:b w:val="1"/>
                <w:bCs w:val="1"/>
                <w:color w:val="auto"/>
              </w:rPr>
              <w:t>April 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2016</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4"/>
              </w:rPr>
              <w:t>2016</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4"/>
              </w:rPr>
              <w:t>2015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Short-term investment</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15,070</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16,312</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Accrued Expenses</w:t>
            </w: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April 2,</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January 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April 4,</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4180" w:type="dxa"/>
            <w:vAlign w:val="bottom"/>
            <w:gridSpan w:val="2"/>
          </w:tcPr>
          <w:p>
            <w:pPr>
              <w:spacing w:after="0"/>
              <w:rPr>
                <w:sz w:val="18"/>
                <w:szCs w:val="18"/>
                <w:color w:val="auto"/>
              </w:rPr>
            </w:pPr>
          </w:p>
        </w:tc>
        <w:tc>
          <w:tcPr>
            <w:tcW w:w="110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3"/>
          </w:tcPr>
          <w:p>
            <w:pPr>
              <w:spacing w:after="0"/>
              <w:rPr>
                <w:sz w:val="18"/>
                <w:szCs w:val="18"/>
                <w:color w:val="auto"/>
              </w:rPr>
            </w:pPr>
          </w:p>
        </w:tc>
        <w:tc>
          <w:tcPr>
            <w:tcW w:w="200" w:type="dxa"/>
            <w:vAlign w:val="bottom"/>
            <w:gridSpan w:val="2"/>
          </w:tcPr>
          <w:p>
            <w:pPr>
              <w:spacing w:after="0"/>
              <w:rPr>
                <w:sz w:val="18"/>
                <w:szCs w:val="18"/>
                <w:color w:val="auto"/>
              </w:rPr>
            </w:pPr>
          </w:p>
        </w:tc>
        <w:tc>
          <w:tcPr>
            <w:tcW w:w="1520" w:type="dxa"/>
            <w:vAlign w:val="bottom"/>
            <w:gridSpan w:val="4"/>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9,373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8,035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12,276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Sales tax payable</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2,049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6,374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2,571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4,579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4,307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Current income taxes payable</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1,959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8"/>
                <w:szCs w:val="18"/>
                <w:color w:val="auto"/>
              </w:rPr>
              <w:t>1,216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17,960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18,666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00" w:type="dxa"/>
            <w:vAlign w:val="bottom"/>
            <w:gridSpan w:val="3"/>
          </w:tcPr>
          <w:p>
            <w:pPr>
              <w:ind w:left="980"/>
              <w:spacing w:after="0"/>
              <w:rPr>
                <w:sz w:val="20"/>
                <w:szCs w:val="20"/>
                <w:color w:val="auto"/>
              </w:rPr>
            </w:pPr>
            <w:r>
              <w:rPr>
                <w:rFonts w:ascii="Arial" w:cs="Arial" w:eastAsia="Arial" w:hAnsi="Arial"/>
                <w:sz w:val="18"/>
                <w:szCs w:val="18"/>
                <w:color w:val="auto"/>
                <w:w w:val="99"/>
              </w:rPr>
              <w:t>6</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35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For the thirteen weeks ended April 2, 2016 and April 4, 2015, selling, general and administrative expenses include $0.7 million and $0.5 million of stock-based compensation expense, respectively. As of April 2, 2016, there was $6.2 million of total unrecognized compensation expense related to nonvested restricted stock and option awards which is expected to be recognized over a weighted-average period of 1.7 years.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is a summary of the balances and activity for the plan related to stock options for the thirteen weeks ended April 2, 2016:</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Options</w:t>
            </w: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center"/>
              <w:ind w:right="23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Exercise</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0"/>
              </w:rPr>
              <w:t>Price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2, 2016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574,851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211,995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Outstanding, April 2, 2016</w:t>
            </w:r>
          </w:p>
        </w:tc>
        <w:tc>
          <w:tcPr>
            <w:tcW w:w="1560" w:type="dxa"/>
            <w:vAlign w:val="bottom"/>
          </w:tcPr>
          <w:p>
            <w:pPr>
              <w:jc w:val="right"/>
              <w:spacing w:after="0"/>
              <w:rPr>
                <w:sz w:val="20"/>
                <w:szCs w:val="20"/>
                <w:color w:val="auto"/>
              </w:rPr>
            </w:pPr>
            <w:r>
              <w:rPr>
                <w:rFonts w:ascii="Arial" w:cs="Arial" w:eastAsia="Arial" w:hAnsi="Arial"/>
                <w:sz w:val="18"/>
                <w:szCs w:val="18"/>
                <w:color w:val="auto"/>
              </w:rPr>
              <w:t>777,058</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is a summary of the balances and activity for the plan related to time-based and earned performance-based restricted stock for the thirteen weeks ended April 2, 2016:</w:t>
      </w:r>
    </w:p>
    <w:p>
      <w:pPr>
        <w:spacing w:after="0" w:line="38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9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Restricted Stock</w:t>
            </w:r>
          </w:p>
        </w:tc>
        <w:tc>
          <w:tcPr>
            <w:tcW w:w="27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Performance Shares</w:t>
            </w:r>
          </w:p>
        </w:tc>
      </w:tr>
      <w:tr>
        <w:trPr>
          <w:trHeight w:val="191"/>
        </w:trPr>
        <w:tc>
          <w:tcPr>
            <w:tcW w:w="46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6"/>
              </w:rPr>
              <w:t>Weighted</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Average Grant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Average Grant</w:t>
            </w:r>
          </w:p>
        </w:tc>
      </w:tr>
      <w:tr>
        <w:trPr>
          <w:trHeight w:val="234"/>
        </w:trPr>
        <w:tc>
          <w:tcPr>
            <w:tcW w:w="462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Date Fair Value</w:t>
            </w:r>
          </w:p>
        </w:tc>
        <w:tc>
          <w:tcPr>
            <w:tcW w:w="140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2, 2016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84,062</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157,160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13.47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175,945</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7,039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12,493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r>
      <w:tr>
        <w:trPr>
          <w:trHeight w:val="20"/>
        </w:trPr>
        <w:tc>
          <w:tcPr>
            <w:tcW w:w="46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Outstanding, April 2, 2016</w:t>
            </w:r>
          </w:p>
        </w:tc>
        <w:tc>
          <w:tcPr>
            <w:tcW w:w="1240" w:type="dxa"/>
            <w:vAlign w:val="bottom"/>
          </w:tcPr>
          <w:p>
            <w:pPr>
              <w:jc w:val="right"/>
              <w:spacing w:after="0"/>
              <w:rPr>
                <w:sz w:val="20"/>
                <w:szCs w:val="20"/>
                <w:color w:val="auto"/>
              </w:rPr>
            </w:pPr>
            <w:r>
              <w:rPr>
                <w:rFonts w:ascii="Arial" w:cs="Arial" w:eastAsia="Arial" w:hAnsi="Arial"/>
                <w:sz w:val="18"/>
                <w:szCs w:val="18"/>
                <w:color w:val="auto"/>
              </w:rPr>
              <w:t>343,965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12.97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240,475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r>
      <w:tr>
        <w:trPr>
          <w:trHeight w:val="20"/>
        </w:trPr>
        <w:tc>
          <w:tcPr>
            <w:tcW w:w="4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total fair value of shares of time-based and performance-based restricted stock vested during the thirteen weeks ended April 2, 2016 and April 4, 2015 was $1.2 million and $3.0 million, respectively.</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March 2016, the Company awarded performance-based restricted stock subject to the achievement of pre-established net income objectives for fiscal 2016. Additionally, the Company awarded three-year performance-based restricted stock subject to the achievement of pre-established cumulative consolidated total net revenue goals for fiscal 2016, 2017 and 2018. These shares have a payout opportunity ranging from 50% to 200% of the target number of shares. In 2016, the number of shares earned relating to the performance shares issued in 2015 subject to the achievement of pre-established pre-tax income objectives for fiscal 2015 was 21,118.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effective tax rate was 33.3% for the thirteen weeks ended April 2, 2016 compared to 3.3% for the thirteen weeks ended April 4, 2015. The change in the Company’s tax rate was driven by the release of its valuation allowance on its domestic deferred tax assets in fiscal 2015.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6. Income per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uses the two-class method to compute basic and diluted income per common share. The following table sets forth the computation of basic and diluted income per share (in thousands, except share and per share data):</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April 2, 2016</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4, 2015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20"/>
              <w:spacing w:after="0"/>
              <w:rPr>
                <w:sz w:val="20"/>
                <w:szCs w:val="20"/>
                <w:color w:val="auto"/>
              </w:rPr>
            </w:pPr>
            <w:r>
              <w:rPr>
                <w:rFonts w:ascii="Arial" w:cs="Arial" w:eastAsia="Arial" w:hAnsi="Arial"/>
                <w:sz w:val="18"/>
                <w:szCs w:val="18"/>
                <w:color w:val="auto"/>
              </w:rPr>
              <w:t>Net income before allocation of earnings to participating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3,518</w:t>
            </w:r>
          </w:p>
        </w:tc>
        <w:tc>
          <w:tcPr>
            <w:tcW w:w="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Net income after allocation of earnings to participating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outstanding - basic</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15,410,699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16,399,397</w:t>
            </w:r>
          </w:p>
        </w:tc>
        <w:tc>
          <w:tcPr>
            <w:tcW w:w="0" w:type="dxa"/>
            <w:vAlign w:val="bottom"/>
          </w:tcPr>
          <w:p>
            <w:pPr>
              <w:spacing w:after="0"/>
              <w:rPr>
                <w:sz w:val="1"/>
                <w:szCs w:val="1"/>
                <w:color w:val="auto"/>
              </w:rPr>
            </w:pPr>
          </w:p>
        </w:tc>
      </w:tr>
      <w:tr>
        <w:trPr>
          <w:trHeight w:val="216"/>
        </w:trPr>
        <w:tc>
          <w:tcPr>
            <w:tcW w:w="678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181,648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271,943</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outstanding - dilutive</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15,592,347</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16,671,340</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780" w:type="dxa"/>
            <w:vAlign w:val="bottom"/>
          </w:tcPr>
          <w:p>
            <w:pPr>
              <w:ind w:left="160"/>
              <w:spacing w:after="0" w:line="182" w:lineRule="exact"/>
              <w:rPr>
                <w:sz w:val="20"/>
                <w:szCs w:val="20"/>
                <w:color w:val="auto"/>
              </w:rPr>
            </w:pPr>
            <w:r>
              <w:rPr>
                <w:rFonts w:ascii="Arial" w:cs="Arial" w:eastAsia="Arial" w:hAnsi="Arial"/>
                <w:sz w:val="18"/>
                <w:szCs w:val="18"/>
                <w:color w:val="auto"/>
              </w:rPr>
              <w:t>Basic income per common share attributable to Build-A-Bear Workshop, Inc.</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0.22</w:t>
            </w:r>
          </w:p>
        </w:tc>
        <w:tc>
          <w:tcPr>
            <w:tcW w:w="4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190"/>
        </w:trPr>
        <w:tc>
          <w:tcPr>
            <w:tcW w:w="6780" w:type="dxa"/>
            <w:vAlign w:val="bottom"/>
          </w:tcPr>
          <w:p>
            <w:pPr>
              <w:ind w:left="320"/>
              <w:spacing w:after="0" w:line="190" w:lineRule="exact"/>
              <w:rPr>
                <w:sz w:val="20"/>
                <w:szCs w:val="20"/>
                <w:color w:val="auto"/>
              </w:rPr>
            </w:pPr>
            <w:r>
              <w:rPr>
                <w:rFonts w:ascii="Arial" w:cs="Arial" w:eastAsia="Arial" w:hAnsi="Arial"/>
                <w:sz w:val="18"/>
                <w:szCs w:val="18"/>
                <w:color w:val="auto"/>
              </w:rPr>
              <w:t>stockholders:</w:t>
            </w:r>
          </w:p>
        </w:tc>
        <w:tc>
          <w:tcPr>
            <w:tcW w:w="1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8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Diluted income per common share attributable to Build-A-Bear orkshop, Inc.</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320"/>
              <w:spacing w:after="0" w:line="190" w:lineRule="exact"/>
              <w:rPr>
                <w:sz w:val="20"/>
                <w:szCs w:val="20"/>
                <w:color w:val="auto"/>
              </w:rPr>
            </w:pPr>
            <w:r>
              <w:rPr>
                <w:rFonts w:ascii="Arial" w:cs="Arial" w:eastAsia="Arial" w:hAnsi="Arial"/>
                <w:sz w:val="18"/>
                <w:szCs w:val="18"/>
                <w:color w:val="auto"/>
              </w:rPr>
              <w:t>stockholders</w:t>
            </w:r>
          </w:p>
        </w:tc>
        <w:tc>
          <w:tcPr>
            <w:tcW w:w="16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calculating diluted earnings per share for the thirteen week periods ended April 2, 2016 and April 4, 2015, options to purchase 154,655 shares and 60,825 shares, respectively, of common stock that were outstanding at the end of the period were not included in the computation of diluted income per share due to their anti-dilutive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difference between comprehensive income and net income results from foreign currency translation adjustments on the balance sheets of subsidiaries whose functional currency is not the U.S. Dollar. The accumulated other comprehensive loss balance at April 2, 2016, January 2, 2016 and April 4, 2015 is comprised entirely of foreign currency translation. For the thirteen weeks ended April 2, 2016 and April 4, 2015, there were no reclassifications out of accumulated other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direct-to-consumer (DTC), formerly retail, international franchising, and commercial. The DTC segment includes the operating activities of company-owned stores in the United States, Canada, the United Kingdom, Ireland and Denmark and other retail delivery operations, including the Company’s e-commerce sites and temporary stores. The international franchising segment includes the licensing activities of the Company’s franchise agreements with store locations in Europe, (outside of the United Kingdom, Ireland and Denmark), Asia, Australia, the Middle East, Africa and Mexico. The commercial segment includes the Company’s transactions with other businesses, mainly comprised of licensing the Company’s intellectual properties for third 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Direct-to-</w:t>
            </w:r>
          </w:p>
        </w:tc>
        <w:tc>
          <w:tcPr>
            <w:tcW w:w="120" w:type="dxa"/>
            <w:vAlign w:val="bottom"/>
          </w:tcPr>
          <w:p>
            <w:pPr>
              <w:spacing w:after="0"/>
              <w:rPr>
                <w:sz w:val="18"/>
                <w:szCs w:val="18"/>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8"/>
              </w:rPr>
              <w:t>International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Consumer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Franchising</w:t>
            </w: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Commercial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April 2, 2016</w:t>
            </w:r>
          </w:p>
        </w:tc>
        <w:tc>
          <w:tcPr>
            <w:tcW w:w="1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94,056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Thirteen weeks ended April 4, 2015</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net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Assets as of:</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April 2, 2016</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April 4, 2015</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184,615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4,912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192,037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43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ind w:right="220"/>
              <w:spacing w:after="0" w:line="258" w:lineRule="exact"/>
              <w:rPr>
                <w:sz w:val="20"/>
                <w:szCs w:val="20"/>
                <w:color w:val="auto"/>
              </w:rPr>
            </w:pPr>
            <w:r>
              <w:rPr>
                <w:rFonts w:ascii="Arial" w:cs="Arial" w:eastAsia="Arial" w:hAnsi="Arial"/>
                <w:sz w:val="18"/>
                <w:szCs w:val="18"/>
                <w:b w:val="1"/>
                <w:bCs w:val="1"/>
                <w:color w:val="auto"/>
                <w:w w:val="88"/>
              </w:rPr>
              <w:t xml:space="preserve">America </w:t>
            </w:r>
            <w:r>
              <w:rPr>
                <w:rFonts w:ascii="Arial" w:cs="Arial" w:eastAsia="Arial" w:hAnsi="Arial"/>
                <w:sz w:val="29"/>
                <w:szCs w:val="29"/>
                <w:b w:val="1"/>
                <w:bCs w:val="1"/>
                <w:color w:val="auto"/>
                <w:w w:val="88"/>
                <w:vertAlign w:val="superscript"/>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ind w:left="60"/>
              <w:spacing w:after="0" w:line="258" w:lineRule="exact"/>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29"/>
                <w:szCs w:val="29"/>
                <w:b w:val="1"/>
                <w:bCs w:val="1"/>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right"/>
              <w:ind w:right="320"/>
              <w:spacing w:after="0" w:line="258" w:lineRule="exact"/>
              <w:rPr>
                <w:sz w:val="20"/>
                <w:szCs w:val="20"/>
                <w:color w:val="auto"/>
              </w:rPr>
            </w:pPr>
            <w:r>
              <w:rPr>
                <w:rFonts w:ascii="Arial" w:cs="Arial" w:eastAsia="Arial" w:hAnsi="Arial"/>
                <w:sz w:val="18"/>
                <w:szCs w:val="18"/>
                <w:b w:val="1"/>
                <w:bCs w:val="1"/>
                <w:color w:val="auto"/>
                <w:w w:val="96"/>
              </w:rPr>
              <w:t xml:space="preserve">Other </w:t>
            </w:r>
            <w:r>
              <w:rPr>
                <w:rFonts w:ascii="Arial" w:cs="Arial" w:eastAsia="Arial" w:hAnsi="Arial"/>
                <w:sz w:val="29"/>
                <w:szCs w:val="29"/>
                <w:b w:val="1"/>
                <w:bCs w:val="1"/>
                <w:color w:val="auto"/>
                <w:w w:val="96"/>
                <w:vertAlign w:val="superscript"/>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April 2, 2016</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79,507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15,208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94,976</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7,313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68,886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Thirteen weeks ended April 4, 2015</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93,393</w:t>
            </w: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53,346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5,877</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59,223</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and franchise businesses in Europe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normal course of business, the Company is subject to regular examination by various taxing authorities for years not closed by the statute of limitations. If one or more of these examinations has an unfavorable resolution, it is possible that the results of operations, liquidity or financial position of the Company could be materially affected in any particular period. The Company accrues a liability for this type of contingency when it believes that it is both probable that a liability has been incurred and that it can reasonably estimate the amount of the loss. Assessments made by the United Kingdom customs authority in 2012 have been appealed by the Company, which has paid $3.6 million in disputed duty, strictly under protest, pending the outcome of the continuing dispute, and this is included in receivables in the DTC segment. The United Kingdom customs authority is contesting the Company's appeal. The Company maintains a provision against the related receivable for its best estimate of probable loss, based on the latest facts available in the dispute.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10. Recently Issued Accounting Pronouncements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w:t>
      </w:r>
      <w:r>
        <w:rPr>
          <w:rFonts w:ascii="Arial" w:cs="Arial" w:eastAsia="Arial" w:hAnsi="Arial"/>
          <w:sz w:val="18"/>
          <w:szCs w:val="18"/>
          <w:color w:val="auto"/>
        </w:rPr>
        <w:t>s (ASU 2014-09), which will replace most existing revenue recognition guidance in U.S. GAAP. The core principle of the ASU is that an entity should recognize revenue for the transfer of goods or services equal to the amount that it expects to be entitled to receive for those goods or services. ASU 2014-09 requires additional disclosure about the nature, amount, timing and uncertainty of revenue and cash flows arising from customer contracts, including significant judgments and changes in judgments. ASU 2014-09 will be effective for the Company beginning in fiscal 2018, and allows for both retrospective and modified retrospective methods of adoption. Early adoption beginning fiscal 2017 is permitted. The Company is in the process of determining the method and timing of adoption and assessing the impact of ASU 2014-09 on its consolidated financial statements.</w:t>
      </w:r>
    </w:p>
    <w:p>
      <w:pPr>
        <w:spacing w:after="0" w:line="189" w:lineRule="exact"/>
        <w:rPr>
          <w:sz w:val="20"/>
          <w:szCs w:val="20"/>
          <w:color w:val="auto"/>
        </w:rPr>
      </w:pPr>
    </w:p>
    <w:p>
      <w:pPr>
        <w:ind w:right="300" w:firstLine="441"/>
        <w:spacing w:after="0" w:line="302" w:lineRule="auto"/>
        <w:rPr>
          <w:sz w:val="20"/>
          <w:szCs w:val="20"/>
          <w:color w:val="auto"/>
        </w:rPr>
      </w:pPr>
      <w:r>
        <w:rPr>
          <w:rFonts w:ascii="Arial" w:cs="Arial" w:eastAsia="Arial" w:hAnsi="Arial"/>
          <w:sz w:val="16"/>
          <w:szCs w:val="16"/>
          <w:color w:val="auto"/>
        </w:rPr>
        <w:t>In August 2014, the FASB issued disclosure guidance that requires the Company to evaluate, at each annual and interim period, whether substantial doubt exists about its ability to continue as a going concern, and if applicable, to provide related disclosures. The new guidance will be effective for the Company for the year ending December 31, 2016. This guidance is not currently expected to have a material effect on our financial statement disclosures upon adoption, although the ultimate impact will be dependent on our financial condition and expected operating outlook at such time.</w:t>
      </w:r>
    </w:p>
    <w:p>
      <w:pPr>
        <w:spacing w:after="0" w:line="154"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will replace most existing lease accounting guidance in U.S. GAAP. The core principle of the ASU is that an entity should recognize the rights and obligations resulting from leases as assets and liabilities. ASU 2016-02 requires qualitative and specific quantitative disclosures to supplement the amounts recorded in the financial statements so that users can understand more about the nature of an entity’s leasing activities, including significant judgments and changes in judgments. ASU 2016-02 will be effective for the Company beginning in fiscal 2019, and requires the modified retrospective method of adoption. Early adoption is permitted. The Company is in the process of determining the method and timing of adoption and assessing the impact of ASU 2016-02 on its consolidated financial statements.</w:t>
      </w:r>
    </w:p>
    <w:p>
      <w:pPr>
        <w:spacing w:after="0" w:line="16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In March 2016, the FASB issued Accounting Standards Update No. 2016-09,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Stock Compensation: Improvements to Employee Share-Based Payment Accounting </w:t>
      </w:r>
      <w:r>
        <w:rPr>
          <w:rFonts w:ascii="Arial" w:cs="Arial" w:eastAsia="Arial" w:hAnsi="Arial"/>
          <w:sz w:val="18"/>
          <w:szCs w:val="18"/>
          <w:color w:val="auto"/>
        </w:rPr>
        <w:t>(ASU 2016-09). The standard is intended to simplify several areas of accounting for share based compensation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income tax impact, classification in the statement of cash flows and forfeitures. ASU 2016-09 will be effective for the Company beginning with the interim periods of fiscal 2017. Early adoption is permitted. The Company is in the process of determining the method and timing of adoption and assessing the impact of ASU 2016-09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April 2016, the Company amended its existing credit agreement extending the term to December 31, 2017 and increasing the amount of permitted investment.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Cautionary Notice Regarding Forward-Looking Statements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January 2, 2016, as filed with the SEC, and the following:</w:t>
      </w:r>
    </w:p>
    <w:p>
      <w:pPr>
        <w:spacing w:after="0" w:line="154" w:lineRule="exact"/>
        <w:rPr>
          <w:sz w:val="20"/>
          <w:szCs w:val="20"/>
          <w:color w:val="auto"/>
        </w:rPr>
      </w:pPr>
    </w:p>
    <w:p>
      <w:pPr>
        <w:ind w:left="660" w:right="4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comparable sales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the strategic alternatives evaluation process announced on May 3, 2016 is uncertain and the process may or may not result in any changes to the company’s business plan or lead to a specific action or transaction;</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improperly obtain or be unable to adequately protect customer information in violation of privacy or security laws or customer expectations;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660" w:right="5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660" w:righ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could become subject to recalls or product liability claims that could adversely impact our financial performance and harm our reputation among consumers;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company-owned stores profitably;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be sued due to violations of labor laws or unethical practices by manufacturers of our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unable to operate our company-owned distribution center efficiently or our third-party distribution center providers may perform poorly;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increase our inventory transportation costs and adversely affect our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leverage the Build-A-Bear brand to drive strategic expansion may not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660" w:right="7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repurchase shares of our common stock at optimal times or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April 2, 2016, we operated 264 stores in the United States, Canada and Puerto Rico (collectively, North America), 57 stores in the United Kingdom, Ireland and Denmark (collectively, Europe) and had 76 franchised stores operating internationally under the Build-A-Bear Workshop brand.</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1" w:name="page12"/>
    <w:bookmarkEnd w:id="11"/>
    <w:p>
      <w:pPr>
        <w:ind w:firstLine="324"/>
        <w:spacing w:after="0" w:line="257" w:lineRule="auto"/>
        <w:rPr>
          <w:sz w:val="20"/>
          <w:szCs w:val="20"/>
          <w:color w:val="auto"/>
        </w:rPr>
      </w:pPr>
      <w:r>
        <w:rPr>
          <w:rFonts w:ascii="Arial" w:cs="Arial" w:eastAsia="Arial" w:hAnsi="Arial"/>
          <w:sz w:val="18"/>
          <w:szCs w:val="18"/>
          <w:color w:val="auto"/>
        </w:rPr>
        <w:t>On May 2, 2016, the Company announced that its Board of Directors had authorized an exploration of a full range of strategic alternatives to enhance total shareholder value. The Company has retained Guggenheim Securities, LLC as its financial advisor and Bryan Cave LLP as its legal counsel to assist with the strategic review. No timetable has been set for the Company’s review process. The Company does not expect to comment further or update the market with any additional information on the process unless and until its Board of Directors deems disclosure appropriate or necessary. There is no assurance that this exploration will result in any strategic alternatives being announced or executed.</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Direct-to-consumer (“DTC”) – Company-owned retail stores located in North America and Europe and two e-commerce sites;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440" w:right="54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w:t>
      </w:r>
    </w:p>
    <w:p>
      <w:pPr>
        <w:spacing w:after="0" w:line="170"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Our company has been executing a multi-year turnaround plan since late 2012 to improve both consolidated comparable sales and profitability with an immediate goal of achieving sustained profitability. In 2015, we delivered our third consecutive year of consolidated comparable sales growth and improved profitability and believe that we are positioned to evolve our goal to one of sustained profitable growth.</w:t>
      </w:r>
    </w:p>
    <w:p>
      <w:pPr>
        <w:spacing w:after="0" w:line="16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fiscal 2016, we expect to continue to build on these successes to reach more people, in more places, with more products and do it more profitably as we deliver on our MORE strategy. To this end, we are refreshing our brand, updating our aging fleet with our Discovery store, expanding globally, securing new licensed programs and developing proprietary intellectual property to extend our core consumer business and expanding our wholesale and outbound licensing programs which we expect to drive incremental, margin-accretive business.</w:t>
      </w:r>
    </w:p>
    <w:p>
      <w:pPr>
        <w:spacing w:after="0" w:line="18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Selected financial data attributable to each segment for the thirteen weeks ended April 2, 2016 and April 4, 2015 are set forth in the notes to our condensed consolidated financial statements included elsewhere in this quarterly report on Form 10-Q.</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use comparable sales as one of the performance measures for our business. Comparable sales percentage changes are based on net retail sales and exclude the impact of foreign exchange. Stores are considered comparable beginning in their thirteenth consecutive full month of operation. The percentage change in comparable sales for the periods presented below is as follows: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356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Thirteen Weeks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84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April 2, 2016</w:t>
            </w:r>
          </w:p>
        </w:tc>
        <w:tc>
          <w:tcPr>
            <w:tcW w:w="1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April 4, 2015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 change (%)</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rPr>
                <w:sz w:val="17"/>
                <w:szCs w:val="17"/>
                <w:color w:val="auto"/>
              </w:rPr>
            </w:pPr>
          </w:p>
        </w:tc>
        <w:tc>
          <w:tcPr>
            <w:tcW w:w="17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Stores</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E-commerce</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320"/>
              <w:spacing w:after="0"/>
              <w:rPr>
                <w:sz w:val="20"/>
                <w:szCs w:val="20"/>
                <w:color w:val="auto"/>
              </w:rPr>
            </w:pPr>
            <w:r>
              <w:rPr>
                <w:rFonts w:ascii="Arial" w:cs="Arial" w:eastAsia="Arial" w:hAnsi="Arial"/>
                <w:sz w:val="18"/>
                <w:szCs w:val="18"/>
                <w:color w:val="auto"/>
              </w:rPr>
              <w:t>Consolidated</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positive consolidated comparable sales was led by the performance in North America as an increase in average dollars per transaction were partially offset by a decline in transactions. We believe this was the result of our overall disciplined management of our business and the elevation of our product and marketing campaigns. Additionally, the strong performance of our new Discovery stores had a positive impact on comparable sales, particularly in North America. We believe that the decline in comparable sales in Europe was the result of the anniversary of the strong performance of licensed product, specifically Disney’s Frozen, in the 2015 first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expect to improve comparable sales through the following key initiatives:</w:t>
      </w:r>
    </w:p>
    <w:p>
      <w:pPr>
        <w:spacing w:after="0" w:line="221" w:lineRule="exact"/>
        <w:rPr>
          <w:sz w:val="20"/>
          <w:szCs w:val="20"/>
          <w:color w:val="auto"/>
        </w:rPr>
      </w:pPr>
    </w:p>
    <w:p>
      <w:pPr>
        <w:ind w:left="1000" w:right="460" w:hanging="290"/>
        <w:spacing w:after="0" w:line="256"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More places: </w:t>
      </w:r>
      <w:r>
        <w:rPr>
          <w:rFonts w:ascii="Arial" w:cs="Arial" w:eastAsia="Arial" w:hAnsi="Arial"/>
          <w:sz w:val="18"/>
          <w:szCs w:val="18"/>
          <w:color w:val="auto"/>
        </w:rPr>
        <w:t>In the first quarter, our 15 Discovery stores achieved an average sales increase of 14% and continue to outpace our heritage</w:t>
      </w:r>
      <w:r>
        <w:rPr>
          <w:rFonts w:ascii="Arial" w:cs="Arial" w:eastAsia="Arial" w:hAnsi="Arial"/>
          <w:sz w:val="18"/>
          <w:szCs w:val="18"/>
          <w:b w:val="1"/>
          <w:bCs w:val="1"/>
          <w:color w:val="auto"/>
        </w:rPr>
        <w:t xml:space="preserve"> </w:t>
      </w:r>
      <w:r>
        <w:rPr>
          <w:rFonts w:ascii="Arial" w:cs="Arial" w:eastAsia="Arial" w:hAnsi="Arial"/>
          <w:sz w:val="18"/>
          <w:szCs w:val="18"/>
          <w:color w:val="auto"/>
        </w:rPr>
        <w:t>stores on all key metrics. Through a combination of remodels and new openings, we expect to end 2016 with between 45 and 55 stores in our Discovery format, including flagship locations at Broadway at the Beach in Myrtle Beach, South Carolina; Navy Pier in Chicago, Illinois; Tivoli Gardens in Copenhagen, Denmark; and an added location in the new Disneytown at the Shanghai Disney Resort in China, expected to open in June 2016. We also expect to continue to diversify our real estate portfolio with the addition of outlet format stores, shop-in-shops and seasonal pop-up locations.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left="1000" w:right="460" w:hanging="290"/>
        <w:spacing w:after="0" w:line="26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Targeting more people: </w:t>
      </w:r>
      <w:r>
        <w:rPr>
          <w:rFonts w:ascii="Arial" w:cs="Arial" w:eastAsia="Arial" w:hAnsi="Arial"/>
          <w:sz w:val="18"/>
          <w:szCs w:val="18"/>
          <w:color w:val="auto"/>
        </w:rPr>
        <w:t>We expect to leverage our relationships with key licensors to reach more people, particularly with the teen-plus</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through a compelling offering of affinity, collectible, entertainment, sports and fashion properties. We also expect to continue to deliver new licensed and internally developed programs to extend our core consumer base.</w:t>
      </w:r>
    </w:p>
    <w:p>
      <w:pPr>
        <w:spacing w:after="0" w:line="176" w:lineRule="exact"/>
        <w:rPr>
          <w:rFonts w:ascii="Arial" w:cs="Arial" w:eastAsia="Arial" w:hAnsi="Arial"/>
          <w:sz w:val="18"/>
          <w:szCs w:val="18"/>
          <w:color w:val="auto"/>
        </w:rPr>
      </w:pPr>
    </w:p>
    <w:p>
      <w:pPr>
        <w:ind w:left="1000" w:right="100" w:hanging="290"/>
        <w:spacing w:after="0" w:line="261"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Developing more products: </w:t>
      </w:r>
      <w:r>
        <w:rPr>
          <w:rFonts w:ascii="Arial" w:cs="Arial" w:eastAsia="Arial" w:hAnsi="Arial"/>
          <w:sz w:val="18"/>
          <w:szCs w:val="18"/>
          <w:color w:val="auto"/>
        </w:rPr>
        <w:t>In addition to our best in class licensing relationships, we plan to continue to develop and expand our offering of</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concepts such as Honey Girls, Promise Pets, the holiday-specific Merry Mission and Horses and Hearts collections that are supported by digital content including music, videos and games. This story-telling marketing approach is expected to continue to drive higher than average units per transaction.</w:t>
      </w:r>
    </w:p>
    <w:p>
      <w:pPr>
        <w:spacing w:after="0" w:line="180" w:lineRule="exact"/>
        <w:rPr>
          <w:rFonts w:ascii="Arial" w:cs="Arial" w:eastAsia="Arial" w:hAnsi="Arial"/>
          <w:sz w:val="18"/>
          <w:szCs w:val="18"/>
          <w:color w:val="auto"/>
        </w:rPr>
      </w:pPr>
    </w:p>
    <w:p>
      <w:pPr>
        <w:ind w:left="1000" w:right="220" w:hanging="290"/>
        <w:spacing w:after="0" w:line="314"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Driving more profitability: </w:t>
      </w:r>
      <w:r>
        <w:rPr>
          <w:rFonts w:ascii="Arial" w:cs="Arial" w:eastAsia="Arial" w:hAnsi="Arial"/>
          <w:sz w:val="16"/>
          <w:szCs w:val="16"/>
          <w:color w:val="auto"/>
        </w:rPr>
        <w:t>We expect to increase 2016 GAAP pre-tax income by 15% to 25% over our 2015 fiscal results by the disciplined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of our stated strategies including those initiatives detailed above as well as our on-going efforts in process improvement, system upgrades, value engineering and strategic pricing to enhance merchandise margins and drive an increase in average dollars per transaction.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Stores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and Europe for the periods presented:</w:t>
      </w:r>
    </w:p>
    <w:p>
      <w:pPr>
        <w:spacing w:after="0" w:line="200" w:lineRule="exact"/>
        <w:rPr>
          <w:sz w:val="20"/>
          <w:szCs w:val="20"/>
          <w:color w:val="auto"/>
        </w:rPr>
      </w:pPr>
    </w:p>
    <w:p>
      <w:pPr>
        <w:spacing w:after="0" w:line="24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6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April 2, 2016</w:t>
            </w:r>
          </w:p>
        </w:tc>
        <w:tc>
          <w:tcPr>
            <w:tcW w:w="1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4"/>
              </w:rPr>
              <w:t>April 4, 2015</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1660" w:type="dxa"/>
            <w:vAlign w:val="bottom"/>
          </w:tcPr>
          <w:p>
            <w:pPr>
              <w:spacing w:after="0"/>
              <w:rPr>
                <w:sz w:val="16"/>
                <w:szCs w:val="16"/>
                <w:color w:val="auto"/>
              </w:rPr>
            </w:pPr>
          </w:p>
        </w:tc>
        <w:tc>
          <w:tcPr>
            <w:tcW w:w="144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North</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North</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166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America</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Europe</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America</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Europe</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1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r>
      <w:tr>
        <w:trPr>
          <w:trHeight w:val="216"/>
        </w:trPr>
        <w:tc>
          <w:tcPr>
            <w:tcW w:w="1660" w:type="dxa"/>
            <w:vAlign w:val="bottom"/>
          </w:tcPr>
          <w:p>
            <w:pPr>
              <w:ind w:left="160"/>
              <w:spacing w:after="0"/>
              <w:rPr>
                <w:sz w:val="20"/>
                <w:szCs w:val="20"/>
                <w:color w:val="auto"/>
              </w:rPr>
            </w:pPr>
            <w:r>
              <w:rPr>
                <w:rFonts w:ascii="Arial" w:cs="Arial" w:eastAsia="Arial" w:hAnsi="Arial"/>
                <w:sz w:val="18"/>
                <w:szCs w:val="18"/>
                <w:color w:val="auto"/>
              </w:rPr>
              <w:t>Opened</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1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0"/>
        </w:trPr>
        <w:tc>
          <w:tcPr>
            <w:tcW w:w="16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660" w:type="dxa"/>
            <w:vAlign w:val="bottom"/>
          </w:tcPr>
          <w:p>
            <w:pPr>
              <w:spacing w:after="0"/>
              <w:rPr>
                <w:sz w:val="20"/>
                <w:szCs w:val="20"/>
                <w:color w:val="auto"/>
              </w:rPr>
            </w:pPr>
            <w:r>
              <w:rPr>
                <w:rFonts w:ascii="Arial" w:cs="Arial" w:eastAsia="Arial" w:hAnsi="Arial"/>
                <w:sz w:val="18"/>
                <w:szCs w:val="18"/>
                <w:color w:val="auto"/>
              </w:rPr>
              <w:t>End of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r>
      <w:tr>
        <w:trPr>
          <w:trHeight w:val="20"/>
        </w:trPr>
        <w:tc>
          <w:tcPr>
            <w:tcW w:w="1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During 2016, we expect to expand our owned and operated locations by adding approximately 10 to 15 stores, net of closures. Through a combination of remodels and new openings, we expect to end the year with between 45 and 55 stores in our Discovery format, including select flagship locations, both domestic and internationally. As of April 2, 2016, we operated 15 stores in our Discovery format and expect to open a minimum of 30 additional new or remodeled Discovery locations in the remainder of the year, with the majority of these occurring in the second quarter. We also expect to continue to diversify our real estate portfolio with the addition of more outlet format stores, shop-in-shops and seasonal pop-up locations. We plan to update stores primarily in conjunction with natural lease events including new store openings, relocations and lease required remodels. We also expect to close select stores in accordance with natural lease events as an ongoing part of our real estate management and day-to-day operational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Revenue</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first franchisee location was opened in November 2003. All franchised stores have similar signage, store layout, merchandise characteristics and guest experience as our company-owned stores. As of April 2, 2016, we had eight master franchise agreements, which typically grant franchise rights for a particular country or group of countries, covering an aggregate of 14 countries. The number of international franchised stores, inclusive of pop-up stores and shop-in-shop locations, opened and closed for the periods presented below are summarized as follows:</w:t>
      </w:r>
    </w:p>
    <w:p>
      <w:pPr>
        <w:spacing w:after="0" w:line="167"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96"/>
              </w:rPr>
              <w:t>April 2, 2016</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April 4, 2015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3"/>
          </w:tcPr>
          <w:p>
            <w:pPr>
              <w:ind w:left="1140"/>
              <w:spacing w:after="0"/>
              <w:rPr>
                <w:sz w:val="20"/>
                <w:szCs w:val="20"/>
                <w:color w:val="auto"/>
              </w:rPr>
            </w:pPr>
            <w:r>
              <w:rPr>
                <w:rFonts w:ascii="Arial" w:cs="Arial" w:eastAsia="Arial" w:hAnsi="Arial"/>
                <w:sz w:val="18"/>
                <w:szCs w:val="18"/>
                <w:color w:val="auto"/>
              </w:rPr>
              <w:t>End of period</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1030"/>
              <w:spacing w:after="0"/>
              <w:rPr>
                <w:sz w:val="20"/>
                <w:szCs w:val="20"/>
                <w:color w:val="auto"/>
              </w:rPr>
            </w:pPr>
            <w:r>
              <w:rPr>
                <w:rFonts w:ascii="Arial" w:cs="Arial" w:eastAsia="Arial" w:hAnsi="Arial"/>
                <w:sz w:val="18"/>
                <w:szCs w:val="18"/>
                <w:color w:val="auto"/>
              </w:rPr>
              <w:t>13</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92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57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3" w:name="page14"/>
    <w:bookmarkEnd w:id="13"/>
    <w:p>
      <w:pPr>
        <w:ind w:firstLine="324"/>
        <w:spacing w:after="0" w:line="276" w:lineRule="auto"/>
        <w:rPr>
          <w:sz w:val="20"/>
          <w:szCs w:val="20"/>
          <w:color w:val="auto"/>
        </w:rPr>
      </w:pPr>
      <w:r>
        <w:rPr>
          <w:rFonts w:ascii="Arial" w:cs="Arial" w:eastAsia="Arial" w:hAnsi="Arial"/>
          <w:sz w:val="17"/>
          <w:szCs w:val="17"/>
          <w:color w:val="auto"/>
        </w:rPr>
        <w:t>In the ordinary course of business, we anticipate signing additional master franchise agreements in the future and terminating other such agreements. We believe there is a market potential for approximately 300 international stores outside of North America and Europe. In 2016, our international strategy is to leverage the improving strength in our company-owned stores to restructure and extend our international footprint. Key franchisees have started to apply our successful real estate strategies including opening pop-up stores to assess long-term potential and adding shop-in-shops with select partners. We expect to develop market expansion through both new and existing franchisees and a company-owned store model.</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w:t>
      </w:r>
    </w:p>
    <w:p>
      <w:pPr>
        <w:spacing w:after="0" w:line="166"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100" w:type="dxa"/>
            <w:vAlign w:val="bottom"/>
            <w:tcBorders>
              <w:top w:val="single" w:sz="8" w:color="auto"/>
            </w:tcBorders>
          </w:tcPr>
          <w:p>
            <w:pPr>
              <w:jc w:val="center"/>
              <w:ind w:left="330"/>
              <w:spacing w:after="0" w:line="191" w:lineRule="exact"/>
              <w:rPr>
                <w:sz w:val="20"/>
                <w:szCs w:val="20"/>
                <w:color w:val="auto"/>
              </w:rPr>
            </w:pPr>
            <w:r>
              <w:rPr>
                <w:rFonts w:ascii="Arial" w:cs="Arial" w:eastAsia="Arial" w:hAnsi="Arial"/>
                <w:sz w:val="18"/>
                <w:szCs w:val="18"/>
                <w:b w:val="1"/>
                <w:bCs w:val="1"/>
                <w:color w:val="auto"/>
                <w:w w:val="98"/>
              </w:rPr>
              <w:t>April 2,</w:t>
            </w: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390"/>
              <w:spacing w:after="0" w:line="191" w:lineRule="exact"/>
              <w:rPr>
                <w:sz w:val="20"/>
                <w:szCs w:val="20"/>
                <w:color w:val="auto"/>
              </w:rPr>
            </w:pPr>
            <w:r>
              <w:rPr>
                <w:rFonts w:ascii="Arial" w:cs="Arial" w:eastAsia="Arial" w:hAnsi="Arial"/>
                <w:sz w:val="18"/>
                <w:szCs w:val="18"/>
                <w:b w:val="1"/>
                <w:bCs w:val="1"/>
                <w:color w:val="auto"/>
              </w:rPr>
              <w:t>April 4,</w:t>
            </w:r>
          </w:p>
        </w:tc>
        <w:tc>
          <w:tcPr>
            <w:tcW w:w="160" w:type="dxa"/>
            <w:vAlign w:val="bottom"/>
          </w:tcPr>
          <w:p>
            <w:pPr>
              <w:spacing w:after="0"/>
              <w:rPr>
                <w:sz w:val="16"/>
                <w:szCs w:val="16"/>
                <w:color w:val="auto"/>
              </w:rPr>
            </w:pPr>
          </w:p>
        </w:tc>
      </w:tr>
      <w:tr>
        <w:trPr>
          <w:trHeight w:val="234"/>
        </w:trPr>
        <w:tc>
          <w:tcPr>
            <w:tcW w:w="67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Net retail sales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Franchise fees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Commercial revenue</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440" w:type="dxa"/>
            <w:vAlign w:val="bottom"/>
          </w:tcPr>
          <w:p>
            <w:pPr>
              <w:jc w:val="right"/>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Store preopening</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(income), net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costs and expenses</w:t>
            </w:r>
          </w:p>
        </w:tc>
        <w:tc>
          <w:tcPr>
            <w:tcW w:w="1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60" w:type="dxa"/>
            <w:vAlign w:val="bottom"/>
            <w:tcBorders>
              <w:top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160"/>
              <w:spacing w:after="0"/>
              <w:rPr>
                <w:sz w:val="20"/>
                <w:szCs w:val="20"/>
                <w:color w:val="auto"/>
              </w:rPr>
            </w:pPr>
            <w:r>
              <w:rPr>
                <w:rFonts w:ascii="Arial" w:cs="Arial" w:eastAsia="Arial" w:hAnsi="Arial"/>
                <w:sz w:val="18"/>
                <w:szCs w:val="18"/>
                <w:color w:val="auto"/>
              </w:rPr>
              <w:t>Income tax expense</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197"/>
        </w:trPr>
        <w:tc>
          <w:tcPr>
            <w:tcW w:w="6780" w:type="dxa"/>
            <w:vAlign w:val="bottom"/>
            <w:gridSpan w:val="3"/>
          </w:tcPr>
          <w:p>
            <w:pPr>
              <w:spacing w:after="0" w:line="197" w:lineRule="exact"/>
              <w:rPr>
                <w:sz w:val="20"/>
                <w:szCs w:val="20"/>
                <w:color w:val="auto"/>
              </w:rPr>
            </w:pPr>
            <w:r>
              <w:rPr>
                <w:rFonts w:ascii="Arial" w:cs="Arial" w:eastAsia="Arial" w:hAnsi="Arial"/>
                <w:sz w:val="14"/>
                <w:szCs w:val="14"/>
                <w:color w:val="auto"/>
              </w:rPr>
              <w:t xml:space="preserve">Retail gross margin </w:t>
            </w:r>
            <w:r>
              <w:rPr>
                <w:rFonts w:ascii="Arial" w:cs="Arial" w:eastAsia="Arial" w:hAnsi="Arial"/>
                <w:sz w:val="22"/>
                <w:szCs w:val="22"/>
                <w:color w:val="auto"/>
                <w:vertAlign w:val="superscript"/>
              </w:rPr>
              <w:t>%</w:t>
            </w:r>
          </w:p>
        </w:tc>
        <w:tc>
          <w:tcPr>
            <w:tcW w:w="6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48.4%</w:t>
            </w:r>
          </w:p>
        </w:tc>
        <w:tc>
          <w:tcPr>
            <w:tcW w:w="1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46.8%</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80" w:right="80" w:hanging="372"/>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merchandise sold – retail is expressed as a percentage of net retail sales. Cost of merchandise sold – commercial is expressed as a percentage of commercial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April 2, 2016 compared to thirteen weeks ended April 4, 2015</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Total revenues were $95.0 million for the thirteen weeks ended April 2, 2016 as compared to $93.4 million for the thirteen weeks ended April</w:t>
      </w:r>
      <w:r>
        <w:rPr>
          <w:rFonts w:ascii="Arial" w:cs="Arial" w:eastAsia="Arial" w:hAnsi="Arial"/>
          <w:sz w:val="16"/>
          <w:szCs w:val="16"/>
          <w:i w:val="1"/>
          <w:iCs w:val="1"/>
          <w:color w:val="auto"/>
        </w:rPr>
        <w:t xml:space="preserve"> </w:t>
      </w:r>
      <w:r>
        <w:rPr>
          <w:rFonts w:ascii="Arial" w:cs="Arial" w:eastAsia="Arial" w:hAnsi="Arial"/>
          <w:sz w:val="16"/>
          <w:szCs w:val="16"/>
          <w:color w:val="auto"/>
        </w:rPr>
        <w:t>4, 2015, an increase of $1.6 million, or 1.7%. Net retail sales were $94.1 million for the thirteen weeks ended April 2, 2016 as compared to $91.7 million for the thirteen weeks ended April 4, 2015, an increase of $2.4 million, or 2.6%. The components of this increase are as follows (dollars in millions):</w:t>
      </w:r>
    </w:p>
    <w:p>
      <w:pPr>
        <w:sectPr>
          <w:pgSz w:w="11900" w:h="16838" w:orient="portrait"/>
          <w:cols w:equalWidth="0" w:num="1">
            <w:col w:w="11380"/>
          </w:cols>
          <w:pgMar w:left="240" w:top="584" w:right="279" w:bottom="1440" w:gutter="0" w:footer="0" w:header="0"/>
        </w:sectPr>
      </w:pPr>
    </w:p>
    <w:p>
      <w:pPr>
        <w:spacing w:after="0" w:line="3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Impact of store 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5176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Increase in comparable sales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Increase from new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5176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Change in deferred revenue estimates, including breakage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Impact of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5176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500" w:right="2840"/>
        <w:spacing w:after="0" w:line="276" w:lineRule="auto"/>
        <w:rPr>
          <w:sz w:val="20"/>
          <w:szCs w:val="20"/>
          <w:color w:val="auto"/>
        </w:rPr>
      </w:pPr>
      <w:r>
        <w:rPr>
          <w:rFonts w:ascii="Arial" w:cs="Arial" w:eastAsia="Arial" w:hAnsi="Arial"/>
          <w:sz w:val="18"/>
          <w:szCs w:val="18"/>
          <w:color w:val="auto"/>
        </w:rPr>
        <w:t>Increase in non-comparable stores, primarily remodels and relocations Increase from other retail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-164465</wp:posOffset>
            </wp:positionV>
            <wp:extent cx="651764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1260" w:hanging="1256"/>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(2.6)</w:t>
      </w:r>
    </w:p>
    <w:p>
      <w:pPr>
        <w:spacing w:after="0" w:line="46"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8"/>
          <w:szCs w:val="18"/>
          <w:color w:val="auto"/>
        </w:rPr>
        <w:t>1.9</w:t>
      </w:r>
    </w:p>
    <w:p>
      <w:pPr>
        <w:spacing w:after="0" w:line="9"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8"/>
          <w:szCs w:val="18"/>
          <w:color w:val="auto"/>
        </w:rPr>
        <w:t>1.8</w:t>
      </w:r>
    </w:p>
    <w:p>
      <w:pPr>
        <w:spacing w:after="0" w:line="9"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8"/>
          <w:szCs w:val="18"/>
          <w:color w:val="auto"/>
        </w:rPr>
        <w:t>1.6</w:t>
      </w:r>
    </w:p>
    <w:p>
      <w:pPr>
        <w:spacing w:after="0" w:line="9" w:lineRule="exact"/>
        <w:rPr>
          <w:sz w:val="20"/>
          <w:szCs w:val="20"/>
          <w:color w:val="auto"/>
        </w:rPr>
      </w:pPr>
    </w:p>
    <w:p>
      <w:pPr>
        <w:jc w:val="right"/>
        <w:ind w:right="66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0.4</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0.4</w:t>
      </w:r>
    </w:p>
    <w:p>
      <w:pPr>
        <w:spacing w:after="0" w:line="9" w:lineRule="exact"/>
        <w:rPr>
          <w:sz w:val="20"/>
          <w:szCs w:val="20"/>
          <w:color w:val="auto"/>
        </w:rPr>
      </w:pPr>
    </w:p>
    <w:p>
      <w:pPr>
        <w:ind w:left="1320" w:hanging="1316"/>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977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31750</wp:posOffset>
            </wp:positionV>
            <wp:extent cx="977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0" w:space="720"/>
            <w:col w:w="2260"/>
          </w:cols>
          <w:pgMar w:left="240" w:top="584" w:right="279" w:bottom="1440" w:gutter="0" w:footer="0" w:header="0"/>
          <w:type w:val="continuous"/>
        </w:sectPr>
      </w:pPr>
    </w:p>
    <w:p>
      <w:pPr>
        <w:spacing w:after="0" w:line="6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positive consolidated comparable sales was led by the performance in North America as an increase in average dollars per transaction were partially offset by a decline in transactions. We believe this was the result of our overall disciplined management of our business and the elevation of our product and marketing campaigns. Additionally, the strong performance of our new Discovery stores had a positive impact on comparable sales, particularly in North America. We believe that the decline in comparable sales in Europe was the result of the anniversary of the strong performance of licensed product, specifically Disney’s Frozen, in the 2015 first quarter.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type w:val="continuous"/>
        </w:sectPr>
      </w:pPr>
    </w:p>
    <w:bookmarkStart w:id="14" w:name="page15"/>
    <w:bookmarkEnd w:id="14"/>
    <w:p>
      <w:pPr>
        <w:ind w:right="120" w:firstLine="324"/>
        <w:spacing w:after="0" w:line="312" w:lineRule="auto"/>
        <w:rPr>
          <w:sz w:val="20"/>
          <w:szCs w:val="20"/>
          <w:color w:val="auto"/>
        </w:rPr>
      </w:pPr>
      <w:r>
        <w:rPr>
          <w:rFonts w:ascii="Arial" w:cs="Arial" w:eastAsia="Arial" w:hAnsi="Arial"/>
          <w:sz w:val="16"/>
          <w:szCs w:val="16"/>
          <w:color w:val="auto"/>
        </w:rPr>
        <w:t>Commercial revenue was $0.5 million for the thirteen weeks ended April 2, 2016 compared to $1.2 million for the thirteen weeks ended April 4, 2015, a decrease of $0.7 million, resulting from the timing of wholesale sales in 2015. Revenue from international franchise fees was $0.4 million and $0.6 million for the thirteen weeks ended April 2, 2016 and April 4, 2015, respectively, the decrease resulting from a decline in sales at franchised stores.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was $45.5 million for the thirteen weeks ended April 2, 2016 as compared to $42.9 million for the thirteen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April 4, 2015, an increase of $2.6 million, or 6.1%. As a percentage of net retail sales, retail gross margin was 48.4% for the thirteen weeks ended April 2, 2016 as compared to 46.8% for the thirteen weeks ended April 2, 2016, an increase of 160 basis points as a percentage of net retail sales. Our retail gross margin improvement was primarily driven by the increase in net retail sales from gift card breakage revenue, leverage on fixed occupancy costs and a 40 basis point expansion in merchandise margin.</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(“SG&amp;A”) expenses were $39.7 million for the thirteen weeks ended April 2, 2016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$37.2 million for the thirteen weeks ended April 4, 2015, an increase of $2.5 million, or 6.6%. As a percentage of total revenues, SG&amp;A expenses were 41.8% for the thirteen weeks ended April 2, 2016 as compared to 39.9% for the thirteen weeks ended April 4, 2015, an increase of 190 basis points. This increase was primarily the result of a decision to shift marketing expenses to the first half of 2016, increased compensation expense to support growth in the business, investments in new business initiatives and international expansion. Additionally, in 2016, gift card breakage is a component of net retail sales while in 2015, it was an offset to SG&amp;A expense.</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Store preopening. </w:t>
      </w:r>
      <w:r>
        <w:rPr>
          <w:rFonts w:ascii="Arial" w:cs="Arial" w:eastAsia="Arial" w:hAnsi="Arial"/>
          <w:sz w:val="18"/>
          <w:szCs w:val="18"/>
          <w:color w:val="auto"/>
        </w:rPr>
        <w:t>Store preopening expenses were $1.2 million for the thirteen weeks ended April 2, 2016 as compared to $20,000 for the thirteen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April 4, 2015, an increase of $1.2 million. Store preopening expenses for the thirteen weeks ended April 2, 2016 were predominantly associated with openings of new and remodeled Discovery format stores in the first quarter along with a portion of planned second quarter openings. We opened four of these locations in the fiscal 2016 first quarter and expect to open a minimum of 30 additional new or remodeled Discovery stores in the remainder of the year, with the majority of these occurring in the second quarter.</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$27,000 for the thirteen weeks ended April 2, 2016 as compared to $51,000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April 4, 2015.</w:t>
      </w:r>
    </w:p>
    <w:p>
      <w:pPr>
        <w:spacing w:after="0" w:line="17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was $1.8 million with a tax rate of 33.3% for the thirteen weeks ended April 2, 2016 compared to tax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$0.2 million with a tax rate of 3.3% for the thirteen weeks ended April 4, 2015, an increase of $1.5 million. The change in the Company’s tax rate as compared to the prior year’s first quarter was driven by the release of the valuation allowance on domestic deferred tax assets in fiscal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700"/>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(1) changes in general economic conditions and consumer spending patterns; (2) increases or decreases in our comparable store sales;</w:t>
      </w:r>
    </w:p>
    <w:p>
      <w:pPr>
        <w:ind w:right="240" w:firstLine="8"/>
        <w:spacing w:after="0" w:line="25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profitability of our stores; (4) changes in foreign currency exchange rates; (5) the timing and frequency of our marketing initiatives, including national media and other public relations events; (6) the timing of our store closings and openings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9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when the closure is communicated to store associates and at the time of closure. We typically incur most preopening costs for a new store in the three months immediately preceding the store’s opening.</w:t>
      </w:r>
    </w:p>
    <w:p>
      <w:pPr>
        <w:spacing w:after="0" w:line="18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a toy retailer, our sales are highest in our fourth quarter, followed by the first quarter. The timing of holidays and school vacations can impact our quarterly results. Our European-based stores have historically been more heavily weighted in the fourth quarter as compared to our North American stores. We cannot assure you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used in operating activities was $7.0 million for the thirteen weeks ended April 2, 2016 compared with $3.8 million for the thirteen</w:t>
      </w:r>
      <w:r>
        <w:rPr>
          <w:rFonts w:ascii="Arial" w:cs="Arial" w:eastAsia="Arial" w:hAnsi="Arial"/>
          <w:sz w:val="17"/>
          <w:szCs w:val="17"/>
          <w:i w:val="1"/>
          <w:iCs w:val="1"/>
          <w:color w:val="auto"/>
        </w:rPr>
        <w:t xml:space="preserve"> </w:t>
      </w:r>
      <w:r>
        <w:rPr>
          <w:rFonts w:ascii="Arial" w:cs="Arial" w:eastAsia="Arial" w:hAnsi="Arial"/>
          <w:sz w:val="17"/>
          <w:szCs w:val="17"/>
          <w:color w:val="auto"/>
        </w:rPr>
        <w:t>weeks ended April 4, 2015, an increase of $3.2 million. This increase in cash used in operating activities over the year ago period was primarily due to the decrease in net income and increase in revenue from gift card redemptions partially offset by the timing of inventory payments.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was $4.7 million for the thirteen weeks ended April 2, 2016 as compared to $2.9 million for the thirteen</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April 4, 2015, an increase of $1.8 million. Cash used in investing activities during the thirteen weeks ended April 2, 2016 primarily related to store construction and upgrades and purchases of information technology infrastructure, partially offset by the maturity of short-term investments. Cash used in investing activities during the thirteen weeks ended April 4, 2015 primarily related to upgrades and purchases of central office information technology systems and equipment and store construction and maintenance.</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Cash used in financing activities in the thirteen weeks ended April 2, 2016 was $1.9 million as purchases of our stock used cash of $1.5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exercises of employee stock options, net of shares used for withholding tax payments used $0.4 million. Cash used in the thirteen weeks ended April 4, 2015 was $3.5 million as purchases of our stock used cash of $3.0 million and exercises of employee stock options, net of shares used for withholding tax payments used $0.5 million. No borrowings were made under our line of credit in either the thirteen weeks ended April 2, 2016 or April 4, 2015.</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April 2, 2016, we had a consolidated cash balance of $30.8 million, more than half of which was domiciled outside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We also have a line of credit, which we can use to finance capital expenditures and working capital needs throughout the year. The bank line provides availability of $35 million. Borrowings under the credit agreement are secured by our assets and a pledge of 65% of our ownership interest in certain of our foreign subsidiaries. The credit agreement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On April 25, 2016, we amended the existing credit agreement extending the term to December 31, 2017 and increasing the amount of permitted investment. As of April 2, 2016: (i) we were in compliance with these covenants; (ii) there were no borrowings under our line of credit; and (iii) there was approximately $35.0 million available for borrowing under the line of credit.</w:t>
      </w:r>
    </w:p>
    <w:p>
      <w:pPr>
        <w:spacing w:after="0" w:line="18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93"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Our leases in the U.K. and Ireland typically have terms of 10 to 15 years and generally contain a provision whereby every fifth year the rental rate can be adjusted upwards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17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fiscal 2016, we expect to spend a total of $25 million to $30 million on capital expenditures. Capital spending through the thirteen weeks ended April 2, 2016 totaled $6.2 million, on track with our full year plans. Capital spending in fiscal 2016 is expected to primarily support our store activity, including both remodels and new stores, and investment in IT infrastructure.</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ind w:right="40" w:firstLine="324"/>
        <w:spacing w:after="0" w:line="255" w:lineRule="auto"/>
        <w:rPr>
          <w:sz w:val="20"/>
          <w:szCs w:val="20"/>
          <w:color w:val="auto"/>
        </w:rPr>
      </w:pPr>
      <w:r>
        <w:rPr>
          <w:rFonts w:ascii="Arial" w:cs="Arial" w:eastAsia="Arial" w:hAnsi="Arial"/>
          <w:sz w:val="18"/>
          <w:szCs w:val="18"/>
          <w:color w:val="auto"/>
        </w:rPr>
        <w:t>In November 2015, the board adopted a share repurchase program authorizing the repurchase of up to $15 million of our common stock until March 31, 2016. This program authorized us to purchase our common stock in the open market (including through 10b5-1 trading plans), through privately negotiated transactions, or through an accelerated repurchase transaction. The primary source of funding was cash on hand. The timing and amount of share repurchases depended on price, market conditions, applicable regulatory requirements, and other factors. Shares repurchased under this program were subsequently retired. Under this program, we repurchased approximately 615,000 shares at an average price of $12.05 per share for an aggregate amount of $7.4 million. This program expired on March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goodwill,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17, 2016, which includes audited consolidated financial statements for our 2015, 2014 and 2013 fiscal years. There have been no material changes to the critical accounting estimates disclosed in the 2015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10 – Recently Issued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January 2, 2016 as filed with the SEC on March 17,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April 2, 2016, the end of the period covered by this Quarterly Report.</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7" w:name="page18"/>
    <w:bookmarkEnd w:id="17"/>
    <w:p>
      <w:pPr>
        <w:ind w:firstLine="324"/>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to our Risk Factors as disclosed in our Annual Report on Form 10-K for the year ended January 2, 2016 as filed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on March 17, 2016, except for the addition of the following risk factor:</w:t>
      </w:r>
    </w:p>
    <w:p>
      <w:pPr>
        <w:spacing w:after="0" w:line="211"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The outcome of the strategic alternatives evaluation process announced on May 3, 2016 is uncertain and the process may or may not result in any changes to the Company’s business plan or lead to a specific action or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w:t>
            </w:r>
          </w:p>
        </w:tc>
        <w:tc>
          <w:tcPr>
            <w:tcW w:w="2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(b)</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4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4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Approximate Dollar Value)</w:t>
            </w:r>
          </w:p>
        </w:tc>
      </w:tr>
      <w:tr>
        <w:trPr>
          <w:trHeight w:val="216"/>
        </w:trPr>
        <w:tc>
          <w:tcPr>
            <w:tcW w:w="4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424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Shares (or Units) that May</w:t>
            </w:r>
          </w:p>
        </w:tc>
      </w:tr>
      <w:tr>
        <w:trPr>
          <w:trHeight w:val="216"/>
        </w:trPr>
        <w:tc>
          <w:tcPr>
            <w:tcW w:w="424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of</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2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Yet</w:t>
            </w:r>
          </w:p>
        </w:tc>
      </w:tr>
      <w:tr>
        <w:trPr>
          <w:trHeight w:val="216"/>
        </w:trPr>
        <w:tc>
          <w:tcPr>
            <w:tcW w:w="424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Shares (or</w:t>
            </w:r>
          </w:p>
        </w:tc>
        <w:tc>
          <w:tcPr>
            <w:tcW w:w="2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 Price</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 Purchased Under the</w:t>
            </w:r>
          </w:p>
        </w:tc>
      </w:tr>
      <w:tr>
        <w:trPr>
          <w:trHeight w:val="193"/>
        </w:trPr>
        <w:tc>
          <w:tcPr>
            <w:tcW w:w="4240" w:type="dxa"/>
            <w:vAlign w:val="bottom"/>
          </w:tcPr>
          <w:p>
            <w:pPr>
              <w:spacing w:after="0"/>
              <w:rPr>
                <w:sz w:val="16"/>
                <w:szCs w:val="16"/>
                <w:color w:val="auto"/>
              </w:rPr>
            </w:pPr>
          </w:p>
        </w:tc>
        <w:tc>
          <w:tcPr>
            <w:tcW w:w="1400" w:type="dxa"/>
            <w:vAlign w:val="bottom"/>
          </w:tcPr>
          <w:p>
            <w:pPr>
              <w:jc w:val="center"/>
              <w:ind w:right="30"/>
              <w:spacing w:after="0" w:line="193" w:lineRule="exact"/>
              <w:rPr>
                <w:sz w:val="20"/>
                <w:szCs w:val="20"/>
                <w:color w:val="auto"/>
              </w:rPr>
            </w:pPr>
            <w:r>
              <w:rPr>
                <w:rFonts w:ascii="Arial" w:cs="Arial" w:eastAsia="Arial" w:hAnsi="Arial"/>
                <w:sz w:val="18"/>
                <w:szCs w:val="18"/>
                <w:b w:val="1"/>
                <w:bCs w:val="1"/>
                <w:color w:val="auto"/>
                <w:w w:val="94"/>
              </w:rPr>
              <w:t>Units)</w:t>
            </w:r>
          </w:p>
        </w:tc>
        <w:tc>
          <w:tcPr>
            <w:tcW w:w="1520" w:type="dxa"/>
            <w:vAlign w:val="bottom"/>
            <w:gridSpan w:val="2"/>
          </w:tcPr>
          <w:p>
            <w:pPr>
              <w:jc w:val="center"/>
              <w:spacing w:after="0" w:line="193" w:lineRule="exact"/>
              <w:rPr>
                <w:sz w:val="20"/>
                <w:szCs w:val="20"/>
                <w:color w:val="auto"/>
              </w:rPr>
            </w:pPr>
            <w:r>
              <w:rPr>
                <w:rFonts w:ascii="Arial" w:cs="Arial" w:eastAsia="Arial" w:hAnsi="Arial"/>
                <w:sz w:val="18"/>
                <w:szCs w:val="18"/>
                <w:b w:val="1"/>
                <w:bCs w:val="1"/>
                <w:color w:val="auto"/>
                <w:w w:val="89"/>
              </w:rPr>
              <w:t>Paid Per Share</w:t>
            </w:r>
          </w:p>
        </w:tc>
        <w:tc>
          <w:tcPr>
            <w:tcW w:w="188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0"/>
              </w:rPr>
              <w:t>Publicly Announced</w:t>
            </w:r>
          </w:p>
        </w:tc>
        <w:tc>
          <w:tcPr>
            <w:tcW w:w="220" w:type="dxa"/>
            <w:vAlign w:val="bottom"/>
          </w:tcPr>
          <w:p>
            <w:pPr>
              <w:spacing w:after="0"/>
              <w:rPr>
                <w:sz w:val="16"/>
                <w:szCs w:val="16"/>
                <w:color w:val="auto"/>
              </w:rPr>
            </w:pPr>
          </w:p>
        </w:tc>
        <w:tc>
          <w:tcPr>
            <w:tcW w:w="2160" w:type="dxa"/>
            <w:vAlign w:val="bottom"/>
            <w:gridSpan w:val="2"/>
          </w:tcPr>
          <w:p>
            <w:pPr>
              <w:jc w:val="center"/>
              <w:ind w:right="220"/>
              <w:spacing w:after="0" w:line="193" w:lineRule="exact"/>
              <w:rPr>
                <w:sz w:val="20"/>
                <w:szCs w:val="20"/>
                <w:color w:val="auto"/>
              </w:rPr>
            </w:pPr>
            <w:r>
              <w:rPr>
                <w:rFonts w:ascii="Arial" w:cs="Arial" w:eastAsia="Arial" w:hAnsi="Arial"/>
                <w:sz w:val="18"/>
                <w:szCs w:val="18"/>
                <w:b w:val="1"/>
                <w:bCs w:val="1"/>
                <w:color w:val="auto"/>
                <w:w w:val="89"/>
              </w:rPr>
              <w:t>Plan</w:t>
            </w:r>
          </w:p>
        </w:tc>
      </w:tr>
      <w:tr>
        <w:trPr>
          <w:trHeight w:val="258"/>
        </w:trPr>
        <w:tc>
          <w:tcPr>
            <w:tcW w:w="42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400" w:type="dxa"/>
            <w:vAlign w:val="bottom"/>
          </w:tcPr>
          <w:p>
            <w:pPr>
              <w:jc w:val="center"/>
              <w:ind w:right="10"/>
              <w:spacing w:after="0" w:line="258"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9"/>
                <w:szCs w:val="29"/>
                <w:b w:val="1"/>
                <w:bCs w:val="1"/>
                <w:color w:val="auto"/>
                <w:w w:val="84"/>
                <w:vertAlign w:val="superscript"/>
              </w:rPr>
              <w:t>(1)</w:t>
            </w:r>
          </w:p>
        </w:tc>
        <w:tc>
          <w:tcPr>
            <w:tcW w:w="220" w:type="dxa"/>
            <w:vAlign w:val="bottom"/>
          </w:tcPr>
          <w:p>
            <w:pPr>
              <w:spacing w:after="0"/>
              <w:rPr>
                <w:sz w:val="22"/>
                <w:szCs w:val="22"/>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(or Unit)</w:t>
            </w:r>
          </w:p>
        </w:tc>
        <w:tc>
          <w:tcPr>
            <w:tcW w:w="1880" w:type="dxa"/>
            <w:vAlign w:val="bottom"/>
          </w:tcPr>
          <w:p>
            <w:pPr>
              <w:jc w:val="center"/>
              <w:spacing w:after="0" w:line="258" w:lineRule="exact"/>
              <w:rPr>
                <w:sz w:val="20"/>
                <w:szCs w:val="20"/>
                <w:color w:val="auto"/>
              </w:rPr>
            </w:pPr>
            <w:r>
              <w:rPr>
                <w:rFonts w:ascii="Arial" w:cs="Arial" w:eastAsia="Arial" w:hAnsi="Arial"/>
                <w:sz w:val="18"/>
                <w:szCs w:val="18"/>
                <w:b w:val="1"/>
                <w:bCs w:val="1"/>
                <w:color w:val="auto"/>
                <w:w w:val="90"/>
              </w:rPr>
              <w:t xml:space="preserve">Plan or Program </w:t>
            </w:r>
            <w:r>
              <w:rPr>
                <w:rFonts w:ascii="Arial" w:cs="Arial" w:eastAsia="Arial" w:hAnsi="Arial"/>
                <w:sz w:val="29"/>
                <w:szCs w:val="29"/>
                <w:b w:val="1"/>
                <w:bCs w:val="1"/>
                <w:color w:val="auto"/>
                <w:w w:val="90"/>
                <w:vertAlign w:val="superscript"/>
              </w:rPr>
              <w:t>(2)</w:t>
            </w:r>
          </w:p>
        </w:tc>
        <w:tc>
          <w:tcPr>
            <w:tcW w:w="220" w:type="dxa"/>
            <w:vAlign w:val="bottom"/>
          </w:tcPr>
          <w:p>
            <w:pPr>
              <w:spacing w:after="0"/>
              <w:rPr>
                <w:sz w:val="22"/>
                <w:szCs w:val="22"/>
                <w:color w:val="auto"/>
              </w:rPr>
            </w:pPr>
          </w:p>
        </w:tc>
        <w:tc>
          <w:tcPr>
            <w:tcW w:w="2160" w:type="dxa"/>
            <w:vAlign w:val="bottom"/>
            <w:gridSpan w:val="2"/>
          </w:tcPr>
          <w:p>
            <w:pPr>
              <w:jc w:val="center"/>
              <w:ind w:right="200"/>
              <w:spacing w:after="0" w:line="258" w:lineRule="exact"/>
              <w:rPr>
                <w:sz w:val="20"/>
                <w:szCs w:val="20"/>
                <w:color w:val="auto"/>
              </w:rPr>
            </w:pPr>
            <w:r>
              <w:rPr>
                <w:rFonts w:ascii="Arial" w:cs="Arial" w:eastAsia="Arial" w:hAnsi="Arial"/>
                <w:sz w:val="18"/>
                <w:szCs w:val="18"/>
                <w:b w:val="1"/>
                <w:bCs w:val="1"/>
                <w:color w:val="auto"/>
                <w:w w:val="89"/>
              </w:rPr>
              <w:t xml:space="preserve">or Program </w:t>
            </w:r>
            <w:r>
              <w:rPr>
                <w:rFonts w:ascii="Arial" w:cs="Arial" w:eastAsia="Arial" w:hAnsi="Arial"/>
                <w:sz w:val="29"/>
                <w:szCs w:val="29"/>
                <w:b w:val="1"/>
                <w:bCs w:val="1"/>
                <w:color w:val="auto"/>
                <w:w w:val="89"/>
                <w:vertAlign w:val="superscript"/>
              </w:rPr>
              <w:t>(2)</w:t>
            </w:r>
          </w:p>
        </w:tc>
      </w:tr>
      <w:tr>
        <w:trPr>
          <w:trHeight w:val="21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Jan. 3, 2016 – Jan. 30, 2016</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133,109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11.10</w:t>
            </w:r>
          </w:p>
        </w:tc>
        <w:tc>
          <w:tcPr>
            <w:tcW w:w="1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132,502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7,621,110</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Jan. 31, 2016 – Feb. 27, 2016</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7,621,110</w:t>
            </w: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Feb. 28, 2016 – Apr. 2, 2016</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12.92</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168,742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11.48</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132,502</w:t>
            </w:r>
          </w:p>
        </w:tc>
        <w:tc>
          <w:tcPr>
            <w:tcW w:w="220" w:type="dxa"/>
            <w:vAlign w:val="bottom"/>
            <w:tcBorders>
              <w:top w:val="single" w:sz="8" w:color="auto"/>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49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right="40" w:hanging="532"/>
        <w:spacing w:after="0" w:line="26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181" w:lineRule="exact"/>
        <w:rPr>
          <w:rFonts w:ascii="Arial" w:cs="Arial" w:eastAsia="Arial" w:hAnsi="Arial"/>
          <w:sz w:val="18"/>
          <w:szCs w:val="18"/>
          <w:color w:val="auto"/>
        </w:rPr>
      </w:pPr>
    </w:p>
    <w:p>
      <w:pPr>
        <w:ind w:left="540" w:right="52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November 2015, the board adopted a share repurchase program authorizing the repurchase of up to $15 million of our common stock. Shares repurchased under this program were subsequently retired. This program expired on March 31,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jc w:val="right"/>
              <w:ind w:right="455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Agreement and Plan of Merger dated April 3, 2000 between Build-A-Bear Workshop, L.L.C. and the Registrant (incorporated by reference</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Third Amended and Restated Certificate of Incorporation (incorporated by reference from Exhibit 3.1 of our Current Report on Form 8-K,</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November 11, 2004)</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Amended and Restated Bylaws, as amended through February 23, 2016 (incorporated by reference from Exhibit 3.1 to our Current Report</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on Form 8-K, filed on February 24, 2016)</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filed on October 1, 2004, Registration No. 333-118142)</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Joinder and Sixteenth Amendment to Loan Documents between Build-A-Bear Card Services, LLC, Build-A-Bear Workshop, Inc., Build-A-</w:t>
            </w:r>
          </w:p>
        </w:tc>
        <w:tc>
          <w:tcPr>
            <w:tcW w:w="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5"/>
              </w:rPr>
              <w:t>Bear Workshop Franchise Holdings, Inc., Build-A-Bear Entertainment, LLC, Build-A-Bear Retail Management, Inc., as Borrowers, and</w:t>
            </w:r>
          </w:p>
        </w:tc>
        <w:tc>
          <w:tcPr>
            <w:tcW w:w="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U.S. Bank National Association, as Lender, entered into effective as of April 25, 2016 (incorporated by reference from Exhibit 10.1 to our</w:t>
            </w:r>
          </w:p>
        </w:tc>
        <w:tc>
          <w:tcPr>
            <w:tcW w:w="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Current Report on Form 8-K, filed on April 28, 2016)</w:t>
            </w:r>
          </w:p>
        </w:tc>
        <w:tc>
          <w:tcPr>
            <w:tcW w:w="4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3"/>
              </w:rPr>
              <w:t>Rule 13a-14(a)/15d-14(a) certification (pursuant to Section 302 of the Sarbanes-Oxley Act of 2002, executed by the President and Chief</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Executive Officer)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Rule 13a-14(a)/15d-14(a) certification (pursuant to Section 302 of the Sarbanes-Oxley Act of 2002, executed by the Chief Financial Officer)</w:t>
            </w:r>
          </w:p>
        </w:tc>
        <w:tc>
          <w:tcPr>
            <w:tcW w:w="40" w:type="dxa"/>
            <w:vAlign w:val="bottom"/>
          </w:tcPr>
          <w:p>
            <w:pPr>
              <w:spacing w:after="0"/>
              <w:rPr>
                <w:sz w:val="24"/>
                <w:szCs w:val="24"/>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Section 1350 Certification (pursuant to Section 906 of the Sarbanes-Oxley Act of 2002, executed by the President and Chief Executive</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Financial Officer)</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Schema</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Calculation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Definition</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Label</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Extension Presentation</w:t>
            </w:r>
          </w:p>
        </w:tc>
        <w:tc>
          <w:tcPr>
            <w:tcW w:w="40" w:type="dxa"/>
            <w:vAlign w:val="bottom"/>
          </w:tcPr>
          <w:p>
            <w:pPr>
              <w:spacing w:after="0"/>
              <w:rPr>
                <w:sz w:val="24"/>
                <w:szCs w:val="24"/>
                <w:color w:val="auto"/>
              </w:rPr>
            </w:pPr>
          </w:p>
        </w:tc>
      </w:tr>
      <w:tr>
        <w:trPr>
          <w:trHeight w:val="891"/>
        </w:trPr>
        <w:tc>
          <w:tcPr>
            <w:tcW w:w="1160" w:type="dxa"/>
            <w:vAlign w:val="bottom"/>
          </w:tcPr>
          <w:p>
            <w:pPr>
              <w:spacing w:after="0"/>
              <w:rPr>
                <w:sz w:val="24"/>
                <w:szCs w:val="24"/>
                <w:color w:val="auto"/>
              </w:rPr>
            </w:pPr>
          </w:p>
        </w:tc>
        <w:tc>
          <w:tcPr>
            <w:tcW w:w="10260" w:type="dxa"/>
            <w:vAlign w:val="bottom"/>
            <w:gridSpan w:val="2"/>
          </w:tcPr>
          <w:p>
            <w:pPr>
              <w:jc w:val="right"/>
              <w:ind w:right="553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1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9" w:name="page20"/>
    <w:bookmarkEnd w:id="1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2016</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(on behalf of the registrant and as principal executive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Voin Todorovic</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25298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(on behalf of the registrant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as principal financial officer)</w:t>
      </w: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240" w:top="580" w:right="4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40" w:right="60" w:hanging="454"/>
        <w:spacing w:after="0" w:line="264"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454"/>
        <w:spacing w:after="0" w:line="264"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60" w:hanging="454"/>
        <w:spacing w:after="0" w:line="342"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60" w:hanging="454"/>
        <w:spacing w:after="0" w:line="264"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40" w:right="580" w:hanging="441"/>
        <w:spacing w:after="0" w:line="342" w:lineRule="auto"/>
        <w:tabs>
          <w:tab w:leader="none" w:pos="1340" w:val="left"/>
        </w:tabs>
        <w:numPr>
          <w:ilvl w:val="2"/>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280" w:hanging="441"/>
        <w:spacing w:after="0" w:line="277" w:lineRule="auto"/>
        <w:tabs>
          <w:tab w:leader="none" w:pos="13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12, 2016</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40" w:right="60" w:hanging="441"/>
        <w:spacing w:after="0" w:line="264"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40" w:right="200" w:hanging="441"/>
        <w:spacing w:after="0" w:line="264"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40" w:right="360" w:hanging="441"/>
        <w:spacing w:after="0" w:line="342" w:lineRule="auto"/>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40" w:right="60" w:hanging="441"/>
        <w:spacing w:after="0" w:line="264"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40" w:right="600" w:hanging="441"/>
        <w:spacing w:after="0" w:line="342" w:lineRule="auto"/>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40" w:right="300" w:hanging="441"/>
        <w:spacing w:after="0" w:line="277" w:lineRule="auto"/>
        <w:tabs>
          <w:tab w:leader="none" w:pos="1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12, 2016</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April 2, 2016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Build-A-Bear Workshop, Inc.</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2016</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April 2, 2016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Voin Todorovic</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Build-A-Bear Workshop, Inc.</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12,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3"/>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2019-12-07T08:15:25Z</dcterms:created>
  <dcterms:modified xsi:type="dcterms:W3CDTF">2019-12-07T08:15:25Z</dcterms:modified>
</cp:coreProperties>
</file>