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143510</wp:posOffset>
            </wp:positionH>
            <wp:positionV relativeFrom="page">
              <wp:posOffset>107950</wp:posOffset>
            </wp:positionV>
            <wp:extent cx="72739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925" cy="342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62230</wp:posOffset>
            </wp:positionV>
            <wp:extent cx="14624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2405" cy="698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83820</wp:posOffset>
            </wp:positionV>
            <wp:extent cx="14624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2405" cy="6985"/>
                    </a:xfrm>
                    <a:prstGeom prst="rect">
                      <a:avLst/>
                    </a:prstGeom>
                    <a:noFill/>
                  </pic:spPr>
                </pic:pic>
              </a:graphicData>
            </a:graphic>
          </wp:anchor>
        </w:drawing>
      </w:r>
    </w:p>
    <w:p>
      <w:pPr>
        <w:spacing w:after="0" w:line="234" w:lineRule="exact"/>
        <w:rPr>
          <w:sz w:val="24"/>
          <w:szCs w:val="24"/>
          <w:color w:val="auto"/>
        </w:rPr>
      </w:pPr>
    </w:p>
    <w:p>
      <w:pPr>
        <w:ind w:left="60"/>
        <w:spacing w:after="0"/>
        <w:rPr>
          <w:sz w:val="20"/>
          <w:szCs w:val="20"/>
          <w:color w:val="auto"/>
        </w:rPr>
      </w:pPr>
      <w:r>
        <w:rPr>
          <w:rFonts w:ascii="Arial" w:cs="Arial" w:eastAsia="Arial" w:hAnsi="Arial"/>
          <w:sz w:val="15"/>
          <w:szCs w:val="15"/>
          <w:b w:val="1"/>
          <w:bCs w:val="1"/>
          <w:color w:val="auto"/>
        </w:rPr>
        <w:t>(Mark One)</w:t>
      </w:r>
    </w:p>
    <w:p>
      <w:pPr>
        <w:spacing w:after="0" w:line="22" w:lineRule="exact"/>
        <w:rPr>
          <w:sz w:val="24"/>
          <w:szCs w:val="24"/>
          <w:color w:val="auto"/>
        </w:rPr>
      </w:pPr>
    </w:p>
    <w:p>
      <w:pPr>
        <w:ind w:left="420" w:right="5260" w:hanging="409"/>
        <w:spacing w:after="0" w:line="260" w:lineRule="auto"/>
        <w:tabs>
          <w:tab w:leader="none" w:pos="55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report pursuant to Section 13 or 15(d) of the Securities Exchange Act of 1934 For the quarterly period ended October 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6" w:lineRule="exact"/>
        <w:rPr>
          <w:sz w:val="24"/>
          <w:szCs w:val="24"/>
          <w:color w:val="auto"/>
        </w:rPr>
      </w:pPr>
    </w:p>
    <w:p>
      <w:pPr>
        <w:ind w:left="560" w:hanging="549"/>
        <w:spacing w:after="0"/>
        <w:tabs>
          <w:tab w:leader="none" w:pos="56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tbl>
      <w:tblPr>
        <w:tblLayout w:type="fixed"/>
        <w:tblInd w:w="420" w:type="dxa"/>
        <w:tblCellMar>
          <w:top w:w="0" w:type="dxa"/>
          <w:left w:w="0" w:type="dxa"/>
          <w:bottom w:w="0" w:type="dxa"/>
          <w:right w:w="0" w:type="dxa"/>
        </w:tblCellMar>
      </w:tblPr>
      <w:tr>
        <w:trPr>
          <w:trHeight w:val="161"/>
        </w:trPr>
        <w:tc>
          <w:tcPr>
            <w:tcW w:w="2000" w:type="dxa"/>
            <w:vAlign w:val="bottom"/>
          </w:tcPr>
          <w:p>
            <w:pPr>
              <w:spacing w:after="0" w:line="161" w:lineRule="exact"/>
              <w:rPr>
                <w:sz w:val="20"/>
                <w:szCs w:val="20"/>
                <w:color w:val="auto"/>
              </w:rPr>
            </w:pPr>
            <w:r>
              <w:rPr>
                <w:rFonts w:ascii="Arial" w:cs="Arial" w:eastAsia="Arial" w:hAnsi="Arial"/>
                <w:sz w:val="15"/>
                <w:szCs w:val="15"/>
                <w:b w:val="1"/>
                <w:bCs w:val="1"/>
                <w:color w:val="auto"/>
                <w:w w:val="93"/>
              </w:rPr>
              <w:t>For the transition period from</w:t>
            </w:r>
          </w:p>
        </w:tc>
        <w:tc>
          <w:tcPr>
            <w:tcW w:w="440" w:type="dxa"/>
            <w:vAlign w:val="bottom"/>
          </w:tcPr>
          <w:p>
            <w:pPr>
              <w:spacing w:after="0"/>
              <w:rPr>
                <w:sz w:val="13"/>
                <w:szCs w:val="13"/>
                <w:color w:val="auto"/>
              </w:rPr>
            </w:pPr>
          </w:p>
        </w:tc>
        <w:tc>
          <w:tcPr>
            <w:tcW w:w="4040" w:type="dxa"/>
            <w:vAlign w:val="bottom"/>
            <w:gridSpan w:val="3"/>
          </w:tcPr>
          <w:p>
            <w:pPr>
              <w:ind w:left="40"/>
              <w:spacing w:after="0" w:line="161" w:lineRule="exact"/>
              <w:rPr>
                <w:sz w:val="20"/>
                <w:szCs w:val="20"/>
                <w:color w:val="auto"/>
              </w:rPr>
            </w:pPr>
            <w:r>
              <w:rPr>
                <w:rFonts w:ascii="Arial" w:cs="Arial" w:eastAsia="Arial" w:hAnsi="Arial"/>
                <w:sz w:val="15"/>
                <w:szCs w:val="15"/>
                <w:b w:val="1"/>
                <w:bCs w:val="1"/>
                <w:color w:val="auto"/>
              </w:rPr>
              <w:t>to</w:t>
            </w:r>
          </w:p>
        </w:tc>
      </w:tr>
      <w:tr>
        <w:trPr>
          <w:trHeight w:val="194"/>
        </w:trPr>
        <w:tc>
          <w:tcPr>
            <w:tcW w:w="20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340" w:type="dxa"/>
            <w:vAlign w:val="bottom"/>
          </w:tcPr>
          <w:p>
            <w:pPr>
              <w:ind w:left="1000"/>
              <w:spacing w:after="0"/>
              <w:rPr>
                <w:sz w:val="20"/>
                <w:szCs w:val="20"/>
                <w:color w:val="auto"/>
              </w:rPr>
            </w:pPr>
            <w:r>
              <w:rPr>
                <w:rFonts w:ascii="Arial" w:cs="Arial" w:eastAsia="Arial" w:hAnsi="Arial"/>
                <w:sz w:val="15"/>
                <w:szCs w:val="15"/>
                <w:b w:val="1"/>
                <w:bCs w:val="1"/>
                <w:color w:val="auto"/>
                <w:w w:val="90"/>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58420</wp:posOffset>
            </wp:positionV>
            <wp:extent cx="14624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2405" cy="698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BUILD-A-BEAR WORKSHOP,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62230</wp:posOffset>
            </wp:positionV>
            <wp:extent cx="14624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2405" cy="6985"/>
                    </a:xfrm>
                    <a:prstGeom prst="rect">
                      <a:avLst/>
                    </a:prstGeom>
                    <a:noFill/>
                  </pic:spPr>
                </pic:pic>
              </a:graphicData>
            </a:graphic>
          </wp:anchor>
        </w:drawing>
      </w:r>
    </w:p>
    <w:p>
      <w:pPr>
        <w:spacing w:after="0" w:line="166" w:lineRule="exact"/>
        <w:rPr>
          <w:sz w:val="24"/>
          <w:szCs w:val="24"/>
          <w:color w:val="auto"/>
        </w:rPr>
      </w:pPr>
    </w:p>
    <w:tbl>
      <w:tblPr>
        <w:tblLayout w:type="fixed"/>
        <w:tblInd w:w="1580" w:type="dxa"/>
        <w:tblCellMar>
          <w:top w:w="0" w:type="dxa"/>
          <w:left w:w="0" w:type="dxa"/>
          <w:bottom w:w="0" w:type="dxa"/>
          <w:right w:w="0" w:type="dxa"/>
        </w:tblCellMar>
      </w:tblPr>
      <w:tr>
        <w:trPr>
          <w:trHeight w:val="182"/>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4"/>
              </w:rPr>
              <w:t>Delaware</w:t>
            </w:r>
          </w:p>
        </w:tc>
        <w:tc>
          <w:tcPr>
            <w:tcW w:w="1420" w:type="dxa"/>
            <w:vAlign w:val="bottom"/>
          </w:tcPr>
          <w:p>
            <w:pPr>
              <w:jc w:val="right"/>
              <w:ind w:right="144"/>
              <w:spacing w:after="0"/>
              <w:rPr>
                <w:sz w:val="20"/>
                <w:szCs w:val="20"/>
                <w:color w:val="auto"/>
              </w:rPr>
            </w:pPr>
            <w:r>
              <w:rPr>
                <w:rFonts w:ascii="Arial" w:cs="Arial" w:eastAsia="Arial" w:hAnsi="Arial"/>
                <w:sz w:val="15"/>
                <w:szCs w:val="15"/>
                <w:b w:val="1"/>
                <w:bCs w:val="1"/>
                <w:color w:val="auto"/>
              </w:rPr>
              <w:t>43-1883836</w:t>
            </w:r>
          </w:p>
        </w:tc>
      </w:tr>
      <w:tr>
        <w:trPr>
          <w:trHeight w:val="182"/>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1"/>
              </w:rPr>
              <w:t>(State or Other Jurisdiction of</w:t>
            </w:r>
          </w:p>
        </w:tc>
        <w:tc>
          <w:tcPr>
            <w:tcW w:w="1420" w:type="dxa"/>
            <w:vAlign w:val="bottom"/>
          </w:tcPr>
          <w:p>
            <w:pPr>
              <w:jc w:val="center"/>
              <w:ind w:left="164"/>
              <w:spacing w:after="0"/>
              <w:rPr>
                <w:sz w:val="20"/>
                <w:szCs w:val="20"/>
                <w:color w:val="auto"/>
              </w:rPr>
            </w:pPr>
            <w:r>
              <w:rPr>
                <w:rFonts w:ascii="Arial" w:cs="Arial" w:eastAsia="Arial" w:hAnsi="Arial"/>
                <w:sz w:val="15"/>
                <w:szCs w:val="15"/>
                <w:b w:val="1"/>
                <w:bCs w:val="1"/>
                <w:color w:val="auto"/>
                <w:w w:val="95"/>
              </w:rPr>
              <w:t>(IRS Employer</w:t>
            </w:r>
          </w:p>
        </w:tc>
      </w:tr>
      <w:tr>
        <w:trPr>
          <w:trHeight w:val="195"/>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3"/>
              </w:rPr>
              <w:t>Incorporation or Organization)</w:t>
            </w:r>
          </w:p>
        </w:tc>
        <w:tc>
          <w:tcPr>
            <w:tcW w:w="1420" w:type="dxa"/>
            <w:vAlign w:val="bottom"/>
          </w:tcPr>
          <w:p>
            <w:pPr>
              <w:jc w:val="center"/>
              <w:ind w:left="164"/>
              <w:spacing w:after="0"/>
              <w:rPr>
                <w:sz w:val="20"/>
                <w:szCs w:val="20"/>
                <w:color w:val="auto"/>
              </w:rPr>
            </w:pPr>
            <w:r>
              <w:rPr>
                <w:rFonts w:ascii="Arial" w:cs="Arial" w:eastAsia="Arial" w:hAnsi="Arial"/>
                <w:sz w:val="15"/>
                <w:szCs w:val="15"/>
                <w:b w:val="1"/>
                <w:bCs w:val="1"/>
                <w:color w:val="auto"/>
                <w:w w:val="93"/>
              </w:rPr>
              <w:t>Identification No.)</w:t>
            </w:r>
          </w:p>
        </w:tc>
      </w:tr>
      <w:tr>
        <w:trPr>
          <w:trHeight w:val="350"/>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1"/>
              </w:rPr>
              <w:t>1954 Innerbelt Business Center Drive</w:t>
            </w:r>
          </w:p>
        </w:tc>
        <w:tc>
          <w:tcPr>
            <w:tcW w:w="1420" w:type="dxa"/>
            <w:vAlign w:val="bottom"/>
          </w:tcPr>
          <w:p>
            <w:pPr>
              <w:spacing w:after="0"/>
              <w:rPr>
                <w:sz w:val="24"/>
                <w:szCs w:val="24"/>
                <w:color w:val="auto"/>
              </w:rPr>
            </w:pPr>
          </w:p>
        </w:tc>
      </w:tr>
      <w:tr>
        <w:trPr>
          <w:trHeight w:val="182"/>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1"/>
              </w:rPr>
              <w:t>St. Louis, Missouri</w:t>
            </w:r>
          </w:p>
        </w:tc>
        <w:tc>
          <w:tcPr>
            <w:tcW w:w="1420" w:type="dxa"/>
            <w:vAlign w:val="bottom"/>
          </w:tcPr>
          <w:p>
            <w:pPr>
              <w:jc w:val="right"/>
              <w:ind w:right="324"/>
              <w:spacing w:after="0"/>
              <w:rPr>
                <w:sz w:val="20"/>
                <w:szCs w:val="20"/>
                <w:color w:val="auto"/>
              </w:rPr>
            </w:pPr>
            <w:r>
              <w:rPr>
                <w:rFonts w:ascii="Arial" w:cs="Arial" w:eastAsia="Arial" w:hAnsi="Arial"/>
                <w:sz w:val="15"/>
                <w:szCs w:val="15"/>
                <w:b w:val="1"/>
                <w:bCs w:val="1"/>
                <w:color w:val="auto"/>
              </w:rPr>
              <w:t>63114</w:t>
            </w:r>
          </w:p>
        </w:tc>
      </w:tr>
      <w:tr>
        <w:trPr>
          <w:trHeight w:val="182"/>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0"/>
              </w:rPr>
              <w:t>(Address of Principal Executive Offices)</w:t>
            </w:r>
          </w:p>
        </w:tc>
        <w:tc>
          <w:tcPr>
            <w:tcW w:w="1420" w:type="dxa"/>
            <w:vAlign w:val="bottom"/>
          </w:tcPr>
          <w:p>
            <w:pPr>
              <w:jc w:val="center"/>
              <w:ind w:left="164"/>
              <w:spacing w:after="0"/>
              <w:rPr>
                <w:sz w:val="20"/>
                <w:szCs w:val="20"/>
                <w:color w:val="auto"/>
              </w:rPr>
            </w:pPr>
            <w:r>
              <w:rPr>
                <w:rFonts w:ascii="Arial" w:cs="Arial" w:eastAsia="Arial" w:hAnsi="Arial"/>
                <w:sz w:val="15"/>
                <w:szCs w:val="15"/>
                <w:b w:val="1"/>
                <w:bCs w:val="1"/>
                <w:color w:val="auto"/>
                <w:w w:val="94"/>
              </w:rPr>
              <w:t>(Zip Code)</w:t>
            </w:r>
          </w:p>
        </w:tc>
      </w:tr>
      <w:tr>
        <w:trPr>
          <w:trHeight w:val="182"/>
        </w:trPr>
        <w:tc>
          <w:tcPr>
            <w:tcW w:w="6180" w:type="dxa"/>
            <w:vAlign w:val="bottom"/>
          </w:tcPr>
          <w:p>
            <w:pPr>
              <w:jc w:val="right"/>
              <w:ind w:right="1484"/>
              <w:spacing w:after="0"/>
              <w:rPr>
                <w:sz w:val="20"/>
                <w:szCs w:val="20"/>
                <w:color w:val="auto"/>
              </w:rPr>
            </w:pPr>
            <w:r>
              <w:rPr>
                <w:rFonts w:ascii="Arial" w:cs="Arial" w:eastAsia="Arial" w:hAnsi="Arial"/>
                <w:sz w:val="15"/>
                <w:szCs w:val="15"/>
                <w:b w:val="1"/>
                <w:bCs w:val="1"/>
                <w:color w:val="auto"/>
              </w:rPr>
              <w:t>(314) 423-8000</w:t>
            </w:r>
          </w:p>
        </w:tc>
        <w:tc>
          <w:tcPr>
            <w:tcW w:w="1420" w:type="dxa"/>
            <w:vAlign w:val="bottom"/>
          </w:tcPr>
          <w:p>
            <w:pPr>
              <w:spacing w:after="0"/>
              <w:rPr>
                <w:sz w:val="15"/>
                <w:szCs w:val="15"/>
                <w:color w:val="auto"/>
              </w:rPr>
            </w:pPr>
          </w:p>
        </w:tc>
      </w:tr>
      <w:tr>
        <w:trPr>
          <w:trHeight w:val="195"/>
        </w:trPr>
        <w:tc>
          <w:tcPr>
            <w:tcW w:w="6180" w:type="dxa"/>
            <w:vAlign w:val="bottom"/>
          </w:tcPr>
          <w:p>
            <w:pPr>
              <w:jc w:val="center"/>
              <w:ind w:left="2064"/>
              <w:spacing w:after="0"/>
              <w:rPr>
                <w:sz w:val="20"/>
                <w:szCs w:val="20"/>
                <w:color w:val="auto"/>
              </w:rPr>
            </w:pPr>
            <w:r>
              <w:rPr>
                <w:rFonts w:ascii="Arial" w:cs="Arial" w:eastAsia="Arial" w:hAnsi="Arial"/>
                <w:sz w:val="15"/>
                <w:szCs w:val="15"/>
                <w:b w:val="1"/>
                <w:bCs w:val="1"/>
                <w:color w:val="auto"/>
                <w:w w:val="91"/>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58420</wp:posOffset>
            </wp:positionV>
            <wp:extent cx="14624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2405" cy="6985"/>
                    </a:xfrm>
                    <a:prstGeom prst="rect">
                      <a:avLst/>
                    </a:prstGeom>
                    <a:noFill/>
                  </pic:spPr>
                </pic:pic>
              </a:graphicData>
            </a:graphic>
          </wp:anchor>
        </w:drawing>
      </w:r>
    </w:p>
    <w:p>
      <w:pPr>
        <w:spacing w:after="0" w:line="164" w:lineRule="exact"/>
        <w:rPr>
          <w:sz w:val="24"/>
          <w:szCs w:val="24"/>
          <w:color w:val="auto"/>
        </w:rPr>
      </w:pPr>
    </w:p>
    <w:p>
      <w:pPr>
        <w:ind w:left="20" w:right="340" w:firstLine="408"/>
        <w:spacing w:after="0" w:line="19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201" w:lineRule="exact"/>
        <w:rPr>
          <w:sz w:val="24"/>
          <w:szCs w:val="24"/>
          <w:color w:val="auto"/>
        </w:rPr>
      </w:pPr>
    </w:p>
    <w:p>
      <w:pPr>
        <w:ind w:left="20" w:firstLine="408"/>
        <w:spacing w:after="0" w:line="191"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5"/>
          <w:szCs w:val="15"/>
          <w:color w:val="auto"/>
        </w:rPr>
        <w:t>☐</w:t>
      </w:r>
    </w:p>
    <w:p>
      <w:pPr>
        <w:spacing w:after="0" w:line="200" w:lineRule="exact"/>
        <w:rPr>
          <w:sz w:val="24"/>
          <w:szCs w:val="24"/>
          <w:color w:val="auto"/>
        </w:rPr>
      </w:pPr>
    </w:p>
    <w:p>
      <w:pPr>
        <w:ind w:left="20" w:right="340" w:firstLine="408"/>
        <w:spacing w:after="0" w:line="27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80" w:type="dxa"/>
            <w:vAlign w:val="bottom"/>
          </w:tcPr>
          <w:p>
            <w:pPr>
              <w:ind w:left="16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tc>
        <w:tc>
          <w:tcPr>
            <w:tcW w:w="3960" w:type="dxa"/>
            <w:vAlign w:val="bottom"/>
          </w:tcPr>
          <w:p>
            <w:pPr>
              <w:ind w:left="420"/>
              <w:spacing w:after="0"/>
              <w:rPr>
                <w:sz w:val="20"/>
                <w:szCs w:val="20"/>
                <w:color w:val="auto"/>
              </w:rPr>
            </w:pPr>
            <w:r>
              <w:rPr>
                <w:rFonts w:ascii="Arial" w:cs="Arial" w:eastAsia="Arial" w:hAnsi="Arial"/>
                <w:sz w:val="15"/>
                <w:szCs w:val="15"/>
                <w:color w:val="auto"/>
              </w:rPr>
              <w:t>Accelerated filer x</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480" w:type="dxa"/>
            <w:vAlign w:val="bottom"/>
          </w:tcPr>
          <w:p>
            <w:pPr>
              <w:ind w:left="160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tc>
        <w:tc>
          <w:tcPr>
            <w:tcW w:w="3960" w:type="dxa"/>
            <w:vAlign w:val="bottom"/>
          </w:tcPr>
          <w:p>
            <w:pPr>
              <w:ind w:left="420"/>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80" w:type="dxa"/>
            <w:vAlign w:val="bottom"/>
          </w:tcPr>
          <w:p>
            <w:pPr>
              <w:ind w:left="1600"/>
              <w:spacing w:after="0"/>
              <w:rPr>
                <w:sz w:val="20"/>
                <w:szCs w:val="20"/>
                <w:color w:val="auto"/>
              </w:rPr>
            </w:pPr>
            <w:r>
              <w:rPr>
                <w:rFonts w:ascii="Arial" w:cs="Arial" w:eastAsia="Arial" w:hAnsi="Arial"/>
                <w:sz w:val="15"/>
                <w:szCs w:val="15"/>
                <w:color w:val="auto"/>
              </w:rPr>
              <w:t>(Do not check if a smaller reporting company)</w:t>
            </w:r>
          </w:p>
        </w:tc>
        <w:tc>
          <w:tcPr>
            <w:tcW w:w="3960" w:type="dxa"/>
            <w:vAlign w:val="bottom"/>
            <w:vMerge w:val="restart"/>
          </w:tcPr>
          <w:p>
            <w:pPr>
              <w:ind w:left="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80" w:type="dxa"/>
            <w:vAlign w:val="bottom"/>
          </w:tcPr>
          <w:p>
            <w:pPr>
              <w:ind w:left="540"/>
              <w:spacing w:after="0"/>
              <w:rPr>
                <w:sz w:val="20"/>
                <w:szCs w:val="20"/>
                <w:color w:val="auto"/>
              </w:rPr>
            </w:pPr>
            <w:r>
              <w:rPr>
                <w:rFonts w:ascii="Arial" w:cs="Arial" w:eastAsia="Arial" w:hAnsi="Arial"/>
                <w:sz w:val="15"/>
                <w:szCs w:val="15"/>
                <w:color w:val="auto"/>
                <w:w w:val="92"/>
              </w:rPr>
              <w:t>Indicate by check mark whether the registrant is a shell company (as defined in Rule 12b-2 of the Exchange Act).</w:t>
            </w:r>
          </w:p>
        </w:tc>
        <w:tc>
          <w:tcPr>
            <w:tcW w:w="3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80" w:type="dxa"/>
            <w:vAlign w:val="bottom"/>
          </w:tcPr>
          <w:p>
            <w:pPr>
              <w:ind w:left="400"/>
              <w:spacing w:after="0"/>
              <w:rPr>
                <w:sz w:val="20"/>
                <w:szCs w:val="20"/>
                <w:color w:val="auto"/>
              </w:rPr>
            </w:pPr>
            <w:r>
              <w:rPr>
                <w:rFonts w:ascii="Arial" w:cs="Arial" w:eastAsia="Arial" w:hAnsi="Arial"/>
                <w:sz w:val="15"/>
                <w:szCs w:val="15"/>
                <w:color w:val="auto"/>
                <w:w w:val="93"/>
              </w:rPr>
              <w:t>As of November 7, 2011, there were 17,481,635 issued and outstanding shares of the registrant’s common stock.</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480" w:type="dxa"/>
            <w:vAlign w:val="bottom"/>
            <w:shd w:val="clear" w:color="auto" w:fill="808080"/>
          </w:tcPr>
          <w:p>
            <w:pPr>
              <w:spacing w:after="0"/>
              <w:rPr>
                <w:sz w:val="5"/>
                <w:szCs w:val="5"/>
                <w:color w:val="auto"/>
              </w:rPr>
            </w:pPr>
          </w:p>
        </w:tc>
        <w:tc>
          <w:tcPr>
            <w:tcW w:w="39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634"/>
        </w:trPr>
        <w:tc>
          <w:tcPr>
            <w:tcW w:w="7500" w:type="dxa"/>
            <w:vAlign w:val="bottom"/>
            <w:gridSpan w:val="2"/>
          </w:tcPr>
          <w:p>
            <w:pPr>
              <w:jc w:val="right"/>
              <w:ind w:right="1644"/>
              <w:spacing w:after="0"/>
              <w:rPr>
                <w:sz w:val="20"/>
                <w:szCs w:val="20"/>
                <w:color w:val="auto"/>
              </w:rPr>
            </w:pPr>
            <w:r>
              <w:rPr>
                <w:rFonts w:ascii="Arial" w:cs="Arial" w:eastAsia="Arial" w:hAnsi="Arial"/>
                <w:sz w:val="15"/>
                <w:szCs w:val="15"/>
                <w:color w:val="auto"/>
              </w:rPr>
              <w:t>1</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80" w:type="dxa"/>
            <w:vAlign w:val="bottom"/>
            <w:tcBorders>
              <w:bottom w:val="single" w:sz="8" w:color="808080"/>
            </w:tcBorders>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7265670</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7800" w:type="dxa"/>
            <w:vAlign w:val="bottom"/>
          </w:tcPr>
          <w:p>
            <w:pPr>
              <w:ind w:left="3400"/>
              <w:spacing w:after="0"/>
              <w:rPr>
                <w:sz w:val="20"/>
                <w:szCs w:val="20"/>
                <w:color w:val="auto"/>
              </w:rPr>
            </w:pPr>
            <w:r>
              <w:rPr>
                <w:rFonts w:ascii="Arial" w:cs="Arial" w:eastAsia="Arial" w:hAnsi="Arial"/>
                <w:sz w:val="15"/>
                <w:szCs w:val="15"/>
                <w:b w:val="1"/>
                <w:bCs w:val="1"/>
                <w:color w:val="auto"/>
              </w:rPr>
              <w:t>BUILD-A-BEAR WORKSHOP, INC.</w:t>
            </w:r>
          </w:p>
        </w:tc>
        <w:tc>
          <w:tcPr>
            <w:tcW w:w="2440" w:type="dxa"/>
            <w:vAlign w:val="bottom"/>
          </w:tcPr>
          <w:p>
            <w:pPr>
              <w:spacing w:after="0"/>
              <w:rPr>
                <w:sz w:val="15"/>
                <w:szCs w:val="15"/>
                <w:color w:val="auto"/>
              </w:rPr>
            </w:pPr>
          </w:p>
        </w:tc>
      </w:tr>
      <w:tr>
        <w:trPr>
          <w:trHeight w:val="195"/>
        </w:trPr>
        <w:tc>
          <w:tcPr>
            <w:tcW w:w="980" w:type="dxa"/>
            <w:vAlign w:val="bottom"/>
          </w:tcPr>
          <w:p>
            <w:pPr>
              <w:spacing w:after="0"/>
              <w:rPr>
                <w:sz w:val="16"/>
                <w:szCs w:val="16"/>
                <w:color w:val="auto"/>
              </w:rPr>
            </w:pPr>
          </w:p>
        </w:tc>
        <w:tc>
          <w:tcPr>
            <w:tcW w:w="7800" w:type="dxa"/>
            <w:vAlign w:val="bottom"/>
          </w:tcPr>
          <w:p>
            <w:pPr>
              <w:ind w:left="3820"/>
              <w:spacing w:after="0"/>
              <w:rPr>
                <w:sz w:val="20"/>
                <w:szCs w:val="20"/>
                <w:color w:val="auto"/>
              </w:rPr>
            </w:pPr>
            <w:r>
              <w:rPr>
                <w:rFonts w:ascii="Arial" w:cs="Arial" w:eastAsia="Arial" w:hAnsi="Arial"/>
                <w:sz w:val="15"/>
                <w:szCs w:val="15"/>
                <w:b w:val="1"/>
                <w:bCs w:val="1"/>
                <w:color w:val="auto"/>
              </w:rPr>
              <w:t>INDEX TO FORM 10-Q</w:t>
            </w:r>
          </w:p>
        </w:tc>
        <w:tc>
          <w:tcPr>
            <w:tcW w:w="2440" w:type="dxa"/>
            <w:vAlign w:val="bottom"/>
          </w:tcPr>
          <w:p>
            <w:pPr>
              <w:spacing w:after="0"/>
              <w:rPr>
                <w:sz w:val="16"/>
                <w:szCs w:val="16"/>
                <w:color w:val="auto"/>
              </w:rPr>
            </w:pPr>
          </w:p>
        </w:tc>
      </w:tr>
      <w:tr>
        <w:trPr>
          <w:trHeight w:val="545"/>
        </w:trPr>
        <w:tc>
          <w:tcPr>
            <w:tcW w:w="9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5"/>
                <w:szCs w:val="15"/>
                <w:b w:val="1"/>
                <w:bCs w:val="1"/>
                <w:color w:val="auto"/>
              </w:rPr>
              <w:t>Page</w:t>
            </w:r>
          </w:p>
        </w:tc>
      </w:tr>
      <w:tr>
        <w:trPr>
          <w:trHeight w:val="363"/>
        </w:trPr>
        <w:tc>
          <w:tcPr>
            <w:tcW w:w="8780" w:type="dxa"/>
            <w:vAlign w:val="bottom"/>
            <w:gridSpan w:val="2"/>
          </w:tcPr>
          <w:p>
            <w:pPr>
              <w:spacing w:after="0"/>
              <w:rPr>
                <w:sz w:val="20"/>
                <w:szCs w:val="20"/>
                <w:color w:val="auto"/>
              </w:rPr>
            </w:pPr>
            <w:r>
              <w:rPr>
                <w:rFonts w:ascii="Arial" w:cs="Arial" w:eastAsia="Arial" w:hAnsi="Arial"/>
                <w:sz w:val="15"/>
                <w:szCs w:val="15"/>
                <w:color w:val="auto"/>
              </w:rPr>
              <w:t>Part I Financial Information</w:t>
            </w:r>
          </w:p>
        </w:tc>
        <w:tc>
          <w:tcPr>
            <w:tcW w:w="2440" w:type="dxa"/>
            <w:vAlign w:val="bottom"/>
          </w:tcPr>
          <w:p>
            <w:pPr>
              <w:spacing w:after="0"/>
              <w:rPr>
                <w:sz w:val="24"/>
                <w:szCs w:val="24"/>
                <w:color w:val="auto"/>
              </w:rPr>
            </w:pPr>
          </w:p>
        </w:tc>
      </w:tr>
      <w:tr>
        <w:trPr>
          <w:trHeight w:val="354"/>
        </w:trPr>
        <w:tc>
          <w:tcPr>
            <w:tcW w:w="980" w:type="dxa"/>
            <w:vAlign w:val="bottom"/>
          </w:tcPr>
          <w:p>
            <w:pPr>
              <w:ind w:left="260"/>
              <w:spacing w:after="0"/>
              <w:rPr>
                <w:sz w:val="20"/>
                <w:szCs w:val="20"/>
                <w:color w:val="auto"/>
              </w:rPr>
            </w:pPr>
            <w:r>
              <w:rPr>
                <w:rFonts w:ascii="Arial" w:cs="Arial" w:eastAsia="Arial" w:hAnsi="Arial"/>
                <w:sz w:val="15"/>
                <w:szCs w:val="15"/>
                <w:color w:val="auto"/>
              </w:rPr>
              <w:t>Item 1.</w:t>
            </w:r>
          </w:p>
        </w:tc>
        <w:tc>
          <w:tcPr>
            <w:tcW w:w="7800" w:type="dxa"/>
            <w:vAlign w:val="bottom"/>
          </w:tcPr>
          <w:p>
            <w:pPr>
              <w:ind w:left="80"/>
              <w:spacing w:after="0"/>
              <w:rPr>
                <w:sz w:val="20"/>
                <w:szCs w:val="20"/>
                <w:color w:val="auto"/>
              </w:rPr>
            </w:pPr>
            <w:r>
              <w:rPr>
                <w:rFonts w:ascii="Arial" w:cs="Arial" w:eastAsia="Arial" w:hAnsi="Arial"/>
                <w:sz w:val="15"/>
                <w:szCs w:val="15"/>
                <w:color w:val="auto"/>
              </w:rPr>
              <w:t>Financial Statements (Unaudited)</w:t>
            </w:r>
          </w:p>
        </w:tc>
        <w:tc>
          <w:tcPr>
            <w:tcW w:w="2440" w:type="dxa"/>
            <w:vAlign w:val="bottom"/>
          </w:tcPr>
          <w:p>
            <w:pPr>
              <w:spacing w:after="0"/>
              <w:rPr>
                <w:sz w:val="24"/>
                <w:szCs w:val="24"/>
                <w:color w:val="auto"/>
              </w:rPr>
            </w:pPr>
          </w:p>
        </w:tc>
      </w:tr>
      <w:tr>
        <w:trPr>
          <w:trHeight w:val="182"/>
        </w:trPr>
        <w:tc>
          <w:tcPr>
            <w:tcW w:w="980" w:type="dxa"/>
            <w:vAlign w:val="bottom"/>
          </w:tcPr>
          <w:p>
            <w:pPr>
              <w:spacing w:after="0"/>
              <w:rPr>
                <w:sz w:val="15"/>
                <w:szCs w:val="15"/>
                <w:color w:val="auto"/>
              </w:rPr>
            </w:pPr>
          </w:p>
        </w:tc>
        <w:tc>
          <w:tcPr>
            <w:tcW w:w="7800" w:type="dxa"/>
            <w:vAlign w:val="bottom"/>
          </w:tcPr>
          <w:p>
            <w:pPr>
              <w:ind w:left="500"/>
              <w:spacing w:after="0"/>
              <w:rPr>
                <w:sz w:val="20"/>
                <w:szCs w:val="20"/>
                <w:color w:val="auto"/>
              </w:rPr>
            </w:pPr>
            <w:r>
              <w:rPr>
                <w:rFonts w:ascii="Arial" w:cs="Arial" w:eastAsia="Arial" w:hAnsi="Arial"/>
                <w:sz w:val="15"/>
                <w:szCs w:val="15"/>
                <w:color w:val="auto"/>
              </w:rPr>
              <w:t>Consolidated Balance Sheets</w:t>
            </w:r>
          </w:p>
        </w:tc>
        <w:tc>
          <w:tcPr>
            <w:tcW w:w="2440" w:type="dxa"/>
            <w:vAlign w:val="bottom"/>
          </w:tcPr>
          <w:p>
            <w:pPr>
              <w:ind w:left="2300"/>
              <w:spacing w:after="0"/>
              <w:rPr>
                <w:sz w:val="20"/>
                <w:szCs w:val="20"/>
                <w:color w:val="auto"/>
              </w:rPr>
            </w:pPr>
            <w:r>
              <w:rPr>
                <w:rFonts w:ascii="Arial" w:cs="Arial" w:eastAsia="Arial" w:hAnsi="Arial"/>
                <w:sz w:val="15"/>
                <w:szCs w:val="15"/>
                <w:color w:val="auto"/>
              </w:rPr>
              <w:t>3</w:t>
            </w:r>
          </w:p>
        </w:tc>
      </w:tr>
      <w:tr>
        <w:trPr>
          <w:trHeight w:val="182"/>
        </w:trPr>
        <w:tc>
          <w:tcPr>
            <w:tcW w:w="980" w:type="dxa"/>
            <w:vAlign w:val="bottom"/>
          </w:tcPr>
          <w:p>
            <w:pPr>
              <w:spacing w:after="0"/>
              <w:rPr>
                <w:sz w:val="15"/>
                <w:szCs w:val="15"/>
                <w:color w:val="auto"/>
              </w:rPr>
            </w:pPr>
          </w:p>
        </w:tc>
        <w:tc>
          <w:tcPr>
            <w:tcW w:w="7800" w:type="dxa"/>
            <w:vAlign w:val="bottom"/>
          </w:tcPr>
          <w:p>
            <w:pPr>
              <w:ind w:left="500"/>
              <w:spacing w:after="0"/>
              <w:rPr>
                <w:sz w:val="20"/>
                <w:szCs w:val="20"/>
                <w:color w:val="auto"/>
              </w:rPr>
            </w:pPr>
            <w:r>
              <w:rPr>
                <w:rFonts w:ascii="Arial" w:cs="Arial" w:eastAsia="Arial" w:hAnsi="Arial"/>
                <w:sz w:val="15"/>
                <w:szCs w:val="15"/>
                <w:color w:val="auto"/>
              </w:rPr>
              <w:t>Consolidated Statements of Operations</w:t>
            </w:r>
          </w:p>
        </w:tc>
        <w:tc>
          <w:tcPr>
            <w:tcW w:w="2440" w:type="dxa"/>
            <w:vAlign w:val="bottom"/>
          </w:tcPr>
          <w:p>
            <w:pPr>
              <w:ind w:left="2300"/>
              <w:spacing w:after="0"/>
              <w:rPr>
                <w:sz w:val="20"/>
                <w:szCs w:val="20"/>
                <w:color w:val="auto"/>
              </w:rPr>
            </w:pPr>
            <w:r>
              <w:rPr>
                <w:rFonts w:ascii="Arial" w:cs="Arial" w:eastAsia="Arial" w:hAnsi="Arial"/>
                <w:sz w:val="15"/>
                <w:szCs w:val="15"/>
                <w:color w:val="auto"/>
              </w:rPr>
              <w:t>4</w:t>
            </w:r>
          </w:p>
        </w:tc>
      </w:tr>
      <w:tr>
        <w:trPr>
          <w:trHeight w:val="182"/>
        </w:trPr>
        <w:tc>
          <w:tcPr>
            <w:tcW w:w="980" w:type="dxa"/>
            <w:vAlign w:val="bottom"/>
          </w:tcPr>
          <w:p>
            <w:pPr>
              <w:spacing w:after="0"/>
              <w:rPr>
                <w:sz w:val="15"/>
                <w:szCs w:val="15"/>
                <w:color w:val="auto"/>
              </w:rPr>
            </w:pPr>
          </w:p>
        </w:tc>
        <w:tc>
          <w:tcPr>
            <w:tcW w:w="7800" w:type="dxa"/>
            <w:vAlign w:val="bottom"/>
          </w:tcPr>
          <w:p>
            <w:pPr>
              <w:ind w:left="500"/>
              <w:spacing w:after="0"/>
              <w:rPr>
                <w:sz w:val="20"/>
                <w:szCs w:val="20"/>
                <w:color w:val="auto"/>
              </w:rPr>
            </w:pPr>
            <w:r>
              <w:rPr>
                <w:rFonts w:ascii="Arial" w:cs="Arial" w:eastAsia="Arial" w:hAnsi="Arial"/>
                <w:sz w:val="15"/>
                <w:szCs w:val="15"/>
                <w:color w:val="auto"/>
              </w:rPr>
              <w:t>Consolidated Statements of Cash Flows</w:t>
            </w:r>
          </w:p>
        </w:tc>
        <w:tc>
          <w:tcPr>
            <w:tcW w:w="2440" w:type="dxa"/>
            <w:vAlign w:val="bottom"/>
          </w:tcPr>
          <w:p>
            <w:pPr>
              <w:ind w:left="2300"/>
              <w:spacing w:after="0"/>
              <w:rPr>
                <w:sz w:val="20"/>
                <w:szCs w:val="20"/>
                <w:color w:val="auto"/>
              </w:rPr>
            </w:pPr>
            <w:r>
              <w:rPr>
                <w:rFonts w:ascii="Arial" w:cs="Arial" w:eastAsia="Arial" w:hAnsi="Arial"/>
                <w:sz w:val="15"/>
                <w:szCs w:val="15"/>
                <w:color w:val="auto"/>
              </w:rPr>
              <w:t>5</w:t>
            </w:r>
          </w:p>
        </w:tc>
      </w:tr>
      <w:tr>
        <w:trPr>
          <w:trHeight w:val="191"/>
        </w:trPr>
        <w:tc>
          <w:tcPr>
            <w:tcW w:w="980" w:type="dxa"/>
            <w:vAlign w:val="bottom"/>
          </w:tcPr>
          <w:p>
            <w:pPr>
              <w:spacing w:after="0"/>
              <w:rPr>
                <w:sz w:val="16"/>
                <w:szCs w:val="16"/>
                <w:color w:val="auto"/>
              </w:rPr>
            </w:pPr>
          </w:p>
        </w:tc>
        <w:tc>
          <w:tcPr>
            <w:tcW w:w="7800" w:type="dxa"/>
            <w:vAlign w:val="bottom"/>
          </w:tcPr>
          <w:p>
            <w:pPr>
              <w:ind w:left="500"/>
              <w:spacing w:after="0"/>
              <w:rPr>
                <w:sz w:val="20"/>
                <w:szCs w:val="20"/>
                <w:color w:val="auto"/>
              </w:rPr>
            </w:pPr>
            <w:r>
              <w:rPr>
                <w:rFonts w:ascii="Arial" w:cs="Arial" w:eastAsia="Arial" w:hAnsi="Arial"/>
                <w:sz w:val="15"/>
                <w:szCs w:val="15"/>
                <w:color w:val="auto"/>
              </w:rPr>
              <w:t>Notes to Consolidated Financial Statements</w:t>
            </w:r>
          </w:p>
        </w:tc>
        <w:tc>
          <w:tcPr>
            <w:tcW w:w="2440" w:type="dxa"/>
            <w:vAlign w:val="bottom"/>
          </w:tcPr>
          <w:p>
            <w:pPr>
              <w:ind w:left="2300"/>
              <w:spacing w:after="0"/>
              <w:rPr>
                <w:sz w:val="20"/>
                <w:szCs w:val="20"/>
                <w:color w:val="auto"/>
              </w:rPr>
            </w:pPr>
            <w:r>
              <w:rPr>
                <w:rFonts w:ascii="Arial" w:cs="Arial" w:eastAsia="Arial" w:hAnsi="Arial"/>
                <w:sz w:val="15"/>
                <w:szCs w:val="15"/>
                <w:color w:val="auto"/>
              </w:rPr>
              <w:t>6</w:t>
            </w:r>
          </w:p>
        </w:tc>
      </w:tr>
      <w:tr>
        <w:trPr>
          <w:trHeight w:val="363"/>
        </w:trPr>
        <w:tc>
          <w:tcPr>
            <w:tcW w:w="980" w:type="dxa"/>
            <w:vAlign w:val="bottom"/>
          </w:tcPr>
          <w:p>
            <w:pPr>
              <w:ind w:left="260"/>
              <w:spacing w:after="0"/>
              <w:rPr>
                <w:sz w:val="20"/>
                <w:szCs w:val="20"/>
                <w:color w:val="auto"/>
              </w:rPr>
            </w:pPr>
            <w:r>
              <w:rPr>
                <w:rFonts w:ascii="Arial" w:cs="Arial" w:eastAsia="Arial" w:hAnsi="Arial"/>
                <w:sz w:val="15"/>
                <w:szCs w:val="15"/>
                <w:color w:val="auto"/>
              </w:rPr>
              <w:t>Item 2.</w:t>
            </w:r>
          </w:p>
        </w:tc>
        <w:tc>
          <w:tcPr>
            <w:tcW w:w="7800" w:type="dxa"/>
            <w:vAlign w:val="bottom"/>
          </w:tcPr>
          <w:p>
            <w:pPr>
              <w:ind w:left="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440" w:type="dxa"/>
            <w:vAlign w:val="bottom"/>
          </w:tcPr>
          <w:p>
            <w:pPr>
              <w:ind w:left="2300"/>
              <w:spacing w:after="0"/>
              <w:rPr>
                <w:sz w:val="20"/>
                <w:szCs w:val="20"/>
                <w:color w:val="auto"/>
              </w:rPr>
            </w:pPr>
            <w:r>
              <w:rPr>
                <w:rFonts w:ascii="Arial" w:cs="Arial" w:eastAsia="Arial" w:hAnsi="Arial"/>
                <w:sz w:val="15"/>
                <w:szCs w:val="15"/>
                <w:color w:val="auto"/>
                <w:w w:val="71"/>
              </w:rPr>
              <w:t>11</w:t>
            </w:r>
          </w:p>
        </w:tc>
      </w:tr>
      <w:tr>
        <w:trPr>
          <w:trHeight w:val="363"/>
        </w:trPr>
        <w:tc>
          <w:tcPr>
            <w:tcW w:w="980" w:type="dxa"/>
            <w:vAlign w:val="bottom"/>
          </w:tcPr>
          <w:p>
            <w:pPr>
              <w:ind w:left="260"/>
              <w:spacing w:after="0"/>
              <w:rPr>
                <w:sz w:val="20"/>
                <w:szCs w:val="20"/>
                <w:color w:val="auto"/>
              </w:rPr>
            </w:pPr>
            <w:r>
              <w:rPr>
                <w:rFonts w:ascii="Arial" w:cs="Arial" w:eastAsia="Arial" w:hAnsi="Arial"/>
                <w:sz w:val="15"/>
                <w:szCs w:val="15"/>
                <w:color w:val="auto"/>
              </w:rPr>
              <w:t>Item 3.</w:t>
            </w:r>
          </w:p>
        </w:tc>
        <w:tc>
          <w:tcPr>
            <w:tcW w:w="7800" w:type="dxa"/>
            <w:vAlign w:val="bottom"/>
          </w:tcPr>
          <w:p>
            <w:pPr>
              <w:ind w:left="80"/>
              <w:spacing w:after="0"/>
              <w:rPr>
                <w:sz w:val="20"/>
                <w:szCs w:val="20"/>
                <w:color w:val="auto"/>
              </w:rPr>
            </w:pPr>
            <w:r>
              <w:rPr>
                <w:rFonts w:ascii="Arial" w:cs="Arial" w:eastAsia="Arial" w:hAnsi="Arial"/>
                <w:sz w:val="15"/>
                <w:szCs w:val="15"/>
                <w:color w:val="auto"/>
              </w:rPr>
              <w:t>Quantitative and Qualitative Disclosures About Market Risk</w:t>
            </w:r>
          </w:p>
        </w:tc>
        <w:tc>
          <w:tcPr>
            <w:tcW w:w="2440" w:type="dxa"/>
            <w:vAlign w:val="bottom"/>
          </w:tcPr>
          <w:p>
            <w:pPr>
              <w:ind w:left="2300"/>
              <w:spacing w:after="0"/>
              <w:rPr>
                <w:sz w:val="20"/>
                <w:szCs w:val="20"/>
                <w:color w:val="auto"/>
              </w:rPr>
            </w:pPr>
            <w:r>
              <w:rPr>
                <w:rFonts w:ascii="Arial" w:cs="Arial" w:eastAsia="Arial" w:hAnsi="Arial"/>
                <w:sz w:val="15"/>
                <w:szCs w:val="15"/>
                <w:color w:val="auto"/>
                <w:w w:val="71"/>
              </w:rPr>
              <w:t>20</w:t>
            </w:r>
          </w:p>
        </w:tc>
      </w:tr>
      <w:tr>
        <w:trPr>
          <w:trHeight w:val="363"/>
        </w:trPr>
        <w:tc>
          <w:tcPr>
            <w:tcW w:w="980" w:type="dxa"/>
            <w:vAlign w:val="bottom"/>
          </w:tcPr>
          <w:p>
            <w:pPr>
              <w:ind w:left="260"/>
              <w:spacing w:after="0"/>
              <w:rPr>
                <w:sz w:val="20"/>
                <w:szCs w:val="20"/>
                <w:color w:val="auto"/>
              </w:rPr>
            </w:pPr>
            <w:r>
              <w:rPr>
                <w:rFonts w:ascii="Arial" w:cs="Arial" w:eastAsia="Arial" w:hAnsi="Arial"/>
                <w:sz w:val="15"/>
                <w:szCs w:val="15"/>
                <w:color w:val="auto"/>
              </w:rPr>
              <w:t>Item 4.</w:t>
            </w:r>
          </w:p>
        </w:tc>
        <w:tc>
          <w:tcPr>
            <w:tcW w:w="7800" w:type="dxa"/>
            <w:vAlign w:val="bottom"/>
          </w:tcPr>
          <w:p>
            <w:pPr>
              <w:ind w:left="80"/>
              <w:spacing w:after="0"/>
              <w:rPr>
                <w:sz w:val="20"/>
                <w:szCs w:val="20"/>
                <w:color w:val="auto"/>
              </w:rPr>
            </w:pPr>
            <w:r>
              <w:rPr>
                <w:rFonts w:ascii="Arial" w:cs="Arial" w:eastAsia="Arial" w:hAnsi="Arial"/>
                <w:sz w:val="15"/>
                <w:szCs w:val="15"/>
                <w:color w:val="auto"/>
              </w:rPr>
              <w:t>Controls and Procedures</w:t>
            </w:r>
          </w:p>
        </w:tc>
        <w:tc>
          <w:tcPr>
            <w:tcW w:w="2440" w:type="dxa"/>
            <w:vAlign w:val="bottom"/>
          </w:tcPr>
          <w:p>
            <w:pPr>
              <w:ind w:left="2300"/>
              <w:spacing w:after="0"/>
              <w:rPr>
                <w:sz w:val="20"/>
                <w:szCs w:val="20"/>
                <w:color w:val="auto"/>
              </w:rPr>
            </w:pPr>
            <w:r>
              <w:rPr>
                <w:rFonts w:ascii="Arial" w:cs="Arial" w:eastAsia="Arial" w:hAnsi="Arial"/>
                <w:sz w:val="15"/>
                <w:szCs w:val="15"/>
                <w:color w:val="auto"/>
                <w:w w:val="71"/>
              </w:rPr>
              <w:t>20</w:t>
            </w:r>
          </w:p>
        </w:tc>
      </w:tr>
      <w:tr>
        <w:trPr>
          <w:trHeight w:val="363"/>
        </w:trPr>
        <w:tc>
          <w:tcPr>
            <w:tcW w:w="8780" w:type="dxa"/>
            <w:vAlign w:val="bottom"/>
            <w:gridSpan w:val="2"/>
          </w:tcPr>
          <w:p>
            <w:pPr>
              <w:spacing w:after="0"/>
              <w:rPr>
                <w:sz w:val="20"/>
                <w:szCs w:val="20"/>
                <w:color w:val="auto"/>
              </w:rPr>
            </w:pPr>
            <w:r>
              <w:rPr>
                <w:rFonts w:ascii="Arial" w:cs="Arial" w:eastAsia="Arial" w:hAnsi="Arial"/>
                <w:sz w:val="15"/>
                <w:szCs w:val="15"/>
                <w:color w:val="auto"/>
              </w:rPr>
              <w:t>Part II Other Information</w:t>
            </w:r>
          </w:p>
        </w:tc>
        <w:tc>
          <w:tcPr>
            <w:tcW w:w="2440" w:type="dxa"/>
            <w:vAlign w:val="bottom"/>
          </w:tcPr>
          <w:p>
            <w:pPr>
              <w:spacing w:after="0"/>
              <w:rPr>
                <w:sz w:val="24"/>
                <w:szCs w:val="24"/>
                <w:color w:val="auto"/>
              </w:rPr>
            </w:pPr>
          </w:p>
        </w:tc>
      </w:tr>
      <w:tr>
        <w:trPr>
          <w:trHeight w:val="354"/>
        </w:trPr>
        <w:tc>
          <w:tcPr>
            <w:tcW w:w="980" w:type="dxa"/>
            <w:vAlign w:val="bottom"/>
          </w:tcPr>
          <w:p>
            <w:pPr>
              <w:ind w:left="260"/>
              <w:spacing w:after="0"/>
              <w:rPr>
                <w:sz w:val="20"/>
                <w:szCs w:val="20"/>
                <w:color w:val="auto"/>
              </w:rPr>
            </w:pPr>
            <w:r>
              <w:rPr>
                <w:rFonts w:ascii="Arial" w:cs="Arial" w:eastAsia="Arial" w:hAnsi="Arial"/>
                <w:sz w:val="15"/>
                <w:szCs w:val="15"/>
                <w:color w:val="auto"/>
              </w:rPr>
              <w:t>Item 1A.</w:t>
            </w:r>
          </w:p>
        </w:tc>
        <w:tc>
          <w:tcPr>
            <w:tcW w:w="7800" w:type="dxa"/>
            <w:vAlign w:val="bottom"/>
          </w:tcPr>
          <w:p>
            <w:pPr>
              <w:ind w:left="80"/>
              <w:spacing w:after="0"/>
              <w:rPr>
                <w:sz w:val="20"/>
                <w:szCs w:val="20"/>
                <w:color w:val="auto"/>
              </w:rPr>
            </w:pPr>
            <w:r>
              <w:rPr>
                <w:rFonts w:ascii="Arial" w:cs="Arial" w:eastAsia="Arial" w:hAnsi="Arial"/>
                <w:sz w:val="15"/>
                <w:szCs w:val="15"/>
                <w:color w:val="auto"/>
              </w:rPr>
              <w:t>Risk Factors</w:t>
            </w:r>
          </w:p>
        </w:tc>
        <w:tc>
          <w:tcPr>
            <w:tcW w:w="2440" w:type="dxa"/>
            <w:vAlign w:val="bottom"/>
          </w:tcPr>
          <w:p>
            <w:pPr>
              <w:ind w:left="2300"/>
              <w:spacing w:after="0"/>
              <w:rPr>
                <w:sz w:val="20"/>
                <w:szCs w:val="20"/>
                <w:color w:val="auto"/>
              </w:rPr>
            </w:pPr>
            <w:r>
              <w:rPr>
                <w:rFonts w:ascii="Arial" w:cs="Arial" w:eastAsia="Arial" w:hAnsi="Arial"/>
                <w:sz w:val="15"/>
                <w:szCs w:val="15"/>
                <w:color w:val="auto"/>
                <w:w w:val="71"/>
              </w:rPr>
              <w:t>21</w:t>
            </w:r>
          </w:p>
        </w:tc>
      </w:tr>
      <w:tr>
        <w:trPr>
          <w:trHeight w:val="182"/>
        </w:trPr>
        <w:tc>
          <w:tcPr>
            <w:tcW w:w="980" w:type="dxa"/>
            <w:vAlign w:val="bottom"/>
          </w:tcPr>
          <w:p>
            <w:pPr>
              <w:ind w:left="260"/>
              <w:spacing w:after="0"/>
              <w:rPr>
                <w:sz w:val="20"/>
                <w:szCs w:val="20"/>
                <w:color w:val="auto"/>
              </w:rPr>
            </w:pPr>
            <w:r>
              <w:rPr>
                <w:rFonts w:ascii="Arial" w:cs="Arial" w:eastAsia="Arial" w:hAnsi="Arial"/>
                <w:sz w:val="15"/>
                <w:szCs w:val="15"/>
                <w:color w:val="auto"/>
              </w:rPr>
              <w:t>Item 2.</w:t>
            </w:r>
          </w:p>
        </w:tc>
        <w:tc>
          <w:tcPr>
            <w:tcW w:w="7800" w:type="dxa"/>
            <w:vAlign w:val="bottom"/>
          </w:tcPr>
          <w:p>
            <w:pPr>
              <w:ind w:left="80"/>
              <w:spacing w:after="0"/>
              <w:rPr>
                <w:sz w:val="20"/>
                <w:szCs w:val="20"/>
                <w:color w:val="auto"/>
              </w:rPr>
            </w:pPr>
            <w:r>
              <w:rPr>
                <w:rFonts w:ascii="Arial" w:cs="Arial" w:eastAsia="Arial" w:hAnsi="Arial"/>
                <w:sz w:val="15"/>
                <w:szCs w:val="15"/>
                <w:color w:val="auto"/>
              </w:rPr>
              <w:t>Unregistered Sales of Equity Securities and Use of Proceeds</w:t>
            </w:r>
          </w:p>
        </w:tc>
        <w:tc>
          <w:tcPr>
            <w:tcW w:w="2440" w:type="dxa"/>
            <w:vAlign w:val="bottom"/>
          </w:tcPr>
          <w:p>
            <w:pPr>
              <w:ind w:left="2300"/>
              <w:spacing w:after="0"/>
              <w:rPr>
                <w:sz w:val="20"/>
                <w:szCs w:val="20"/>
                <w:color w:val="auto"/>
              </w:rPr>
            </w:pPr>
            <w:r>
              <w:rPr>
                <w:rFonts w:ascii="Arial" w:cs="Arial" w:eastAsia="Arial" w:hAnsi="Arial"/>
                <w:sz w:val="15"/>
                <w:szCs w:val="15"/>
                <w:color w:val="auto"/>
                <w:w w:val="71"/>
              </w:rPr>
              <w:t>21</w:t>
            </w:r>
          </w:p>
        </w:tc>
      </w:tr>
      <w:tr>
        <w:trPr>
          <w:trHeight w:val="191"/>
        </w:trPr>
        <w:tc>
          <w:tcPr>
            <w:tcW w:w="980" w:type="dxa"/>
            <w:vAlign w:val="bottom"/>
          </w:tcPr>
          <w:p>
            <w:pPr>
              <w:ind w:left="260"/>
              <w:spacing w:after="0"/>
              <w:rPr>
                <w:sz w:val="20"/>
                <w:szCs w:val="20"/>
                <w:color w:val="auto"/>
              </w:rPr>
            </w:pPr>
            <w:r>
              <w:rPr>
                <w:rFonts w:ascii="Arial" w:cs="Arial" w:eastAsia="Arial" w:hAnsi="Arial"/>
                <w:sz w:val="15"/>
                <w:szCs w:val="15"/>
                <w:color w:val="auto"/>
              </w:rPr>
              <w:t>Item 6.</w:t>
            </w:r>
          </w:p>
        </w:tc>
        <w:tc>
          <w:tcPr>
            <w:tcW w:w="7800" w:type="dxa"/>
            <w:vAlign w:val="bottom"/>
          </w:tcPr>
          <w:p>
            <w:pPr>
              <w:ind w:left="80"/>
              <w:spacing w:after="0"/>
              <w:rPr>
                <w:sz w:val="20"/>
                <w:szCs w:val="20"/>
                <w:color w:val="auto"/>
              </w:rPr>
            </w:pPr>
            <w:r>
              <w:rPr>
                <w:rFonts w:ascii="Arial" w:cs="Arial" w:eastAsia="Arial" w:hAnsi="Arial"/>
                <w:sz w:val="15"/>
                <w:szCs w:val="15"/>
                <w:color w:val="auto"/>
              </w:rPr>
              <w:t>Exhibits</w:t>
            </w:r>
          </w:p>
        </w:tc>
        <w:tc>
          <w:tcPr>
            <w:tcW w:w="2440" w:type="dxa"/>
            <w:vAlign w:val="bottom"/>
          </w:tcPr>
          <w:p>
            <w:pPr>
              <w:ind w:left="2300"/>
              <w:spacing w:after="0"/>
              <w:rPr>
                <w:sz w:val="20"/>
                <w:szCs w:val="20"/>
                <w:color w:val="auto"/>
              </w:rPr>
            </w:pPr>
            <w:r>
              <w:rPr>
                <w:rFonts w:ascii="Arial" w:cs="Arial" w:eastAsia="Arial" w:hAnsi="Arial"/>
                <w:sz w:val="15"/>
                <w:szCs w:val="15"/>
                <w:color w:val="auto"/>
                <w:w w:val="71"/>
              </w:rPr>
              <w:t>22</w:t>
            </w:r>
          </w:p>
        </w:tc>
      </w:tr>
      <w:tr>
        <w:trPr>
          <w:trHeight w:val="363"/>
        </w:trPr>
        <w:tc>
          <w:tcPr>
            <w:tcW w:w="980" w:type="dxa"/>
            <w:vAlign w:val="bottom"/>
          </w:tcPr>
          <w:p>
            <w:pPr>
              <w:ind w:left="260"/>
              <w:spacing w:after="0"/>
              <w:rPr>
                <w:sz w:val="20"/>
                <w:szCs w:val="20"/>
                <w:color w:val="auto"/>
              </w:rPr>
            </w:pPr>
            <w:r>
              <w:rPr>
                <w:rFonts w:ascii="Arial" w:cs="Arial" w:eastAsia="Arial" w:hAnsi="Arial"/>
                <w:sz w:val="15"/>
                <w:szCs w:val="15"/>
                <w:color w:val="auto"/>
                <w:w w:val="97"/>
              </w:rPr>
              <w:t>Signatures</w:t>
            </w:r>
          </w:p>
        </w:tc>
        <w:tc>
          <w:tcPr>
            <w:tcW w:w="7800" w:type="dxa"/>
            <w:vAlign w:val="bottom"/>
          </w:tcPr>
          <w:p>
            <w:pPr>
              <w:spacing w:after="0"/>
              <w:rPr>
                <w:sz w:val="24"/>
                <w:szCs w:val="24"/>
                <w:color w:val="auto"/>
              </w:rPr>
            </w:pPr>
          </w:p>
        </w:tc>
        <w:tc>
          <w:tcPr>
            <w:tcW w:w="2440" w:type="dxa"/>
            <w:vAlign w:val="bottom"/>
          </w:tcPr>
          <w:p>
            <w:pPr>
              <w:ind w:left="2300"/>
              <w:spacing w:after="0"/>
              <w:rPr>
                <w:sz w:val="20"/>
                <w:szCs w:val="20"/>
                <w:color w:val="auto"/>
              </w:rPr>
            </w:pPr>
            <w:r>
              <w:rPr>
                <w:rFonts w:ascii="Arial" w:cs="Arial" w:eastAsia="Arial" w:hAnsi="Arial"/>
                <w:sz w:val="15"/>
                <w:szCs w:val="15"/>
                <w:color w:val="auto"/>
                <w:w w:val="71"/>
              </w:rPr>
              <w:t>23</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67310</wp:posOffset>
            </wp:positionV>
            <wp:extent cx="727392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220"/>
          </w:cols>
          <w:pgMar w:left="360" w:top="45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PART I-FINANCIAL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(Dollars in thousands, except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October 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January 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October 2,</w:t>
            </w:r>
          </w:p>
        </w:tc>
        <w:tc>
          <w:tcPr>
            <w:tcW w:w="0" w:type="dxa"/>
            <w:vAlign w:val="bottom"/>
          </w:tcPr>
          <w:p>
            <w:pPr>
              <w:spacing w:after="0"/>
              <w:rPr>
                <w:sz w:val="1"/>
                <w:szCs w:val="1"/>
                <w:color w:val="auto"/>
              </w:rPr>
            </w:pPr>
          </w:p>
        </w:tc>
      </w:tr>
      <w:tr>
        <w:trPr>
          <w:trHeight w:val="199"/>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89"/>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5"/>
              </w:rPr>
              <w:t>2010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280" w:type="dxa"/>
            <w:vAlign w:val="bottom"/>
            <w:vMerge w:val="restart"/>
          </w:tcPr>
          <w:p>
            <w:pPr>
              <w:ind w:left="5380"/>
              <w:spacing w:after="0"/>
              <w:rPr>
                <w:sz w:val="20"/>
                <w:szCs w:val="20"/>
                <w:color w:val="auto"/>
              </w:rPr>
            </w:pPr>
            <w:r>
              <w:rPr>
                <w:rFonts w:ascii="Arial" w:cs="Arial" w:eastAsia="Arial" w:hAnsi="Arial"/>
                <w:sz w:val="15"/>
                <w:szCs w:val="15"/>
                <w:b w:val="1"/>
                <w:bCs w:val="1"/>
                <w:color w:val="auto"/>
              </w:rPr>
              <w:t>ASSETS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64"/>
              <w:spacing w:after="0"/>
              <w:rPr>
                <w:sz w:val="20"/>
                <w:szCs w:val="20"/>
                <w:color w:val="auto"/>
              </w:rPr>
            </w:pPr>
            <w:r>
              <w:rPr>
                <w:rFonts w:ascii="Arial" w:cs="Arial" w:eastAsia="Arial" w:hAnsi="Arial"/>
                <w:sz w:val="15"/>
                <w:szCs w:val="15"/>
                <w:color w:val="auto"/>
                <w:w w:val="94"/>
              </w:rPr>
              <w:t>(Unaudited)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4"/>
              <w:spacing w:after="0"/>
              <w:rPr>
                <w:sz w:val="20"/>
                <w:szCs w:val="20"/>
                <w:color w:val="auto"/>
              </w:rPr>
            </w:pPr>
            <w:r>
              <w:rPr>
                <w:rFonts w:ascii="Arial" w:cs="Arial" w:eastAsia="Arial" w:hAnsi="Arial"/>
                <w:sz w:val="15"/>
                <w:szCs w:val="15"/>
                <w:color w:val="auto"/>
                <w:w w:val="91"/>
              </w:rPr>
              <w:t>(Unaudited)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140"/>
              <w:spacing w:after="0"/>
              <w:rPr>
                <w:sz w:val="20"/>
                <w:szCs w:val="20"/>
                <w:color w:val="auto"/>
              </w:rPr>
            </w:pPr>
            <w:r>
              <w:rPr>
                <w:rFonts w:ascii="Arial" w:cs="Arial" w:eastAsia="Arial" w:hAnsi="Arial"/>
                <w:sz w:val="15"/>
                <w:szCs w:val="15"/>
                <w:color w:val="auto"/>
              </w:rPr>
              <w:t>Cash and cash equivalents</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25,106</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58,755</w:t>
            </w: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24,660</w:t>
            </w:r>
          </w:p>
        </w:tc>
        <w:tc>
          <w:tcPr>
            <w:tcW w:w="0" w:type="dxa"/>
            <w:vAlign w:val="bottom"/>
          </w:tcPr>
          <w:p>
            <w:pPr>
              <w:spacing w:after="0"/>
              <w:rPr>
                <w:sz w:val="1"/>
                <w:szCs w:val="1"/>
                <w:color w:val="auto"/>
              </w:rPr>
            </w:pPr>
          </w:p>
        </w:tc>
      </w:tr>
      <w:tr>
        <w:trPr>
          <w:trHeight w:val="182"/>
        </w:trPr>
        <w:tc>
          <w:tcPr>
            <w:tcW w:w="6280" w:type="dxa"/>
            <w:vAlign w:val="bottom"/>
          </w:tcPr>
          <w:p>
            <w:pPr>
              <w:ind w:left="140"/>
              <w:spacing w:after="0"/>
              <w:rPr>
                <w:sz w:val="20"/>
                <w:szCs w:val="20"/>
                <w:color w:val="auto"/>
              </w:rPr>
            </w:pPr>
            <w:r>
              <w:rPr>
                <w:rFonts w:ascii="Arial" w:cs="Arial" w:eastAsia="Arial" w:hAnsi="Arial"/>
                <w:sz w:val="15"/>
                <w:szCs w:val="15"/>
                <w:color w:val="auto"/>
              </w:rPr>
              <w:t>Inventories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56,258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46,475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54,726</w:t>
            </w: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140"/>
              <w:spacing w:after="0"/>
              <w:rPr>
                <w:sz w:val="20"/>
                <w:szCs w:val="20"/>
                <w:color w:val="auto"/>
              </w:rPr>
            </w:pPr>
            <w:r>
              <w:rPr>
                <w:rFonts w:ascii="Arial" w:cs="Arial" w:eastAsia="Arial" w:hAnsi="Arial"/>
                <w:sz w:val="15"/>
                <w:szCs w:val="15"/>
                <w:color w:val="auto"/>
              </w:rPr>
              <w:t>Receivables</w:t>
            </w: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4,889</w:t>
            </w: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7,923</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5,790</w:t>
            </w: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20,646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18,425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19,247</w:t>
            </w:r>
          </w:p>
        </w:tc>
        <w:tc>
          <w:tcPr>
            <w:tcW w:w="0" w:type="dxa"/>
            <w:vAlign w:val="bottom"/>
          </w:tcPr>
          <w:p>
            <w:pPr>
              <w:spacing w:after="0"/>
              <w:rPr>
                <w:sz w:val="1"/>
                <w:szCs w:val="1"/>
                <w:color w:val="auto"/>
              </w:rPr>
            </w:pPr>
          </w:p>
        </w:tc>
      </w:tr>
      <w:tr>
        <w:trPr>
          <w:trHeight w:val="184"/>
        </w:trPr>
        <w:tc>
          <w:tcPr>
            <w:tcW w:w="6280" w:type="dxa"/>
            <w:vAlign w:val="bottom"/>
            <w:tcBorders>
              <w:bottom w:val="single" w:sz="8" w:color="C0FFFF"/>
            </w:tcBorders>
            <w:shd w:val="clear" w:color="auto" w:fill="C0FFFF"/>
          </w:tcPr>
          <w:p>
            <w:pPr>
              <w:ind w:left="140"/>
              <w:spacing w:after="0"/>
              <w:rPr>
                <w:sz w:val="20"/>
                <w:szCs w:val="20"/>
                <w:color w:val="auto"/>
              </w:rPr>
            </w:pPr>
            <w:r>
              <w:rPr>
                <w:rFonts w:ascii="Arial" w:cs="Arial" w:eastAsia="Arial" w:hAnsi="Arial"/>
                <w:sz w:val="15"/>
                <w:szCs w:val="15"/>
                <w:color w:val="auto"/>
              </w:rPr>
              <w:t>Deferred tax assets</w:t>
            </w:r>
          </w:p>
        </w:tc>
        <w:tc>
          <w:tcPr>
            <w:tcW w:w="140" w:type="dxa"/>
            <w:vAlign w:val="bottom"/>
            <w:tcBorders>
              <w:bottom w:val="single" w:sz="8" w:color="C0FFFF"/>
            </w:tcBorders>
            <w:shd w:val="clear" w:color="auto" w:fill="C0FFFF"/>
          </w:tcPr>
          <w:p>
            <w:pPr>
              <w:spacing w:after="0"/>
              <w:rPr>
                <w:sz w:val="16"/>
                <w:szCs w:val="16"/>
                <w:color w:val="auto"/>
              </w:rPr>
            </w:pPr>
          </w:p>
        </w:tc>
        <w:tc>
          <w:tcPr>
            <w:tcW w:w="220" w:type="dxa"/>
            <w:vAlign w:val="bottom"/>
            <w:tcBorders>
              <w:bottom w:val="single" w:sz="8" w:color="auto"/>
            </w:tcBorders>
            <w:shd w:val="clear" w:color="auto" w:fill="C0FFFF"/>
          </w:tcPr>
          <w:p>
            <w:pPr>
              <w:spacing w:after="0"/>
              <w:rPr>
                <w:sz w:val="16"/>
                <w:szCs w:val="16"/>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7,624</w:t>
            </w:r>
          </w:p>
        </w:tc>
        <w:tc>
          <w:tcPr>
            <w:tcW w:w="140" w:type="dxa"/>
            <w:vAlign w:val="bottom"/>
            <w:tcBorders>
              <w:bottom w:val="single" w:sz="8" w:color="C0FFFF"/>
            </w:tcBorders>
            <w:shd w:val="clear" w:color="auto" w:fill="C0FFFF"/>
          </w:tcPr>
          <w:p>
            <w:pPr>
              <w:spacing w:after="0"/>
              <w:rPr>
                <w:sz w:val="16"/>
                <w:szCs w:val="16"/>
                <w:color w:val="auto"/>
              </w:rPr>
            </w:pPr>
          </w:p>
        </w:tc>
        <w:tc>
          <w:tcPr>
            <w:tcW w:w="80" w:type="dxa"/>
            <w:vAlign w:val="bottom"/>
            <w:tcBorders>
              <w:bottom w:val="single" w:sz="8" w:color="C0FFFF"/>
            </w:tcBorders>
            <w:shd w:val="clear" w:color="auto" w:fill="C0FFFF"/>
          </w:tcPr>
          <w:p>
            <w:pPr>
              <w:spacing w:after="0"/>
              <w:rPr>
                <w:sz w:val="16"/>
                <w:szCs w:val="16"/>
                <w:color w:val="auto"/>
              </w:rPr>
            </w:pPr>
          </w:p>
        </w:tc>
        <w:tc>
          <w:tcPr>
            <w:tcW w:w="240" w:type="dxa"/>
            <w:vAlign w:val="bottom"/>
            <w:tcBorders>
              <w:bottom w:val="single" w:sz="8" w:color="auto"/>
            </w:tcBorders>
            <w:shd w:val="clear" w:color="auto" w:fill="C0FFFF"/>
          </w:tcPr>
          <w:p>
            <w:pPr>
              <w:spacing w:after="0"/>
              <w:rPr>
                <w:sz w:val="16"/>
                <w:szCs w:val="16"/>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7,465</w:t>
            </w:r>
          </w:p>
        </w:tc>
        <w:tc>
          <w:tcPr>
            <w:tcW w:w="120" w:type="dxa"/>
            <w:vAlign w:val="bottom"/>
            <w:tcBorders>
              <w:bottom w:val="single" w:sz="8" w:color="C0FFFF"/>
            </w:tcBorders>
            <w:shd w:val="clear" w:color="auto" w:fill="C0FFFF"/>
          </w:tcPr>
          <w:p>
            <w:pPr>
              <w:spacing w:after="0"/>
              <w:rPr>
                <w:sz w:val="16"/>
                <w:szCs w:val="16"/>
                <w:color w:val="auto"/>
              </w:rPr>
            </w:pPr>
          </w:p>
        </w:tc>
        <w:tc>
          <w:tcPr>
            <w:tcW w:w="100" w:type="dxa"/>
            <w:vAlign w:val="bottom"/>
            <w:tcBorders>
              <w:bottom w:val="single" w:sz="8" w:color="C0FFFF"/>
            </w:tcBorders>
            <w:shd w:val="clear" w:color="auto" w:fill="C0FFFF"/>
          </w:tcPr>
          <w:p>
            <w:pPr>
              <w:spacing w:after="0"/>
              <w:rPr>
                <w:sz w:val="16"/>
                <w:szCs w:val="16"/>
                <w:color w:val="auto"/>
              </w:rPr>
            </w:pPr>
          </w:p>
        </w:tc>
        <w:tc>
          <w:tcPr>
            <w:tcW w:w="220" w:type="dxa"/>
            <w:vAlign w:val="bottom"/>
            <w:tcBorders>
              <w:bottom w:val="single" w:sz="8" w:color="auto"/>
            </w:tcBorders>
            <w:shd w:val="clear" w:color="auto" w:fill="C0FFFF"/>
          </w:tcPr>
          <w:p>
            <w:pPr>
              <w:spacing w:after="0"/>
              <w:rPr>
                <w:sz w:val="16"/>
                <w:szCs w:val="16"/>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6,874</w:t>
            </w:r>
          </w:p>
        </w:tc>
        <w:tc>
          <w:tcPr>
            <w:tcW w:w="120" w:type="dxa"/>
            <w:vAlign w:val="bottom"/>
            <w:tcBorders>
              <w:bottom w:val="single" w:sz="8" w:color="C0FFFF"/>
            </w:tcBorders>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36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114,523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139,043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111,297</w:t>
            </w: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280" w:type="dxa"/>
            <w:vAlign w:val="bottom"/>
          </w:tcPr>
          <w:p>
            <w:pPr>
              <w:ind w:left="20"/>
              <w:spacing w:after="0" w:line="171" w:lineRule="exact"/>
              <w:rPr>
                <w:sz w:val="20"/>
                <w:szCs w:val="20"/>
                <w:color w:val="auto"/>
              </w:rPr>
            </w:pPr>
            <w:r>
              <w:rPr>
                <w:rFonts w:ascii="Arial" w:cs="Arial" w:eastAsia="Arial" w:hAnsi="Arial"/>
                <w:sz w:val="15"/>
                <w:szCs w:val="15"/>
                <w:color w:val="auto"/>
                <w:w w:val="98"/>
              </w:rPr>
              <w:t>Property and equipment, net of accumulated depreciation of $173,862; $163,606 and $160,162,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240"/>
              <w:spacing w:after="0"/>
              <w:rPr>
                <w:sz w:val="20"/>
                <w:szCs w:val="20"/>
                <w:color w:val="auto"/>
              </w:rPr>
            </w:pPr>
            <w:r>
              <w:rPr>
                <w:rFonts w:ascii="Arial" w:cs="Arial" w:eastAsia="Arial" w:hAnsi="Arial"/>
                <w:sz w:val="15"/>
                <w:szCs w:val="15"/>
                <w:color w:val="auto"/>
              </w:rPr>
              <w:t>respectively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78,965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88,029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90,397</w:t>
            </w: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20"/>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32,614</w:t>
            </w: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32,407</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33,044</w:t>
            </w:r>
          </w:p>
        </w:tc>
        <w:tc>
          <w:tcPr>
            <w:tcW w:w="0" w:type="dxa"/>
            <w:vAlign w:val="bottom"/>
          </w:tcPr>
          <w:p>
            <w:pPr>
              <w:spacing w:after="0"/>
              <w:rPr>
                <w:sz w:val="1"/>
                <w:szCs w:val="1"/>
                <w:color w:val="auto"/>
              </w:rPr>
            </w:pPr>
          </w:p>
        </w:tc>
      </w:tr>
      <w:tr>
        <w:trPr>
          <w:trHeight w:val="182"/>
        </w:trPr>
        <w:tc>
          <w:tcPr>
            <w:tcW w:w="6280" w:type="dxa"/>
            <w:vAlign w:val="bottom"/>
          </w:tcPr>
          <w:p>
            <w:pPr>
              <w:ind w:left="20"/>
              <w:spacing w:after="0"/>
              <w:rPr>
                <w:sz w:val="20"/>
                <w:szCs w:val="20"/>
                <w:color w:val="auto"/>
              </w:rPr>
            </w:pPr>
            <w:r>
              <w:rPr>
                <w:rFonts w:ascii="Arial" w:cs="Arial" w:eastAsia="Arial" w:hAnsi="Arial"/>
                <w:sz w:val="15"/>
                <w:szCs w:val="15"/>
                <w:color w:val="auto"/>
              </w:rPr>
              <w:t>Other intangible assets, net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836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1,444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20"/>
              <w:spacing w:after="0"/>
              <w:rPr>
                <w:sz w:val="20"/>
                <w:szCs w:val="20"/>
                <w:color w:val="auto"/>
              </w:rPr>
            </w:pPr>
            <w:r>
              <w:rPr>
                <w:rFonts w:ascii="Arial" w:cs="Arial" w:eastAsia="Arial" w:hAnsi="Arial"/>
                <w:sz w:val="15"/>
                <w:szCs w:val="15"/>
                <w:color w:val="auto"/>
              </w:rPr>
              <w:t>Other assets, net</w:t>
            </w: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15,625</w:t>
            </w: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14,871</w:t>
            </w: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15,476</w:t>
            </w:r>
          </w:p>
        </w:tc>
        <w:tc>
          <w:tcPr>
            <w:tcW w:w="0" w:type="dxa"/>
            <w:vAlign w:val="bottom"/>
          </w:tcPr>
          <w:p>
            <w:pPr>
              <w:spacing w:after="0"/>
              <w:rPr>
                <w:sz w:val="1"/>
                <w:szCs w:val="1"/>
                <w:color w:val="auto"/>
              </w:rPr>
            </w:pPr>
          </w:p>
        </w:tc>
      </w:tr>
      <w:tr>
        <w:trPr>
          <w:trHeight w:val="23"/>
        </w:trPr>
        <w:tc>
          <w:tcPr>
            <w:tcW w:w="6280" w:type="dxa"/>
            <w:vAlign w:val="bottom"/>
            <w:shd w:val="clear" w:color="auto" w:fill="C0FFFF"/>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80" w:type="dxa"/>
            <w:vAlign w:val="bottom"/>
            <w:shd w:val="clear" w:color="auto" w:fill="C0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242,563</w:t>
            </w: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275,794</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252,871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420" w:type="dxa"/>
            <w:vAlign w:val="bottom"/>
            <w:gridSpan w:val="2"/>
            <w:shd w:val="clear" w:color="auto" w:fill="C0FFFF"/>
          </w:tcPr>
          <w:p>
            <w:pPr>
              <w:spacing w:after="0"/>
              <w:rPr>
                <w:sz w:val="14"/>
                <w:szCs w:val="14"/>
                <w:color w:val="auto"/>
              </w:rPr>
            </w:pPr>
          </w:p>
        </w:tc>
        <w:tc>
          <w:tcPr>
            <w:tcW w:w="1480" w:type="dxa"/>
            <w:vAlign w:val="bottom"/>
            <w:gridSpan w:val="2"/>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240" w:type="dxa"/>
            <w:vAlign w:val="bottom"/>
            <w:shd w:val="clear" w:color="auto" w:fill="C0FFFF"/>
          </w:tcPr>
          <w:p>
            <w:pPr>
              <w:spacing w:after="0"/>
              <w:rPr>
                <w:sz w:val="14"/>
                <w:szCs w:val="14"/>
                <w:color w:val="auto"/>
              </w:rPr>
            </w:pPr>
          </w:p>
        </w:tc>
        <w:tc>
          <w:tcPr>
            <w:tcW w:w="126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126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40" w:type="dxa"/>
            <w:vAlign w:val="bottom"/>
            <w:gridSpan w:val="5"/>
          </w:tcPr>
          <w:p>
            <w:pPr>
              <w:ind w:left="4040"/>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20"/>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38,544</w:t>
            </w: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36,325</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32,369</w:t>
            </w: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140"/>
              <w:spacing w:after="0"/>
              <w:rPr>
                <w:sz w:val="20"/>
                <w:szCs w:val="20"/>
                <w:color w:val="auto"/>
              </w:rPr>
            </w:pPr>
            <w:r>
              <w:rPr>
                <w:rFonts w:ascii="Arial" w:cs="Arial" w:eastAsia="Arial" w:hAnsi="Arial"/>
                <w:sz w:val="15"/>
                <w:szCs w:val="15"/>
                <w:color w:val="auto"/>
              </w:rPr>
              <w:t>Accrued expenses</w:t>
            </w: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6,039</w:t>
            </w: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15,488</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6,202</w:t>
            </w: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140"/>
              <w:spacing w:after="0"/>
              <w:rPr>
                <w:sz w:val="20"/>
                <w:szCs w:val="20"/>
                <w:color w:val="auto"/>
              </w:rPr>
            </w:pPr>
            <w:r>
              <w:rPr>
                <w:rFonts w:ascii="Arial" w:cs="Arial" w:eastAsia="Arial" w:hAnsi="Arial"/>
                <w:sz w:val="15"/>
                <w:szCs w:val="15"/>
                <w:color w:val="auto"/>
              </w:rPr>
              <w:t>Gift cards and customer deposits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21,670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28,880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21,736</w:t>
            </w:r>
          </w:p>
        </w:tc>
        <w:tc>
          <w:tcPr>
            <w:tcW w:w="0" w:type="dxa"/>
            <w:vAlign w:val="bottom"/>
          </w:tcPr>
          <w:p>
            <w:pPr>
              <w:spacing w:after="0"/>
              <w:rPr>
                <w:sz w:val="1"/>
                <w:szCs w:val="1"/>
                <w:color w:val="auto"/>
              </w:rPr>
            </w:pPr>
          </w:p>
        </w:tc>
      </w:tr>
      <w:tr>
        <w:trPr>
          <w:trHeight w:val="184"/>
        </w:trPr>
        <w:tc>
          <w:tcPr>
            <w:tcW w:w="6280" w:type="dxa"/>
            <w:vAlign w:val="bottom"/>
            <w:tcBorders>
              <w:bottom w:val="single" w:sz="8" w:color="C0FFFF"/>
            </w:tcBorders>
            <w:shd w:val="clear" w:color="auto" w:fill="C0FFFF"/>
          </w:tcPr>
          <w:p>
            <w:pPr>
              <w:ind w:left="140"/>
              <w:spacing w:after="0"/>
              <w:rPr>
                <w:sz w:val="20"/>
                <w:szCs w:val="20"/>
                <w:color w:val="auto"/>
              </w:rPr>
            </w:pPr>
            <w:r>
              <w:rPr>
                <w:rFonts w:ascii="Arial" w:cs="Arial" w:eastAsia="Arial" w:hAnsi="Arial"/>
                <w:sz w:val="15"/>
                <w:szCs w:val="15"/>
                <w:color w:val="auto"/>
              </w:rPr>
              <w:t>Deferred revenue</w:t>
            </w:r>
          </w:p>
        </w:tc>
        <w:tc>
          <w:tcPr>
            <w:tcW w:w="140" w:type="dxa"/>
            <w:vAlign w:val="bottom"/>
            <w:tcBorders>
              <w:bottom w:val="single" w:sz="8" w:color="C0FFFF"/>
            </w:tcBorders>
            <w:shd w:val="clear" w:color="auto" w:fill="C0FFFF"/>
          </w:tcPr>
          <w:p>
            <w:pPr>
              <w:spacing w:after="0"/>
              <w:rPr>
                <w:sz w:val="16"/>
                <w:szCs w:val="16"/>
                <w:color w:val="auto"/>
              </w:rPr>
            </w:pPr>
          </w:p>
        </w:tc>
        <w:tc>
          <w:tcPr>
            <w:tcW w:w="220" w:type="dxa"/>
            <w:vAlign w:val="bottom"/>
            <w:tcBorders>
              <w:bottom w:val="single" w:sz="8" w:color="auto"/>
            </w:tcBorders>
            <w:shd w:val="clear" w:color="auto" w:fill="C0FFFF"/>
          </w:tcPr>
          <w:p>
            <w:pPr>
              <w:spacing w:after="0"/>
              <w:rPr>
                <w:sz w:val="16"/>
                <w:szCs w:val="16"/>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6,803</w:t>
            </w:r>
          </w:p>
        </w:tc>
        <w:tc>
          <w:tcPr>
            <w:tcW w:w="140" w:type="dxa"/>
            <w:vAlign w:val="bottom"/>
            <w:tcBorders>
              <w:bottom w:val="single" w:sz="8" w:color="C0FFFF"/>
            </w:tcBorders>
            <w:shd w:val="clear" w:color="auto" w:fill="C0FFFF"/>
          </w:tcPr>
          <w:p>
            <w:pPr>
              <w:spacing w:after="0"/>
              <w:rPr>
                <w:sz w:val="16"/>
                <w:szCs w:val="16"/>
                <w:color w:val="auto"/>
              </w:rPr>
            </w:pPr>
          </w:p>
        </w:tc>
        <w:tc>
          <w:tcPr>
            <w:tcW w:w="80" w:type="dxa"/>
            <w:vAlign w:val="bottom"/>
            <w:tcBorders>
              <w:bottom w:val="single" w:sz="8" w:color="C0FFFF"/>
            </w:tcBorders>
            <w:shd w:val="clear" w:color="auto" w:fill="C0FFFF"/>
          </w:tcPr>
          <w:p>
            <w:pPr>
              <w:spacing w:after="0"/>
              <w:rPr>
                <w:sz w:val="16"/>
                <w:szCs w:val="16"/>
                <w:color w:val="auto"/>
              </w:rPr>
            </w:pPr>
          </w:p>
        </w:tc>
        <w:tc>
          <w:tcPr>
            <w:tcW w:w="240" w:type="dxa"/>
            <w:vAlign w:val="bottom"/>
            <w:tcBorders>
              <w:bottom w:val="single" w:sz="8" w:color="auto"/>
            </w:tcBorders>
            <w:shd w:val="clear" w:color="auto" w:fill="C0FFFF"/>
          </w:tcPr>
          <w:p>
            <w:pPr>
              <w:spacing w:after="0"/>
              <w:rPr>
                <w:sz w:val="16"/>
                <w:szCs w:val="16"/>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6,679</w:t>
            </w:r>
          </w:p>
        </w:tc>
        <w:tc>
          <w:tcPr>
            <w:tcW w:w="120" w:type="dxa"/>
            <w:vAlign w:val="bottom"/>
            <w:tcBorders>
              <w:bottom w:val="single" w:sz="8" w:color="C0FFFF"/>
            </w:tcBorders>
            <w:shd w:val="clear" w:color="auto" w:fill="C0FFFF"/>
          </w:tcPr>
          <w:p>
            <w:pPr>
              <w:spacing w:after="0"/>
              <w:rPr>
                <w:sz w:val="16"/>
                <w:szCs w:val="16"/>
                <w:color w:val="auto"/>
              </w:rPr>
            </w:pPr>
          </w:p>
        </w:tc>
        <w:tc>
          <w:tcPr>
            <w:tcW w:w="100" w:type="dxa"/>
            <w:vAlign w:val="bottom"/>
            <w:tcBorders>
              <w:bottom w:val="single" w:sz="8" w:color="C0FFFF"/>
            </w:tcBorders>
            <w:shd w:val="clear" w:color="auto" w:fill="C0FFFF"/>
          </w:tcPr>
          <w:p>
            <w:pPr>
              <w:spacing w:after="0"/>
              <w:rPr>
                <w:sz w:val="16"/>
                <w:szCs w:val="16"/>
                <w:color w:val="auto"/>
              </w:rPr>
            </w:pPr>
          </w:p>
        </w:tc>
        <w:tc>
          <w:tcPr>
            <w:tcW w:w="220" w:type="dxa"/>
            <w:vAlign w:val="bottom"/>
            <w:tcBorders>
              <w:bottom w:val="single" w:sz="8" w:color="auto"/>
            </w:tcBorders>
            <w:shd w:val="clear" w:color="auto" w:fill="C0FFFF"/>
          </w:tcPr>
          <w:p>
            <w:pPr>
              <w:spacing w:after="0"/>
              <w:rPr>
                <w:sz w:val="16"/>
                <w:szCs w:val="16"/>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9,952</w:t>
            </w:r>
          </w:p>
        </w:tc>
        <w:tc>
          <w:tcPr>
            <w:tcW w:w="120" w:type="dxa"/>
            <w:vAlign w:val="bottom"/>
            <w:tcBorders>
              <w:bottom w:val="single" w:sz="8" w:color="C0FFFF"/>
            </w:tcBorders>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80" w:type="dxa"/>
            <w:vAlign w:val="bottom"/>
          </w:tcPr>
          <w:p>
            <w:pPr>
              <w:ind w:left="360"/>
              <w:spacing w:after="0"/>
              <w:rPr>
                <w:sz w:val="20"/>
                <w:szCs w:val="20"/>
                <w:color w:val="auto"/>
              </w:rPr>
            </w:pPr>
            <w:r>
              <w:rPr>
                <w:rFonts w:ascii="Arial" w:cs="Arial" w:eastAsia="Arial" w:hAnsi="Arial"/>
                <w:sz w:val="15"/>
                <w:szCs w:val="15"/>
                <w:color w:val="auto"/>
              </w:rPr>
              <w:t>Total current liabilities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73,056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87,372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70,259</w:t>
            </w: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126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240" w:type="dxa"/>
            <w:vAlign w:val="bottom"/>
            <w:tcBorders>
              <w:top w:val="single" w:sz="8" w:color="auto"/>
            </w:tcBorders>
            <w:shd w:val="clear" w:color="auto" w:fill="C0FFFF"/>
          </w:tcPr>
          <w:p>
            <w:pPr>
              <w:spacing w:after="0"/>
              <w:rPr>
                <w:sz w:val="15"/>
                <w:szCs w:val="15"/>
                <w:color w:val="auto"/>
              </w:rPr>
            </w:pPr>
          </w:p>
        </w:tc>
        <w:tc>
          <w:tcPr>
            <w:tcW w:w="126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126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20"/>
              <w:spacing w:after="0"/>
              <w:rPr>
                <w:sz w:val="20"/>
                <w:szCs w:val="20"/>
                <w:color w:val="auto"/>
              </w:rPr>
            </w:pPr>
            <w:r>
              <w:rPr>
                <w:rFonts w:ascii="Arial" w:cs="Arial" w:eastAsia="Arial" w:hAnsi="Arial"/>
                <w:sz w:val="15"/>
                <w:szCs w:val="15"/>
                <w:color w:val="auto"/>
              </w:rPr>
              <w:t>Deferred franchise revenue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1,504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1,706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20"/>
              <w:spacing w:after="0"/>
              <w:rPr>
                <w:sz w:val="20"/>
                <w:szCs w:val="20"/>
                <w:color w:val="auto"/>
              </w:rPr>
            </w:pPr>
            <w:r>
              <w:rPr>
                <w:rFonts w:ascii="Arial" w:cs="Arial" w:eastAsia="Arial" w:hAnsi="Arial"/>
                <w:sz w:val="15"/>
                <w:szCs w:val="15"/>
                <w:color w:val="auto"/>
              </w:rPr>
              <w:t>Deferred rent</w:t>
            </w: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25,139</w:t>
            </w: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28,642</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30,296</w:t>
            </w:r>
          </w:p>
        </w:tc>
        <w:tc>
          <w:tcPr>
            <w:tcW w:w="0" w:type="dxa"/>
            <w:vAlign w:val="bottom"/>
          </w:tcPr>
          <w:p>
            <w:pPr>
              <w:spacing w:after="0"/>
              <w:rPr>
                <w:sz w:val="1"/>
                <w:szCs w:val="1"/>
                <w:color w:val="auto"/>
              </w:rPr>
            </w:pPr>
          </w:p>
        </w:tc>
      </w:tr>
      <w:tr>
        <w:trPr>
          <w:trHeight w:val="182"/>
        </w:trPr>
        <w:tc>
          <w:tcPr>
            <w:tcW w:w="628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366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280" w:type="dxa"/>
            <w:vAlign w:val="bottom"/>
            <w:shd w:val="clear" w:color="auto" w:fill="C0FFFF"/>
          </w:tcPr>
          <w:p>
            <w:pPr>
              <w:ind w:left="140"/>
              <w:spacing w:after="0" w:line="171" w:lineRule="exact"/>
              <w:rPr>
                <w:sz w:val="20"/>
                <w:szCs w:val="20"/>
                <w:color w:val="auto"/>
              </w:rPr>
            </w:pPr>
            <w:r>
              <w:rPr>
                <w:rFonts w:ascii="Arial" w:cs="Arial" w:eastAsia="Arial" w:hAnsi="Arial"/>
                <w:sz w:val="15"/>
                <w:szCs w:val="15"/>
                <w:color w:val="auto"/>
                <w:w w:val="91"/>
              </w:rPr>
              <w:t>Preferred stock, par value $0.01, Shares authorized: 15,000,000; No shares issued or outstanding at</w:t>
            </w:r>
          </w:p>
        </w:tc>
        <w:tc>
          <w:tcPr>
            <w:tcW w:w="14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126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240" w:type="dxa"/>
            <w:vAlign w:val="bottom"/>
            <w:shd w:val="clear" w:color="auto" w:fill="C0FFFF"/>
          </w:tcPr>
          <w:p>
            <w:pPr>
              <w:spacing w:after="0"/>
              <w:rPr>
                <w:sz w:val="14"/>
                <w:szCs w:val="14"/>
                <w:color w:val="auto"/>
              </w:rPr>
            </w:pPr>
          </w:p>
        </w:tc>
        <w:tc>
          <w:tcPr>
            <w:tcW w:w="126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126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October 1, 2011, January 1, 2011 and October 2, 2010</w:t>
            </w:r>
          </w:p>
        </w:tc>
        <w:tc>
          <w:tcPr>
            <w:tcW w:w="14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80" w:type="dxa"/>
            <w:vAlign w:val="bottom"/>
          </w:tcPr>
          <w:p>
            <w:pPr>
              <w:ind w:left="140"/>
              <w:spacing w:after="0" w:line="171" w:lineRule="exact"/>
              <w:rPr>
                <w:sz w:val="20"/>
                <w:szCs w:val="20"/>
                <w:color w:val="auto"/>
              </w:rPr>
            </w:pPr>
            <w:r>
              <w:rPr>
                <w:rFonts w:ascii="Arial" w:cs="Arial" w:eastAsia="Arial" w:hAnsi="Arial"/>
                <w:sz w:val="15"/>
                <w:szCs w:val="15"/>
                <w:color w:val="auto"/>
              </w:rPr>
              <w:t>Common stock, par value $0.01, Shares authorized: 50,000,000; Issued and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340"/>
              <w:spacing w:after="0"/>
              <w:rPr>
                <w:sz w:val="20"/>
                <w:szCs w:val="20"/>
                <w:color w:val="auto"/>
              </w:rPr>
            </w:pPr>
            <w:r>
              <w:rPr>
                <w:rFonts w:ascii="Arial" w:cs="Arial" w:eastAsia="Arial" w:hAnsi="Arial"/>
                <w:sz w:val="15"/>
                <w:szCs w:val="15"/>
                <w:color w:val="auto"/>
              </w:rPr>
              <w:t>outstanding:  18,157,318; 19,631,623 and 19,560,591 shares, respectively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shd w:val="clear" w:color="auto" w:fill="C0FFFF"/>
          </w:tcPr>
          <w:p>
            <w:pPr>
              <w:ind w:left="140"/>
              <w:spacing w:after="0"/>
              <w:rPr>
                <w:sz w:val="20"/>
                <w:szCs w:val="20"/>
                <w:color w:val="auto"/>
              </w:rPr>
            </w:pPr>
            <w:r>
              <w:rPr>
                <w:rFonts w:ascii="Arial" w:cs="Arial" w:eastAsia="Arial" w:hAnsi="Arial"/>
                <w:sz w:val="15"/>
                <w:szCs w:val="15"/>
                <w:color w:val="auto"/>
              </w:rPr>
              <w:t>Additional paid-in capital</w:t>
            </w:r>
          </w:p>
        </w:tc>
        <w:tc>
          <w:tcPr>
            <w:tcW w:w="1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68,999</w:t>
            </w: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76,582</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75,349</w:t>
            </w:r>
          </w:p>
        </w:tc>
        <w:tc>
          <w:tcPr>
            <w:tcW w:w="0" w:type="dxa"/>
            <w:vAlign w:val="bottom"/>
          </w:tcPr>
          <w:p>
            <w:pPr>
              <w:spacing w:after="0"/>
              <w:rPr>
                <w:sz w:val="1"/>
                <w:szCs w:val="1"/>
                <w:color w:val="auto"/>
              </w:rPr>
            </w:pPr>
          </w:p>
        </w:tc>
      </w:tr>
      <w:tr>
        <w:trPr>
          <w:trHeight w:val="182"/>
        </w:trPr>
        <w:tc>
          <w:tcPr>
            <w:tcW w:w="6280" w:type="dxa"/>
            <w:vAlign w:val="bottom"/>
          </w:tcPr>
          <w:p>
            <w:pPr>
              <w:ind w:left="14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(9,506)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5"/>
                <w:szCs w:val="15"/>
                <w:color w:val="auto"/>
              </w:rPr>
              <w:t>(9,959)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(8,242)</w:t>
            </w:r>
          </w:p>
        </w:tc>
        <w:tc>
          <w:tcPr>
            <w:tcW w:w="0" w:type="dxa"/>
            <w:vAlign w:val="bottom"/>
          </w:tcPr>
          <w:p>
            <w:pPr>
              <w:spacing w:after="0"/>
              <w:rPr>
                <w:sz w:val="1"/>
                <w:szCs w:val="1"/>
                <w:color w:val="auto"/>
              </w:rPr>
            </w:pPr>
          </w:p>
        </w:tc>
      </w:tr>
      <w:tr>
        <w:trPr>
          <w:trHeight w:val="184"/>
        </w:trPr>
        <w:tc>
          <w:tcPr>
            <w:tcW w:w="6280" w:type="dxa"/>
            <w:vAlign w:val="bottom"/>
            <w:shd w:val="clear" w:color="auto" w:fill="C0FFFF"/>
          </w:tcPr>
          <w:p>
            <w:pPr>
              <w:ind w:left="140"/>
              <w:spacing w:after="0"/>
              <w:rPr>
                <w:sz w:val="20"/>
                <w:szCs w:val="20"/>
                <w:color w:val="auto"/>
              </w:rPr>
            </w:pPr>
            <w:r>
              <w:rPr>
                <w:rFonts w:ascii="Arial" w:cs="Arial" w:eastAsia="Arial" w:hAnsi="Arial"/>
                <w:sz w:val="15"/>
                <w:szCs w:val="15"/>
                <w:color w:val="auto"/>
              </w:rPr>
              <w:t>Retained earnings</w:t>
            </w:r>
          </w:p>
        </w:tc>
        <w:tc>
          <w:tcPr>
            <w:tcW w:w="14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82,823</w:t>
            </w: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90,894</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82,615</w:t>
            </w:r>
          </w:p>
        </w:tc>
        <w:tc>
          <w:tcPr>
            <w:tcW w:w="0" w:type="dxa"/>
            <w:vAlign w:val="bottom"/>
          </w:tcPr>
          <w:p>
            <w:pPr>
              <w:spacing w:after="0"/>
              <w:rPr>
                <w:sz w:val="1"/>
                <w:szCs w:val="1"/>
                <w:color w:val="auto"/>
              </w:rPr>
            </w:pPr>
          </w:p>
        </w:tc>
      </w:tr>
      <w:tr>
        <w:trPr>
          <w:trHeight w:val="184"/>
        </w:trPr>
        <w:tc>
          <w:tcPr>
            <w:tcW w:w="6280" w:type="dxa"/>
            <w:vAlign w:val="bottom"/>
            <w:tcBorders>
              <w:top w:val="single" w:sz="8" w:color="C0FFFF"/>
            </w:tcBorders>
          </w:tcPr>
          <w:p>
            <w:pPr>
              <w:ind w:left="360"/>
              <w:spacing w:after="0"/>
              <w:rPr>
                <w:sz w:val="20"/>
                <w:szCs w:val="20"/>
                <w:color w:val="auto"/>
              </w:rPr>
            </w:pPr>
            <w:r>
              <w:rPr>
                <w:rFonts w:ascii="Arial" w:cs="Arial" w:eastAsia="Arial" w:hAnsi="Arial"/>
                <w:sz w:val="15"/>
                <w:szCs w:val="15"/>
                <w:color w:val="auto"/>
              </w:rPr>
              <w:t>Total stockholders' equity</w:t>
            </w:r>
          </w:p>
        </w:tc>
        <w:tc>
          <w:tcPr>
            <w:tcW w:w="140" w:type="dxa"/>
            <w:vAlign w:val="bottom"/>
            <w:tcBorders>
              <w:top w:val="single" w:sz="8" w:color="C0FF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142,498</w:t>
            </w:r>
          </w:p>
        </w:tc>
        <w:tc>
          <w:tcPr>
            <w:tcW w:w="14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157,713</w:t>
            </w:r>
          </w:p>
        </w:tc>
        <w:tc>
          <w:tcPr>
            <w:tcW w:w="12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149,918</w:t>
            </w:r>
          </w:p>
        </w:tc>
        <w:tc>
          <w:tcPr>
            <w:tcW w:w="12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80" w:type="dxa"/>
            <w:vAlign w:val="bottom"/>
            <w:shd w:val="clear" w:color="auto" w:fill="C0FFF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242,563</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275,794</w:t>
            </w: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252,871</w:t>
            </w:r>
          </w:p>
        </w:tc>
        <w:tc>
          <w:tcPr>
            <w:tcW w:w="1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 except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5"/>
                <w:szCs w:val="15"/>
                <w:b w:val="1"/>
                <w:bCs w:val="1"/>
                <w:color w:val="auto"/>
              </w:rPr>
              <w:t>Thirteen weeks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rPr>
              <w:t>Thirty-nine weeks ended</w:t>
            </w:r>
          </w:p>
        </w:tc>
      </w:tr>
      <w:tr>
        <w:trPr>
          <w:trHeight w:val="167"/>
        </w:trPr>
        <w:tc>
          <w:tcPr>
            <w:tcW w:w="60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380"/>
              <w:spacing w:after="0" w:line="167" w:lineRule="exact"/>
              <w:rPr>
                <w:sz w:val="20"/>
                <w:szCs w:val="20"/>
                <w:color w:val="auto"/>
              </w:rPr>
            </w:pPr>
            <w:r>
              <w:rPr>
                <w:rFonts w:ascii="Arial" w:cs="Arial" w:eastAsia="Arial" w:hAnsi="Arial"/>
                <w:sz w:val="15"/>
                <w:szCs w:val="15"/>
                <w:b w:val="1"/>
                <w:bCs w:val="1"/>
                <w:color w:val="auto"/>
                <w:w w:val="94"/>
              </w:rPr>
              <w:t>October 1,</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44"/>
              <w:spacing w:after="0" w:line="167" w:lineRule="exact"/>
              <w:rPr>
                <w:sz w:val="20"/>
                <w:szCs w:val="20"/>
                <w:color w:val="auto"/>
              </w:rPr>
            </w:pPr>
            <w:r>
              <w:rPr>
                <w:rFonts w:ascii="Arial" w:cs="Arial" w:eastAsia="Arial" w:hAnsi="Arial"/>
                <w:sz w:val="15"/>
                <w:szCs w:val="15"/>
                <w:b w:val="1"/>
                <w:bCs w:val="1"/>
                <w:color w:val="auto"/>
                <w:w w:val="99"/>
              </w:rPr>
              <w:t>October 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60"/>
              <w:spacing w:after="0" w:line="167" w:lineRule="exact"/>
              <w:rPr>
                <w:sz w:val="20"/>
                <w:szCs w:val="20"/>
                <w:color w:val="auto"/>
              </w:rPr>
            </w:pPr>
            <w:r>
              <w:rPr>
                <w:rFonts w:ascii="Arial" w:cs="Arial" w:eastAsia="Arial" w:hAnsi="Arial"/>
                <w:sz w:val="15"/>
                <w:szCs w:val="15"/>
                <w:b w:val="1"/>
                <w:bCs w:val="1"/>
                <w:color w:val="auto"/>
                <w:w w:val="91"/>
              </w:rPr>
              <w:t>October 1,</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44"/>
              <w:spacing w:after="0" w:line="167" w:lineRule="exact"/>
              <w:rPr>
                <w:sz w:val="20"/>
                <w:szCs w:val="20"/>
                <w:color w:val="auto"/>
              </w:rPr>
            </w:pPr>
            <w:r>
              <w:rPr>
                <w:rFonts w:ascii="Arial" w:cs="Arial" w:eastAsia="Arial" w:hAnsi="Arial"/>
                <w:sz w:val="15"/>
                <w:szCs w:val="15"/>
                <w:b w:val="1"/>
                <w:bCs w:val="1"/>
                <w:color w:val="auto"/>
                <w:w w:val="99"/>
              </w:rPr>
              <w:t>October 2,</w:t>
            </w:r>
          </w:p>
        </w:tc>
        <w:tc>
          <w:tcPr>
            <w:tcW w:w="120" w:type="dxa"/>
            <w:vAlign w:val="bottom"/>
          </w:tcPr>
          <w:p>
            <w:pPr>
              <w:spacing w:after="0"/>
              <w:rPr>
                <w:sz w:val="14"/>
                <w:szCs w:val="14"/>
                <w:color w:val="auto"/>
              </w:rPr>
            </w:pPr>
          </w:p>
        </w:tc>
      </w:tr>
      <w:tr>
        <w:trPr>
          <w:trHeight w:val="199"/>
        </w:trPr>
        <w:tc>
          <w:tcPr>
            <w:tcW w:w="6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r>
      <w:tr>
        <w:trPr>
          <w:trHeight w:val="362"/>
        </w:trPr>
        <w:tc>
          <w:tcPr>
            <w:tcW w:w="6080" w:type="dxa"/>
            <w:vAlign w:val="bottom"/>
          </w:tcPr>
          <w:p>
            <w:pPr>
              <w:spacing w:after="0"/>
              <w:rPr>
                <w:sz w:val="20"/>
                <w:szCs w:val="20"/>
                <w:color w:val="auto"/>
              </w:rPr>
            </w:pPr>
            <w:r>
              <w:rPr>
                <w:rFonts w:ascii="Arial" w:cs="Arial" w:eastAsia="Arial" w:hAnsi="Arial"/>
                <w:sz w:val="15"/>
                <w:szCs w:val="15"/>
                <w:color w:val="auto"/>
              </w:rPr>
              <w:t>Revenues: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080" w:type="dxa"/>
            <w:vAlign w:val="bottom"/>
            <w:shd w:val="clear" w:color="auto" w:fill="C0FFFF"/>
          </w:tcPr>
          <w:p>
            <w:pPr>
              <w:ind w:left="440"/>
              <w:spacing w:after="0"/>
              <w:rPr>
                <w:sz w:val="20"/>
                <w:szCs w:val="20"/>
                <w:color w:val="auto"/>
              </w:rPr>
            </w:pPr>
            <w:r>
              <w:rPr>
                <w:rFonts w:ascii="Arial" w:cs="Arial" w:eastAsia="Arial" w:hAnsi="Arial"/>
                <w:sz w:val="15"/>
                <w:szCs w:val="15"/>
                <w:color w:val="auto"/>
              </w:rPr>
              <w:t>Net retail sales</w:t>
            </w:r>
          </w:p>
        </w:tc>
        <w:tc>
          <w:tcPr>
            <w:tcW w:w="140" w:type="dxa"/>
            <w:vAlign w:val="bottom"/>
            <w:shd w:val="clear" w:color="auto" w:fill="C0FF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95,378</w:t>
            </w:r>
          </w:p>
        </w:tc>
        <w:tc>
          <w:tcPr>
            <w:tcW w:w="1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91,689</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269,929</w:t>
            </w:r>
          </w:p>
        </w:tc>
        <w:tc>
          <w:tcPr>
            <w:tcW w:w="1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263,963</w:t>
            </w:r>
          </w:p>
        </w:tc>
        <w:tc>
          <w:tcPr>
            <w:tcW w:w="120" w:type="dxa"/>
            <w:vAlign w:val="bottom"/>
            <w:shd w:val="clear" w:color="auto" w:fill="C0FFFF"/>
          </w:tcPr>
          <w:p>
            <w:pPr>
              <w:spacing w:after="0"/>
              <w:rPr>
                <w:sz w:val="15"/>
                <w:szCs w:val="15"/>
                <w:color w:val="auto"/>
              </w:rPr>
            </w:pPr>
          </w:p>
        </w:tc>
      </w:tr>
      <w:tr>
        <w:trPr>
          <w:trHeight w:val="182"/>
        </w:trPr>
        <w:tc>
          <w:tcPr>
            <w:tcW w:w="6080" w:type="dxa"/>
            <w:vAlign w:val="bottom"/>
          </w:tcPr>
          <w:p>
            <w:pPr>
              <w:ind w:left="440"/>
              <w:spacing w:after="0"/>
              <w:rPr>
                <w:sz w:val="20"/>
                <w:szCs w:val="20"/>
                <w:color w:val="auto"/>
              </w:rPr>
            </w:pPr>
            <w:r>
              <w:rPr>
                <w:rFonts w:ascii="Arial" w:cs="Arial" w:eastAsia="Arial" w:hAnsi="Arial"/>
                <w:sz w:val="15"/>
                <w:szCs w:val="15"/>
                <w:color w:val="auto"/>
              </w:rPr>
              <w:t>Commercial revenue</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1,160</w:t>
            </w: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7,637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3,002</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9,588</w:t>
            </w:r>
          </w:p>
        </w:tc>
        <w:tc>
          <w:tcPr>
            <w:tcW w:w="120" w:type="dxa"/>
            <w:vAlign w:val="bottom"/>
          </w:tcPr>
          <w:p>
            <w:pPr>
              <w:spacing w:after="0"/>
              <w:rPr>
                <w:sz w:val="15"/>
                <w:szCs w:val="15"/>
                <w:color w:val="auto"/>
              </w:rPr>
            </w:pPr>
          </w:p>
        </w:tc>
      </w:tr>
      <w:tr>
        <w:trPr>
          <w:trHeight w:val="182"/>
        </w:trPr>
        <w:tc>
          <w:tcPr>
            <w:tcW w:w="6080" w:type="dxa"/>
            <w:vAlign w:val="bottom"/>
            <w:shd w:val="clear" w:color="auto" w:fill="C0FFFF"/>
          </w:tcPr>
          <w:p>
            <w:pPr>
              <w:ind w:left="440"/>
              <w:spacing w:after="0"/>
              <w:rPr>
                <w:sz w:val="20"/>
                <w:szCs w:val="20"/>
                <w:color w:val="auto"/>
              </w:rPr>
            </w:pPr>
            <w:r>
              <w:rPr>
                <w:rFonts w:ascii="Arial" w:cs="Arial" w:eastAsia="Arial" w:hAnsi="Arial"/>
                <w:sz w:val="15"/>
                <w:szCs w:val="15"/>
                <w:color w:val="auto"/>
              </w:rPr>
              <w:t>Franchise fees</w:t>
            </w:r>
          </w:p>
        </w:tc>
        <w:tc>
          <w:tcPr>
            <w:tcW w:w="140" w:type="dxa"/>
            <w:vAlign w:val="bottom"/>
            <w:shd w:val="clear" w:color="auto" w:fill="C0FFFF"/>
          </w:tcPr>
          <w:p>
            <w:pPr>
              <w:spacing w:after="0"/>
              <w:rPr>
                <w:sz w:val="15"/>
                <w:szCs w:val="15"/>
                <w:color w:val="auto"/>
              </w:rPr>
            </w:pP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872</w:t>
            </w:r>
          </w:p>
        </w:tc>
        <w:tc>
          <w:tcPr>
            <w:tcW w:w="16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767</w:t>
            </w: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2,312</w:t>
            </w:r>
          </w:p>
        </w:tc>
        <w:tc>
          <w:tcPr>
            <w:tcW w:w="160" w:type="dxa"/>
            <w:vAlign w:val="bottom"/>
            <w:shd w:val="clear" w:color="auto" w:fill="C0FFFF"/>
          </w:tcPr>
          <w:p>
            <w:pPr>
              <w:spacing w:after="0"/>
              <w:rPr>
                <w:sz w:val="15"/>
                <w:szCs w:val="15"/>
                <w:color w:val="auto"/>
              </w:rPr>
            </w:pPr>
          </w:p>
        </w:tc>
        <w:tc>
          <w:tcPr>
            <w:tcW w:w="110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2,112</w:t>
            </w:r>
          </w:p>
        </w:tc>
      </w:tr>
      <w:tr>
        <w:trPr>
          <w:trHeight w:val="23"/>
        </w:trPr>
        <w:tc>
          <w:tcPr>
            <w:tcW w:w="6080" w:type="dxa"/>
            <w:vAlign w:val="bottom"/>
            <w:shd w:val="clear" w:color="auto" w:fill="C0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80" w:type="dxa"/>
            <w:vAlign w:val="bottom"/>
            <w:shd w:val="clear" w:color="auto" w:fill="C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84"/>
        </w:trPr>
        <w:tc>
          <w:tcPr>
            <w:tcW w:w="6080" w:type="dxa"/>
            <w:vAlign w:val="bottom"/>
          </w:tcPr>
          <w:p>
            <w:pPr>
              <w:ind w:left="900"/>
              <w:spacing w:after="0"/>
              <w:rPr>
                <w:sz w:val="20"/>
                <w:szCs w:val="20"/>
                <w:color w:val="auto"/>
              </w:rPr>
            </w:pPr>
            <w:r>
              <w:rPr>
                <w:rFonts w:ascii="Arial" w:cs="Arial" w:eastAsia="Arial" w:hAnsi="Arial"/>
                <w:sz w:val="15"/>
                <w:szCs w:val="15"/>
                <w:color w:val="auto"/>
              </w:rPr>
              <w:t>Total revenues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97,410</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100,093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275,243</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275,663</w:t>
            </w:r>
          </w:p>
        </w:tc>
        <w:tc>
          <w:tcPr>
            <w:tcW w:w="120" w:type="dxa"/>
            <w:vAlign w:val="bottom"/>
          </w:tcPr>
          <w:p>
            <w:pPr>
              <w:spacing w:after="0"/>
              <w:rPr>
                <w:sz w:val="16"/>
                <w:szCs w:val="16"/>
                <w:color w:val="auto"/>
              </w:rPr>
            </w:pPr>
          </w:p>
        </w:tc>
      </w:tr>
      <w:tr>
        <w:trPr>
          <w:trHeight w:val="182"/>
        </w:trPr>
        <w:tc>
          <w:tcPr>
            <w:tcW w:w="6080" w:type="dxa"/>
            <w:vAlign w:val="bottom"/>
            <w:shd w:val="clear" w:color="auto" w:fill="C0FFFF"/>
          </w:tcPr>
          <w:p>
            <w:pPr>
              <w:spacing w:after="0"/>
              <w:rPr>
                <w:sz w:val="15"/>
                <w:szCs w:val="15"/>
                <w:color w:val="auto"/>
              </w:rPr>
            </w:pPr>
          </w:p>
        </w:tc>
        <w:tc>
          <w:tcPr>
            <w:tcW w:w="140" w:type="dxa"/>
            <w:vAlign w:val="bottom"/>
            <w:tcBorders>
              <w:top w:val="single" w:sz="8" w:color="auto"/>
            </w:tcBorders>
            <w:shd w:val="clear" w:color="auto" w:fill="C0FFFF"/>
          </w:tcPr>
          <w:p>
            <w:pPr>
              <w:spacing w:after="0"/>
              <w:rPr>
                <w:sz w:val="15"/>
                <w:szCs w:val="15"/>
                <w:color w:val="auto"/>
              </w:rPr>
            </w:pPr>
          </w:p>
        </w:tc>
        <w:tc>
          <w:tcPr>
            <w:tcW w:w="1000" w:type="dxa"/>
            <w:vAlign w:val="bottom"/>
            <w:tcBorders>
              <w:top w:val="single" w:sz="8" w:color="auto"/>
            </w:tcBorders>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60" w:type="dxa"/>
            <w:vAlign w:val="bottom"/>
            <w:tcBorders>
              <w:top w:val="single" w:sz="8" w:color="auto"/>
            </w:tcBorders>
            <w:shd w:val="clear" w:color="auto" w:fill="C0FFFF"/>
          </w:tcPr>
          <w:p>
            <w:pPr>
              <w:spacing w:after="0"/>
              <w:rPr>
                <w:sz w:val="15"/>
                <w:szCs w:val="15"/>
                <w:color w:val="auto"/>
              </w:rPr>
            </w:pPr>
          </w:p>
        </w:tc>
        <w:tc>
          <w:tcPr>
            <w:tcW w:w="98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60" w:type="dxa"/>
            <w:vAlign w:val="bottom"/>
            <w:tcBorders>
              <w:top w:val="single" w:sz="8" w:color="auto"/>
            </w:tcBorders>
            <w:shd w:val="clear" w:color="auto" w:fill="C0FFFF"/>
          </w:tcPr>
          <w:p>
            <w:pPr>
              <w:spacing w:after="0"/>
              <w:rPr>
                <w:sz w:val="15"/>
                <w:szCs w:val="15"/>
                <w:color w:val="auto"/>
              </w:rPr>
            </w:pPr>
          </w:p>
        </w:tc>
        <w:tc>
          <w:tcPr>
            <w:tcW w:w="98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0" w:type="dxa"/>
            <w:vAlign w:val="bottom"/>
            <w:tcBorders>
              <w:top w:val="single" w:sz="8" w:color="auto"/>
            </w:tcBorders>
            <w:shd w:val="clear" w:color="auto" w:fill="C0FFFF"/>
          </w:tcPr>
          <w:p>
            <w:pPr>
              <w:spacing w:after="0"/>
              <w:rPr>
                <w:sz w:val="15"/>
                <w:szCs w:val="15"/>
                <w:color w:val="auto"/>
              </w:rPr>
            </w:pPr>
          </w:p>
        </w:tc>
        <w:tc>
          <w:tcPr>
            <w:tcW w:w="98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5"/>
                <w:szCs w:val="15"/>
                <w:color w:val="auto"/>
              </w:rPr>
              <w:t>Costs and expenses: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6080" w:type="dxa"/>
            <w:vAlign w:val="bottom"/>
            <w:shd w:val="clear" w:color="auto" w:fill="C0FFFF"/>
          </w:tcPr>
          <w:p>
            <w:pPr>
              <w:ind w:left="440"/>
              <w:spacing w:after="0"/>
              <w:rPr>
                <w:sz w:val="20"/>
                <w:szCs w:val="20"/>
                <w:color w:val="auto"/>
              </w:rPr>
            </w:pPr>
            <w:r>
              <w:rPr>
                <w:rFonts w:ascii="Arial" w:cs="Arial" w:eastAsia="Arial" w:hAnsi="Arial"/>
                <w:sz w:val="15"/>
                <w:szCs w:val="15"/>
                <w:color w:val="auto"/>
              </w:rPr>
              <w:t>Cost of merchandise sold</w:t>
            </w:r>
          </w:p>
        </w:tc>
        <w:tc>
          <w:tcPr>
            <w:tcW w:w="140" w:type="dxa"/>
            <w:vAlign w:val="bottom"/>
            <w:shd w:val="clear" w:color="auto" w:fill="C0FFFF"/>
          </w:tcPr>
          <w:p>
            <w:pPr>
              <w:spacing w:after="0"/>
              <w:rPr>
                <w:sz w:val="15"/>
                <w:szCs w:val="15"/>
                <w:color w:val="auto"/>
              </w:rPr>
            </w:pP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57,572</w:t>
            </w:r>
          </w:p>
        </w:tc>
        <w:tc>
          <w:tcPr>
            <w:tcW w:w="16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62,710</w:t>
            </w: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167,723</w:t>
            </w: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172,150</w:t>
            </w:r>
          </w:p>
        </w:tc>
        <w:tc>
          <w:tcPr>
            <w:tcW w:w="120" w:type="dxa"/>
            <w:vAlign w:val="bottom"/>
            <w:shd w:val="clear" w:color="auto" w:fill="C0FFFF"/>
          </w:tcPr>
          <w:p>
            <w:pPr>
              <w:spacing w:after="0"/>
              <w:rPr>
                <w:sz w:val="15"/>
                <w:szCs w:val="15"/>
                <w:color w:val="auto"/>
              </w:rPr>
            </w:pPr>
          </w:p>
        </w:tc>
      </w:tr>
      <w:tr>
        <w:trPr>
          <w:trHeight w:val="182"/>
        </w:trPr>
        <w:tc>
          <w:tcPr>
            <w:tcW w:w="6080" w:type="dxa"/>
            <w:vAlign w:val="bottom"/>
          </w:tcPr>
          <w:p>
            <w:pPr>
              <w:ind w:left="44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37,815</w:t>
            </w: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39,113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119,620</w:t>
            </w:r>
          </w:p>
        </w:tc>
        <w:tc>
          <w:tcPr>
            <w:tcW w:w="1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115,048</w:t>
            </w:r>
          </w:p>
        </w:tc>
      </w:tr>
      <w:tr>
        <w:trPr>
          <w:trHeight w:val="182"/>
        </w:trPr>
        <w:tc>
          <w:tcPr>
            <w:tcW w:w="6080" w:type="dxa"/>
            <w:vAlign w:val="bottom"/>
            <w:shd w:val="clear" w:color="auto" w:fill="C0FFFF"/>
          </w:tcPr>
          <w:p>
            <w:pPr>
              <w:ind w:left="440"/>
              <w:spacing w:after="0"/>
              <w:rPr>
                <w:sz w:val="20"/>
                <w:szCs w:val="20"/>
                <w:color w:val="auto"/>
              </w:rPr>
            </w:pPr>
            <w:r>
              <w:rPr>
                <w:rFonts w:ascii="Arial" w:cs="Arial" w:eastAsia="Arial" w:hAnsi="Arial"/>
                <w:sz w:val="15"/>
                <w:szCs w:val="15"/>
                <w:color w:val="auto"/>
              </w:rPr>
              <w:t>Store preopening</w:t>
            </w:r>
          </w:p>
        </w:tc>
        <w:tc>
          <w:tcPr>
            <w:tcW w:w="140" w:type="dxa"/>
            <w:vAlign w:val="bottom"/>
            <w:shd w:val="clear" w:color="auto" w:fill="C0FFFF"/>
          </w:tcPr>
          <w:p>
            <w:pPr>
              <w:spacing w:after="0"/>
              <w:rPr>
                <w:sz w:val="15"/>
                <w:szCs w:val="15"/>
                <w:color w:val="auto"/>
              </w:rPr>
            </w:pP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198</w:t>
            </w:r>
          </w:p>
        </w:tc>
        <w:tc>
          <w:tcPr>
            <w:tcW w:w="16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255</w:t>
            </w: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391</w:t>
            </w: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343</w:t>
            </w:r>
          </w:p>
        </w:tc>
        <w:tc>
          <w:tcPr>
            <w:tcW w:w="120" w:type="dxa"/>
            <w:vAlign w:val="bottom"/>
            <w:shd w:val="clear" w:color="auto" w:fill="C0FFFF"/>
          </w:tcPr>
          <w:p>
            <w:pPr>
              <w:spacing w:after="0"/>
              <w:rPr>
                <w:sz w:val="15"/>
                <w:szCs w:val="15"/>
                <w:color w:val="auto"/>
              </w:rPr>
            </w:pPr>
          </w:p>
        </w:tc>
      </w:tr>
      <w:tr>
        <w:trPr>
          <w:trHeight w:val="182"/>
        </w:trPr>
        <w:tc>
          <w:tcPr>
            <w:tcW w:w="6080" w:type="dxa"/>
            <w:vAlign w:val="bottom"/>
          </w:tcPr>
          <w:p>
            <w:pPr>
              <w:ind w:left="440"/>
              <w:spacing w:after="0"/>
              <w:rPr>
                <w:sz w:val="20"/>
                <w:szCs w:val="20"/>
                <w:color w:val="auto"/>
              </w:rPr>
            </w:pPr>
            <w:r>
              <w:rPr>
                <w:rFonts w:ascii="Arial" w:cs="Arial" w:eastAsia="Arial" w:hAnsi="Arial"/>
                <w:sz w:val="15"/>
                <w:szCs w:val="15"/>
                <w:color w:val="auto"/>
              </w:rPr>
              <w:t>Interest expense (income), net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(40)</w:t>
            </w:r>
          </w:p>
        </w:tc>
        <w:tc>
          <w:tcPr>
            <w:tcW w:w="1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(191)</w:t>
            </w:r>
          </w:p>
        </w:tc>
      </w:tr>
      <w:tr>
        <w:trPr>
          <w:trHeight w:val="23"/>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6080" w:type="dxa"/>
            <w:vAlign w:val="bottom"/>
            <w:shd w:val="clear" w:color="auto" w:fill="C0FFFF"/>
          </w:tcPr>
          <w:p>
            <w:pPr>
              <w:ind w:left="900"/>
              <w:spacing w:after="0"/>
              <w:rPr>
                <w:sz w:val="20"/>
                <w:szCs w:val="20"/>
                <w:color w:val="auto"/>
              </w:rPr>
            </w:pPr>
            <w:r>
              <w:rPr>
                <w:rFonts w:ascii="Arial" w:cs="Arial" w:eastAsia="Arial" w:hAnsi="Arial"/>
                <w:sz w:val="15"/>
                <w:szCs w:val="15"/>
                <w:color w:val="auto"/>
              </w:rPr>
              <w:t>Total costs and expenses</w:t>
            </w:r>
          </w:p>
        </w:tc>
        <w:tc>
          <w:tcPr>
            <w:tcW w:w="1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95,545</w:t>
            </w:r>
          </w:p>
        </w:tc>
        <w:tc>
          <w:tcPr>
            <w:tcW w:w="16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101,995</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287,693</w:t>
            </w:r>
          </w:p>
        </w:tc>
        <w:tc>
          <w:tcPr>
            <w:tcW w:w="160" w:type="dxa"/>
            <w:vAlign w:val="bottom"/>
            <w:shd w:val="clear" w:color="auto" w:fill="C0FFFF"/>
          </w:tcPr>
          <w:p>
            <w:pPr>
              <w:spacing w:after="0"/>
              <w:rPr>
                <w:sz w:val="16"/>
                <w:szCs w:val="16"/>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287,350</w:t>
            </w:r>
          </w:p>
        </w:tc>
        <w:tc>
          <w:tcPr>
            <w:tcW w:w="120" w:type="dxa"/>
            <w:vAlign w:val="bottom"/>
            <w:shd w:val="clear" w:color="auto" w:fill="C0FFFF"/>
          </w:tcPr>
          <w:p>
            <w:pPr>
              <w:spacing w:after="0"/>
              <w:rPr>
                <w:sz w:val="16"/>
                <w:szCs w:val="16"/>
                <w:color w:val="auto"/>
              </w:rPr>
            </w:pPr>
          </w:p>
        </w:tc>
      </w:tr>
      <w:tr>
        <w:trPr>
          <w:trHeight w:val="182"/>
        </w:trPr>
        <w:tc>
          <w:tcPr>
            <w:tcW w:w="6080" w:type="dxa"/>
            <w:vAlign w:val="bottom"/>
            <w:tcBorders>
              <w:top w:val="single" w:sz="8" w:color="C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c>
          <w:tcPr>
            <w:tcW w:w="80" w:type="dxa"/>
            <w:vAlign w:val="bottom"/>
            <w:tcBorders>
              <w:top w:val="single" w:sz="8" w:color="C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r>
      <w:tr>
        <w:trPr>
          <w:trHeight w:val="182"/>
        </w:trPr>
        <w:tc>
          <w:tcPr>
            <w:tcW w:w="6080" w:type="dxa"/>
            <w:vAlign w:val="bottom"/>
            <w:shd w:val="clear" w:color="auto" w:fill="C0FFFF"/>
          </w:tcPr>
          <w:p>
            <w:pPr>
              <w:ind w:left="900"/>
              <w:spacing w:after="0"/>
              <w:rPr>
                <w:sz w:val="20"/>
                <w:szCs w:val="20"/>
                <w:color w:val="auto"/>
              </w:rPr>
            </w:pPr>
            <w:r>
              <w:rPr>
                <w:rFonts w:ascii="Arial" w:cs="Arial" w:eastAsia="Arial" w:hAnsi="Arial"/>
                <w:sz w:val="15"/>
                <w:szCs w:val="15"/>
                <w:color w:val="auto"/>
              </w:rPr>
              <w:t>Income (loss) before income taxes</w:t>
            </w:r>
          </w:p>
        </w:tc>
        <w:tc>
          <w:tcPr>
            <w:tcW w:w="140" w:type="dxa"/>
            <w:vAlign w:val="bottom"/>
            <w:shd w:val="clear" w:color="auto" w:fill="C0FFFF"/>
          </w:tcPr>
          <w:p>
            <w:pPr>
              <w:spacing w:after="0"/>
              <w:rPr>
                <w:sz w:val="15"/>
                <w:szCs w:val="15"/>
                <w:color w:val="auto"/>
              </w:rPr>
            </w:pP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1,865</w:t>
            </w:r>
          </w:p>
        </w:tc>
        <w:tc>
          <w:tcPr>
            <w:tcW w:w="16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(1,902)</w:t>
            </w: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(12,450)</w:t>
            </w:r>
          </w:p>
        </w:tc>
        <w:tc>
          <w:tcPr>
            <w:tcW w:w="160" w:type="dxa"/>
            <w:vAlign w:val="bottom"/>
            <w:shd w:val="clear" w:color="auto" w:fill="C0FFFF"/>
          </w:tcPr>
          <w:p>
            <w:pPr>
              <w:spacing w:after="0"/>
              <w:rPr>
                <w:sz w:val="15"/>
                <w:szCs w:val="15"/>
                <w:color w:val="auto"/>
              </w:rPr>
            </w:pPr>
          </w:p>
        </w:tc>
        <w:tc>
          <w:tcPr>
            <w:tcW w:w="110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(11,687)</w:t>
            </w:r>
          </w:p>
        </w:tc>
      </w:tr>
      <w:tr>
        <w:trPr>
          <w:trHeight w:val="182"/>
        </w:trPr>
        <w:tc>
          <w:tcPr>
            <w:tcW w:w="608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1,011</w:t>
            </w:r>
          </w:p>
        </w:tc>
        <w:tc>
          <w:tcPr>
            <w:tcW w:w="1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(524)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(4,377)</w:t>
            </w:r>
          </w:p>
        </w:tc>
        <w:tc>
          <w:tcPr>
            <w:tcW w:w="1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(3,511)</w:t>
            </w:r>
          </w:p>
        </w:tc>
      </w:tr>
      <w:tr>
        <w:trPr>
          <w:trHeight w:val="23"/>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080" w:type="dxa"/>
            <w:vAlign w:val="bottom"/>
            <w:shd w:val="clear" w:color="auto" w:fill="C0FFFF"/>
          </w:tcPr>
          <w:p>
            <w:pPr>
              <w:ind w:left="900"/>
              <w:spacing w:after="0"/>
              <w:rPr>
                <w:sz w:val="20"/>
                <w:szCs w:val="20"/>
                <w:color w:val="auto"/>
              </w:rPr>
            </w:pPr>
            <w:r>
              <w:rPr>
                <w:rFonts w:ascii="Arial" w:cs="Arial" w:eastAsia="Arial" w:hAnsi="Arial"/>
                <w:sz w:val="15"/>
                <w:szCs w:val="15"/>
                <w:color w:val="auto"/>
              </w:rPr>
              <w:t>Net income (loss)</w:t>
            </w:r>
          </w:p>
        </w:tc>
        <w:tc>
          <w:tcPr>
            <w:tcW w:w="140" w:type="dxa"/>
            <w:vAlign w:val="bottom"/>
            <w:shd w:val="clear" w:color="auto" w:fill="C0FF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854</w:t>
            </w:r>
          </w:p>
        </w:tc>
        <w:tc>
          <w:tcPr>
            <w:tcW w:w="1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(1,378)</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(8,073)</w:t>
            </w:r>
          </w:p>
        </w:tc>
        <w:tc>
          <w:tcPr>
            <w:tcW w:w="1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(8,176)</w:t>
            </w:r>
          </w:p>
        </w:tc>
      </w:tr>
      <w:tr>
        <w:trPr>
          <w:trHeight w:val="167"/>
        </w:trPr>
        <w:tc>
          <w:tcPr>
            <w:tcW w:w="6080" w:type="dxa"/>
            <w:vAlign w:val="bottom"/>
            <w:tcBorders>
              <w:top w:val="single" w:sz="8" w:color="C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80" w:type="dxa"/>
            <w:vAlign w:val="bottom"/>
            <w:tcBorders>
              <w:top w:val="single" w:sz="8" w:color="C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0FFFF"/>
            </w:tcBorders>
          </w:tcPr>
          <w:p>
            <w:pPr>
              <w:spacing w:after="0"/>
              <w:rPr>
                <w:sz w:val="14"/>
                <w:szCs w:val="14"/>
                <w:color w:val="auto"/>
              </w:rPr>
            </w:pPr>
          </w:p>
        </w:tc>
      </w:tr>
      <w:tr>
        <w:trPr>
          <w:trHeight w:val="182"/>
        </w:trPr>
        <w:tc>
          <w:tcPr>
            <w:tcW w:w="6080" w:type="dxa"/>
            <w:vAlign w:val="bottom"/>
            <w:shd w:val="clear" w:color="auto" w:fill="C0FFFF"/>
          </w:tcPr>
          <w:p>
            <w:pPr>
              <w:spacing w:after="0"/>
              <w:rPr>
                <w:sz w:val="20"/>
                <w:szCs w:val="20"/>
                <w:color w:val="auto"/>
              </w:rPr>
            </w:pPr>
            <w:r>
              <w:rPr>
                <w:rFonts w:ascii="Arial" w:cs="Arial" w:eastAsia="Arial" w:hAnsi="Arial"/>
                <w:sz w:val="15"/>
                <w:szCs w:val="15"/>
                <w:color w:val="auto"/>
              </w:rPr>
              <w:t>Earnings (loss) per common share:</w:t>
            </w:r>
          </w:p>
        </w:tc>
        <w:tc>
          <w:tcPr>
            <w:tcW w:w="14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r>
      <w:tr>
        <w:trPr>
          <w:trHeight w:val="182"/>
        </w:trPr>
        <w:tc>
          <w:tcPr>
            <w:tcW w:w="6080" w:type="dxa"/>
            <w:vAlign w:val="bottom"/>
          </w:tcPr>
          <w:p>
            <w:pPr>
              <w:ind w:left="24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0.05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(0.07)</w:t>
            </w: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(0.45)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(0.44)</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6080" w:type="dxa"/>
            <w:vAlign w:val="bottom"/>
            <w:shd w:val="clear" w:color="auto" w:fill="C0FFFF"/>
          </w:tcPr>
          <w:p>
            <w:pPr>
              <w:ind w:left="240"/>
              <w:spacing w:after="0" w:line="167" w:lineRule="exact"/>
              <w:rPr>
                <w:sz w:val="20"/>
                <w:szCs w:val="20"/>
                <w:color w:val="auto"/>
              </w:rPr>
            </w:pPr>
            <w:r>
              <w:rPr>
                <w:rFonts w:ascii="Arial" w:cs="Arial" w:eastAsia="Arial" w:hAnsi="Arial"/>
                <w:sz w:val="15"/>
                <w:szCs w:val="15"/>
                <w:color w:val="auto"/>
              </w:rPr>
              <w:t>Diluted</w:t>
            </w:r>
          </w:p>
        </w:tc>
        <w:tc>
          <w:tcPr>
            <w:tcW w:w="140" w:type="dxa"/>
            <w:vAlign w:val="bottom"/>
            <w:shd w:val="clear" w:color="auto" w:fill="C0FF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40"/>
              <w:spacing w:after="0" w:line="167" w:lineRule="exact"/>
              <w:rPr>
                <w:sz w:val="20"/>
                <w:szCs w:val="20"/>
                <w:color w:val="auto"/>
              </w:rPr>
            </w:pPr>
            <w:r>
              <w:rPr>
                <w:rFonts w:ascii="Arial" w:cs="Arial" w:eastAsia="Arial" w:hAnsi="Arial"/>
                <w:sz w:val="15"/>
                <w:szCs w:val="15"/>
                <w:color w:val="auto"/>
              </w:rPr>
              <w:t>0.05</w:t>
            </w:r>
          </w:p>
        </w:tc>
        <w:tc>
          <w:tcPr>
            <w:tcW w:w="160" w:type="dxa"/>
            <w:vAlign w:val="bottom"/>
            <w:shd w:val="clear" w:color="auto" w:fill="C0FFFF"/>
          </w:tcPr>
          <w:p>
            <w:pPr>
              <w:jc w:val="right"/>
              <w:ind w:right="4"/>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0FFFF"/>
          </w:tcPr>
          <w:p>
            <w:pPr>
              <w:jc w:val="right"/>
              <w:ind w:right="80"/>
              <w:spacing w:after="0" w:line="167" w:lineRule="exact"/>
              <w:rPr>
                <w:sz w:val="20"/>
                <w:szCs w:val="20"/>
                <w:color w:val="auto"/>
              </w:rPr>
            </w:pPr>
            <w:r>
              <w:rPr>
                <w:rFonts w:ascii="Arial" w:cs="Arial" w:eastAsia="Arial" w:hAnsi="Arial"/>
                <w:sz w:val="15"/>
                <w:szCs w:val="15"/>
                <w:color w:val="auto"/>
              </w:rPr>
              <w:t>(0.07)</w:t>
            </w:r>
          </w:p>
        </w:tc>
        <w:tc>
          <w:tcPr>
            <w:tcW w:w="240" w:type="dxa"/>
            <w:vAlign w:val="bottom"/>
            <w:gridSpan w:val="2"/>
            <w:shd w:val="clear" w:color="auto" w:fill="C0FFFF"/>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160"/>
              <w:spacing w:after="0" w:line="167" w:lineRule="exact"/>
              <w:rPr>
                <w:sz w:val="20"/>
                <w:szCs w:val="20"/>
                <w:color w:val="auto"/>
              </w:rPr>
            </w:pPr>
            <w:r>
              <w:rPr>
                <w:rFonts w:ascii="Arial" w:cs="Arial" w:eastAsia="Arial" w:hAnsi="Arial"/>
                <w:sz w:val="15"/>
                <w:szCs w:val="15"/>
                <w:color w:val="auto"/>
              </w:rPr>
              <w:t>(0.45)</w:t>
            </w:r>
          </w:p>
        </w:tc>
        <w:tc>
          <w:tcPr>
            <w:tcW w:w="160" w:type="dxa"/>
            <w:vAlign w:val="bottom"/>
            <w:shd w:val="clear" w:color="auto" w:fill="C0FFFF"/>
          </w:tcPr>
          <w:p>
            <w:pPr>
              <w:jc w:val="right"/>
              <w:ind w:right="4"/>
              <w:spacing w:after="0" w:line="167"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0FFFF"/>
          </w:tcPr>
          <w:p>
            <w:pPr>
              <w:jc w:val="right"/>
              <w:ind w:right="60"/>
              <w:spacing w:after="0" w:line="167" w:lineRule="exact"/>
              <w:rPr>
                <w:sz w:val="20"/>
                <w:szCs w:val="20"/>
                <w:color w:val="auto"/>
              </w:rPr>
            </w:pPr>
            <w:r>
              <w:rPr>
                <w:rFonts w:ascii="Arial" w:cs="Arial" w:eastAsia="Arial" w:hAnsi="Arial"/>
                <w:sz w:val="15"/>
                <w:szCs w:val="15"/>
                <w:color w:val="auto"/>
              </w:rPr>
              <w:t>(0.44)</w:t>
            </w:r>
          </w:p>
        </w:tc>
      </w:tr>
      <w:tr>
        <w:trPr>
          <w:trHeight w:val="167"/>
        </w:trPr>
        <w:tc>
          <w:tcPr>
            <w:tcW w:w="6080" w:type="dxa"/>
            <w:vAlign w:val="bottom"/>
            <w:tcBorders>
              <w:top w:val="single" w:sz="8" w:color="C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80" w:type="dxa"/>
            <w:vAlign w:val="bottom"/>
            <w:tcBorders>
              <w:top w:val="single" w:sz="8" w:color="C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0FFFF"/>
            </w:tcBorders>
          </w:tcPr>
          <w:p>
            <w:pPr>
              <w:spacing w:after="0"/>
              <w:rPr>
                <w:sz w:val="14"/>
                <w:szCs w:val="14"/>
                <w:color w:val="auto"/>
              </w:rPr>
            </w:pPr>
          </w:p>
        </w:tc>
      </w:tr>
      <w:tr>
        <w:trPr>
          <w:trHeight w:val="182"/>
        </w:trPr>
        <w:tc>
          <w:tcPr>
            <w:tcW w:w="6080" w:type="dxa"/>
            <w:vAlign w:val="bottom"/>
            <w:shd w:val="clear" w:color="auto" w:fill="C0FFFF"/>
          </w:tcPr>
          <w:p>
            <w:pPr>
              <w:spacing w:after="0"/>
              <w:rPr>
                <w:sz w:val="20"/>
                <w:szCs w:val="20"/>
                <w:color w:val="auto"/>
              </w:rPr>
            </w:pPr>
            <w:r>
              <w:rPr>
                <w:rFonts w:ascii="Arial" w:cs="Arial" w:eastAsia="Arial" w:hAnsi="Arial"/>
                <w:sz w:val="15"/>
                <w:szCs w:val="15"/>
                <w:color w:val="auto"/>
              </w:rPr>
              <w:t>Shares used in computing common per share amounts:</w:t>
            </w:r>
          </w:p>
        </w:tc>
        <w:tc>
          <w:tcPr>
            <w:tcW w:w="14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r>
      <w:tr>
        <w:trPr>
          <w:trHeight w:val="182"/>
        </w:trPr>
        <w:tc>
          <w:tcPr>
            <w:tcW w:w="6080" w:type="dxa"/>
            <w:vAlign w:val="bottom"/>
          </w:tcPr>
          <w:p>
            <w:pPr>
              <w:ind w:left="240"/>
              <w:spacing w:after="0"/>
              <w:rPr>
                <w:sz w:val="20"/>
                <w:szCs w:val="20"/>
                <w:color w:val="auto"/>
              </w:rPr>
            </w:pPr>
            <w:r>
              <w:rPr>
                <w:rFonts w:ascii="Arial" w:cs="Arial" w:eastAsia="Arial" w:hAnsi="Arial"/>
                <w:sz w:val="15"/>
                <w:szCs w:val="15"/>
                <w:color w:val="auto"/>
              </w:rPr>
              <w:t>Basic</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17,378,486</w:t>
            </w: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18,426,860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17,781,943</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18,755,941</w:t>
            </w:r>
          </w:p>
        </w:tc>
        <w:tc>
          <w:tcPr>
            <w:tcW w:w="120" w:type="dxa"/>
            <w:vAlign w:val="bottom"/>
          </w:tcPr>
          <w:p>
            <w:pPr>
              <w:spacing w:after="0"/>
              <w:rPr>
                <w:sz w:val="15"/>
                <w:szCs w:val="15"/>
                <w:color w:val="auto"/>
              </w:rPr>
            </w:pPr>
          </w:p>
        </w:tc>
      </w:tr>
      <w:tr>
        <w:trPr>
          <w:trHeight w:val="182"/>
        </w:trPr>
        <w:tc>
          <w:tcPr>
            <w:tcW w:w="6080" w:type="dxa"/>
            <w:vAlign w:val="bottom"/>
            <w:shd w:val="clear" w:color="auto" w:fill="C0FFFF"/>
          </w:tcPr>
          <w:p>
            <w:pPr>
              <w:ind w:left="24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0FFFF"/>
          </w:tcPr>
          <w:p>
            <w:pPr>
              <w:spacing w:after="0"/>
              <w:rPr>
                <w:sz w:val="15"/>
                <w:szCs w:val="15"/>
                <w:color w:val="auto"/>
              </w:rPr>
            </w:pP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17,396,144</w:t>
            </w:r>
          </w:p>
        </w:tc>
        <w:tc>
          <w:tcPr>
            <w:tcW w:w="16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18,426,860</w:t>
            </w: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17,781,943</w:t>
            </w:r>
          </w:p>
        </w:tc>
        <w:tc>
          <w:tcPr>
            <w:tcW w:w="160" w:type="dxa"/>
            <w:vAlign w:val="bottom"/>
            <w:shd w:val="clear" w:color="auto" w:fill="C0FFFF"/>
          </w:tcPr>
          <w:p>
            <w:pPr>
              <w:spacing w:after="0"/>
              <w:rPr>
                <w:sz w:val="15"/>
                <w:szCs w:val="15"/>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18,755,941</w:t>
            </w:r>
          </w:p>
        </w:tc>
        <w:tc>
          <w:tcPr>
            <w:tcW w:w="120" w:type="dxa"/>
            <w:vAlign w:val="bottom"/>
            <w:shd w:val="clear" w:color="auto" w:fill="C0FFFF"/>
          </w:tcPr>
          <w:p>
            <w:pPr>
              <w:spacing w:after="0"/>
              <w:rPr>
                <w:sz w:val="15"/>
                <w:szCs w:val="15"/>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gridSpan w:val="6"/>
          </w:tcPr>
          <w:p>
            <w:pPr>
              <w:jc w:val="right"/>
              <w:ind w:right="1220"/>
              <w:spacing w:after="0"/>
              <w:rPr>
                <w:sz w:val="20"/>
                <w:szCs w:val="20"/>
                <w:color w:val="auto"/>
              </w:rPr>
            </w:pPr>
            <w:r>
              <w:rPr>
                <w:rFonts w:ascii="Arial" w:cs="Arial" w:eastAsia="Arial" w:hAnsi="Arial"/>
                <w:sz w:val="15"/>
                <w:szCs w:val="15"/>
                <w:b w:val="1"/>
                <w:bCs w:val="1"/>
                <w:color w:val="auto"/>
              </w:rPr>
              <w:t>Thirty-nine weeks ended</w:t>
            </w:r>
          </w:p>
        </w:tc>
      </w:tr>
      <w:tr>
        <w:trPr>
          <w:trHeight w:val="184"/>
        </w:trPr>
        <w:tc>
          <w:tcPr>
            <w:tcW w:w="6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5"/>
                <w:szCs w:val="15"/>
                <w:b w:val="1"/>
                <w:bCs w:val="1"/>
                <w:color w:val="auto"/>
              </w:rPr>
              <w:t>October 1, 2011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October 2, 2010</w:t>
            </w:r>
          </w:p>
        </w:tc>
        <w:tc>
          <w:tcPr>
            <w:tcW w:w="140" w:type="dxa"/>
            <w:vAlign w:val="bottom"/>
          </w:tcPr>
          <w:p>
            <w:pPr>
              <w:spacing w:after="0"/>
              <w:rPr>
                <w:sz w:val="16"/>
                <w:szCs w:val="16"/>
                <w:color w:val="auto"/>
              </w:rPr>
            </w:pPr>
          </w:p>
        </w:tc>
      </w:tr>
      <w:tr>
        <w:trPr>
          <w:trHeight w:val="362"/>
        </w:trPr>
        <w:tc>
          <w:tcPr>
            <w:tcW w:w="6100" w:type="dxa"/>
            <w:vAlign w:val="bottom"/>
          </w:tcPr>
          <w:p>
            <w:pPr>
              <w:ind w:left="20"/>
              <w:spacing w:after="0"/>
              <w:rPr>
                <w:sz w:val="20"/>
                <w:szCs w:val="20"/>
                <w:color w:val="auto"/>
              </w:rPr>
            </w:pPr>
            <w:r>
              <w:rPr>
                <w:rFonts w:ascii="Arial" w:cs="Arial" w:eastAsia="Arial" w:hAnsi="Arial"/>
                <w:sz w:val="15"/>
                <w:szCs w:val="15"/>
                <w:color w:val="auto"/>
              </w:rPr>
              <w:t>Cash flows from operating activities:</w:t>
            </w:r>
          </w:p>
        </w:tc>
        <w:tc>
          <w:tcPr>
            <w:tcW w:w="1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6100" w:type="dxa"/>
            <w:vAlign w:val="bottom"/>
            <w:shd w:val="clear" w:color="auto" w:fill="C0FFFF"/>
          </w:tcPr>
          <w:p>
            <w:pPr>
              <w:ind w:left="160"/>
              <w:spacing w:after="0"/>
              <w:rPr>
                <w:sz w:val="20"/>
                <w:szCs w:val="20"/>
                <w:color w:val="auto"/>
              </w:rPr>
            </w:pPr>
            <w:r>
              <w:rPr>
                <w:rFonts w:ascii="Arial" w:cs="Arial" w:eastAsia="Arial" w:hAnsi="Arial"/>
                <w:sz w:val="15"/>
                <w:szCs w:val="15"/>
                <w:color w:val="auto"/>
              </w:rPr>
              <w:t>Net loss</w:t>
            </w:r>
          </w:p>
        </w:tc>
        <w:tc>
          <w:tcPr>
            <w:tcW w:w="1640" w:type="dxa"/>
            <w:vAlign w:val="bottom"/>
            <w:gridSpan w:val="2"/>
            <w:shd w:val="clear" w:color="auto" w:fill="C0FFFF"/>
          </w:tcPr>
          <w:p>
            <w:pPr>
              <w:jc w:val="right"/>
              <w:ind w:right="64"/>
              <w:spacing w:after="0"/>
              <w:rPr>
                <w:sz w:val="20"/>
                <w:szCs w:val="20"/>
                <w:color w:val="auto"/>
              </w:rPr>
            </w:pPr>
            <w:r>
              <w:rPr>
                <w:rFonts w:ascii="Arial" w:cs="Arial" w:eastAsia="Arial" w:hAnsi="Arial"/>
                <w:sz w:val="15"/>
                <w:szCs w:val="15"/>
                <w:color w:val="auto"/>
              </w:rPr>
              <w:t>$</w:t>
            </w: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(8,073)</w:t>
            </w:r>
          </w:p>
        </w:tc>
        <w:tc>
          <w:tcPr>
            <w:tcW w:w="320" w:type="dxa"/>
            <w:vAlign w:val="bottom"/>
            <w:gridSpan w:val="2"/>
            <w:shd w:val="clear" w:color="auto" w:fill="C0FFFF"/>
          </w:tcPr>
          <w:p>
            <w:pPr>
              <w:jc w:val="right"/>
              <w:ind w:right="64"/>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(8,176)</w:t>
            </w:r>
          </w:p>
        </w:tc>
      </w:tr>
      <w:tr>
        <w:trPr>
          <w:trHeight w:val="182"/>
        </w:trPr>
        <w:tc>
          <w:tcPr>
            <w:tcW w:w="6100" w:type="dxa"/>
            <w:vAlign w:val="bottom"/>
          </w:tcPr>
          <w:p>
            <w:pPr>
              <w:ind w:left="30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6100" w:type="dxa"/>
            <w:vAlign w:val="bottom"/>
            <w:shd w:val="clear" w:color="auto" w:fill="C0FFFF"/>
          </w:tcPr>
          <w:p>
            <w:pPr>
              <w:ind w:left="480"/>
              <w:spacing w:after="0"/>
              <w:rPr>
                <w:sz w:val="20"/>
                <w:szCs w:val="20"/>
                <w:color w:val="auto"/>
              </w:rPr>
            </w:pPr>
            <w:r>
              <w:rPr>
                <w:rFonts w:ascii="Arial" w:cs="Arial" w:eastAsia="Arial" w:hAnsi="Arial"/>
                <w:sz w:val="15"/>
                <w:szCs w:val="15"/>
                <w:color w:val="auto"/>
              </w:rPr>
              <w:t>Depreciation and amortization</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18,614</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20,338</w:t>
            </w:r>
          </w:p>
        </w:tc>
      </w:tr>
      <w:tr>
        <w:trPr>
          <w:trHeight w:val="182"/>
        </w:trPr>
        <w:tc>
          <w:tcPr>
            <w:tcW w:w="6100" w:type="dxa"/>
            <w:vAlign w:val="bottom"/>
          </w:tcPr>
          <w:p>
            <w:pPr>
              <w:ind w:left="480"/>
              <w:spacing w:after="0"/>
              <w:rPr>
                <w:sz w:val="20"/>
                <w:szCs w:val="20"/>
                <w:color w:val="auto"/>
              </w:rPr>
            </w:pPr>
            <w:r>
              <w:rPr>
                <w:rFonts w:ascii="Arial" w:cs="Arial" w:eastAsia="Arial" w:hAnsi="Arial"/>
                <w:sz w:val="15"/>
                <w:szCs w:val="15"/>
                <w:color w:val="auto"/>
              </w:rPr>
              <w:t>Stock-based compensation</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5"/>
                <w:szCs w:val="15"/>
                <w:color w:val="auto"/>
              </w:rPr>
              <w:t>3,501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3,661</w:t>
            </w:r>
          </w:p>
        </w:tc>
      </w:tr>
      <w:tr>
        <w:trPr>
          <w:trHeight w:val="182"/>
        </w:trPr>
        <w:tc>
          <w:tcPr>
            <w:tcW w:w="6100" w:type="dxa"/>
            <w:vAlign w:val="bottom"/>
            <w:shd w:val="clear" w:color="auto" w:fill="C0FFFF"/>
          </w:tcPr>
          <w:p>
            <w:pPr>
              <w:ind w:left="480"/>
              <w:spacing w:after="0"/>
              <w:rPr>
                <w:sz w:val="20"/>
                <w:szCs w:val="20"/>
                <w:color w:val="auto"/>
              </w:rPr>
            </w:pPr>
            <w:r>
              <w:rPr>
                <w:rFonts w:ascii="Arial" w:cs="Arial" w:eastAsia="Arial" w:hAnsi="Arial"/>
                <w:sz w:val="15"/>
                <w:szCs w:val="15"/>
                <w:color w:val="auto"/>
              </w:rPr>
              <w:t>Deferred taxes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(653)</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(1,877)</w:t>
            </w:r>
          </w:p>
        </w:tc>
      </w:tr>
      <w:tr>
        <w:trPr>
          <w:trHeight w:val="182"/>
        </w:trPr>
        <w:tc>
          <w:tcPr>
            <w:tcW w:w="6100" w:type="dxa"/>
            <w:vAlign w:val="bottom"/>
          </w:tcPr>
          <w:p>
            <w:pPr>
              <w:ind w:left="480"/>
              <w:spacing w:after="0"/>
              <w:rPr>
                <w:sz w:val="20"/>
                <w:szCs w:val="20"/>
                <w:color w:val="auto"/>
              </w:rPr>
            </w:pPr>
            <w:r>
              <w:rPr>
                <w:rFonts w:ascii="Arial" w:cs="Arial" w:eastAsia="Arial" w:hAnsi="Arial"/>
                <w:sz w:val="15"/>
                <w:szCs w:val="15"/>
                <w:color w:val="auto"/>
              </w:rPr>
              <w:t>Excess tax benefit from share-based payments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(314)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(33)</w:t>
            </w:r>
          </w:p>
        </w:tc>
      </w:tr>
      <w:tr>
        <w:trPr>
          <w:trHeight w:val="182"/>
        </w:trPr>
        <w:tc>
          <w:tcPr>
            <w:tcW w:w="6100" w:type="dxa"/>
            <w:vAlign w:val="bottom"/>
            <w:shd w:val="clear" w:color="auto" w:fill="C0FFFF"/>
          </w:tcPr>
          <w:p>
            <w:pPr>
              <w:ind w:left="480"/>
              <w:spacing w:after="0"/>
              <w:rPr>
                <w:sz w:val="20"/>
                <w:szCs w:val="20"/>
                <w:color w:val="auto"/>
              </w:rPr>
            </w:pPr>
            <w:r>
              <w:rPr>
                <w:rFonts w:ascii="Arial" w:cs="Arial" w:eastAsia="Arial" w:hAnsi="Arial"/>
                <w:sz w:val="15"/>
                <w:szCs w:val="15"/>
                <w:color w:val="auto"/>
              </w:rPr>
              <w:t>Impairment of store assets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306</w:t>
            </w:r>
          </w:p>
        </w:tc>
      </w:tr>
      <w:tr>
        <w:trPr>
          <w:trHeight w:val="182"/>
        </w:trPr>
        <w:tc>
          <w:tcPr>
            <w:tcW w:w="6100" w:type="dxa"/>
            <w:vAlign w:val="bottom"/>
          </w:tcPr>
          <w:p>
            <w:pPr>
              <w:ind w:left="480"/>
              <w:spacing w:after="0"/>
              <w:rPr>
                <w:sz w:val="20"/>
                <w:szCs w:val="20"/>
                <w:color w:val="auto"/>
              </w:rPr>
            </w:pPr>
            <w:r>
              <w:rPr>
                <w:rFonts w:ascii="Arial" w:cs="Arial" w:eastAsia="Arial" w:hAnsi="Arial"/>
                <w:sz w:val="15"/>
                <w:szCs w:val="15"/>
                <w:color w:val="auto"/>
              </w:rPr>
              <w:t>Media credit utilization</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2"/>
        </w:trPr>
        <w:tc>
          <w:tcPr>
            <w:tcW w:w="6100" w:type="dxa"/>
            <w:vAlign w:val="bottom"/>
            <w:shd w:val="clear" w:color="auto" w:fill="C0FFFF"/>
          </w:tcPr>
          <w:p>
            <w:pPr>
              <w:ind w:left="480"/>
              <w:spacing w:after="0"/>
              <w:rPr>
                <w:sz w:val="20"/>
                <w:szCs w:val="20"/>
                <w:color w:val="auto"/>
              </w:rPr>
            </w:pPr>
            <w:r>
              <w:rPr>
                <w:rFonts w:ascii="Arial" w:cs="Arial" w:eastAsia="Arial" w:hAnsi="Arial"/>
                <w:sz w:val="15"/>
                <w:szCs w:val="15"/>
                <w:color w:val="auto"/>
              </w:rPr>
              <w:t>Loss on disposal of property and equipment</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451</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404</w:t>
            </w:r>
          </w:p>
        </w:tc>
      </w:tr>
      <w:tr>
        <w:trPr>
          <w:trHeight w:val="182"/>
        </w:trPr>
        <w:tc>
          <w:tcPr>
            <w:tcW w:w="6100" w:type="dxa"/>
            <w:vAlign w:val="bottom"/>
          </w:tcPr>
          <w:p>
            <w:pPr>
              <w:ind w:left="480"/>
              <w:spacing w:after="0"/>
              <w:rPr>
                <w:sz w:val="20"/>
                <w:szCs w:val="20"/>
                <w:color w:val="auto"/>
              </w:rPr>
            </w:pPr>
            <w:r>
              <w:rPr>
                <w:rFonts w:ascii="Arial" w:cs="Arial" w:eastAsia="Arial" w:hAnsi="Arial"/>
                <w:sz w:val="15"/>
                <w:szCs w:val="15"/>
                <w:color w:val="auto"/>
              </w:rPr>
              <w:t>Change in assets and liabilities: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6100" w:type="dxa"/>
            <w:vAlign w:val="bottom"/>
            <w:shd w:val="clear" w:color="auto" w:fill="C0FFFF"/>
          </w:tcPr>
          <w:p>
            <w:pPr>
              <w:ind w:left="720"/>
              <w:spacing w:after="0"/>
              <w:rPr>
                <w:sz w:val="20"/>
                <w:szCs w:val="20"/>
                <w:color w:val="auto"/>
              </w:rPr>
            </w:pPr>
            <w:r>
              <w:rPr>
                <w:rFonts w:ascii="Arial" w:cs="Arial" w:eastAsia="Arial" w:hAnsi="Arial"/>
                <w:sz w:val="15"/>
                <w:szCs w:val="15"/>
                <w:color w:val="auto"/>
              </w:rPr>
              <w:t>Inventories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(9,836)</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(14,562)</w:t>
            </w:r>
          </w:p>
        </w:tc>
      </w:tr>
      <w:tr>
        <w:trPr>
          <w:trHeight w:val="182"/>
        </w:trPr>
        <w:tc>
          <w:tcPr>
            <w:tcW w:w="6100" w:type="dxa"/>
            <w:vAlign w:val="bottom"/>
          </w:tcPr>
          <w:p>
            <w:pPr>
              <w:ind w:left="720"/>
              <w:spacing w:after="0"/>
              <w:rPr>
                <w:sz w:val="20"/>
                <w:szCs w:val="20"/>
                <w:color w:val="auto"/>
              </w:rPr>
            </w:pPr>
            <w:r>
              <w:rPr>
                <w:rFonts w:ascii="Arial" w:cs="Arial" w:eastAsia="Arial" w:hAnsi="Arial"/>
                <w:sz w:val="15"/>
                <w:szCs w:val="15"/>
                <w:color w:val="auto"/>
              </w:rPr>
              <w:t>Receivables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5"/>
                <w:szCs w:val="15"/>
                <w:color w:val="auto"/>
              </w:rPr>
              <w:t>3,036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(819)</w:t>
            </w:r>
          </w:p>
        </w:tc>
      </w:tr>
      <w:tr>
        <w:trPr>
          <w:trHeight w:val="182"/>
        </w:trPr>
        <w:tc>
          <w:tcPr>
            <w:tcW w:w="6100" w:type="dxa"/>
            <w:vAlign w:val="bottom"/>
            <w:shd w:val="clear" w:color="auto" w:fill="C0FFFF"/>
          </w:tcPr>
          <w:p>
            <w:pPr>
              <w:ind w:left="720"/>
              <w:spacing w:after="0"/>
              <w:rPr>
                <w:sz w:val="20"/>
                <w:szCs w:val="20"/>
                <w:color w:val="auto"/>
              </w:rPr>
            </w:pPr>
            <w:r>
              <w:rPr>
                <w:rFonts w:ascii="Arial" w:cs="Arial" w:eastAsia="Arial" w:hAnsi="Arial"/>
                <w:sz w:val="15"/>
                <w:szCs w:val="15"/>
                <w:color w:val="auto"/>
              </w:rPr>
              <w:t>Prepaid expenses and other assets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(2,243)</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(428)</w:t>
            </w:r>
          </w:p>
        </w:tc>
      </w:tr>
      <w:tr>
        <w:trPr>
          <w:trHeight w:val="182"/>
        </w:trPr>
        <w:tc>
          <w:tcPr>
            <w:tcW w:w="6100" w:type="dxa"/>
            <w:vAlign w:val="bottom"/>
          </w:tcPr>
          <w:p>
            <w:pPr>
              <w:ind w:left="700"/>
              <w:spacing w:after="0"/>
              <w:rPr>
                <w:sz w:val="20"/>
                <w:szCs w:val="20"/>
                <w:color w:val="auto"/>
              </w:rPr>
            </w:pPr>
            <w:r>
              <w:rPr>
                <w:rFonts w:ascii="Arial" w:cs="Arial" w:eastAsia="Arial" w:hAnsi="Arial"/>
                <w:sz w:val="15"/>
                <w:szCs w:val="15"/>
                <w:color w:val="auto"/>
              </w:rPr>
              <w:t>Accounts payable and accrued expenses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(7,081)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(5,162)</w:t>
            </w:r>
          </w:p>
        </w:tc>
      </w:tr>
      <w:tr>
        <w:trPr>
          <w:trHeight w:val="182"/>
        </w:trPr>
        <w:tc>
          <w:tcPr>
            <w:tcW w:w="6100" w:type="dxa"/>
            <w:vAlign w:val="bottom"/>
            <w:shd w:val="clear" w:color="auto" w:fill="C0FFFF"/>
          </w:tcPr>
          <w:p>
            <w:pPr>
              <w:ind w:left="720"/>
              <w:spacing w:after="0"/>
              <w:rPr>
                <w:sz w:val="20"/>
                <w:szCs w:val="20"/>
                <w:color w:val="auto"/>
              </w:rPr>
            </w:pPr>
            <w:r>
              <w:rPr>
                <w:rFonts w:ascii="Arial" w:cs="Arial" w:eastAsia="Arial" w:hAnsi="Arial"/>
                <w:sz w:val="15"/>
                <w:szCs w:val="15"/>
                <w:color w:val="auto"/>
              </w:rPr>
              <w:t>Lease related liabilities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(3,493)</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(4,370)</w:t>
            </w:r>
          </w:p>
        </w:tc>
      </w:tr>
      <w:tr>
        <w:trPr>
          <w:trHeight w:val="182"/>
        </w:trPr>
        <w:tc>
          <w:tcPr>
            <w:tcW w:w="6100" w:type="dxa"/>
            <w:vAlign w:val="bottom"/>
          </w:tcPr>
          <w:p>
            <w:pPr>
              <w:ind w:left="720"/>
              <w:spacing w:after="0"/>
              <w:rPr>
                <w:sz w:val="20"/>
                <w:szCs w:val="20"/>
                <w:color w:val="auto"/>
              </w:rPr>
            </w:pPr>
            <w:r>
              <w:rPr>
                <w:rFonts w:ascii="Arial" w:cs="Arial" w:eastAsia="Arial" w:hAnsi="Arial"/>
                <w:sz w:val="15"/>
                <w:szCs w:val="15"/>
                <w:color w:val="auto"/>
              </w:rPr>
              <w:t>Gift cards and customer deposits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(7,244)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(7,520)</w:t>
            </w:r>
          </w:p>
        </w:tc>
      </w:tr>
      <w:tr>
        <w:trPr>
          <w:trHeight w:val="182"/>
        </w:trPr>
        <w:tc>
          <w:tcPr>
            <w:tcW w:w="6100" w:type="dxa"/>
            <w:vAlign w:val="bottom"/>
            <w:shd w:val="clear" w:color="auto" w:fill="C0FFFF"/>
          </w:tcPr>
          <w:p>
            <w:pPr>
              <w:ind w:left="720"/>
              <w:spacing w:after="0"/>
              <w:rPr>
                <w:sz w:val="20"/>
                <w:szCs w:val="20"/>
                <w:color w:val="auto"/>
              </w:rPr>
            </w:pPr>
            <w:r>
              <w:rPr>
                <w:rFonts w:ascii="Arial" w:cs="Arial" w:eastAsia="Arial" w:hAnsi="Arial"/>
                <w:sz w:val="15"/>
                <w:szCs w:val="15"/>
                <w:color w:val="auto"/>
              </w:rPr>
              <w:t>Deferred revenue</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947</w:t>
            </w:r>
          </w:p>
        </w:tc>
      </w:tr>
      <w:tr>
        <w:trPr>
          <w:trHeight w:val="23"/>
        </w:trPr>
        <w:tc>
          <w:tcPr>
            <w:tcW w:w="6100" w:type="dxa"/>
            <w:vAlign w:val="bottom"/>
            <w:shd w:val="clear" w:color="auto" w:fill="C0FFFF"/>
          </w:tcPr>
          <w:p>
            <w:pPr>
              <w:spacing w:after="0" w:line="20" w:lineRule="exact"/>
              <w:rPr>
                <w:sz w:val="1"/>
                <w:szCs w:val="1"/>
                <w:color w:val="auto"/>
              </w:rPr>
            </w:pPr>
          </w:p>
        </w:tc>
        <w:tc>
          <w:tcPr>
            <w:tcW w:w="142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r>
      <w:tr>
        <w:trPr>
          <w:trHeight w:val="184"/>
        </w:trPr>
        <w:tc>
          <w:tcPr>
            <w:tcW w:w="6100" w:type="dxa"/>
            <w:vAlign w:val="bottom"/>
          </w:tcPr>
          <w:p>
            <w:pPr>
              <w:ind w:left="1060"/>
              <w:spacing w:after="0"/>
              <w:rPr>
                <w:sz w:val="20"/>
                <w:szCs w:val="20"/>
                <w:color w:val="auto"/>
              </w:rPr>
            </w:pPr>
            <w:r>
              <w:rPr>
                <w:rFonts w:ascii="Arial" w:cs="Arial" w:eastAsia="Arial" w:hAnsi="Arial"/>
                <w:sz w:val="15"/>
                <w:szCs w:val="15"/>
                <w:color w:val="auto"/>
              </w:rPr>
              <w:t>Net cash used in operating activities</w:t>
            </w: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(13,214)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(17,291)</w:t>
            </w:r>
          </w:p>
        </w:tc>
      </w:tr>
      <w:tr>
        <w:trPr>
          <w:trHeight w:val="182"/>
        </w:trPr>
        <w:tc>
          <w:tcPr>
            <w:tcW w:w="6100" w:type="dxa"/>
            <w:vAlign w:val="bottom"/>
            <w:shd w:val="clear" w:color="auto" w:fill="C0FFFF"/>
          </w:tcPr>
          <w:p>
            <w:pPr>
              <w:ind w:left="20"/>
              <w:spacing w:after="0"/>
              <w:rPr>
                <w:sz w:val="20"/>
                <w:szCs w:val="20"/>
                <w:color w:val="auto"/>
              </w:rPr>
            </w:pPr>
            <w:r>
              <w:rPr>
                <w:rFonts w:ascii="Arial" w:cs="Arial" w:eastAsia="Arial" w:hAnsi="Arial"/>
                <w:sz w:val="15"/>
                <w:szCs w:val="15"/>
                <w:color w:val="auto"/>
              </w:rPr>
              <w:t>Cash flows from investing activities:</w:t>
            </w:r>
          </w:p>
        </w:tc>
        <w:tc>
          <w:tcPr>
            <w:tcW w:w="142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154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156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r>
      <w:tr>
        <w:trPr>
          <w:trHeight w:val="182"/>
        </w:trPr>
        <w:tc>
          <w:tcPr>
            <w:tcW w:w="610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(9,715)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(9,697)</w:t>
            </w:r>
          </w:p>
        </w:tc>
      </w:tr>
      <w:tr>
        <w:trPr>
          <w:trHeight w:val="182"/>
        </w:trPr>
        <w:tc>
          <w:tcPr>
            <w:tcW w:w="6100" w:type="dxa"/>
            <w:vAlign w:val="bottom"/>
            <w:shd w:val="clear" w:color="auto" w:fill="C0FFFF"/>
          </w:tcPr>
          <w:p>
            <w:pPr>
              <w:ind w:left="260"/>
              <w:spacing w:after="0"/>
              <w:rPr>
                <w:sz w:val="20"/>
                <w:szCs w:val="20"/>
                <w:color w:val="auto"/>
              </w:rPr>
            </w:pPr>
            <w:r>
              <w:rPr>
                <w:rFonts w:ascii="Arial" w:cs="Arial" w:eastAsia="Arial" w:hAnsi="Arial"/>
                <w:sz w:val="15"/>
                <w:szCs w:val="15"/>
                <w:color w:val="auto"/>
              </w:rPr>
              <w:t>Purchases of other assets and other intangible assets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(511)</w:t>
            </w:r>
          </w:p>
        </w:tc>
      </w:tr>
      <w:tr>
        <w:trPr>
          <w:trHeight w:val="182"/>
        </w:trPr>
        <w:tc>
          <w:tcPr>
            <w:tcW w:w="6100" w:type="dxa"/>
            <w:vAlign w:val="bottom"/>
          </w:tcPr>
          <w:p>
            <w:pPr>
              <w:ind w:left="260"/>
              <w:spacing w:after="0"/>
              <w:rPr>
                <w:sz w:val="20"/>
                <w:szCs w:val="20"/>
                <w:color w:val="auto"/>
              </w:rPr>
            </w:pPr>
            <w:r>
              <w:rPr>
                <w:rFonts w:ascii="Arial" w:cs="Arial" w:eastAsia="Arial" w:hAnsi="Arial"/>
                <w:sz w:val="15"/>
                <w:szCs w:val="15"/>
                <w:color w:val="auto"/>
              </w:rPr>
              <w:t>Purchases of short term investments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(3,115)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2"/>
        </w:trPr>
        <w:tc>
          <w:tcPr>
            <w:tcW w:w="6100" w:type="dxa"/>
            <w:vAlign w:val="bottom"/>
            <w:shd w:val="clear" w:color="auto" w:fill="C0FFFF"/>
          </w:tcPr>
          <w:p>
            <w:pPr>
              <w:ind w:left="260"/>
              <w:spacing w:after="0"/>
              <w:rPr>
                <w:sz w:val="20"/>
                <w:szCs w:val="20"/>
                <w:color w:val="auto"/>
              </w:rPr>
            </w:pPr>
            <w:r>
              <w:rPr>
                <w:rFonts w:ascii="Arial" w:cs="Arial" w:eastAsia="Arial" w:hAnsi="Arial"/>
                <w:sz w:val="15"/>
                <w:szCs w:val="15"/>
                <w:color w:val="auto"/>
              </w:rPr>
              <w:t>Proceeds from sale or maturitiy of short term investments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2,076</w:t>
            </w: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r>
      <w:tr>
        <w:trPr>
          <w:trHeight w:val="23"/>
        </w:trPr>
        <w:tc>
          <w:tcPr>
            <w:tcW w:w="6100" w:type="dxa"/>
            <w:vAlign w:val="bottom"/>
            <w:shd w:val="clear" w:color="auto" w:fill="C0FFFF"/>
          </w:tcPr>
          <w:p>
            <w:pPr>
              <w:spacing w:after="0" w:line="20" w:lineRule="exact"/>
              <w:rPr>
                <w:sz w:val="1"/>
                <w:szCs w:val="1"/>
                <w:color w:val="auto"/>
              </w:rPr>
            </w:pPr>
          </w:p>
        </w:tc>
        <w:tc>
          <w:tcPr>
            <w:tcW w:w="142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r>
      <w:tr>
        <w:trPr>
          <w:trHeight w:val="184"/>
        </w:trPr>
        <w:tc>
          <w:tcPr>
            <w:tcW w:w="6100" w:type="dxa"/>
            <w:vAlign w:val="bottom"/>
          </w:tcPr>
          <w:p>
            <w:pPr>
              <w:ind w:left="1060"/>
              <w:spacing w:after="0"/>
              <w:rPr>
                <w:sz w:val="20"/>
                <w:szCs w:val="20"/>
                <w:color w:val="auto"/>
              </w:rPr>
            </w:pPr>
            <w:r>
              <w:rPr>
                <w:rFonts w:ascii="Arial" w:cs="Arial" w:eastAsia="Arial" w:hAnsi="Arial"/>
                <w:sz w:val="15"/>
                <w:szCs w:val="15"/>
                <w:color w:val="auto"/>
              </w:rPr>
              <w:t>Cash used in investing activities</w:t>
            </w: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(10,935)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(10,208)</w:t>
            </w:r>
          </w:p>
        </w:tc>
      </w:tr>
      <w:tr>
        <w:trPr>
          <w:trHeight w:val="182"/>
        </w:trPr>
        <w:tc>
          <w:tcPr>
            <w:tcW w:w="6100" w:type="dxa"/>
            <w:vAlign w:val="bottom"/>
            <w:shd w:val="clear" w:color="auto" w:fill="C0FFFF"/>
          </w:tcPr>
          <w:p>
            <w:pPr>
              <w:ind w:left="20"/>
              <w:spacing w:after="0"/>
              <w:rPr>
                <w:sz w:val="20"/>
                <w:szCs w:val="20"/>
                <w:color w:val="auto"/>
              </w:rPr>
            </w:pPr>
            <w:r>
              <w:rPr>
                <w:rFonts w:ascii="Arial" w:cs="Arial" w:eastAsia="Arial" w:hAnsi="Arial"/>
                <w:sz w:val="15"/>
                <w:szCs w:val="15"/>
                <w:color w:val="auto"/>
              </w:rPr>
              <w:t>Cash flows from financing activities:</w:t>
            </w:r>
          </w:p>
        </w:tc>
        <w:tc>
          <w:tcPr>
            <w:tcW w:w="142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154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156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r>
      <w:tr>
        <w:trPr>
          <w:trHeight w:val="182"/>
        </w:trPr>
        <w:tc>
          <w:tcPr>
            <w:tcW w:w="6100" w:type="dxa"/>
            <w:vAlign w:val="bottom"/>
          </w:tcPr>
          <w:p>
            <w:pPr>
              <w:ind w:left="300"/>
              <w:spacing w:after="0"/>
              <w:rPr>
                <w:sz w:val="20"/>
                <w:szCs w:val="20"/>
                <w:color w:val="auto"/>
              </w:rPr>
            </w:pPr>
            <w:r>
              <w:rPr>
                <w:rFonts w:ascii="Arial" w:cs="Arial" w:eastAsia="Arial" w:hAnsi="Arial"/>
                <w:sz w:val="15"/>
                <w:szCs w:val="15"/>
                <w:color w:val="auto"/>
              </w:rPr>
              <w:t>Exercise of employee stock options and employee stock purchases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13</w:t>
            </w:r>
          </w:p>
        </w:tc>
      </w:tr>
      <w:tr>
        <w:trPr>
          <w:trHeight w:val="182"/>
        </w:trPr>
        <w:tc>
          <w:tcPr>
            <w:tcW w:w="6100" w:type="dxa"/>
            <w:vAlign w:val="bottom"/>
            <w:shd w:val="clear" w:color="auto" w:fill="C0FFFF"/>
          </w:tcPr>
          <w:p>
            <w:pPr>
              <w:ind w:left="300"/>
              <w:spacing w:after="0"/>
              <w:rPr>
                <w:sz w:val="20"/>
                <w:szCs w:val="20"/>
                <w:color w:val="auto"/>
              </w:rPr>
            </w:pPr>
            <w:r>
              <w:rPr>
                <w:rFonts w:ascii="Arial" w:cs="Arial" w:eastAsia="Arial" w:hAnsi="Arial"/>
                <w:sz w:val="15"/>
                <w:szCs w:val="15"/>
                <w:color w:val="auto"/>
              </w:rPr>
              <w:t>Excess tax benefit from share-based payments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33</w:t>
            </w:r>
          </w:p>
        </w:tc>
      </w:tr>
      <w:tr>
        <w:trPr>
          <w:trHeight w:val="182"/>
        </w:trPr>
        <w:tc>
          <w:tcPr>
            <w:tcW w:w="6100" w:type="dxa"/>
            <w:vAlign w:val="bottom"/>
          </w:tcPr>
          <w:p>
            <w:pPr>
              <w:ind w:left="300"/>
              <w:spacing w:after="0"/>
              <w:rPr>
                <w:sz w:val="20"/>
                <w:szCs w:val="20"/>
                <w:color w:val="auto"/>
              </w:rPr>
            </w:pPr>
            <w:r>
              <w:rPr>
                <w:rFonts w:ascii="Arial" w:cs="Arial" w:eastAsia="Arial" w:hAnsi="Arial"/>
                <w:sz w:val="15"/>
                <w:szCs w:val="15"/>
                <w:color w:val="auto"/>
              </w:rPr>
              <w:t>Purchases of Company's common stock</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5"/>
                <w:szCs w:val="15"/>
                <w:color w:val="auto"/>
              </w:rPr>
              <w:t>(10,163)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(7,274)</w:t>
            </w:r>
          </w:p>
        </w:tc>
      </w:tr>
      <w:tr>
        <w:trPr>
          <w:trHeight w:val="23"/>
        </w:trPr>
        <w:tc>
          <w:tcPr>
            <w:tcW w:w="6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6100" w:type="dxa"/>
            <w:vAlign w:val="bottom"/>
            <w:shd w:val="clear" w:color="auto" w:fill="C0FFFF"/>
          </w:tcPr>
          <w:p>
            <w:pPr>
              <w:ind w:left="1060"/>
              <w:spacing w:after="0"/>
              <w:rPr>
                <w:sz w:val="20"/>
                <w:szCs w:val="20"/>
                <w:color w:val="auto"/>
              </w:rPr>
            </w:pPr>
            <w:r>
              <w:rPr>
                <w:rFonts w:ascii="Arial" w:cs="Arial" w:eastAsia="Arial" w:hAnsi="Arial"/>
                <w:sz w:val="15"/>
                <w:szCs w:val="15"/>
                <w:color w:val="auto"/>
              </w:rPr>
              <w:t>Cash used in financing activities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(9,787)</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(7,228)</w:t>
            </w:r>
          </w:p>
        </w:tc>
      </w:tr>
      <w:tr>
        <w:trPr>
          <w:trHeight w:val="23"/>
        </w:trPr>
        <w:tc>
          <w:tcPr>
            <w:tcW w:w="6100" w:type="dxa"/>
            <w:vAlign w:val="bottom"/>
            <w:shd w:val="clear" w:color="auto" w:fill="C0FFFF"/>
          </w:tcPr>
          <w:p>
            <w:pPr>
              <w:spacing w:after="0" w:line="20" w:lineRule="exact"/>
              <w:rPr>
                <w:sz w:val="1"/>
                <w:szCs w:val="1"/>
                <w:color w:val="auto"/>
              </w:rPr>
            </w:pPr>
          </w:p>
        </w:tc>
        <w:tc>
          <w:tcPr>
            <w:tcW w:w="142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r>
      <w:tr>
        <w:trPr>
          <w:trHeight w:val="182"/>
        </w:trPr>
        <w:tc>
          <w:tcPr>
            <w:tcW w:w="6100" w:type="dxa"/>
            <w:vAlign w:val="bottom"/>
          </w:tcPr>
          <w:p>
            <w:pPr>
              <w:ind w:left="20"/>
              <w:spacing w:after="0"/>
              <w:rPr>
                <w:sz w:val="20"/>
                <w:szCs w:val="20"/>
                <w:color w:val="auto"/>
              </w:rPr>
            </w:pPr>
            <w:r>
              <w:rPr>
                <w:rFonts w:ascii="Arial" w:cs="Arial" w:eastAsia="Arial" w:hAnsi="Arial"/>
                <w:sz w:val="15"/>
                <w:szCs w:val="15"/>
                <w:color w:val="auto"/>
              </w:rPr>
              <w:t>Effect of exchange rates on cash</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5"/>
                <w:szCs w:val="15"/>
                <w:color w:val="auto"/>
              </w:rPr>
              <w:t>(1,012)</w:t>
            </w:r>
          </w:p>
        </w:tc>
      </w:tr>
      <w:tr>
        <w:trPr>
          <w:trHeight w:val="23"/>
        </w:trPr>
        <w:tc>
          <w:tcPr>
            <w:tcW w:w="6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6100" w:type="dxa"/>
            <w:vAlign w:val="bottom"/>
            <w:shd w:val="clear" w:color="auto" w:fill="C0FFFF"/>
          </w:tcPr>
          <w:p>
            <w:pPr>
              <w:ind w:left="20"/>
              <w:spacing w:after="0"/>
              <w:rPr>
                <w:sz w:val="20"/>
                <w:szCs w:val="20"/>
                <w:color w:val="auto"/>
              </w:rPr>
            </w:pPr>
            <w:r>
              <w:rPr>
                <w:rFonts w:ascii="Arial" w:cs="Arial" w:eastAsia="Arial" w:hAnsi="Arial"/>
                <w:sz w:val="15"/>
                <w:szCs w:val="15"/>
                <w:color w:val="auto"/>
              </w:rPr>
              <w:t>Net decrease in cash and cash equivalents</w:t>
            </w:r>
          </w:p>
        </w:tc>
        <w:tc>
          <w:tcPr>
            <w:tcW w:w="14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(33,649)</w:t>
            </w:r>
          </w:p>
        </w:tc>
        <w:tc>
          <w:tcPr>
            <w:tcW w:w="1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7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(35,739)</w:t>
            </w:r>
          </w:p>
        </w:tc>
      </w:tr>
      <w:tr>
        <w:trPr>
          <w:trHeight w:val="182"/>
        </w:trPr>
        <w:tc>
          <w:tcPr>
            <w:tcW w:w="6100" w:type="dxa"/>
            <w:vAlign w:val="bottom"/>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58,755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60,399</w:t>
            </w:r>
          </w:p>
        </w:tc>
      </w:tr>
      <w:tr>
        <w:trPr>
          <w:trHeight w:val="23"/>
        </w:trPr>
        <w:tc>
          <w:tcPr>
            <w:tcW w:w="6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6100" w:type="dxa"/>
            <w:vAlign w:val="bottom"/>
            <w:shd w:val="clear" w:color="auto" w:fill="C0FFFF"/>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1420" w:type="dxa"/>
            <w:vAlign w:val="bottom"/>
            <w:shd w:val="clear" w:color="auto" w:fill="C0FFFF"/>
          </w:tcPr>
          <w:p>
            <w:pPr>
              <w:spacing w:after="0"/>
              <w:rPr>
                <w:sz w:val="19"/>
                <w:szCs w:val="19"/>
                <w:color w:val="auto"/>
              </w:rPr>
            </w:pPr>
          </w:p>
        </w:tc>
        <w:tc>
          <w:tcPr>
            <w:tcW w:w="220" w:type="dxa"/>
            <w:vAlign w:val="bottom"/>
            <w:shd w:val="clear" w:color="auto" w:fill="C0FFFF"/>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25,106</w:t>
            </w:r>
          </w:p>
        </w:tc>
        <w:tc>
          <w:tcPr>
            <w:tcW w:w="14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220" w:type="dxa"/>
            <w:vAlign w:val="bottom"/>
            <w:shd w:val="clear" w:color="auto" w:fill="C0FFFF"/>
          </w:tcPr>
          <w:p>
            <w:pPr>
              <w:jc w:val="right"/>
              <w:ind w:right="64"/>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24,660</w:t>
            </w:r>
          </w:p>
        </w:tc>
      </w:tr>
      <w:tr>
        <w:trPr>
          <w:trHeight w:val="167"/>
        </w:trPr>
        <w:tc>
          <w:tcPr>
            <w:tcW w:w="6100" w:type="dxa"/>
            <w:vAlign w:val="bottom"/>
            <w:tcBorders>
              <w:top w:val="single" w:sz="8" w:color="C0FFFF"/>
            </w:tcBorders>
          </w:tcPr>
          <w:p>
            <w:pPr>
              <w:ind w:left="20"/>
              <w:spacing w:after="0" w:line="167" w:lineRule="exact"/>
              <w:rPr>
                <w:sz w:val="20"/>
                <w:szCs w:val="20"/>
                <w:color w:val="auto"/>
              </w:rPr>
            </w:pPr>
            <w:r>
              <w:rPr>
                <w:rFonts w:ascii="Arial" w:cs="Arial" w:eastAsia="Arial" w:hAnsi="Arial"/>
                <w:sz w:val="15"/>
                <w:szCs w:val="15"/>
                <w:color w:val="auto"/>
              </w:rPr>
              <w:t>Noncash Transactions:</w:t>
            </w:r>
          </w:p>
        </w:tc>
        <w:tc>
          <w:tcPr>
            <w:tcW w:w="1420" w:type="dxa"/>
            <w:vAlign w:val="bottom"/>
            <w:tcBorders>
              <w:top w:val="single" w:sz="8" w:color="C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r>
      <w:tr>
        <w:trPr>
          <w:trHeight w:val="202"/>
        </w:trPr>
        <w:tc>
          <w:tcPr>
            <w:tcW w:w="6100" w:type="dxa"/>
            <w:vAlign w:val="bottom"/>
            <w:shd w:val="clear" w:color="auto" w:fill="C0FFFF"/>
          </w:tcPr>
          <w:p>
            <w:pPr>
              <w:ind w:left="260"/>
              <w:spacing w:after="0"/>
              <w:rPr>
                <w:sz w:val="20"/>
                <w:szCs w:val="20"/>
                <w:color w:val="auto"/>
              </w:rPr>
            </w:pPr>
            <w:r>
              <w:rPr>
                <w:rFonts w:ascii="Arial" w:cs="Arial" w:eastAsia="Arial" w:hAnsi="Arial"/>
                <w:sz w:val="15"/>
                <w:szCs w:val="15"/>
                <w:color w:val="auto"/>
              </w:rPr>
              <w:t>Exchange of inventory for media credits</w:t>
            </w:r>
          </w:p>
        </w:tc>
        <w:tc>
          <w:tcPr>
            <w:tcW w:w="1420" w:type="dxa"/>
            <w:vAlign w:val="bottom"/>
            <w:shd w:val="clear" w:color="auto" w:fill="C0FFFF"/>
          </w:tcPr>
          <w:p>
            <w:pPr>
              <w:spacing w:after="0"/>
              <w:rPr>
                <w:sz w:val="17"/>
                <w:szCs w:val="17"/>
                <w:color w:val="auto"/>
              </w:rPr>
            </w:pPr>
          </w:p>
        </w:tc>
        <w:tc>
          <w:tcPr>
            <w:tcW w:w="220" w:type="dxa"/>
            <w:vAlign w:val="bottom"/>
            <w:shd w:val="clear" w:color="auto" w:fill="C0FFFF"/>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220" w:type="dxa"/>
            <w:vAlign w:val="bottom"/>
            <w:shd w:val="clear" w:color="auto" w:fill="C0FFFF"/>
          </w:tcPr>
          <w:p>
            <w:pPr>
              <w:jc w:val="right"/>
              <w:ind w:right="64"/>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4,277</w:t>
            </w:r>
          </w:p>
        </w:tc>
      </w:tr>
      <w:tr>
        <w:trPr>
          <w:trHeight w:val="20"/>
        </w:trPr>
        <w:tc>
          <w:tcPr>
            <w:tcW w:w="6100" w:type="dxa"/>
            <w:vAlign w:val="bottom"/>
            <w:tcBorders>
              <w:top w:val="single" w:sz="8" w:color="C0FFFF"/>
            </w:tcBorders>
            <w:shd w:val="clear" w:color="auto" w:fill="C0FFFF"/>
          </w:tcPr>
          <w:p>
            <w:pPr>
              <w:spacing w:after="0" w:line="20" w:lineRule="exact"/>
              <w:rPr>
                <w:sz w:val="1"/>
                <w:szCs w:val="1"/>
                <w:color w:val="auto"/>
              </w:rPr>
            </w:pPr>
          </w:p>
        </w:tc>
        <w:tc>
          <w:tcPr>
            <w:tcW w:w="14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250"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Basis of Presentation</w:t>
      </w:r>
    </w:p>
    <w:p>
      <w:pPr>
        <w:spacing w:after="0" w:line="240" w:lineRule="exact"/>
        <w:rPr>
          <w:sz w:val="20"/>
          <w:szCs w:val="20"/>
          <w:color w:val="auto"/>
        </w:rPr>
      </w:pPr>
    </w:p>
    <w:p>
      <w:pPr>
        <w:ind w:right="160" w:firstLine="408"/>
        <w:spacing w:after="0" w:line="275" w:lineRule="auto"/>
        <w:rPr>
          <w:sz w:val="20"/>
          <w:szCs w:val="20"/>
          <w:color w:val="auto"/>
        </w:rPr>
      </w:pPr>
      <w:r>
        <w:rPr>
          <w:rFonts w:ascii="Arial" w:cs="Arial" w:eastAsia="Arial" w:hAnsi="Arial"/>
          <w:sz w:val="14"/>
          <w:szCs w:val="14"/>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1, 2011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As a toy retailer, the Company’s sales are highest in the fourth quarter, followed by the first quarter. The timing of holidays and school vacations can impact quarterly results.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1, 2011 included in the Company’s annual report on Form 10-K filed with the SEC on March 17, 2011.</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Certain reclassifications of prior year amounts have been made to conform to the current year presentation.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73"/>
              </w:rPr>
              <w:t>2.</w:t>
            </w:r>
          </w:p>
        </w:tc>
        <w:tc>
          <w:tcPr>
            <w:tcW w:w="6180" w:type="dxa"/>
            <w:vAlign w:val="bottom"/>
            <w:gridSpan w:val="2"/>
          </w:tcPr>
          <w:p>
            <w:pPr>
              <w:ind w:left="20"/>
              <w:spacing w:after="0"/>
              <w:rPr>
                <w:sz w:val="20"/>
                <w:szCs w:val="20"/>
                <w:color w:val="auto"/>
              </w:rPr>
            </w:pPr>
            <w:r>
              <w:rPr>
                <w:rFonts w:ascii="Arial" w:cs="Arial" w:eastAsia="Arial" w:hAnsi="Arial"/>
                <w:sz w:val="15"/>
                <w:szCs w:val="15"/>
                <w:b w:val="1"/>
                <w:bCs w:val="1"/>
                <w:color w:val="auto"/>
              </w:rPr>
              <w:t>Prepaid Expenses and Other Current Assets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120" w:type="dxa"/>
            <w:vAlign w:val="bottom"/>
          </w:tcPr>
          <w:p>
            <w:pPr>
              <w:spacing w:after="0"/>
              <w:rPr>
                <w:sz w:val="24"/>
                <w:szCs w:val="24"/>
                <w:color w:val="auto"/>
              </w:rPr>
            </w:pPr>
          </w:p>
        </w:tc>
        <w:tc>
          <w:tcPr>
            <w:tcW w:w="6180" w:type="dxa"/>
            <w:vAlign w:val="bottom"/>
            <w:gridSpan w:val="2"/>
          </w:tcPr>
          <w:p>
            <w:pPr>
              <w:ind w:left="280"/>
              <w:spacing w:after="0"/>
              <w:rPr>
                <w:sz w:val="20"/>
                <w:szCs w:val="20"/>
                <w:color w:val="auto"/>
              </w:rPr>
            </w:pPr>
            <w:r>
              <w:rPr>
                <w:rFonts w:ascii="Arial" w:cs="Arial" w:eastAsia="Arial" w:hAnsi="Arial"/>
                <w:sz w:val="15"/>
                <w:szCs w:val="15"/>
                <w:color w:val="auto"/>
              </w:rPr>
              <w:t>Prepaid expenses and other current assets consist of the following (in thousands):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October 1,</w:t>
            </w:r>
          </w:p>
        </w:tc>
        <w:tc>
          <w:tcPr>
            <w:tcW w:w="18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5"/>
                <w:szCs w:val="15"/>
                <w:b w:val="1"/>
                <w:bCs w:val="1"/>
                <w:color w:val="auto"/>
              </w:rPr>
              <w:t>January 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October 2,</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2011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5"/>
                <w:szCs w:val="15"/>
                <w:color w:val="auto"/>
              </w:rPr>
              <w:t>Prepaid rent</w:t>
            </w:r>
          </w:p>
        </w:tc>
        <w:tc>
          <w:tcPr>
            <w:tcW w:w="200" w:type="dxa"/>
            <w:vAlign w:val="bottom"/>
            <w:shd w:val="clear" w:color="auto" w:fill="C0FF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7,916</w:t>
            </w:r>
          </w:p>
        </w:tc>
        <w:tc>
          <w:tcPr>
            <w:tcW w:w="180" w:type="dxa"/>
            <w:vAlign w:val="bottom"/>
            <w:shd w:val="clear" w:color="auto" w:fill="C0FF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7,959</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8,017</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Arial" w:cs="Arial" w:eastAsia="Arial" w:hAnsi="Arial"/>
                <w:sz w:val="15"/>
                <w:szCs w:val="15"/>
                <w:color w:val="auto"/>
              </w:rPr>
              <w:t>Prepaid income taxes</w:t>
            </w:r>
          </w:p>
        </w:tc>
        <w:tc>
          <w:tcPr>
            <w:tcW w:w="2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5,352</w:t>
            </w:r>
          </w:p>
        </w:tc>
        <w:tc>
          <w:tcPr>
            <w:tcW w:w="18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2,458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4,373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5"/>
                <w:szCs w:val="15"/>
                <w:color w:val="auto"/>
              </w:rPr>
              <w:t>Other</w:t>
            </w:r>
          </w:p>
        </w:tc>
        <w:tc>
          <w:tcPr>
            <w:tcW w:w="200" w:type="dxa"/>
            <w:vAlign w:val="bottom"/>
            <w:shd w:val="clear" w:color="auto" w:fill="C0FFFF"/>
          </w:tcPr>
          <w:p>
            <w:pPr>
              <w:spacing w:after="0"/>
              <w:rPr>
                <w:sz w:val="15"/>
                <w:szCs w:val="15"/>
                <w:color w:val="auto"/>
              </w:rPr>
            </w:pPr>
          </w:p>
        </w:tc>
        <w:tc>
          <w:tcPr>
            <w:tcW w:w="12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7,378</w:t>
            </w:r>
          </w:p>
        </w:tc>
        <w:tc>
          <w:tcPr>
            <w:tcW w:w="180" w:type="dxa"/>
            <w:vAlign w:val="bottom"/>
            <w:shd w:val="clear" w:color="auto" w:fill="C0FFFF"/>
          </w:tcPr>
          <w:p>
            <w:pPr>
              <w:spacing w:after="0"/>
              <w:rPr>
                <w:sz w:val="15"/>
                <w:szCs w:val="15"/>
                <w:color w:val="auto"/>
              </w:rPr>
            </w:pPr>
          </w:p>
        </w:tc>
        <w:tc>
          <w:tcPr>
            <w:tcW w:w="118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8,008</w:t>
            </w:r>
          </w:p>
        </w:tc>
        <w:tc>
          <w:tcPr>
            <w:tcW w:w="10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6,857</w:t>
            </w:r>
          </w:p>
        </w:tc>
        <w:tc>
          <w:tcPr>
            <w:tcW w:w="0" w:type="dxa"/>
            <w:vAlign w:val="bottom"/>
          </w:tcPr>
          <w:p>
            <w:pPr>
              <w:spacing w:after="0"/>
              <w:rPr>
                <w:sz w:val="1"/>
                <w:szCs w:val="1"/>
                <w:color w:val="auto"/>
              </w:rPr>
            </w:pPr>
          </w:p>
        </w:tc>
      </w:tr>
      <w:tr>
        <w:trPr>
          <w:trHeight w:val="23"/>
        </w:trPr>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20,646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18,425</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19,247</w:t>
            </w: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3"/>
              </w:rPr>
              <w:t>3.</w:t>
            </w:r>
          </w:p>
        </w:tc>
        <w:tc>
          <w:tcPr>
            <w:tcW w:w="61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Goodwill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0" w:type="dxa"/>
            <w:vAlign w:val="bottom"/>
            <w:vMerge w:val="continue"/>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100" w:firstLine="408"/>
        <w:spacing w:after="0" w:line="277" w:lineRule="auto"/>
        <w:rPr>
          <w:sz w:val="20"/>
          <w:szCs w:val="20"/>
          <w:color w:val="auto"/>
        </w:rPr>
      </w:pPr>
      <w:r>
        <w:rPr>
          <w:rFonts w:ascii="Arial" w:cs="Arial" w:eastAsia="Arial" w:hAnsi="Arial"/>
          <w:sz w:val="15"/>
          <w:szCs w:val="15"/>
          <w:color w:val="auto"/>
        </w:rPr>
        <w:t>Goodwill is reported as a component of the Company’s retail segment. The following table summarizes the changes in goodwill for the thirty-nine weeks ended October 1, 2011 (in thousands):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2"/>
        </w:trPr>
        <w:tc>
          <w:tcPr>
            <w:tcW w:w="5360" w:type="dxa"/>
            <w:vAlign w:val="bottom"/>
            <w:shd w:val="clear" w:color="auto" w:fill="C0FFFF"/>
          </w:tcPr>
          <w:p>
            <w:pPr>
              <w:spacing w:after="0"/>
              <w:rPr>
                <w:sz w:val="20"/>
                <w:szCs w:val="20"/>
                <w:color w:val="auto"/>
              </w:rPr>
            </w:pPr>
            <w:r>
              <w:rPr>
                <w:rFonts w:ascii="Arial" w:cs="Arial" w:eastAsia="Arial" w:hAnsi="Arial"/>
                <w:sz w:val="15"/>
                <w:szCs w:val="15"/>
                <w:color w:val="auto"/>
              </w:rPr>
              <w:t>Balance as of January 1, 2011</w:t>
            </w:r>
          </w:p>
        </w:tc>
        <w:tc>
          <w:tcPr>
            <w:tcW w:w="3460" w:type="dxa"/>
            <w:vAlign w:val="bottom"/>
            <w:gridSpan w:val="2"/>
            <w:shd w:val="clear" w:color="auto" w:fill="C0FFFF"/>
          </w:tcPr>
          <w:p>
            <w:pPr>
              <w:jc w:val="right"/>
              <w:ind w:right="304"/>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32,407</w:t>
            </w:r>
          </w:p>
        </w:tc>
      </w:tr>
      <w:tr>
        <w:trPr>
          <w:trHeight w:val="182"/>
        </w:trPr>
        <w:tc>
          <w:tcPr>
            <w:tcW w:w="5360" w:type="dxa"/>
            <w:vAlign w:val="bottom"/>
          </w:tcPr>
          <w:p>
            <w:pPr>
              <w:ind w:left="100"/>
              <w:spacing w:after="0"/>
              <w:rPr>
                <w:sz w:val="20"/>
                <w:szCs w:val="20"/>
                <w:color w:val="auto"/>
              </w:rPr>
            </w:pPr>
            <w:r>
              <w:rPr>
                <w:rFonts w:ascii="Arial" w:cs="Arial" w:eastAsia="Arial" w:hAnsi="Arial"/>
                <w:sz w:val="15"/>
                <w:szCs w:val="15"/>
                <w:color w:val="auto"/>
              </w:rPr>
              <w:t>Effect of foreign currency translation</w:t>
            </w:r>
          </w:p>
        </w:tc>
        <w:tc>
          <w:tcPr>
            <w:tcW w:w="3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207</w:t>
            </w:r>
          </w:p>
        </w:tc>
      </w:tr>
      <w:tr>
        <w:trPr>
          <w:trHeight w:val="23"/>
        </w:trPr>
        <w:tc>
          <w:tcPr>
            <w:tcW w:w="5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5360" w:type="dxa"/>
            <w:vAlign w:val="bottom"/>
            <w:shd w:val="clear" w:color="auto" w:fill="C0FFFF"/>
          </w:tcPr>
          <w:p>
            <w:pPr>
              <w:spacing w:after="0"/>
              <w:rPr>
                <w:sz w:val="20"/>
                <w:szCs w:val="20"/>
                <w:color w:val="auto"/>
              </w:rPr>
            </w:pPr>
            <w:r>
              <w:rPr>
                <w:rFonts w:ascii="Arial" w:cs="Arial" w:eastAsia="Arial" w:hAnsi="Arial"/>
                <w:sz w:val="15"/>
                <w:szCs w:val="15"/>
                <w:color w:val="auto"/>
              </w:rPr>
              <w:t>Balance as of October 1, 2011</w:t>
            </w:r>
          </w:p>
        </w:tc>
        <w:tc>
          <w:tcPr>
            <w:tcW w:w="3000" w:type="dxa"/>
            <w:vAlign w:val="bottom"/>
            <w:shd w:val="clear" w:color="auto" w:fill="C0FFFF"/>
          </w:tcPr>
          <w:p>
            <w:pPr>
              <w:spacing w:after="0"/>
              <w:rPr>
                <w:sz w:val="17"/>
                <w:szCs w:val="17"/>
                <w:color w:val="auto"/>
              </w:rPr>
            </w:pPr>
          </w:p>
        </w:tc>
        <w:tc>
          <w:tcPr>
            <w:tcW w:w="460" w:type="dxa"/>
            <w:vAlign w:val="bottom"/>
            <w:shd w:val="clear" w:color="auto" w:fill="C0FFFF"/>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32,614</w:t>
            </w:r>
          </w:p>
        </w:tc>
      </w:tr>
      <w:tr>
        <w:trPr>
          <w:trHeight w:val="20"/>
        </w:trPr>
        <w:tc>
          <w:tcPr>
            <w:tcW w:w="5360" w:type="dxa"/>
            <w:vAlign w:val="bottom"/>
            <w:tcBorders>
              <w:top w:val="single" w:sz="8" w:color="C0FFFF"/>
            </w:tcBorders>
            <w:shd w:val="clear" w:color="auto" w:fill="C0FFFF"/>
          </w:tcPr>
          <w:p>
            <w:pPr>
              <w:spacing w:after="0" w:line="20" w:lineRule="exact"/>
              <w:rPr>
                <w:sz w:val="1"/>
                <w:szCs w:val="1"/>
                <w:color w:val="auto"/>
              </w:rPr>
            </w:pPr>
          </w:p>
        </w:tc>
        <w:tc>
          <w:tcPr>
            <w:tcW w:w="3000" w:type="dxa"/>
            <w:vAlign w:val="bottom"/>
            <w:tcBorders>
              <w:top w:val="single" w:sz="8" w:color="C0FFFF"/>
            </w:tcBorders>
            <w:shd w:val="clear" w:color="auto" w:fill="C0FF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16" w:lineRule="exact"/>
        <w:rPr>
          <w:sz w:val="20"/>
          <w:szCs w:val="20"/>
          <w:color w:val="auto"/>
        </w:rPr>
      </w:pPr>
    </w:p>
    <w:p>
      <w:pPr>
        <w:jc w:val="both"/>
        <w:ind w:right="20" w:firstLine="408"/>
        <w:spacing w:after="0" w:line="265" w:lineRule="auto"/>
        <w:rPr>
          <w:sz w:val="20"/>
          <w:szCs w:val="20"/>
          <w:color w:val="auto"/>
        </w:rPr>
      </w:pPr>
      <w:r>
        <w:rPr>
          <w:rFonts w:ascii="Arial" w:cs="Arial" w:eastAsia="Arial" w:hAnsi="Arial"/>
          <w:sz w:val="15"/>
          <w:szCs w:val="15"/>
          <w:color w:val="auto"/>
        </w:rPr>
        <w:t>Goodwill is not subject to amortization and is tested for impairment annually or more frequently if events or changes in circumstances indicate that the asset might be impaired. This testing requires comparison of carrying values to fair values, and when appropriate, the carrying value of impaired assets is reduced to fair value. Goodwill will be tested for impairment no later than December 31, 2011.</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Stock-based Compensation</w:t>
      </w:r>
    </w:p>
    <w:p>
      <w:pPr>
        <w:spacing w:after="0" w:line="240" w:lineRule="exact"/>
        <w:rPr>
          <w:sz w:val="20"/>
          <w:szCs w:val="20"/>
          <w:color w:val="auto"/>
        </w:rPr>
      </w:pPr>
    </w:p>
    <w:p>
      <w:pPr>
        <w:ind w:right="380" w:firstLine="408"/>
        <w:spacing w:after="0" w:line="277" w:lineRule="auto"/>
        <w:rPr>
          <w:sz w:val="20"/>
          <w:szCs w:val="20"/>
          <w:color w:val="auto"/>
        </w:rPr>
      </w:pPr>
      <w:r>
        <w:rPr>
          <w:rFonts w:ascii="Arial" w:cs="Arial" w:eastAsia="Arial" w:hAnsi="Arial"/>
          <w:sz w:val="15"/>
          <w:szCs w:val="15"/>
          <w:color w:val="auto"/>
        </w:rPr>
        <w:t>The Company accounts for stock-based compensation in accordance with ASC Section 718. The Company uses the straight-line expense attribution method for all stock-based compensation awards with graded vesting.</w:t>
      </w:r>
    </w:p>
    <w:p>
      <w:pPr>
        <w:spacing w:after="0" w:line="192" w:lineRule="exact"/>
        <w:rPr>
          <w:sz w:val="20"/>
          <w:szCs w:val="20"/>
          <w:color w:val="auto"/>
        </w:rPr>
      </w:pPr>
    </w:p>
    <w:p>
      <w:pPr>
        <w:ind w:right="60" w:firstLine="408"/>
        <w:spacing w:after="0" w:line="265" w:lineRule="auto"/>
        <w:rPr>
          <w:sz w:val="20"/>
          <w:szCs w:val="20"/>
          <w:color w:val="auto"/>
        </w:rPr>
      </w:pPr>
      <w:r>
        <w:rPr>
          <w:rFonts w:ascii="Arial" w:cs="Arial" w:eastAsia="Arial" w:hAnsi="Arial"/>
          <w:sz w:val="15"/>
          <w:szCs w:val="15"/>
          <w:color w:val="auto"/>
        </w:rPr>
        <w:t>For the thirteen and thirty-nine weeks ended October 1, 2011, selling, general and administrative expenses include $1.1 million ($0.6 million after tax) and $3.5 million ($2.1 million after tax), respectively, of stock-based compensation expense. For the thirteen and thirty-nine weeks ended October 2, 2010, selling, general and administrative expenses include $1.2 million ($0.7 million after tax) and $3.7 million ($2.2 million after tax), respectively, of stock-based compensation expense.</w:t>
      </w:r>
    </w:p>
    <w:p>
      <w:pPr>
        <w:spacing w:after="0" w:line="200" w:lineRule="exact"/>
        <w:rPr>
          <w:sz w:val="20"/>
          <w:szCs w:val="20"/>
          <w:color w:val="auto"/>
        </w:rPr>
      </w:pPr>
    </w:p>
    <w:p>
      <w:pPr>
        <w:ind w:firstLine="408"/>
        <w:spacing w:after="0" w:line="277" w:lineRule="auto"/>
        <w:rPr>
          <w:sz w:val="20"/>
          <w:szCs w:val="20"/>
          <w:color w:val="auto"/>
        </w:rPr>
      </w:pPr>
      <w:r>
        <w:rPr>
          <w:rFonts w:ascii="Arial" w:cs="Arial" w:eastAsia="Arial" w:hAnsi="Arial"/>
          <w:sz w:val="15"/>
          <w:szCs w:val="15"/>
          <w:color w:val="auto"/>
        </w:rPr>
        <w:t>As of October 1, 2011, there was $7.0 million of total unrecognized compensation expense related to nonvested restricted stock and option awards which is expected to be recognized over a weighted-average period of 1.7 years.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5. Stock Incentive Plans</w:t>
      </w:r>
    </w:p>
    <w:p>
      <w:pPr>
        <w:spacing w:after="0" w:line="240"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On April 3, 2000, the Company adopted the 2000 Stock Option Plan (the Plan). In 2003, the Company adopted the Build-A-Bear Workshop, Inc. 2002 Stock Incentive Plan; in 2004, the Company adopted the Build-A-Bear Workshop, Inc. 2004 Stock Incentive Plan, and in 2009, the Company amended and restated the Build-A-Bear Workshop, Inc. 2004 Stock Incentive Plan (collectively, the Plans).</w:t>
      </w:r>
    </w:p>
    <w:p>
      <w:pPr>
        <w:spacing w:after="0" w:line="200" w:lineRule="exact"/>
        <w:rPr>
          <w:sz w:val="20"/>
          <w:szCs w:val="20"/>
          <w:color w:val="auto"/>
        </w:rPr>
      </w:pPr>
    </w:p>
    <w:p>
      <w:pPr>
        <w:ind w:firstLine="408"/>
        <w:spacing w:after="0" w:line="257" w:lineRule="auto"/>
        <w:rPr>
          <w:sz w:val="20"/>
          <w:szCs w:val="20"/>
          <w:color w:val="auto"/>
        </w:rPr>
      </w:pPr>
      <w:r>
        <w:rPr>
          <w:rFonts w:ascii="Arial" w:cs="Arial" w:eastAsia="Arial" w:hAnsi="Arial"/>
          <w:sz w:val="15"/>
          <w:szCs w:val="15"/>
          <w:color w:val="auto"/>
        </w:rPr>
        <w:t>Under the Plans, as amended, from January 3, 2009, up to 3,230,000 shares of common stock were reserved and may be granted to employees and nonemployees of the Company. The Plan allows for the grant of incentive stock options, nonqualified stock options, stock appreciation rights (SAR) and restricted stock. Options granted under the Plan expire no later than 10 years from the date of the grant. The exercise price of each incentive stock option shall not be less than 100% of the fair value of the stock subject to the option on the date the option is granted. The vesting provision of individual options generally ranges from one to four years. Each share of stock awarded pursuant to an option or subject to the exercised portion of a SAR reduces the number of shares available by one share. Each share of stock awarded pursuant to any other stock-based awards, including restricted stock grants, reduces the number of shares available by 1.27 shares.</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(a) Stock Options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is a summary of the balances and activity for the Plans related to stock options for the thirty-nine weeks ended October 1, 2011:</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left="124"/>
              <w:spacing w:after="0"/>
              <w:rPr>
                <w:sz w:val="20"/>
                <w:szCs w:val="20"/>
                <w:color w:val="auto"/>
              </w:rPr>
            </w:pPr>
            <w:r>
              <w:rPr>
                <w:rFonts w:ascii="Arial" w:cs="Arial" w:eastAsia="Arial" w:hAnsi="Arial"/>
                <w:sz w:val="15"/>
                <w:szCs w:val="15"/>
                <w:b w:val="1"/>
                <w:bCs w:val="1"/>
                <w:color w:val="auto"/>
                <w:w w:val="91"/>
              </w:rPr>
              <w:t>Weighted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left="104"/>
              <w:spacing w:after="0"/>
              <w:rPr>
                <w:sz w:val="20"/>
                <w:szCs w:val="20"/>
                <w:color w:val="auto"/>
              </w:rPr>
            </w:pPr>
            <w:r>
              <w:rPr>
                <w:rFonts w:ascii="Arial" w:cs="Arial" w:eastAsia="Arial" w:hAnsi="Arial"/>
                <w:sz w:val="15"/>
                <w:szCs w:val="15"/>
                <w:b w:val="1"/>
                <w:bCs w:val="1"/>
                <w:color w:val="auto"/>
                <w:w w:val="87"/>
              </w:rPr>
              <w:t>Average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Aggregate</w:t>
            </w:r>
          </w:p>
        </w:tc>
      </w:tr>
      <w:tr>
        <w:trPr>
          <w:trHeight w:val="182"/>
        </w:trPr>
        <w:tc>
          <w:tcPr>
            <w:tcW w:w="3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Weighted</w:t>
            </w:r>
          </w:p>
        </w:tc>
        <w:tc>
          <w:tcPr>
            <w:tcW w:w="1060" w:type="dxa"/>
            <w:vAlign w:val="bottom"/>
          </w:tcPr>
          <w:p>
            <w:pPr>
              <w:jc w:val="center"/>
              <w:ind w:left="124"/>
              <w:spacing w:after="0"/>
              <w:rPr>
                <w:sz w:val="20"/>
                <w:szCs w:val="20"/>
                <w:color w:val="auto"/>
              </w:rPr>
            </w:pPr>
            <w:r>
              <w:rPr>
                <w:rFonts w:ascii="Arial" w:cs="Arial" w:eastAsia="Arial" w:hAnsi="Arial"/>
                <w:sz w:val="15"/>
                <w:szCs w:val="15"/>
                <w:b w:val="1"/>
                <w:bCs w:val="1"/>
                <w:color w:val="auto"/>
                <w:w w:val="91"/>
              </w:rPr>
              <w:t>Remaining</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Intrinsic</w:t>
            </w:r>
          </w:p>
        </w:tc>
      </w:tr>
      <w:tr>
        <w:trPr>
          <w:trHeight w:val="182"/>
        </w:trPr>
        <w:tc>
          <w:tcPr>
            <w:tcW w:w="39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Arial" w:cs="Arial" w:eastAsia="Arial" w:hAnsi="Arial"/>
                <w:sz w:val="15"/>
                <w:szCs w:val="15"/>
                <w:b w:val="1"/>
                <w:bCs w:val="1"/>
                <w:color w:val="auto"/>
              </w:rPr>
              <w:t>Number of</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Average</w:t>
            </w:r>
          </w:p>
        </w:tc>
        <w:tc>
          <w:tcPr>
            <w:tcW w:w="1060" w:type="dxa"/>
            <w:vAlign w:val="bottom"/>
          </w:tcPr>
          <w:p>
            <w:pPr>
              <w:jc w:val="center"/>
              <w:ind w:left="164"/>
              <w:spacing w:after="0"/>
              <w:rPr>
                <w:sz w:val="20"/>
                <w:szCs w:val="20"/>
                <w:color w:val="auto"/>
              </w:rPr>
            </w:pPr>
            <w:r>
              <w:rPr>
                <w:rFonts w:ascii="Arial" w:cs="Arial" w:eastAsia="Arial" w:hAnsi="Arial"/>
                <w:sz w:val="15"/>
                <w:szCs w:val="15"/>
                <w:b w:val="1"/>
                <w:bCs w:val="1"/>
                <w:color w:val="auto"/>
                <w:w w:val="93"/>
              </w:rPr>
              <w:t>Contractual</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Value</w:t>
            </w:r>
          </w:p>
        </w:tc>
      </w:tr>
      <w:tr>
        <w:trPr>
          <w:trHeight w:val="199"/>
        </w:trPr>
        <w:tc>
          <w:tcPr>
            <w:tcW w:w="3980" w:type="dxa"/>
            <w:vAlign w:val="bottom"/>
          </w:tcPr>
          <w:p>
            <w:pPr>
              <w:spacing w:after="0"/>
              <w:rPr>
                <w:sz w:val="17"/>
                <w:szCs w:val="17"/>
                <w:color w:val="auto"/>
              </w:rPr>
            </w:pPr>
          </w:p>
        </w:tc>
        <w:tc>
          <w:tcPr>
            <w:tcW w:w="12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Exercise Price</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center"/>
              <w:ind w:left="124"/>
              <w:spacing w:after="0"/>
              <w:rPr>
                <w:sz w:val="20"/>
                <w:szCs w:val="20"/>
                <w:color w:val="auto"/>
              </w:rPr>
            </w:pPr>
            <w:r>
              <w:rPr>
                <w:rFonts w:ascii="Arial" w:cs="Arial" w:eastAsia="Arial" w:hAnsi="Arial"/>
                <w:sz w:val="15"/>
                <w:szCs w:val="15"/>
                <w:b w:val="1"/>
                <w:bCs w:val="1"/>
                <w:color w:val="auto"/>
                <w:w w:val="92"/>
              </w:rPr>
              <w:t>Term</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(in thousands)</w:t>
            </w:r>
          </w:p>
        </w:tc>
        <w:tc>
          <w:tcPr>
            <w:tcW w:w="100" w:type="dxa"/>
            <w:vAlign w:val="bottom"/>
          </w:tcPr>
          <w:p>
            <w:pPr>
              <w:spacing w:after="0"/>
              <w:rPr>
                <w:sz w:val="17"/>
                <w:szCs w:val="17"/>
                <w:color w:val="auto"/>
              </w:rPr>
            </w:pPr>
          </w:p>
        </w:tc>
      </w:tr>
      <w:tr>
        <w:trPr>
          <w:trHeight w:val="182"/>
        </w:trPr>
        <w:tc>
          <w:tcPr>
            <w:tcW w:w="3980" w:type="dxa"/>
            <w:vAlign w:val="bottom"/>
            <w:shd w:val="clear" w:color="auto" w:fill="C0FFFF"/>
          </w:tcPr>
          <w:p>
            <w:pPr>
              <w:spacing w:after="0"/>
              <w:rPr>
                <w:sz w:val="20"/>
                <w:szCs w:val="20"/>
                <w:color w:val="auto"/>
              </w:rPr>
            </w:pPr>
            <w:r>
              <w:rPr>
                <w:rFonts w:ascii="Arial" w:cs="Arial" w:eastAsia="Arial" w:hAnsi="Arial"/>
                <w:sz w:val="15"/>
                <w:szCs w:val="15"/>
                <w:color w:val="auto"/>
              </w:rPr>
              <w:t>Outstanding, January 1, 2011</w:t>
            </w:r>
          </w:p>
        </w:tc>
        <w:tc>
          <w:tcPr>
            <w:tcW w:w="12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1,125,223</w:t>
            </w:r>
          </w:p>
        </w:tc>
        <w:tc>
          <w:tcPr>
            <w:tcW w:w="3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8.73</w:t>
            </w:r>
          </w:p>
        </w:tc>
        <w:tc>
          <w:tcPr>
            <w:tcW w:w="106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r>
      <w:tr>
        <w:trPr>
          <w:trHeight w:val="182"/>
        </w:trPr>
        <w:tc>
          <w:tcPr>
            <w:tcW w:w="3980" w:type="dxa"/>
            <w:vAlign w:val="bottom"/>
          </w:tcPr>
          <w:p>
            <w:pPr>
              <w:spacing w:after="0"/>
              <w:rPr>
                <w:sz w:val="20"/>
                <w:szCs w:val="20"/>
                <w:color w:val="auto"/>
              </w:rPr>
            </w:pPr>
            <w:r>
              <w:rPr>
                <w:rFonts w:ascii="Arial" w:cs="Arial" w:eastAsia="Arial" w:hAnsi="Arial"/>
                <w:sz w:val="15"/>
                <w:szCs w:val="15"/>
                <w:color w:val="auto"/>
              </w:rPr>
              <w:t>Granted</w:t>
            </w:r>
          </w:p>
        </w:tc>
        <w:tc>
          <w:tcPr>
            <w:tcW w:w="1280" w:type="dxa"/>
            <w:vAlign w:val="bottom"/>
          </w:tcPr>
          <w:p>
            <w:pPr>
              <w:jc w:val="right"/>
              <w:spacing w:after="0"/>
              <w:rPr>
                <w:sz w:val="20"/>
                <w:szCs w:val="20"/>
                <w:color w:val="auto"/>
              </w:rPr>
            </w:pPr>
            <w:r>
              <w:rPr>
                <w:rFonts w:ascii="Arial" w:cs="Arial" w:eastAsia="Arial" w:hAnsi="Arial"/>
                <w:sz w:val="15"/>
                <w:szCs w:val="15"/>
                <w:color w:val="auto"/>
              </w:rPr>
              <w:t>304,927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6.21</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980" w:type="dxa"/>
            <w:vAlign w:val="bottom"/>
            <w:shd w:val="clear" w:color="auto" w:fill="C0FFFF"/>
          </w:tcPr>
          <w:p>
            <w:pPr>
              <w:spacing w:after="0"/>
              <w:rPr>
                <w:sz w:val="20"/>
                <w:szCs w:val="20"/>
                <w:color w:val="auto"/>
              </w:rPr>
            </w:pPr>
            <w:r>
              <w:rPr>
                <w:rFonts w:ascii="Arial" w:cs="Arial" w:eastAsia="Arial" w:hAnsi="Arial"/>
                <w:sz w:val="15"/>
                <w:szCs w:val="15"/>
                <w:color w:val="auto"/>
              </w:rPr>
              <w:t>Exercised</w:t>
            </w:r>
          </w:p>
        </w:tc>
        <w:tc>
          <w:tcPr>
            <w:tcW w:w="12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39,634</w:t>
            </w:r>
          </w:p>
        </w:tc>
        <w:tc>
          <w:tcPr>
            <w:tcW w:w="2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4.98</w:t>
            </w:r>
          </w:p>
        </w:tc>
        <w:tc>
          <w:tcPr>
            <w:tcW w:w="106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r>
      <w:tr>
        <w:trPr>
          <w:trHeight w:val="184"/>
        </w:trPr>
        <w:tc>
          <w:tcPr>
            <w:tcW w:w="3980" w:type="dxa"/>
            <w:vAlign w:val="bottom"/>
          </w:tcPr>
          <w:p>
            <w:pPr>
              <w:spacing w:after="0"/>
              <w:rPr>
                <w:sz w:val="20"/>
                <w:szCs w:val="20"/>
                <w:color w:val="auto"/>
              </w:rPr>
            </w:pPr>
            <w:r>
              <w:rPr>
                <w:rFonts w:ascii="Arial" w:cs="Arial" w:eastAsia="Arial" w:hAnsi="Arial"/>
                <w:sz w:val="15"/>
                <w:szCs w:val="15"/>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162,689</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6.79</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3980" w:type="dxa"/>
            <w:vAlign w:val="bottom"/>
            <w:shd w:val="clear" w:color="auto" w:fill="C0FFFF"/>
          </w:tcPr>
          <w:p>
            <w:pPr>
              <w:spacing w:after="0"/>
              <w:rPr>
                <w:sz w:val="20"/>
                <w:szCs w:val="20"/>
                <w:color w:val="auto"/>
              </w:rPr>
            </w:pPr>
            <w:r>
              <w:rPr>
                <w:rFonts w:ascii="Arial" w:cs="Arial" w:eastAsia="Arial" w:hAnsi="Arial"/>
                <w:sz w:val="15"/>
                <w:szCs w:val="15"/>
                <w:color w:val="auto"/>
              </w:rPr>
              <w:t>Outstanding, October 1, 2011</w:t>
            </w:r>
          </w:p>
        </w:tc>
        <w:tc>
          <w:tcPr>
            <w:tcW w:w="12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1,227,827</w:t>
            </w:r>
          </w:p>
        </w:tc>
        <w:tc>
          <w:tcPr>
            <w:tcW w:w="3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8.49</w:t>
            </w:r>
          </w:p>
        </w:tc>
        <w:tc>
          <w:tcPr>
            <w:tcW w:w="1060" w:type="dxa"/>
            <w:vAlign w:val="bottom"/>
            <w:shd w:val="clear" w:color="auto" w:fill="C0FFFF"/>
          </w:tcPr>
          <w:p>
            <w:pPr>
              <w:spacing w:after="0"/>
              <w:rPr>
                <w:sz w:val="19"/>
                <w:szCs w:val="19"/>
                <w:color w:val="auto"/>
              </w:rPr>
            </w:pPr>
          </w:p>
        </w:tc>
        <w:tc>
          <w:tcPr>
            <w:tcW w:w="28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w w:val="86"/>
              </w:rPr>
              <w:t>7.3</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w:t>
            </w:r>
          </w:p>
        </w:tc>
      </w:tr>
      <w:tr>
        <w:trPr>
          <w:trHeight w:val="167"/>
        </w:trPr>
        <w:tc>
          <w:tcPr>
            <w:tcW w:w="3980" w:type="dxa"/>
            <w:vAlign w:val="bottom"/>
            <w:tcBorders>
              <w:top w:val="single" w:sz="8" w:color="C0FFFF"/>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0" w:type="dxa"/>
            <w:vAlign w:val="bottom"/>
            <w:tcBorders>
              <w:top w:val="single" w:sz="8" w:color="C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0" w:type="dxa"/>
            <w:vAlign w:val="bottom"/>
            <w:tcBorders>
              <w:top w:val="single" w:sz="8" w:color="C0FFFF"/>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r>
      <w:tr>
        <w:trPr>
          <w:trHeight w:val="182"/>
        </w:trPr>
        <w:tc>
          <w:tcPr>
            <w:tcW w:w="3980" w:type="dxa"/>
            <w:vAlign w:val="bottom"/>
            <w:shd w:val="clear" w:color="auto" w:fill="C0FFFF"/>
          </w:tcPr>
          <w:p>
            <w:pPr>
              <w:spacing w:after="0"/>
              <w:rPr>
                <w:sz w:val="20"/>
                <w:szCs w:val="20"/>
                <w:color w:val="auto"/>
              </w:rPr>
            </w:pPr>
            <w:r>
              <w:rPr>
                <w:rFonts w:ascii="Arial" w:cs="Arial" w:eastAsia="Arial" w:hAnsi="Arial"/>
                <w:sz w:val="15"/>
                <w:szCs w:val="15"/>
                <w:b w:val="1"/>
                <w:bCs w:val="1"/>
                <w:color w:val="auto"/>
              </w:rPr>
              <w:t>Options Exercisable As Of:</w:t>
            </w:r>
          </w:p>
        </w:tc>
        <w:tc>
          <w:tcPr>
            <w:tcW w:w="12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6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106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r>
      <w:tr>
        <w:trPr>
          <w:trHeight w:val="182"/>
        </w:trPr>
        <w:tc>
          <w:tcPr>
            <w:tcW w:w="3980" w:type="dxa"/>
            <w:vAlign w:val="bottom"/>
          </w:tcPr>
          <w:p>
            <w:pPr>
              <w:spacing w:after="0"/>
              <w:rPr>
                <w:sz w:val="20"/>
                <w:szCs w:val="20"/>
                <w:color w:val="auto"/>
              </w:rPr>
            </w:pPr>
            <w:r>
              <w:rPr>
                <w:rFonts w:ascii="Arial" w:cs="Arial" w:eastAsia="Arial" w:hAnsi="Arial"/>
                <w:sz w:val="15"/>
                <w:szCs w:val="15"/>
                <w:color w:val="auto"/>
              </w:rPr>
              <w:t>October 1, 2011</w:t>
            </w:r>
          </w:p>
        </w:tc>
        <w:tc>
          <w:tcPr>
            <w:tcW w:w="1280" w:type="dxa"/>
            <w:vAlign w:val="bottom"/>
          </w:tcPr>
          <w:p>
            <w:pPr>
              <w:jc w:val="right"/>
              <w:spacing w:after="0"/>
              <w:rPr>
                <w:sz w:val="20"/>
                <w:szCs w:val="20"/>
                <w:color w:val="auto"/>
              </w:rPr>
            </w:pPr>
            <w:r>
              <w:rPr>
                <w:rFonts w:ascii="Arial" w:cs="Arial" w:eastAsia="Arial" w:hAnsi="Arial"/>
                <w:sz w:val="15"/>
                <w:szCs w:val="15"/>
                <w:color w:val="auto"/>
              </w:rPr>
              <w:t>498,494</w:t>
            </w: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12.03</w:t>
            </w:r>
          </w:p>
        </w:tc>
        <w:tc>
          <w:tcPr>
            <w:tcW w:w="106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5.4</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r>
      <w:tr>
        <w:trPr>
          <w:trHeight w:val="20"/>
        </w:trPr>
        <w:tc>
          <w:tcPr>
            <w:tcW w:w="39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generally issues new shares to satisfy option exercises.</w:t>
      </w:r>
    </w:p>
    <w:p>
      <w:pPr>
        <w:spacing w:after="0" w:line="236" w:lineRule="exact"/>
        <w:rPr>
          <w:sz w:val="20"/>
          <w:szCs w:val="20"/>
          <w:color w:val="auto"/>
        </w:rPr>
      </w:pPr>
    </w:p>
    <w:p>
      <w:pPr>
        <w:ind w:firstLine="408"/>
        <w:spacing w:after="0" w:line="258" w:lineRule="auto"/>
        <w:rPr>
          <w:sz w:val="20"/>
          <w:szCs w:val="20"/>
          <w:color w:val="auto"/>
        </w:rPr>
      </w:pPr>
      <w:r>
        <w:rPr>
          <w:rFonts w:ascii="Arial" w:cs="Arial" w:eastAsia="Arial" w:hAnsi="Arial"/>
          <w:sz w:val="15"/>
          <w:szCs w:val="15"/>
          <w:color w:val="auto"/>
        </w:rPr>
        <w:t>The expense recorded related to options during the thirty-nine weeks ended October 1, 2011 was determined using the Black-Scholes option pricing model and the provisions of Staff Accounting Bulletin (SAB) 107 and 110, which allow the use of a simplified method to estimate the expected term of “plain vanilla” options. The assumptions used in the option pricing model for the thirty-nine weeks ended October 1, 2011 were: (a) dividend yield of 0%; (b) volatility of 65%; (c) risk-free interest rates ranging from 1.2% to 2.5%; and (d) an expected life of 6.25 years. The assumptions used in the option pricing model for the thirteen and thirty-nine weeks ended October 2, 2010 were: (a) dividend yield of 0%; (b) volatility of 65%; (c) risk-free interest rates ranging from 2.1 to 3.4%; and (d) an expected life of 6.25 years.</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(b) Restricted Stock</w:t>
      </w:r>
    </w:p>
    <w:p>
      <w:pPr>
        <w:spacing w:after="0" w:line="240" w:lineRule="exact"/>
        <w:rPr>
          <w:sz w:val="20"/>
          <w:szCs w:val="20"/>
          <w:color w:val="auto"/>
        </w:rPr>
      </w:pPr>
    </w:p>
    <w:p>
      <w:pPr>
        <w:ind w:right="180" w:firstLine="408"/>
        <w:spacing w:after="0" w:line="277" w:lineRule="auto"/>
        <w:rPr>
          <w:sz w:val="20"/>
          <w:szCs w:val="20"/>
          <w:color w:val="auto"/>
        </w:rPr>
      </w:pPr>
      <w:r>
        <w:rPr>
          <w:rFonts w:ascii="Arial" w:cs="Arial" w:eastAsia="Arial" w:hAnsi="Arial"/>
          <w:sz w:val="15"/>
          <w:szCs w:val="15"/>
          <w:color w:val="auto"/>
        </w:rPr>
        <w:t>The following table is a summary of the balances and activity for the Plans related to restricted stock granted as compensation to employees and directors for the thirty-nine weeks ended October 1, 2011:</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82"/>
        </w:trPr>
        <w:tc>
          <w:tcPr>
            <w:tcW w:w="6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Average Grant</w:t>
            </w:r>
          </w:p>
        </w:tc>
      </w:tr>
      <w:tr>
        <w:trPr>
          <w:trHeight w:val="182"/>
        </w:trPr>
        <w:tc>
          <w:tcPr>
            <w:tcW w:w="6900" w:type="dxa"/>
            <w:vAlign w:val="bottom"/>
          </w:tcPr>
          <w:p>
            <w:pPr>
              <w:spacing w:after="0"/>
              <w:rPr>
                <w:sz w:val="15"/>
                <w:szCs w:val="15"/>
                <w:color w:val="auto"/>
              </w:rPr>
            </w:pPr>
          </w:p>
        </w:tc>
        <w:tc>
          <w:tcPr>
            <w:tcW w:w="1280" w:type="dxa"/>
            <w:vAlign w:val="bottom"/>
          </w:tcPr>
          <w:p>
            <w:pPr>
              <w:jc w:val="right"/>
              <w:ind w:right="224"/>
              <w:spacing w:after="0"/>
              <w:rPr>
                <w:sz w:val="20"/>
                <w:szCs w:val="20"/>
                <w:color w:val="auto"/>
              </w:rPr>
            </w:pPr>
            <w:r>
              <w:rPr>
                <w:rFonts w:ascii="Arial" w:cs="Arial" w:eastAsia="Arial" w:hAnsi="Arial"/>
                <w:sz w:val="15"/>
                <w:szCs w:val="15"/>
                <w:b w:val="1"/>
                <w:bCs w:val="1"/>
                <w:color w:val="auto"/>
              </w:rPr>
              <w:t>Number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4"/>
              </w:rPr>
              <w:t>Date Fair Value</w:t>
            </w:r>
          </w:p>
        </w:tc>
      </w:tr>
      <w:tr>
        <w:trPr>
          <w:trHeight w:val="199"/>
        </w:trPr>
        <w:tc>
          <w:tcPr>
            <w:tcW w:w="6900" w:type="dxa"/>
            <w:vAlign w:val="bottom"/>
          </w:tcPr>
          <w:p>
            <w:pPr>
              <w:spacing w:after="0"/>
              <w:rPr>
                <w:sz w:val="17"/>
                <w:szCs w:val="17"/>
                <w:color w:val="auto"/>
              </w:rPr>
            </w:pPr>
          </w:p>
        </w:tc>
        <w:tc>
          <w:tcPr>
            <w:tcW w:w="12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2"/>
              </w:rPr>
              <w:t>per Award</w:t>
            </w:r>
          </w:p>
        </w:tc>
        <w:tc>
          <w:tcPr>
            <w:tcW w:w="100" w:type="dxa"/>
            <w:vAlign w:val="bottom"/>
          </w:tcPr>
          <w:p>
            <w:pPr>
              <w:spacing w:after="0"/>
              <w:rPr>
                <w:sz w:val="17"/>
                <w:szCs w:val="17"/>
                <w:color w:val="auto"/>
              </w:rPr>
            </w:pPr>
          </w:p>
        </w:tc>
      </w:tr>
      <w:tr>
        <w:trPr>
          <w:trHeight w:val="182"/>
        </w:trPr>
        <w:tc>
          <w:tcPr>
            <w:tcW w:w="6900" w:type="dxa"/>
            <w:vAlign w:val="bottom"/>
            <w:shd w:val="clear" w:color="auto" w:fill="C0FFFF"/>
          </w:tcPr>
          <w:p>
            <w:pPr>
              <w:spacing w:after="0"/>
              <w:rPr>
                <w:sz w:val="20"/>
                <w:szCs w:val="20"/>
                <w:color w:val="auto"/>
              </w:rPr>
            </w:pPr>
            <w:r>
              <w:rPr>
                <w:rFonts w:ascii="Arial" w:cs="Arial" w:eastAsia="Arial" w:hAnsi="Arial"/>
                <w:sz w:val="15"/>
                <w:szCs w:val="15"/>
                <w:color w:val="auto"/>
              </w:rPr>
              <w:t>Outstanding, January 1, 2011</w:t>
            </w:r>
          </w:p>
        </w:tc>
        <w:tc>
          <w:tcPr>
            <w:tcW w:w="12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1,468,373</w:t>
            </w:r>
          </w:p>
        </w:tc>
        <w:tc>
          <w:tcPr>
            <w:tcW w:w="300" w:type="dxa"/>
            <w:vAlign w:val="bottom"/>
            <w:gridSpan w:val="2"/>
            <w:shd w:val="clear" w:color="auto" w:fill="C0FFFF"/>
          </w:tcPr>
          <w:p>
            <w:pPr>
              <w:jc w:val="right"/>
              <w:ind w:right="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5.96</w:t>
            </w:r>
          </w:p>
        </w:tc>
      </w:tr>
      <w:tr>
        <w:trPr>
          <w:trHeight w:val="182"/>
        </w:trPr>
        <w:tc>
          <w:tcPr>
            <w:tcW w:w="6900" w:type="dxa"/>
            <w:vAlign w:val="bottom"/>
          </w:tcPr>
          <w:p>
            <w:pPr>
              <w:spacing w:after="0"/>
              <w:rPr>
                <w:sz w:val="20"/>
                <w:szCs w:val="20"/>
                <w:color w:val="auto"/>
              </w:rPr>
            </w:pPr>
            <w:r>
              <w:rPr>
                <w:rFonts w:ascii="Arial" w:cs="Arial" w:eastAsia="Arial" w:hAnsi="Arial"/>
                <w:sz w:val="15"/>
                <w:szCs w:val="15"/>
                <w:color w:val="auto"/>
              </w:rPr>
              <w:t>Granted</w:t>
            </w:r>
          </w:p>
        </w:tc>
        <w:tc>
          <w:tcPr>
            <w:tcW w:w="1280" w:type="dxa"/>
            <w:vAlign w:val="bottom"/>
          </w:tcPr>
          <w:p>
            <w:pPr>
              <w:jc w:val="right"/>
              <w:spacing w:after="0"/>
              <w:rPr>
                <w:sz w:val="20"/>
                <w:szCs w:val="20"/>
                <w:color w:val="auto"/>
              </w:rPr>
            </w:pPr>
            <w:r>
              <w:rPr>
                <w:rFonts w:ascii="Arial" w:cs="Arial" w:eastAsia="Arial" w:hAnsi="Arial"/>
                <w:sz w:val="15"/>
                <w:szCs w:val="15"/>
                <w:color w:val="auto"/>
              </w:rPr>
              <w:t>461,746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6.20</w:t>
            </w:r>
          </w:p>
        </w:tc>
      </w:tr>
      <w:tr>
        <w:trPr>
          <w:trHeight w:val="182"/>
        </w:trPr>
        <w:tc>
          <w:tcPr>
            <w:tcW w:w="6900" w:type="dxa"/>
            <w:vAlign w:val="bottom"/>
            <w:shd w:val="clear" w:color="auto" w:fill="C0FFFF"/>
          </w:tcPr>
          <w:p>
            <w:pPr>
              <w:spacing w:after="0"/>
              <w:rPr>
                <w:sz w:val="20"/>
                <w:szCs w:val="20"/>
                <w:color w:val="auto"/>
              </w:rPr>
            </w:pPr>
            <w:r>
              <w:rPr>
                <w:rFonts w:ascii="Arial" w:cs="Arial" w:eastAsia="Arial" w:hAnsi="Arial"/>
                <w:sz w:val="15"/>
                <w:szCs w:val="15"/>
                <w:color w:val="auto"/>
              </w:rPr>
              <w:t>Vested</w:t>
            </w:r>
          </w:p>
        </w:tc>
        <w:tc>
          <w:tcPr>
            <w:tcW w:w="12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314,234</w:t>
            </w:r>
          </w:p>
        </w:tc>
        <w:tc>
          <w:tcPr>
            <w:tcW w:w="2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9.08</w:t>
            </w:r>
          </w:p>
        </w:tc>
      </w:tr>
      <w:tr>
        <w:trPr>
          <w:trHeight w:val="182"/>
        </w:trPr>
        <w:tc>
          <w:tcPr>
            <w:tcW w:w="6900" w:type="dxa"/>
            <w:vAlign w:val="bottom"/>
          </w:tcPr>
          <w:p>
            <w:pPr>
              <w:spacing w:after="0"/>
              <w:rPr>
                <w:sz w:val="20"/>
                <w:szCs w:val="20"/>
                <w:color w:val="auto"/>
              </w:rPr>
            </w:pPr>
            <w:r>
              <w:rPr>
                <w:rFonts w:ascii="Arial" w:cs="Arial" w:eastAsia="Arial" w:hAnsi="Arial"/>
                <w:sz w:val="15"/>
                <w:szCs w:val="15"/>
                <w:color w:val="auto"/>
              </w:rPr>
              <w:t>Canceled or expired</w:t>
            </w:r>
          </w:p>
        </w:tc>
        <w:tc>
          <w:tcPr>
            <w:tcW w:w="1280" w:type="dxa"/>
            <w:vAlign w:val="bottom"/>
          </w:tcPr>
          <w:p>
            <w:pPr>
              <w:jc w:val="right"/>
              <w:spacing w:after="0"/>
              <w:rPr>
                <w:sz w:val="20"/>
                <w:szCs w:val="20"/>
                <w:color w:val="auto"/>
              </w:rPr>
            </w:pPr>
            <w:r>
              <w:rPr>
                <w:rFonts w:ascii="Arial" w:cs="Arial" w:eastAsia="Arial" w:hAnsi="Arial"/>
                <w:sz w:val="15"/>
                <w:szCs w:val="15"/>
                <w:color w:val="auto"/>
              </w:rPr>
              <w:t>161,171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5.65</w:t>
            </w:r>
          </w:p>
        </w:tc>
      </w:tr>
      <w:tr>
        <w:trPr>
          <w:trHeight w:val="23"/>
        </w:trPr>
        <w:tc>
          <w:tcPr>
            <w:tcW w:w="6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6900" w:type="dxa"/>
            <w:vAlign w:val="bottom"/>
            <w:shd w:val="clear" w:color="auto" w:fill="C0FFFF"/>
          </w:tcPr>
          <w:p>
            <w:pPr>
              <w:spacing w:after="0"/>
              <w:rPr>
                <w:sz w:val="20"/>
                <w:szCs w:val="20"/>
                <w:color w:val="auto"/>
              </w:rPr>
            </w:pPr>
            <w:r>
              <w:rPr>
                <w:rFonts w:ascii="Arial" w:cs="Arial" w:eastAsia="Arial" w:hAnsi="Arial"/>
                <w:sz w:val="15"/>
                <w:szCs w:val="15"/>
                <w:color w:val="auto"/>
              </w:rPr>
              <w:t>Outstanding, October 1, 2011</w:t>
            </w:r>
          </w:p>
        </w:tc>
        <w:tc>
          <w:tcPr>
            <w:tcW w:w="12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1,454,714</w:t>
            </w:r>
          </w:p>
        </w:tc>
        <w:tc>
          <w:tcPr>
            <w:tcW w:w="300" w:type="dxa"/>
            <w:vAlign w:val="bottom"/>
            <w:gridSpan w:val="2"/>
            <w:shd w:val="clear" w:color="auto" w:fill="C0FFFF"/>
          </w:tcPr>
          <w:p>
            <w:pPr>
              <w:jc w:val="right"/>
              <w:ind w:right="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5.40</w:t>
            </w:r>
          </w:p>
        </w:tc>
      </w:tr>
      <w:tr>
        <w:trPr>
          <w:trHeight w:val="20"/>
        </w:trPr>
        <w:tc>
          <w:tcPr>
            <w:tcW w:w="6900" w:type="dxa"/>
            <w:vAlign w:val="bottom"/>
            <w:tcBorders>
              <w:top w:val="single" w:sz="8" w:color="C0FFFF"/>
            </w:tcBorders>
            <w:shd w:val="clear" w:color="auto" w:fill="C0FF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total fair value of shares vested during the thirty-nine weeks ended October 1, 2011 and October 2, 2010 was $2.0 million and $1.9 million, respectively.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00"/>
          </w:cols>
          <w:pgMar w:left="240" w:top="431" w:right="25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t>6. Earnings per Share</w:t>
      </w:r>
    </w:p>
    <w:p>
      <w:pPr>
        <w:spacing w:after="0" w:line="240" w:lineRule="exact"/>
        <w:rPr>
          <w:sz w:val="20"/>
          <w:szCs w:val="20"/>
          <w:color w:val="auto"/>
        </w:rPr>
      </w:pPr>
    </w:p>
    <w:p>
      <w:pPr>
        <w:jc w:val="both"/>
        <w:ind w:right="140" w:firstLine="408"/>
        <w:spacing w:after="0" w:line="265" w:lineRule="auto"/>
        <w:rPr>
          <w:sz w:val="20"/>
          <w:szCs w:val="20"/>
          <w:color w:val="auto"/>
        </w:rPr>
      </w:pPr>
      <w:r>
        <w:rPr>
          <w:rFonts w:ascii="Arial" w:cs="Arial" w:eastAsia="Arial" w:hAnsi="Arial"/>
          <w:sz w:val="15"/>
          <w:szCs w:val="15"/>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ind w:left="760"/>
              <w:spacing w:after="0"/>
              <w:rPr>
                <w:sz w:val="20"/>
                <w:szCs w:val="20"/>
                <w:color w:val="auto"/>
              </w:rPr>
            </w:pPr>
            <w:r>
              <w:rPr>
                <w:rFonts w:ascii="Arial" w:cs="Arial" w:eastAsia="Arial" w:hAnsi="Arial"/>
                <w:sz w:val="15"/>
                <w:szCs w:val="15"/>
                <w:b w:val="1"/>
                <w:bCs w:val="1"/>
                <w:color w:val="auto"/>
                <w:w w:val="93"/>
              </w:rPr>
              <w:t>Thirteen weeks ended</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ind w:left="660"/>
              <w:spacing w:after="0"/>
              <w:rPr>
                <w:sz w:val="20"/>
                <w:szCs w:val="20"/>
                <w:color w:val="auto"/>
              </w:rPr>
            </w:pPr>
            <w:r>
              <w:rPr>
                <w:rFonts w:ascii="Arial" w:cs="Arial" w:eastAsia="Arial" w:hAnsi="Arial"/>
                <w:sz w:val="15"/>
                <w:szCs w:val="15"/>
                <w:b w:val="1"/>
                <w:bCs w:val="1"/>
                <w:color w:val="auto"/>
                <w:w w:val="92"/>
              </w:rPr>
              <w:t>Thirty-nine weeks ended</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67"/>
        </w:trPr>
        <w:tc>
          <w:tcPr>
            <w:tcW w:w="2020" w:type="dxa"/>
            <w:vAlign w:val="bottom"/>
          </w:tcPr>
          <w:p>
            <w:pPr>
              <w:spacing w:after="0"/>
              <w:rPr>
                <w:sz w:val="14"/>
                <w:szCs w:val="14"/>
                <w:color w:val="auto"/>
              </w:rPr>
            </w:pPr>
          </w:p>
        </w:tc>
        <w:tc>
          <w:tcPr>
            <w:tcW w:w="2800" w:type="dxa"/>
            <w:vAlign w:val="bottom"/>
            <w:gridSpan w:val="4"/>
          </w:tcPr>
          <w:p>
            <w:pPr>
              <w:jc w:val="center"/>
              <w:ind w:right="1240"/>
              <w:spacing w:after="0" w:line="167" w:lineRule="exact"/>
              <w:rPr>
                <w:sz w:val="20"/>
                <w:szCs w:val="20"/>
                <w:color w:val="auto"/>
              </w:rPr>
            </w:pPr>
            <w:r>
              <w:rPr>
                <w:rFonts w:ascii="Arial" w:cs="Arial" w:eastAsia="Arial" w:hAnsi="Arial"/>
                <w:sz w:val="15"/>
                <w:szCs w:val="15"/>
                <w:b w:val="1"/>
                <w:bCs w:val="1"/>
                <w:color w:val="auto"/>
                <w:w w:val="91"/>
              </w:rPr>
              <w:t>October 1,</w:t>
            </w:r>
          </w:p>
        </w:tc>
        <w:tc>
          <w:tcPr>
            <w:tcW w:w="1260" w:type="dxa"/>
            <w:vAlign w:val="bottom"/>
            <w:gridSpan w:val="2"/>
          </w:tcPr>
          <w:p>
            <w:pPr>
              <w:jc w:val="right"/>
              <w:ind w:right="384"/>
              <w:spacing w:after="0" w:line="167" w:lineRule="exact"/>
              <w:rPr>
                <w:sz w:val="20"/>
                <w:szCs w:val="20"/>
                <w:color w:val="auto"/>
              </w:rPr>
            </w:pPr>
            <w:r>
              <w:rPr>
                <w:rFonts w:ascii="Arial" w:cs="Arial" w:eastAsia="Arial" w:hAnsi="Arial"/>
                <w:sz w:val="15"/>
                <w:szCs w:val="15"/>
                <w:b w:val="1"/>
                <w:bCs w:val="1"/>
                <w:color w:val="auto"/>
              </w:rPr>
              <w:t>October 2,</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80" w:type="dxa"/>
            <w:vAlign w:val="bottom"/>
            <w:gridSpan w:val="3"/>
          </w:tcPr>
          <w:p>
            <w:pPr>
              <w:jc w:val="center"/>
              <w:ind w:right="220"/>
              <w:spacing w:after="0" w:line="167" w:lineRule="exact"/>
              <w:rPr>
                <w:sz w:val="20"/>
                <w:szCs w:val="20"/>
                <w:color w:val="auto"/>
              </w:rPr>
            </w:pPr>
            <w:r>
              <w:rPr>
                <w:rFonts w:ascii="Arial" w:cs="Arial" w:eastAsia="Arial" w:hAnsi="Arial"/>
                <w:sz w:val="15"/>
                <w:szCs w:val="15"/>
                <w:b w:val="1"/>
                <w:bCs w:val="1"/>
                <w:color w:val="auto"/>
                <w:w w:val="91"/>
              </w:rPr>
              <w:t>October 1,</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ind w:right="364"/>
              <w:spacing w:after="0" w:line="167" w:lineRule="exact"/>
              <w:rPr>
                <w:sz w:val="20"/>
                <w:szCs w:val="20"/>
                <w:color w:val="auto"/>
              </w:rPr>
            </w:pPr>
            <w:r>
              <w:rPr>
                <w:rFonts w:ascii="Arial" w:cs="Arial" w:eastAsia="Arial" w:hAnsi="Arial"/>
                <w:sz w:val="15"/>
                <w:szCs w:val="15"/>
                <w:b w:val="1"/>
                <w:bCs w:val="1"/>
                <w:color w:val="auto"/>
                <w:w w:val="99"/>
              </w:rPr>
              <w:t>October 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9"/>
        </w:trPr>
        <w:tc>
          <w:tcPr>
            <w:tcW w:w="2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2011</w:t>
            </w:r>
          </w:p>
        </w:tc>
        <w:tc>
          <w:tcPr>
            <w:tcW w:w="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62"/>
        </w:trPr>
        <w:tc>
          <w:tcPr>
            <w:tcW w:w="2020" w:type="dxa"/>
            <w:vAlign w:val="bottom"/>
          </w:tcPr>
          <w:p>
            <w:pPr>
              <w:ind w:left="400"/>
              <w:spacing w:after="0"/>
              <w:rPr>
                <w:sz w:val="20"/>
                <w:szCs w:val="20"/>
                <w:color w:val="auto"/>
              </w:rPr>
            </w:pPr>
            <w:r>
              <w:rPr>
                <w:rFonts w:ascii="Arial" w:cs="Arial" w:eastAsia="Arial" w:hAnsi="Arial"/>
                <w:sz w:val="15"/>
                <w:szCs w:val="15"/>
                <w:color w:val="auto"/>
              </w:rPr>
              <w:t>NUMERATOR:</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2"/>
        </w:trPr>
        <w:tc>
          <w:tcPr>
            <w:tcW w:w="20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Net earnings (loss)</w:t>
            </w:r>
          </w:p>
        </w:tc>
        <w:tc>
          <w:tcPr>
            <w:tcW w:w="56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24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56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80" w:type="dxa"/>
            <w:vAlign w:val="bottom"/>
            <w:shd w:val="clear" w:color="auto" w:fill="C0FFFF"/>
          </w:tcPr>
          <w:p>
            <w:pPr>
              <w:spacing w:after="0"/>
              <w:rPr>
                <w:sz w:val="14"/>
                <w:szCs w:val="14"/>
                <w:color w:val="auto"/>
              </w:rPr>
            </w:pPr>
          </w:p>
        </w:tc>
        <w:tc>
          <w:tcPr>
            <w:tcW w:w="18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before allocation of</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earnings to</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participating</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9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securities</w:t>
            </w:r>
          </w:p>
        </w:tc>
        <w:tc>
          <w:tcPr>
            <w:tcW w:w="5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854</w:t>
            </w:r>
          </w:p>
        </w:tc>
        <w:tc>
          <w:tcPr>
            <w:tcW w:w="320" w:type="dxa"/>
            <w:vAlign w:val="bottom"/>
            <w:shd w:val="clear" w:color="auto" w:fill="C0FFFF"/>
          </w:tcPr>
          <w:p>
            <w:pPr>
              <w:spacing w:after="0"/>
              <w:rPr>
                <w:sz w:val="16"/>
                <w:szCs w:val="16"/>
                <w:color w:val="auto"/>
              </w:rPr>
            </w:pPr>
          </w:p>
        </w:tc>
        <w:tc>
          <w:tcPr>
            <w:tcW w:w="24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(1,378</w:t>
            </w:r>
          </w:p>
        </w:tc>
        <w:tc>
          <w:tcPr>
            <w:tcW w:w="72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5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(8,073</w:t>
            </w:r>
          </w:p>
        </w:tc>
        <w:tc>
          <w:tcPr>
            <w:tcW w:w="70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shd w:val="clear" w:color="auto" w:fill="C0FFFF"/>
          </w:tcPr>
          <w:p>
            <w:pPr>
              <w:spacing w:after="0"/>
              <w:rPr>
                <w:sz w:val="16"/>
                <w:szCs w:val="16"/>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(8,176</w:t>
            </w:r>
          </w:p>
        </w:tc>
        <w:tc>
          <w:tcPr>
            <w:tcW w:w="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r>
      <w:tr>
        <w:trPr>
          <w:trHeight w:val="171"/>
        </w:trPr>
        <w:tc>
          <w:tcPr>
            <w:tcW w:w="2020" w:type="dxa"/>
            <w:vAlign w:val="bottom"/>
          </w:tcPr>
          <w:p>
            <w:pPr>
              <w:ind w:left="380"/>
              <w:spacing w:after="0" w:line="171" w:lineRule="exact"/>
              <w:rPr>
                <w:sz w:val="20"/>
                <w:szCs w:val="20"/>
                <w:color w:val="auto"/>
              </w:rPr>
            </w:pPr>
            <w:r>
              <w:rPr>
                <w:rFonts w:ascii="Arial" w:cs="Arial" w:eastAsia="Arial" w:hAnsi="Arial"/>
                <w:sz w:val="15"/>
                <w:szCs w:val="15"/>
                <w:color w:val="auto"/>
              </w:rPr>
              <w:t>Less: Earnings</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2"/>
        </w:trPr>
        <w:tc>
          <w:tcPr>
            <w:tcW w:w="2020" w:type="dxa"/>
            <w:vAlign w:val="bottom"/>
          </w:tcPr>
          <w:p>
            <w:pPr>
              <w:ind w:left="580"/>
              <w:spacing w:after="0"/>
              <w:rPr>
                <w:sz w:val="20"/>
                <w:szCs w:val="20"/>
                <w:color w:val="auto"/>
              </w:rPr>
            </w:pPr>
            <w:r>
              <w:rPr>
                <w:rFonts w:ascii="Arial" w:cs="Arial" w:eastAsia="Arial" w:hAnsi="Arial"/>
                <w:sz w:val="15"/>
                <w:szCs w:val="15"/>
                <w:color w:val="auto"/>
              </w:rPr>
              <w:t>allocated to</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2"/>
        </w:trPr>
        <w:tc>
          <w:tcPr>
            <w:tcW w:w="2020" w:type="dxa"/>
            <w:vAlign w:val="bottom"/>
          </w:tcPr>
          <w:p>
            <w:pPr>
              <w:ind w:left="580"/>
              <w:spacing w:after="0"/>
              <w:rPr>
                <w:sz w:val="20"/>
                <w:szCs w:val="20"/>
                <w:color w:val="auto"/>
              </w:rPr>
            </w:pPr>
            <w:r>
              <w:rPr>
                <w:rFonts w:ascii="Arial" w:cs="Arial" w:eastAsia="Arial" w:hAnsi="Arial"/>
                <w:sz w:val="15"/>
                <w:szCs w:val="15"/>
                <w:color w:val="auto"/>
              </w:rPr>
              <w:t>participating</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5"/>
        </w:trPr>
        <w:tc>
          <w:tcPr>
            <w:tcW w:w="2020" w:type="dxa"/>
            <w:vAlign w:val="bottom"/>
          </w:tcPr>
          <w:p>
            <w:pPr>
              <w:ind w:left="580"/>
              <w:spacing w:after="0"/>
              <w:rPr>
                <w:sz w:val="20"/>
                <w:szCs w:val="20"/>
                <w:color w:val="auto"/>
              </w:rPr>
            </w:pPr>
            <w:r>
              <w:rPr>
                <w:rFonts w:ascii="Arial" w:cs="Arial" w:eastAsia="Arial" w:hAnsi="Arial"/>
                <w:sz w:val="15"/>
                <w:szCs w:val="15"/>
                <w:color w:val="auto"/>
              </w:rPr>
              <w:t>securities</w:t>
            </w:r>
          </w:p>
        </w:tc>
        <w:tc>
          <w:tcPr>
            <w:tcW w:w="560" w:type="dxa"/>
            <w:vAlign w:val="bottom"/>
          </w:tcPr>
          <w:p>
            <w:pPr>
              <w:spacing w:after="0"/>
              <w:rPr>
                <w:sz w:val="16"/>
                <w:szCs w:val="16"/>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5"/>
                <w:szCs w:val="15"/>
                <w:color w:val="auto"/>
              </w:rPr>
              <w:t>67</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1"/>
        </w:trPr>
        <w:tc>
          <w:tcPr>
            <w:tcW w:w="2020" w:type="dxa"/>
            <w:vAlign w:val="bottom"/>
            <w:shd w:val="clear" w:color="auto" w:fill="C0FFFF"/>
          </w:tcPr>
          <w:p>
            <w:pPr>
              <w:ind w:left="140"/>
              <w:spacing w:after="0" w:line="171" w:lineRule="exact"/>
              <w:rPr>
                <w:sz w:val="20"/>
                <w:szCs w:val="20"/>
                <w:color w:val="auto"/>
              </w:rPr>
            </w:pPr>
            <w:r>
              <w:rPr>
                <w:rFonts w:ascii="Arial" w:cs="Arial" w:eastAsia="Arial" w:hAnsi="Arial"/>
                <w:sz w:val="15"/>
                <w:szCs w:val="15"/>
                <w:color w:val="auto"/>
              </w:rPr>
              <w:t>Net earnings (loss)</w:t>
            </w:r>
          </w:p>
        </w:tc>
        <w:tc>
          <w:tcPr>
            <w:tcW w:w="560" w:type="dxa"/>
            <w:vAlign w:val="bottom"/>
            <w:tcBorders>
              <w:top w:val="single" w:sz="8" w:color="auto"/>
            </w:tcBorders>
            <w:shd w:val="clear" w:color="auto" w:fill="C0FFFF"/>
          </w:tcPr>
          <w:p>
            <w:pPr>
              <w:spacing w:after="0"/>
              <w:rPr>
                <w:sz w:val="14"/>
                <w:szCs w:val="14"/>
                <w:color w:val="auto"/>
              </w:rPr>
            </w:pPr>
          </w:p>
        </w:tc>
        <w:tc>
          <w:tcPr>
            <w:tcW w:w="1000" w:type="dxa"/>
            <w:vAlign w:val="bottom"/>
            <w:tcBorders>
              <w:top w:val="single" w:sz="8" w:color="auto"/>
            </w:tcBorders>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320" w:type="dxa"/>
            <w:vAlign w:val="bottom"/>
            <w:tcBorders>
              <w:top w:val="single" w:sz="8" w:color="auto"/>
            </w:tcBorders>
            <w:shd w:val="clear" w:color="auto" w:fill="C0FFFF"/>
          </w:tcPr>
          <w:p>
            <w:pPr>
              <w:spacing w:after="0"/>
              <w:rPr>
                <w:sz w:val="14"/>
                <w:szCs w:val="14"/>
                <w:color w:val="auto"/>
              </w:rPr>
            </w:pPr>
          </w:p>
        </w:tc>
        <w:tc>
          <w:tcPr>
            <w:tcW w:w="240" w:type="dxa"/>
            <w:vAlign w:val="bottom"/>
            <w:tcBorders>
              <w:top w:val="single" w:sz="8" w:color="auto"/>
            </w:tcBorders>
            <w:shd w:val="clear" w:color="auto" w:fill="C0FFFF"/>
          </w:tcPr>
          <w:p>
            <w:pPr>
              <w:spacing w:after="0"/>
              <w:rPr>
                <w:sz w:val="14"/>
                <w:szCs w:val="14"/>
                <w:color w:val="auto"/>
              </w:rPr>
            </w:pPr>
          </w:p>
        </w:tc>
        <w:tc>
          <w:tcPr>
            <w:tcW w:w="1020" w:type="dxa"/>
            <w:vAlign w:val="bottom"/>
            <w:tcBorders>
              <w:top w:val="single" w:sz="8" w:color="auto"/>
            </w:tcBorders>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560" w:type="dxa"/>
            <w:vAlign w:val="bottom"/>
            <w:tcBorders>
              <w:top w:val="single" w:sz="8" w:color="auto"/>
            </w:tcBorders>
            <w:shd w:val="clear" w:color="auto" w:fill="C0FFFF"/>
          </w:tcPr>
          <w:p>
            <w:pPr>
              <w:spacing w:after="0"/>
              <w:rPr>
                <w:sz w:val="14"/>
                <w:szCs w:val="14"/>
                <w:color w:val="auto"/>
              </w:rPr>
            </w:pPr>
          </w:p>
        </w:tc>
        <w:tc>
          <w:tcPr>
            <w:tcW w:w="1000" w:type="dxa"/>
            <w:vAlign w:val="bottom"/>
            <w:tcBorders>
              <w:top w:val="single" w:sz="8" w:color="auto"/>
            </w:tcBorders>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80" w:type="dxa"/>
            <w:vAlign w:val="bottom"/>
            <w:tcBorders>
              <w:top w:val="single" w:sz="8" w:color="auto"/>
            </w:tcBorders>
            <w:shd w:val="clear" w:color="auto" w:fill="C0FFFF"/>
          </w:tcPr>
          <w:p>
            <w:pPr>
              <w:spacing w:after="0"/>
              <w:rPr>
                <w:sz w:val="14"/>
                <w:szCs w:val="14"/>
                <w:color w:val="auto"/>
              </w:rPr>
            </w:pPr>
          </w:p>
        </w:tc>
        <w:tc>
          <w:tcPr>
            <w:tcW w:w="180" w:type="dxa"/>
            <w:vAlign w:val="bottom"/>
            <w:tcBorders>
              <w:top w:val="single" w:sz="8" w:color="auto"/>
            </w:tcBorders>
            <w:shd w:val="clear" w:color="auto" w:fill="C0FFFF"/>
          </w:tcPr>
          <w:p>
            <w:pPr>
              <w:spacing w:after="0"/>
              <w:rPr>
                <w:sz w:val="14"/>
                <w:szCs w:val="14"/>
                <w:color w:val="auto"/>
              </w:rPr>
            </w:pPr>
          </w:p>
        </w:tc>
        <w:tc>
          <w:tcPr>
            <w:tcW w:w="1020" w:type="dxa"/>
            <w:vAlign w:val="bottom"/>
            <w:tcBorders>
              <w:top w:val="single" w:sz="8" w:color="auto"/>
            </w:tcBorders>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2"/>
        </w:trPr>
        <w:tc>
          <w:tcPr>
            <w:tcW w:w="2020" w:type="dxa"/>
            <w:vAlign w:val="bottom"/>
            <w:shd w:val="clear" w:color="auto" w:fill="C0FFFF"/>
          </w:tcPr>
          <w:p>
            <w:pPr>
              <w:ind w:left="340"/>
              <w:spacing w:after="0"/>
              <w:rPr>
                <w:sz w:val="20"/>
                <w:szCs w:val="20"/>
                <w:color w:val="auto"/>
              </w:rPr>
            </w:pPr>
            <w:r>
              <w:rPr>
                <w:rFonts w:ascii="Arial" w:cs="Arial" w:eastAsia="Arial" w:hAnsi="Arial"/>
                <w:sz w:val="15"/>
                <w:szCs w:val="15"/>
                <w:color w:val="auto"/>
              </w:rPr>
              <w:t>after allocation of</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340"/>
              <w:spacing w:after="0"/>
              <w:rPr>
                <w:sz w:val="20"/>
                <w:szCs w:val="20"/>
                <w:color w:val="auto"/>
              </w:rPr>
            </w:pPr>
            <w:r>
              <w:rPr>
                <w:rFonts w:ascii="Arial" w:cs="Arial" w:eastAsia="Arial" w:hAnsi="Arial"/>
                <w:sz w:val="15"/>
                <w:szCs w:val="15"/>
                <w:color w:val="auto"/>
              </w:rPr>
              <w:t>earnings to</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340"/>
              <w:spacing w:after="0"/>
              <w:rPr>
                <w:sz w:val="20"/>
                <w:szCs w:val="20"/>
                <w:color w:val="auto"/>
              </w:rPr>
            </w:pPr>
            <w:r>
              <w:rPr>
                <w:rFonts w:ascii="Arial" w:cs="Arial" w:eastAsia="Arial" w:hAnsi="Arial"/>
                <w:sz w:val="15"/>
                <w:szCs w:val="15"/>
                <w:color w:val="auto"/>
              </w:rPr>
              <w:t>participating</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231"/>
        </w:trPr>
        <w:tc>
          <w:tcPr>
            <w:tcW w:w="2020" w:type="dxa"/>
            <w:vAlign w:val="bottom"/>
            <w:shd w:val="clear" w:color="auto" w:fill="C0FFFF"/>
          </w:tcPr>
          <w:p>
            <w:pPr>
              <w:ind w:left="340"/>
              <w:spacing w:after="0"/>
              <w:rPr>
                <w:sz w:val="20"/>
                <w:szCs w:val="20"/>
                <w:color w:val="auto"/>
              </w:rPr>
            </w:pPr>
            <w:r>
              <w:rPr>
                <w:rFonts w:ascii="Arial" w:cs="Arial" w:eastAsia="Arial" w:hAnsi="Arial"/>
                <w:sz w:val="15"/>
                <w:szCs w:val="15"/>
                <w:color w:val="auto"/>
              </w:rPr>
              <w:t>securities</w:t>
            </w:r>
          </w:p>
        </w:tc>
        <w:tc>
          <w:tcPr>
            <w:tcW w:w="5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787</w:t>
            </w:r>
          </w:p>
        </w:tc>
        <w:tc>
          <w:tcPr>
            <w:tcW w:w="320" w:type="dxa"/>
            <w:vAlign w:val="bottom"/>
            <w:shd w:val="clear" w:color="auto" w:fill="C0FFFF"/>
          </w:tcPr>
          <w:p>
            <w:pPr>
              <w:spacing w:after="0"/>
              <w:rPr>
                <w:sz w:val="20"/>
                <w:szCs w:val="20"/>
                <w:color w:val="auto"/>
              </w:rPr>
            </w:pPr>
          </w:p>
        </w:tc>
        <w:tc>
          <w:tcPr>
            <w:tcW w:w="24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(1,378</w:t>
            </w:r>
          </w:p>
        </w:tc>
        <w:tc>
          <w:tcPr>
            <w:tcW w:w="72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5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(8,073</w:t>
            </w:r>
          </w:p>
        </w:tc>
        <w:tc>
          <w:tcPr>
            <w:tcW w:w="70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shd w:val="clear" w:color="auto" w:fill="C0FFFF"/>
          </w:tcPr>
          <w:p>
            <w:pPr>
              <w:spacing w:after="0"/>
              <w:rPr>
                <w:sz w:val="20"/>
                <w:szCs w:val="20"/>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(8,176</w:t>
            </w:r>
          </w:p>
        </w:tc>
        <w:tc>
          <w:tcPr>
            <w:tcW w:w="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r>
      <w:tr>
        <w:trPr>
          <w:trHeight w:val="348"/>
        </w:trPr>
        <w:tc>
          <w:tcPr>
            <w:tcW w:w="2020" w:type="dxa"/>
            <w:vAlign w:val="bottom"/>
            <w:tcBorders>
              <w:top w:val="single" w:sz="8" w:color="C0FFFF"/>
            </w:tcBorders>
          </w:tcPr>
          <w:p>
            <w:pPr>
              <w:ind w:left="400"/>
              <w:spacing w:after="0"/>
              <w:rPr>
                <w:sz w:val="20"/>
                <w:szCs w:val="20"/>
                <w:color w:val="auto"/>
              </w:rPr>
            </w:pPr>
            <w:r>
              <w:rPr>
                <w:rFonts w:ascii="Arial" w:cs="Arial" w:eastAsia="Arial" w:hAnsi="Arial"/>
                <w:sz w:val="15"/>
                <w:szCs w:val="15"/>
                <w:color w:val="auto"/>
              </w:rPr>
              <w:t>DENOMINATOR:</w:t>
            </w: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20" w:type="dxa"/>
            <w:vAlign w:val="bottom"/>
            <w:tcBorders>
              <w:top w:val="single" w:sz="8" w:color="C0FF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0FFFF"/>
            </w:tcBorders>
          </w:tcPr>
          <w:p>
            <w:pPr>
              <w:spacing w:after="0"/>
              <w:rPr>
                <w:sz w:val="24"/>
                <w:szCs w:val="24"/>
                <w:color w:val="auto"/>
              </w:rPr>
            </w:pPr>
          </w:p>
        </w:tc>
        <w:tc>
          <w:tcPr>
            <w:tcW w:w="720" w:type="dxa"/>
            <w:vAlign w:val="bottom"/>
            <w:tcBorders>
              <w:top w:val="single" w:sz="8" w:color="C0FF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0FFFF"/>
            </w:tcBorders>
          </w:tcPr>
          <w:p>
            <w:pPr>
              <w:spacing w:after="0"/>
              <w:rPr>
                <w:sz w:val="24"/>
                <w:szCs w:val="24"/>
                <w:color w:val="auto"/>
              </w:rPr>
            </w:pPr>
          </w:p>
        </w:tc>
        <w:tc>
          <w:tcPr>
            <w:tcW w:w="700" w:type="dxa"/>
            <w:vAlign w:val="bottom"/>
            <w:tcBorders>
              <w:top w:val="single" w:sz="8" w:color="C0FF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0FFFF"/>
            </w:tcBorders>
          </w:tcPr>
          <w:p>
            <w:pPr>
              <w:spacing w:after="0"/>
              <w:rPr>
                <w:sz w:val="24"/>
                <w:szCs w:val="24"/>
                <w:color w:val="auto"/>
              </w:rPr>
            </w:pPr>
          </w:p>
        </w:tc>
        <w:tc>
          <w:tcPr>
            <w:tcW w:w="260" w:type="dxa"/>
            <w:vAlign w:val="bottom"/>
            <w:tcBorders>
              <w:top w:val="single" w:sz="8" w:color="C0FFFF"/>
            </w:tcBorders>
          </w:tcPr>
          <w:p>
            <w:pPr>
              <w:spacing w:after="0"/>
              <w:rPr>
                <w:sz w:val="24"/>
                <w:szCs w:val="24"/>
                <w:color w:val="auto"/>
              </w:rPr>
            </w:pPr>
          </w:p>
        </w:tc>
      </w:tr>
      <w:tr>
        <w:trPr>
          <w:trHeight w:val="172"/>
        </w:trPr>
        <w:tc>
          <w:tcPr>
            <w:tcW w:w="20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Weighted average</w:t>
            </w:r>
          </w:p>
        </w:tc>
        <w:tc>
          <w:tcPr>
            <w:tcW w:w="56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24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56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80" w:type="dxa"/>
            <w:vAlign w:val="bottom"/>
            <w:shd w:val="clear" w:color="auto" w:fill="C0FFFF"/>
          </w:tcPr>
          <w:p>
            <w:pPr>
              <w:spacing w:after="0"/>
              <w:rPr>
                <w:sz w:val="14"/>
                <w:szCs w:val="14"/>
                <w:color w:val="auto"/>
              </w:rPr>
            </w:pPr>
          </w:p>
        </w:tc>
        <w:tc>
          <w:tcPr>
            <w:tcW w:w="18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number of common</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shares outstanding -</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9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basic</w:t>
            </w:r>
          </w:p>
        </w:tc>
        <w:tc>
          <w:tcPr>
            <w:tcW w:w="560" w:type="dxa"/>
            <w:vAlign w:val="bottom"/>
            <w:shd w:val="clear" w:color="auto" w:fill="C0FFFF"/>
          </w:tcPr>
          <w:p>
            <w:pPr>
              <w:spacing w:after="0"/>
              <w:rPr>
                <w:sz w:val="16"/>
                <w:szCs w:val="16"/>
                <w:color w:val="auto"/>
              </w:rPr>
            </w:pPr>
          </w:p>
        </w:tc>
        <w:tc>
          <w:tcPr>
            <w:tcW w:w="19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17,378,486</w:t>
            </w:r>
          </w:p>
        </w:tc>
        <w:tc>
          <w:tcPr>
            <w:tcW w:w="3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18,426,860</w:t>
            </w:r>
          </w:p>
        </w:tc>
        <w:tc>
          <w:tcPr>
            <w:tcW w:w="7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17,781,943</w:t>
            </w:r>
          </w:p>
        </w:tc>
        <w:tc>
          <w:tcPr>
            <w:tcW w:w="70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18,755,941</w:t>
            </w:r>
          </w:p>
        </w:tc>
        <w:tc>
          <w:tcPr>
            <w:tcW w:w="260" w:type="dxa"/>
            <w:vAlign w:val="bottom"/>
            <w:shd w:val="clear" w:color="auto" w:fill="C0FFFF"/>
          </w:tcPr>
          <w:p>
            <w:pPr>
              <w:spacing w:after="0"/>
              <w:rPr>
                <w:sz w:val="16"/>
                <w:szCs w:val="16"/>
                <w:color w:val="auto"/>
              </w:rPr>
            </w:pPr>
          </w:p>
        </w:tc>
      </w:tr>
      <w:tr>
        <w:trPr>
          <w:trHeight w:val="171"/>
        </w:trPr>
        <w:tc>
          <w:tcPr>
            <w:tcW w:w="2020" w:type="dxa"/>
            <w:vAlign w:val="bottom"/>
          </w:tcPr>
          <w:p>
            <w:pPr>
              <w:ind w:left="380"/>
              <w:spacing w:after="0" w:line="171" w:lineRule="exact"/>
              <w:rPr>
                <w:sz w:val="20"/>
                <w:szCs w:val="20"/>
                <w:color w:val="auto"/>
              </w:rPr>
            </w:pPr>
            <w:r>
              <w:rPr>
                <w:rFonts w:ascii="Arial" w:cs="Arial" w:eastAsia="Arial" w:hAnsi="Arial"/>
                <w:sz w:val="15"/>
                <w:szCs w:val="15"/>
                <w:color w:val="auto"/>
              </w:rPr>
              <w:t>Dilutive effect of</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2"/>
        </w:trPr>
        <w:tc>
          <w:tcPr>
            <w:tcW w:w="2020" w:type="dxa"/>
            <w:vAlign w:val="bottom"/>
          </w:tcPr>
          <w:p>
            <w:pPr>
              <w:ind w:left="580"/>
              <w:spacing w:after="0"/>
              <w:rPr>
                <w:sz w:val="20"/>
                <w:szCs w:val="20"/>
                <w:color w:val="auto"/>
              </w:rPr>
            </w:pPr>
            <w:r>
              <w:rPr>
                <w:rFonts w:ascii="Arial" w:cs="Arial" w:eastAsia="Arial" w:hAnsi="Arial"/>
                <w:sz w:val="15"/>
                <w:szCs w:val="15"/>
                <w:color w:val="auto"/>
              </w:rPr>
              <w:t>share-based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5"/>
        </w:trPr>
        <w:tc>
          <w:tcPr>
            <w:tcW w:w="2020" w:type="dxa"/>
            <w:vAlign w:val="bottom"/>
          </w:tcPr>
          <w:p>
            <w:pPr>
              <w:ind w:left="580"/>
              <w:spacing w:after="0"/>
              <w:rPr>
                <w:sz w:val="20"/>
                <w:szCs w:val="20"/>
                <w:color w:val="auto"/>
              </w:rPr>
            </w:pPr>
            <w:r>
              <w:rPr>
                <w:rFonts w:ascii="Arial" w:cs="Arial" w:eastAsia="Arial" w:hAnsi="Arial"/>
                <w:sz w:val="15"/>
                <w:szCs w:val="15"/>
                <w:color w:val="auto"/>
              </w:rPr>
              <w:t>awards:</w:t>
            </w:r>
          </w:p>
        </w:tc>
        <w:tc>
          <w:tcPr>
            <w:tcW w:w="560" w:type="dxa"/>
            <w:vAlign w:val="bottom"/>
          </w:tcPr>
          <w:p>
            <w:pPr>
              <w:spacing w:after="0"/>
              <w:rPr>
                <w:sz w:val="16"/>
                <w:szCs w:val="16"/>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5"/>
                <w:szCs w:val="15"/>
                <w:color w:val="auto"/>
              </w:rPr>
              <w:t>17,658</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1"/>
        </w:trPr>
        <w:tc>
          <w:tcPr>
            <w:tcW w:w="2020" w:type="dxa"/>
            <w:vAlign w:val="bottom"/>
            <w:shd w:val="clear" w:color="auto" w:fill="C0FFFF"/>
          </w:tcPr>
          <w:p>
            <w:pPr>
              <w:ind w:left="140"/>
              <w:spacing w:after="0" w:line="171" w:lineRule="exact"/>
              <w:rPr>
                <w:sz w:val="20"/>
                <w:szCs w:val="20"/>
                <w:color w:val="auto"/>
              </w:rPr>
            </w:pPr>
            <w:r>
              <w:rPr>
                <w:rFonts w:ascii="Arial" w:cs="Arial" w:eastAsia="Arial" w:hAnsi="Arial"/>
                <w:sz w:val="15"/>
                <w:szCs w:val="15"/>
                <w:color w:val="auto"/>
              </w:rPr>
              <w:t>Weighted average</w:t>
            </w:r>
          </w:p>
        </w:tc>
        <w:tc>
          <w:tcPr>
            <w:tcW w:w="560" w:type="dxa"/>
            <w:vAlign w:val="bottom"/>
            <w:tcBorders>
              <w:top w:val="single" w:sz="8" w:color="auto"/>
            </w:tcBorders>
            <w:shd w:val="clear" w:color="auto" w:fill="C0FFFF"/>
          </w:tcPr>
          <w:p>
            <w:pPr>
              <w:spacing w:after="0"/>
              <w:rPr>
                <w:sz w:val="14"/>
                <w:szCs w:val="14"/>
                <w:color w:val="auto"/>
              </w:rPr>
            </w:pPr>
          </w:p>
        </w:tc>
        <w:tc>
          <w:tcPr>
            <w:tcW w:w="1000" w:type="dxa"/>
            <w:vAlign w:val="bottom"/>
            <w:tcBorders>
              <w:top w:val="single" w:sz="8" w:color="auto"/>
            </w:tcBorders>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320" w:type="dxa"/>
            <w:vAlign w:val="bottom"/>
            <w:tcBorders>
              <w:top w:val="single" w:sz="8" w:color="auto"/>
            </w:tcBorders>
            <w:shd w:val="clear" w:color="auto" w:fill="C0FFFF"/>
          </w:tcPr>
          <w:p>
            <w:pPr>
              <w:spacing w:after="0"/>
              <w:rPr>
                <w:sz w:val="14"/>
                <w:szCs w:val="14"/>
                <w:color w:val="auto"/>
              </w:rPr>
            </w:pPr>
          </w:p>
        </w:tc>
        <w:tc>
          <w:tcPr>
            <w:tcW w:w="240" w:type="dxa"/>
            <w:vAlign w:val="bottom"/>
            <w:tcBorders>
              <w:top w:val="single" w:sz="8" w:color="auto"/>
            </w:tcBorders>
            <w:shd w:val="clear" w:color="auto" w:fill="C0FFFF"/>
          </w:tcPr>
          <w:p>
            <w:pPr>
              <w:spacing w:after="0"/>
              <w:rPr>
                <w:sz w:val="14"/>
                <w:szCs w:val="14"/>
                <w:color w:val="auto"/>
              </w:rPr>
            </w:pPr>
          </w:p>
        </w:tc>
        <w:tc>
          <w:tcPr>
            <w:tcW w:w="1020" w:type="dxa"/>
            <w:vAlign w:val="bottom"/>
            <w:tcBorders>
              <w:top w:val="single" w:sz="8" w:color="auto"/>
            </w:tcBorders>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560" w:type="dxa"/>
            <w:vAlign w:val="bottom"/>
            <w:tcBorders>
              <w:top w:val="single" w:sz="8" w:color="auto"/>
            </w:tcBorders>
            <w:shd w:val="clear" w:color="auto" w:fill="C0FFFF"/>
          </w:tcPr>
          <w:p>
            <w:pPr>
              <w:spacing w:after="0"/>
              <w:rPr>
                <w:sz w:val="14"/>
                <w:szCs w:val="14"/>
                <w:color w:val="auto"/>
              </w:rPr>
            </w:pPr>
          </w:p>
        </w:tc>
        <w:tc>
          <w:tcPr>
            <w:tcW w:w="1000" w:type="dxa"/>
            <w:vAlign w:val="bottom"/>
            <w:tcBorders>
              <w:top w:val="single" w:sz="8" w:color="auto"/>
            </w:tcBorders>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80" w:type="dxa"/>
            <w:vAlign w:val="bottom"/>
            <w:tcBorders>
              <w:top w:val="single" w:sz="8" w:color="auto"/>
            </w:tcBorders>
            <w:shd w:val="clear" w:color="auto" w:fill="C0FFFF"/>
          </w:tcPr>
          <w:p>
            <w:pPr>
              <w:spacing w:after="0"/>
              <w:rPr>
                <w:sz w:val="14"/>
                <w:szCs w:val="14"/>
                <w:color w:val="auto"/>
              </w:rPr>
            </w:pPr>
          </w:p>
        </w:tc>
        <w:tc>
          <w:tcPr>
            <w:tcW w:w="180" w:type="dxa"/>
            <w:vAlign w:val="bottom"/>
            <w:tcBorders>
              <w:top w:val="single" w:sz="8" w:color="auto"/>
            </w:tcBorders>
            <w:shd w:val="clear" w:color="auto" w:fill="C0FFFF"/>
          </w:tcPr>
          <w:p>
            <w:pPr>
              <w:spacing w:after="0"/>
              <w:rPr>
                <w:sz w:val="14"/>
                <w:szCs w:val="14"/>
                <w:color w:val="auto"/>
              </w:rPr>
            </w:pPr>
          </w:p>
        </w:tc>
        <w:tc>
          <w:tcPr>
            <w:tcW w:w="1020" w:type="dxa"/>
            <w:vAlign w:val="bottom"/>
            <w:tcBorders>
              <w:top w:val="single" w:sz="8" w:color="auto"/>
            </w:tcBorders>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2"/>
        </w:trPr>
        <w:tc>
          <w:tcPr>
            <w:tcW w:w="2020" w:type="dxa"/>
            <w:vAlign w:val="bottom"/>
            <w:shd w:val="clear" w:color="auto" w:fill="C0FFFF"/>
          </w:tcPr>
          <w:p>
            <w:pPr>
              <w:ind w:left="340"/>
              <w:spacing w:after="0"/>
              <w:rPr>
                <w:sz w:val="20"/>
                <w:szCs w:val="20"/>
                <w:color w:val="auto"/>
              </w:rPr>
            </w:pPr>
            <w:r>
              <w:rPr>
                <w:rFonts w:ascii="Arial" w:cs="Arial" w:eastAsia="Arial" w:hAnsi="Arial"/>
                <w:sz w:val="15"/>
                <w:szCs w:val="15"/>
                <w:color w:val="auto"/>
              </w:rPr>
              <w:t>number of common</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340"/>
              <w:spacing w:after="0"/>
              <w:rPr>
                <w:sz w:val="20"/>
                <w:szCs w:val="20"/>
                <w:color w:val="auto"/>
              </w:rPr>
            </w:pPr>
            <w:r>
              <w:rPr>
                <w:rFonts w:ascii="Arial" w:cs="Arial" w:eastAsia="Arial" w:hAnsi="Arial"/>
                <w:sz w:val="15"/>
                <w:szCs w:val="15"/>
                <w:color w:val="auto"/>
              </w:rPr>
              <w:t>shares outstanding</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231"/>
        </w:trPr>
        <w:tc>
          <w:tcPr>
            <w:tcW w:w="2020" w:type="dxa"/>
            <w:vAlign w:val="bottom"/>
            <w:shd w:val="clear" w:color="auto" w:fill="C0FFFF"/>
          </w:tcPr>
          <w:p>
            <w:pPr>
              <w:ind w:left="340"/>
              <w:spacing w:after="0"/>
              <w:rPr>
                <w:sz w:val="20"/>
                <w:szCs w:val="20"/>
                <w:color w:val="auto"/>
              </w:rPr>
            </w:pPr>
            <w:r>
              <w:rPr>
                <w:rFonts w:ascii="Arial" w:cs="Arial" w:eastAsia="Arial" w:hAnsi="Arial"/>
                <w:sz w:val="15"/>
                <w:szCs w:val="15"/>
                <w:color w:val="auto"/>
              </w:rPr>
              <w:t>- dilutive</w:t>
            </w:r>
          </w:p>
        </w:tc>
        <w:tc>
          <w:tcPr>
            <w:tcW w:w="560" w:type="dxa"/>
            <w:vAlign w:val="bottom"/>
            <w:shd w:val="clear" w:color="auto" w:fill="C0FFFF"/>
          </w:tcPr>
          <w:p>
            <w:pPr>
              <w:spacing w:after="0"/>
              <w:rPr>
                <w:sz w:val="20"/>
                <w:szCs w:val="20"/>
                <w:color w:val="auto"/>
              </w:rPr>
            </w:pPr>
          </w:p>
        </w:tc>
        <w:tc>
          <w:tcPr>
            <w:tcW w:w="19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17,396,144</w:t>
            </w:r>
          </w:p>
        </w:tc>
        <w:tc>
          <w:tcPr>
            <w:tcW w:w="32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18,426,860</w:t>
            </w:r>
          </w:p>
        </w:tc>
        <w:tc>
          <w:tcPr>
            <w:tcW w:w="720" w:type="dxa"/>
            <w:vAlign w:val="bottom"/>
            <w:shd w:val="clear" w:color="auto" w:fill="C0FFFF"/>
          </w:tcPr>
          <w:p>
            <w:pPr>
              <w:spacing w:after="0"/>
              <w:rPr>
                <w:sz w:val="20"/>
                <w:szCs w:val="20"/>
                <w:color w:val="auto"/>
              </w:rPr>
            </w:pPr>
          </w:p>
        </w:tc>
        <w:tc>
          <w:tcPr>
            <w:tcW w:w="560" w:type="dxa"/>
            <w:vAlign w:val="bottom"/>
            <w:shd w:val="clear" w:color="auto" w:fill="C0FFFF"/>
          </w:tcPr>
          <w:p>
            <w:pPr>
              <w:spacing w:after="0"/>
              <w:rPr>
                <w:sz w:val="20"/>
                <w:szCs w:val="20"/>
                <w:color w:val="auto"/>
              </w:rPr>
            </w:pPr>
          </w:p>
        </w:tc>
        <w:tc>
          <w:tcPr>
            <w:tcW w:w="12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17,781,943</w:t>
            </w:r>
          </w:p>
        </w:tc>
        <w:tc>
          <w:tcPr>
            <w:tcW w:w="700" w:type="dxa"/>
            <w:vAlign w:val="bottom"/>
            <w:shd w:val="clear" w:color="auto" w:fill="C0FFFF"/>
          </w:tcPr>
          <w:p>
            <w:pPr>
              <w:spacing w:after="0"/>
              <w:rPr>
                <w:sz w:val="20"/>
                <w:szCs w:val="20"/>
                <w:color w:val="auto"/>
              </w:rPr>
            </w:pPr>
          </w:p>
        </w:tc>
        <w:tc>
          <w:tcPr>
            <w:tcW w:w="380" w:type="dxa"/>
            <w:vAlign w:val="bottom"/>
            <w:shd w:val="clear" w:color="auto" w:fill="C0FFFF"/>
          </w:tcPr>
          <w:p>
            <w:pPr>
              <w:spacing w:after="0"/>
              <w:rPr>
                <w:sz w:val="20"/>
                <w:szCs w:val="20"/>
                <w:color w:val="auto"/>
              </w:rPr>
            </w:pPr>
          </w:p>
        </w:tc>
        <w:tc>
          <w:tcPr>
            <w:tcW w:w="180" w:type="dxa"/>
            <w:vAlign w:val="bottom"/>
            <w:shd w:val="clear" w:color="auto" w:fill="C0FFFF"/>
          </w:tcPr>
          <w:p>
            <w:pPr>
              <w:spacing w:after="0"/>
              <w:rPr>
                <w:sz w:val="20"/>
                <w:szCs w:val="20"/>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18,755,941</w:t>
            </w:r>
          </w:p>
        </w:tc>
        <w:tc>
          <w:tcPr>
            <w:tcW w:w="260" w:type="dxa"/>
            <w:vAlign w:val="bottom"/>
            <w:shd w:val="clear" w:color="auto" w:fill="C0FFFF"/>
          </w:tcPr>
          <w:p>
            <w:pPr>
              <w:spacing w:after="0"/>
              <w:rPr>
                <w:sz w:val="20"/>
                <w:szCs w:val="20"/>
                <w:color w:val="auto"/>
              </w:rPr>
            </w:pPr>
          </w:p>
        </w:tc>
      </w:tr>
      <w:tr>
        <w:trPr>
          <w:trHeight w:val="157"/>
        </w:trPr>
        <w:tc>
          <w:tcPr>
            <w:tcW w:w="2020" w:type="dxa"/>
            <w:vAlign w:val="bottom"/>
            <w:tcBorders>
              <w:top w:val="single" w:sz="8" w:color="C0FFFF"/>
            </w:tcBorders>
          </w:tcPr>
          <w:p>
            <w:pPr>
              <w:ind w:left="20"/>
              <w:spacing w:after="0" w:line="157" w:lineRule="exact"/>
              <w:rPr>
                <w:sz w:val="20"/>
                <w:szCs w:val="20"/>
                <w:color w:val="auto"/>
              </w:rPr>
            </w:pPr>
            <w:r>
              <w:rPr>
                <w:rFonts w:ascii="Arial" w:cs="Arial" w:eastAsia="Arial" w:hAnsi="Arial"/>
                <w:sz w:val="15"/>
                <w:szCs w:val="15"/>
                <w:color w:val="auto"/>
              </w:rPr>
              <w:t>Basic earnings (loss) per</w:t>
            </w: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920" w:type="dxa"/>
            <w:vAlign w:val="bottom"/>
            <w:tcBorders>
              <w:top w:val="single" w:sz="8" w:color="C0FF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C0FFFF"/>
            </w:tcBorders>
          </w:tcPr>
          <w:p>
            <w:pPr>
              <w:spacing w:after="0"/>
              <w:rPr>
                <w:sz w:val="13"/>
                <w:szCs w:val="13"/>
                <w:color w:val="auto"/>
              </w:rPr>
            </w:pPr>
          </w:p>
        </w:tc>
        <w:tc>
          <w:tcPr>
            <w:tcW w:w="720" w:type="dxa"/>
            <w:vAlign w:val="bottom"/>
            <w:tcBorders>
              <w:top w:val="single" w:sz="8" w:color="C0FF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C0FFFF"/>
            </w:tcBorders>
          </w:tcPr>
          <w:p>
            <w:pPr>
              <w:spacing w:after="0"/>
              <w:rPr>
                <w:sz w:val="13"/>
                <w:szCs w:val="13"/>
                <w:color w:val="auto"/>
              </w:rPr>
            </w:pPr>
          </w:p>
        </w:tc>
        <w:tc>
          <w:tcPr>
            <w:tcW w:w="700" w:type="dxa"/>
            <w:vAlign w:val="bottom"/>
            <w:tcBorders>
              <w:top w:val="single" w:sz="8" w:color="C0FF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C0FFFF"/>
            </w:tcBorders>
          </w:tcPr>
          <w:p>
            <w:pPr>
              <w:spacing w:after="0"/>
              <w:rPr>
                <w:sz w:val="13"/>
                <w:szCs w:val="13"/>
                <w:color w:val="auto"/>
              </w:rPr>
            </w:pPr>
          </w:p>
        </w:tc>
        <w:tc>
          <w:tcPr>
            <w:tcW w:w="260" w:type="dxa"/>
            <w:vAlign w:val="bottom"/>
            <w:tcBorders>
              <w:top w:val="single" w:sz="8" w:color="C0FFFF"/>
            </w:tcBorders>
          </w:tcPr>
          <w:p>
            <w:pPr>
              <w:spacing w:after="0"/>
              <w:rPr>
                <w:sz w:val="13"/>
                <w:szCs w:val="13"/>
                <w:color w:val="auto"/>
              </w:rPr>
            </w:pPr>
          </w:p>
        </w:tc>
      </w:tr>
      <w:tr>
        <w:trPr>
          <w:trHeight w:val="182"/>
        </w:trPr>
        <w:tc>
          <w:tcPr>
            <w:tcW w:w="2020" w:type="dxa"/>
            <w:vAlign w:val="bottom"/>
          </w:tcPr>
          <w:p>
            <w:pPr>
              <w:ind w:left="240"/>
              <w:spacing w:after="0"/>
              <w:rPr>
                <w:sz w:val="20"/>
                <w:szCs w:val="20"/>
                <w:color w:val="auto"/>
              </w:rPr>
            </w:pPr>
            <w:r>
              <w:rPr>
                <w:rFonts w:ascii="Arial" w:cs="Arial" w:eastAsia="Arial" w:hAnsi="Arial"/>
                <w:sz w:val="15"/>
                <w:szCs w:val="15"/>
                <w:color w:val="auto"/>
              </w:rPr>
              <w:t>common share</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2"/>
        </w:trPr>
        <w:tc>
          <w:tcPr>
            <w:tcW w:w="2020" w:type="dxa"/>
            <w:vAlign w:val="bottom"/>
          </w:tcPr>
          <w:p>
            <w:pPr>
              <w:ind w:left="240"/>
              <w:spacing w:after="0"/>
              <w:rPr>
                <w:sz w:val="20"/>
                <w:szCs w:val="20"/>
                <w:color w:val="auto"/>
              </w:rPr>
            </w:pPr>
            <w:r>
              <w:rPr>
                <w:rFonts w:ascii="Arial" w:cs="Arial" w:eastAsia="Arial" w:hAnsi="Arial"/>
                <w:sz w:val="15"/>
                <w:szCs w:val="15"/>
                <w:color w:val="auto"/>
              </w:rPr>
              <w:t>attributable to Build-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2"/>
        </w:trPr>
        <w:tc>
          <w:tcPr>
            <w:tcW w:w="2020" w:type="dxa"/>
            <w:vAlign w:val="bottom"/>
          </w:tcPr>
          <w:p>
            <w:pPr>
              <w:ind w:left="240"/>
              <w:spacing w:after="0"/>
              <w:rPr>
                <w:sz w:val="20"/>
                <w:szCs w:val="20"/>
                <w:color w:val="auto"/>
              </w:rPr>
            </w:pPr>
            <w:r>
              <w:rPr>
                <w:rFonts w:ascii="Arial" w:cs="Arial" w:eastAsia="Arial" w:hAnsi="Arial"/>
                <w:sz w:val="15"/>
                <w:szCs w:val="15"/>
                <w:color w:val="auto"/>
              </w:rPr>
              <w:t>A-Bear Workshop,</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1"/>
        </w:trPr>
        <w:tc>
          <w:tcPr>
            <w:tcW w:w="2020" w:type="dxa"/>
            <w:vAlign w:val="bottom"/>
          </w:tcPr>
          <w:p>
            <w:pPr>
              <w:ind w:left="240"/>
              <w:spacing w:after="0"/>
              <w:rPr>
                <w:sz w:val="20"/>
                <w:szCs w:val="20"/>
                <w:color w:val="auto"/>
              </w:rPr>
            </w:pPr>
            <w:r>
              <w:rPr>
                <w:rFonts w:ascii="Arial" w:cs="Arial" w:eastAsia="Arial" w:hAnsi="Arial"/>
                <w:sz w:val="15"/>
                <w:szCs w:val="15"/>
                <w:color w:val="auto"/>
              </w:rPr>
              <w:t>Inc, stockholders:</w:t>
            </w: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gridSpan w:val="2"/>
          </w:tcPr>
          <w:p>
            <w:pPr>
              <w:jc w:val="right"/>
              <w:ind w:right="920"/>
              <w:spacing w:after="0"/>
              <w:rPr>
                <w:sz w:val="20"/>
                <w:szCs w:val="20"/>
                <w:color w:val="auto"/>
              </w:rPr>
            </w:pPr>
            <w:r>
              <w:rPr>
                <w:rFonts w:ascii="Arial" w:cs="Arial" w:eastAsia="Arial" w:hAnsi="Arial"/>
                <w:sz w:val="15"/>
                <w:szCs w:val="15"/>
                <w:color w:val="auto"/>
              </w:rPr>
              <w:t>0.05</w:t>
            </w:r>
          </w:p>
        </w:tc>
        <w:tc>
          <w:tcPr>
            <w:tcW w:w="320" w:type="dxa"/>
            <w:vAlign w:val="bottom"/>
          </w:tcPr>
          <w:p>
            <w:pPr>
              <w:spacing w:after="0"/>
              <w:rPr>
                <w:sz w:val="16"/>
                <w:szCs w:val="16"/>
                <w:color w:val="auto"/>
              </w:rPr>
            </w:pP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(0.07</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(0.45</w:t>
            </w:r>
          </w:p>
        </w:tc>
        <w:tc>
          <w:tcPr>
            <w:tcW w:w="70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(0.44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7"/>
        </w:trPr>
        <w:tc>
          <w:tcPr>
            <w:tcW w:w="2020" w:type="dxa"/>
            <w:vAlign w:val="bottom"/>
            <w:shd w:val="clear" w:color="auto" w:fill="C0FFFF"/>
          </w:tcPr>
          <w:p>
            <w:pPr>
              <w:ind w:left="20"/>
              <w:spacing w:after="0" w:line="157" w:lineRule="exact"/>
              <w:rPr>
                <w:sz w:val="20"/>
                <w:szCs w:val="20"/>
                <w:color w:val="auto"/>
              </w:rPr>
            </w:pPr>
            <w:r>
              <w:rPr>
                <w:rFonts w:ascii="Arial" w:cs="Arial" w:eastAsia="Arial" w:hAnsi="Arial"/>
                <w:sz w:val="15"/>
                <w:szCs w:val="15"/>
                <w:color w:val="auto"/>
              </w:rPr>
              <w:t>Diluted earnings (loss)</w:t>
            </w:r>
          </w:p>
        </w:tc>
        <w:tc>
          <w:tcPr>
            <w:tcW w:w="560" w:type="dxa"/>
            <w:vAlign w:val="bottom"/>
            <w:shd w:val="clear" w:color="auto" w:fill="C0FFFF"/>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920" w:type="dxa"/>
            <w:vAlign w:val="bottom"/>
            <w:shd w:val="clear" w:color="auto" w:fill="C0FFFF"/>
          </w:tcPr>
          <w:p>
            <w:pPr>
              <w:spacing w:after="0"/>
              <w:rPr>
                <w:sz w:val="13"/>
                <w:szCs w:val="13"/>
                <w:color w:val="auto"/>
              </w:rPr>
            </w:pPr>
          </w:p>
        </w:tc>
        <w:tc>
          <w:tcPr>
            <w:tcW w:w="320" w:type="dxa"/>
            <w:vAlign w:val="bottom"/>
            <w:shd w:val="clear" w:color="auto" w:fill="C0FFFF"/>
          </w:tcPr>
          <w:p>
            <w:pPr>
              <w:spacing w:after="0"/>
              <w:rPr>
                <w:sz w:val="13"/>
                <w:szCs w:val="13"/>
                <w:color w:val="auto"/>
              </w:rPr>
            </w:pPr>
          </w:p>
        </w:tc>
        <w:tc>
          <w:tcPr>
            <w:tcW w:w="24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200" w:type="dxa"/>
            <w:vAlign w:val="bottom"/>
            <w:shd w:val="clear" w:color="auto" w:fill="C0FFFF"/>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560" w:type="dxa"/>
            <w:vAlign w:val="bottom"/>
            <w:shd w:val="clear" w:color="auto" w:fill="C0FFFF"/>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220" w:type="dxa"/>
            <w:vAlign w:val="bottom"/>
            <w:shd w:val="clear" w:color="auto" w:fill="C0FFFF"/>
          </w:tcPr>
          <w:p>
            <w:pPr>
              <w:spacing w:after="0"/>
              <w:rPr>
                <w:sz w:val="13"/>
                <w:szCs w:val="13"/>
                <w:color w:val="auto"/>
              </w:rPr>
            </w:pPr>
          </w:p>
        </w:tc>
        <w:tc>
          <w:tcPr>
            <w:tcW w:w="700" w:type="dxa"/>
            <w:vAlign w:val="bottom"/>
            <w:shd w:val="clear" w:color="auto" w:fill="C0FFFF"/>
          </w:tcPr>
          <w:p>
            <w:pPr>
              <w:spacing w:after="0"/>
              <w:rPr>
                <w:sz w:val="13"/>
                <w:szCs w:val="13"/>
                <w:color w:val="auto"/>
              </w:rPr>
            </w:pPr>
          </w:p>
        </w:tc>
        <w:tc>
          <w:tcPr>
            <w:tcW w:w="380" w:type="dxa"/>
            <w:vAlign w:val="bottom"/>
            <w:shd w:val="clear" w:color="auto" w:fill="C0FFFF"/>
          </w:tcPr>
          <w:p>
            <w:pPr>
              <w:spacing w:after="0"/>
              <w:rPr>
                <w:sz w:val="13"/>
                <w:szCs w:val="13"/>
                <w:color w:val="auto"/>
              </w:rPr>
            </w:pPr>
          </w:p>
        </w:tc>
        <w:tc>
          <w:tcPr>
            <w:tcW w:w="18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200" w:type="dxa"/>
            <w:vAlign w:val="bottom"/>
            <w:shd w:val="clear" w:color="auto" w:fill="C0FFFF"/>
          </w:tcPr>
          <w:p>
            <w:pPr>
              <w:spacing w:after="0"/>
              <w:rPr>
                <w:sz w:val="13"/>
                <w:szCs w:val="13"/>
                <w:color w:val="auto"/>
              </w:rPr>
            </w:pPr>
          </w:p>
        </w:tc>
        <w:tc>
          <w:tcPr>
            <w:tcW w:w="260" w:type="dxa"/>
            <w:vAlign w:val="bottom"/>
            <w:shd w:val="clear" w:color="auto" w:fill="C0FFFF"/>
          </w:tcPr>
          <w:p>
            <w:pPr>
              <w:spacing w:after="0"/>
              <w:rPr>
                <w:sz w:val="13"/>
                <w:szCs w:val="13"/>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per common share</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attributable to Build-</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A-Bear Workshop,</w:t>
            </w: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211"/>
        </w:trPr>
        <w:tc>
          <w:tcPr>
            <w:tcW w:w="20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Inc, stockholders</w:t>
            </w:r>
          </w:p>
        </w:tc>
        <w:tc>
          <w:tcPr>
            <w:tcW w:w="5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9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0.05</w:t>
            </w:r>
          </w:p>
        </w:tc>
        <w:tc>
          <w:tcPr>
            <w:tcW w:w="320" w:type="dxa"/>
            <w:vAlign w:val="bottom"/>
            <w:shd w:val="clear" w:color="auto" w:fill="C0FFFF"/>
          </w:tcPr>
          <w:p>
            <w:pPr>
              <w:spacing w:after="0"/>
              <w:rPr>
                <w:sz w:val="18"/>
                <w:szCs w:val="18"/>
                <w:color w:val="auto"/>
              </w:rPr>
            </w:pPr>
          </w:p>
        </w:tc>
        <w:tc>
          <w:tcPr>
            <w:tcW w:w="24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(0.07</w:t>
            </w:r>
          </w:p>
        </w:tc>
        <w:tc>
          <w:tcPr>
            <w:tcW w:w="72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5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(0.45</w:t>
            </w:r>
          </w:p>
        </w:tc>
        <w:tc>
          <w:tcPr>
            <w:tcW w:w="70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380" w:type="dxa"/>
            <w:vAlign w:val="bottom"/>
            <w:shd w:val="clear" w:color="auto" w:fill="C0FFFF"/>
          </w:tcPr>
          <w:p>
            <w:pPr>
              <w:spacing w:after="0"/>
              <w:rPr>
                <w:sz w:val="18"/>
                <w:szCs w:val="18"/>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(0.44</w:t>
            </w:r>
          </w:p>
        </w:tc>
        <w:tc>
          <w:tcPr>
            <w:tcW w:w="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20" w:type="dxa"/>
            <w:vAlign w:val="bottom"/>
            <w:tcBorders>
              <w:top w:val="single" w:sz="8" w:color="C0FFFF"/>
            </w:tcBorders>
            <w:shd w:val="clear" w:color="auto" w:fill="C0FF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720" w:type="dxa"/>
            <w:vAlign w:val="bottom"/>
            <w:tcBorders>
              <w:top w:val="single" w:sz="8" w:color="C0FFFF"/>
            </w:tcBorders>
            <w:shd w:val="clear" w:color="auto" w:fill="C0FF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700" w:type="dxa"/>
            <w:vAlign w:val="bottom"/>
            <w:tcBorders>
              <w:top w:val="single" w:sz="8" w:color="C0FFFF"/>
            </w:tcBorders>
            <w:shd w:val="clear" w:color="auto" w:fill="C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r>
    </w:tbl>
    <w:p>
      <w:pPr>
        <w:spacing w:after="0" w:line="216" w:lineRule="exact"/>
        <w:rPr>
          <w:sz w:val="20"/>
          <w:szCs w:val="20"/>
          <w:color w:val="auto"/>
        </w:rPr>
      </w:pPr>
    </w:p>
    <w:p>
      <w:pPr>
        <w:ind w:right="400" w:firstLine="408"/>
        <w:spacing w:after="0" w:line="277" w:lineRule="auto"/>
        <w:rPr>
          <w:sz w:val="20"/>
          <w:szCs w:val="20"/>
          <w:color w:val="auto"/>
        </w:rPr>
      </w:pPr>
      <w:r>
        <w:rPr>
          <w:rFonts w:ascii="Arial" w:cs="Arial" w:eastAsia="Arial" w:hAnsi="Arial"/>
          <w:sz w:val="15"/>
          <w:szCs w:val="15"/>
          <w:color w:val="auto"/>
        </w:rPr>
        <w:t>For the thirteen weeks ended October 1, 2011, options to purchase 865,779 shares of common stock were not included in the denominator for diluted earnings per common share because of their anti-dilutive effect.</w:t>
      </w:r>
    </w:p>
    <w:p>
      <w:pPr>
        <w:spacing w:after="0" w:line="192" w:lineRule="exact"/>
        <w:rPr>
          <w:sz w:val="20"/>
          <w:szCs w:val="20"/>
          <w:color w:val="auto"/>
        </w:rPr>
      </w:pPr>
    </w:p>
    <w:p>
      <w:pPr>
        <w:ind w:right="240" w:firstLine="408"/>
        <w:spacing w:after="0" w:line="357" w:lineRule="auto"/>
        <w:rPr>
          <w:sz w:val="20"/>
          <w:szCs w:val="20"/>
          <w:color w:val="auto"/>
        </w:rPr>
      </w:pPr>
      <w:r>
        <w:rPr>
          <w:rFonts w:ascii="Arial" w:cs="Arial" w:eastAsia="Arial" w:hAnsi="Arial"/>
          <w:sz w:val="13"/>
          <w:szCs w:val="13"/>
          <w:color w:val="auto"/>
        </w:rPr>
        <w:t>Due to the net loss for thirty-nine weeks ended October 1, 2011 and for the thirteen and thirty-nine weeks ended October 2, 2010, the denominator for diluted earnings per common share is the same as the denominator for basic earnings per common share for those periods because the inclusion of stock options and unvested restricted shares would be anti-dilutive.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Income Taxes</w:t>
      </w:r>
    </w:p>
    <w:p>
      <w:pPr>
        <w:spacing w:after="0" w:line="240" w:lineRule="exact"/>
        <w:rPr>
          <w:sz w:val="20"/>
          <w:szCs w:val="20"/>
          <w:color w:val="auto"/>
        </w:rPr>
      </w:pPr>
    </w:p>
    <w:p>
      <w:pPr>
        <w:ind w:right="300" w:firstLine="408"/>
        <w:spacing w:after="0" w:line="265" w:lineRule="auto"/>
        <w:rPr>
          <w:sz w:val="20"/>
          <w:szCs w:val="20"/>
          <w:color w:val="auto"/>
        </w:rPr>
      </w:pPr>
      <w:r>
        <w:rPr>
          <w:rFonts w:ascii="Arial" w:cs="Arial" w:eastAsia="Arial" w:hAnsi="Arial"/>
          <w:sz w:val="15"/>
          <w:szCs w:val="15"/>
          <w:color w:val="auto"/>
        </w:rPr>
        <w:t>The Company accounts for uncertainty in income taxes in accordance with ASC Section 740-10. As of October 1, 2011, January 1, 2011 and October 2, 2010, there were approximately $0.3 million, $0.3 million and $0.5 million respectively, of unrecognized tax benefits. During the next twelve months, it is reasonably possible to reduce unrecognized tax benefits by $46,000 either because the tax positions are sustained on audit or expiration of the statute of limitations.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Comprehensive Income (Loss)</w:t>
      </w:r>
    </w:p>
    <w:p>
      <w:pPr>
        <w:spacing w:after="0" w:line="240" w:lineRule="exact"/>
        <w:rPr>
          <w:sz w:val="20"/>
          <w:szCs w:val="20"/>
          <w:color w:val="auto"/>
        </w:rPr>
      </w:pPr>
    </w:p>
    <w:p>
      <w:pPr>
        <w:ind w:right="420" w:firstLine="408"/>
        <w:spacing w:after="0" w:line="265" w:lineRule="auto"/>
        <w:rPr>
          <w:sz w:val="20"/>
          <w:szCs w:val="20"/>
          <w:color w:val="auto"/>
        </w:rPr>
      </w:pPr>
      <w:r>
        <w:rPr>
          <w:rFonts w:ascii="Arial" w:cs="Arial" w:eastAsia="Arial" w:hAnsi="Arial"/>
          <w:sz w:val="15"/>
          <w:szCs w:val="15"/>
          <w:color w:val="auto"/>
        </w:rPr>
        <w:t>Comprehensive loss for the thirteen weeks and thirty-nine weeks ended October 1, 2011 was $1.1 million and $7.6 million, respectively. Comprehensive income (loss) for the thirteen and thirty-nine weeks ended October 2, 2010 was $1.6 million and $(10.1) million, respectively. The difference between comprehensive loss and net loss resulted from foreign currency translation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Segment Information</w:t>
      </w:r>
    </w:p>
    <w:p>
      <w:pPr>
        <w:spacing w:after="0" w:line="240" w:lineRule="exact"/>
        <w:rPr>
          <w:sz w:val="20"/>
          <w:szCs w:val="20"/>
          <w:color w:val="auto"/>
        </w:rPr>
      </w:pPr>
    </w:p>
    <w:p>
      <w:pPr>
        <w:ind w:right="140" w:firstLine="408"/>
        <w:spacing w:after="0" w:line="300" w:lineRule="auto"/>
        <w:rPr>
          <w:sz w:val="20"/>
          <w:szCs w:val="20"/>
          <w:color w:val="auto"/>
        </w:rPr>
      </w:pPr>
      <w:r>
        <w:rPr>
          <w:rFonts w:ascii="Arial" w:cs="Arial" w:eastAsia="Arial" w:hAnsi="Arial"/>
          <w:sz w:val="13"/>
          <w:szCs w:val="13"/>
          <w:color w:val="auto"/>
        </w:rPr>
        <w:t>The Company’s operations are conducted through three operating segments consisting of retail, commercial and international franchising. The retail segment includes the operating activities of Company-owned stores in the United States, including Puerto Rico, Canada, the United Kingdom, Ireland, France and other retail delivery operations, including the Company’s Web store and non-traditional store locations such as baseball ballparks.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Asia, Australia, Africa, the Middle East, Mexico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reportable segments follow the same accounting policies used for the Company’s consolidated financial statements.</w:t>
      </w: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520"/>
          </w:cols>
          <w:pgMar w:left="240" w:top="454" w:right="139" w:bottom="589" w:gutter="0" w:footer="0" w:header="0"/>
        </w:sectPr>
      </w:pPr>
    </w:p>
    <w:bookmarkStart w:id="8" w:name="page9"/>
    <w:bookmarkEnd w:id="8"/>
    <w:p>
      <w:pPr>
        <w:ind w:left="409"/>
        <w:spacing w:after="0"/>
        <w:rPr>
          <w:sz w:val="20"/>
          <w:szCs w:val="20"/>
          <w:color w:val="auto"/>
        </w:rPr>
      </w:pPr>
      <w:r>
        <w:rPr>
          <w:rFonts w:ascii="Arial" w:cs="Arial" w:eastAsia="Arial" w:hAnsi="Arial"/>
          <w:sz w:val="15"/>
          <w:szCs w:val="15"/>
          <w:color w:val="auto"/>
        </w:rPr>
        <w:t>Following is a summary of the financial information for the Company’s reportable segments (in thousands):</w:t>
      </w:r>
    </w:p>
    <w:p>
      <w:pPr>
        <w:spacing w:after="0" w:line="232"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gridSpan w:val="3"/>
          </w:tcPr>
          <w:p>
            <w:pPr>
              <w:jc w:val="center"/>
              <w:ind w:right="900"/>
              <w:spacing w:after="0"/>
              <w:rPr>
                <w:sz w:val="20"/>
                <w:szCs w:val="20"/>
                <w:color w:val="auto"/>
              </w:rPr>
            </w:pPr>
            <w:r>
              <w:rPr>
                <w:rFonts w:ascii="Arial" w:cs="Arial" w:eastAsia="Arial" w:hAnsi="Arial"/>
                <w:sz w:val="15"/>
                <w:szCs w:val="15"/>
                <w:b w:val="1"/>
                <w:bCs w:val="1"/>
                <w:color w:val="auto"/>
                <w:w w:val="95"/>
              </w:rPr>
              <w:t>International</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9"/>
        </w:trPr>
        <w:tc>
          <w:tcPr>
            <w:tcW w:w="2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Retail</w:t>
            </w:r>
          </w:p>
        </w:tc>
        <w:tc>
          <w:tcPr>
            <w:tcW w:w="720" w:type="dxa"/>
            <w:vAlign w:val="bottom"/>
          </w:tcPr>
          <w:p>
            <w:pPr>
              <w:spacing w:after="0"/>
              <w:rPr>
                <w:sz w:val="17"/>
                <w:szCs w:val="17"/>
                <w:color w:val="auto"/>
              </w:rPr>
            </w:pPr>
          </w:p>
        </w:tc>
        <w:tc>
          <w:tcPr>
            <w:tcW w:w="2380" w:type="dxa"/>
            <w:vAlign w:val="bottom"/>
            <w:gridSpan w:val="3"/>
          </w:tcPr>
          <w:p>
            <w:pPr>
              <w:jc w:val="right"/>
              <w:ind w:right="1260"/>
              <w:spacing w:after="0"/>
              <w:rPr>
                <w:sz w:val="20"/>
                <w:szCs w:val="20"/>
                <w:color w:val="auto"/>
              </w:rPr>
            </w:pPr>
            <w:r>
              <w:rPr>
                <w:rFonts w:ascii="Arial" w:cs="Arial" w:eastAsia="Arial" w:hAnsi="Arial"/>
                <w:sz w:val="15"/>
                <w:szCs w:val="15"/>
                <w:b w:val="1"/>
                <w:bCs w:val="1"/>
                <w:color w:val="auto"/>
              </w:rPr>
              <w:t>Commercial</w:t>
            </w:r>
          </w:p>
        </w:tc>
        <w:tc>
          <w:tcPr>
            <w:tcW w:w="2320" w:type="dxa"/>
            <w:vAlign w:val="bottom"/>
            <w:gridSpan w:val="3"/>
          </w:tcPr>
          <w:p>
            <w:pPr>
              <w:jc w:val="center"/>
              <w:ind w:right="900"/>
              <w:spacing w:after="0"/>
              <w:rPr>
                <w:sz w:val="20"/>
                <w:szCs w:val="20"/>
                <w:color w:val="auto"/>
              </w:rPr>
            </w:pPr>
            <w:r>
              <w:rPr>
                <w:rFonts w:ascii="Arial" w:cs="Arial" w:eastAsia="Arial" w:hAnsi="Arial"/>
                <w:sz w:val="15"/>
                <w:szCs w:val="15"/>
                <w:b w:val="1"/>
                <w:bCs w:val="1"/>
                <w:color w:val="auto"/>
                <w:w w:val="91"/>
              </w:rPr>
              <w:t>Franchising</w:t>
            </w:r>
          </w:p>
        </w:tc>
        <w:tc>
          <w:tcPr>
            <w:tcW w:w="5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5"/>
                <w:szCs w:val="15"/>
                <w:b w:val="1"/>
                <w:bCs w:val="1"/>
                <w:color w:val="auto"/>
              </w:rPr>
              <w:t>Total</w:t>
            </w:r>
          </w:p>
        </w:tc>
        <w:tc>
          <w:tcPr>
            <w:tcW w:w="260" w:type="dxa"/>
            <w:vAlign w:val="bottom"/>
          </w:tcPr>
          <w:p>
            <w:pPr>
              <w:spacing w:after="0"/>
              <w:rPr>
                <w:sz w:val="17"/>
                <w:szCs w:val="17"/>
                <w:color w:val="auto"/>
              </w:rPr>
            </w:pPr>
          </w:p>
        </w:tc>
      </w:tr>
      <w:tr>
        <w:trPr>
          <w:trHeight w:val="171"/>
        </w:trPr>
        <w:tc>
          <w:tcPr>
            <w:tcW w:w="2280" w:type="dxa"/>
            <w:vAlign w:val="bottom"/>
          </w:tcPr>
          <w:p>
            <w:pPr>
              <w:spacing w:after="0" w:line="171" w:lineRule="exact"/>
              <w:rPr>
                <w:sz w:val="20"/>
                <w:szCs w:val="20"/>
                <w:color w:val="auto"/>
              </w:rPr>
            </w:pPr>
            <w:r>
              <w:rPr>
                <w:rFonts w:ascii="Arial" w:cs="Arial" w:eastAsia="Arial" w:hAnsi="Arial"/>
                <w:sz w:val="15"/>
                <w:szCs w:val="15"/>
                <w:color w:val="auto"/>
              </w:rPr>
              <w:t>Thirteen weeks ended</w:t>
            </w:r>
          </w:p>
        </w:tc>
        <w:tc>
          <w:tcPr>
            <w:tcW w:w="5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spacing w:after="0"/>
              <w:rPr>
                <w:sz w:val="20"/>
                <w:szCs w:val="20"/>
                <w:color w:val="auto"/>
              </w:rPr>
            </w:pPr>
            <w:r>
              <w:rPr>
                <w:rFonts w:ascii="Arial" w:cs="Arial" w:eastAsia="Arial" w:hAnsi="Arial"/>
                <w:sz w:val="15"/>
                <w:szCs w:val="15"/>
                <w:color w:val="auto"/>
              </w:rPr>
              <w:t>October 1, 2011</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Net sales to external</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customers</w:t>
            </w:r>
          </w:p>
        </w:tc>
        <w:tc>
          <w:tcPr>
            <w:tcW w:w="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95,378</w:t>
            </w: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jc w:val="right"/>
              <w:ind w:right="204"/>
              <w:spacing w:after="0"/>
              <w:rPr>
                <w:sz w:val="20"/>
                <w:szCs w:val="20"/>
                <w:color w:val="auto"/>
              </w:rPr>
            </w:pPr>
            <w:r>
              <w:rPr>
                <w:rFonts w:ascii="Arial" w:cs="Arial" w:eastAsia="Arial" w:hAnsi="Arial"/>
                <w:sz w:val="15"/>
                <w:szCs w:val="15"/>
                <w:color w:val="auto"/>
              </w:rPr>
              <w:t>$</w:t>
            </w:r>
          </w:p>
        </w:tc>
        <w:tc>
          <w:tcPr>
            <w:tcW w:w="16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1,160</w:t>
            </w:r>
          </w:p>
        </w:tc>
        <w:tc>
          <w:tcPr>
            <w:tcW w:w="780" w:type="dxa"/>
            <w:vAlign w:val="bottom"/>
            <w:shd w:val="clear" w:color="auto" w:fill="C0FFFF"/>
          </w:tcPr>
          <w:p>
            <w:pPr>
              <w:jc w:val="right"/>
              <w:ind w:right="224"/>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872</w:t>
            </w:r>
          </w:p>
        </w:tc>
        <w:tc>
          <w:tcPr>
            <w:tcW w:w="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97,410</w:t>
            </w:r>
          </w:p>
        </w:tc>
        <w:tc>
          <w:tcPr>
            <w:tcW w:w="260" w:type="dxa"/>
            <w:vAlign w:val="bottom"/>
            <w:shd w:val="clear" w:color="auto" w:fill="C0FFFF"/>
          </w:tcPr>
          <w:p>
            <w:pPr>
              <w:spacing w:after="0"/>
              <w:rPr>
                <w:sz w:val="16"/>
                <w:szCs w:val="16"/>
                <w:color w:val="auto"/>
              </w:rPr>
            </w:pP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Income (loss) before</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income taxes</w:t>
            </w: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806</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545</w:t>
            </w:r>
          </w:p>
        </w:tc>
        <w:tc>
          <w:tcPr>
            <w:tcW w:w="7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5"/>
                <w:szCs w:val="15"/>
                <w:color w:val="auto"/>
              </w:rPr>
              <w:t>514</w:t>
            </w: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1,865</w:t>
            </w: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Capital expenditures,</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net</w:t>
            </w:r>
          </w:p>
        </w:tc>
        <w:tc>
          <w:tcPr>
            <w:tcW w:w="540" w:type="dxa"/>
            <w:vAlign w:val="bottom"/>
            <w:shd w:val="clear" w:color="auto" w:fill="C0FFFF"/>
          </w:tcPr>
          <w:p>
            <w:pPr>
              <w:spacing w:after="0"/>
              <w:rPr>
                <w:sz w:val="16"/>
                <w:szCs w:val="16"/>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3,745</w:t>
            </w:r>
          </w:p>
        </w:tc>
        <w:tc>
          <w:tcPr>
            <w:tcW w:w="200" w:type="dxa"/>
            <w:vAlign w:val="bottom"/>
            <w:shd w:val="clear" w:color="auto" w:fill="C0FFFF"/>
          </w:tcPr>
          <w:p>
            <w:pPr>
              <w:spacing w:after="0"/>
              <w:rPr>
                <w:sz w:val="16"/>
                <w:szCs w:val="16"/>
                <w:color w:val="auto"/>
              </w:rPr>
            </w:pP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7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6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14</w:t>
            </w:r>
          </w:p>
        </w:tc>
        <w:tc>
          <w:tcPr>
            <w:tcW w:w="90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3,759</w:t>
            </w:r>
          </w:p>
        </w:tc>
        <w:tc>
          <w:tcPr>
            <w:tcW w:w="260" w:type="dxa"/>
            <w:vAlign w:val="bottom"/>
            <w:shd w:val="clear" w:color="auto" w:fill="C0FFFF"/>
          </w:tcPr>
          <w:p>
            <w:pPr>
              <w:spacing w:after="0"/>
              <w:rPr>
                <w:sz w:val="16"/>
                <w:szCs w:val="16"/>
                <w:color w:val="auto"/>
              </w:rPr>
            </w:pP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Depreciation and</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amortization</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5,822</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62</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5,884</w:t>
            </w: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spacing w:after="0"/>
              <w:rPr>
                <w:sz w:val="20"/>
                <w:szCs w:val="20"/>
                <w:color w:val="auto"/>
              </w:rPr>
            </w:pPr>
            <w:r>
              <w:rPr>
                <w:rFonts w:ascii="Arial" w:cs="Arial" w:eastAsia="Arial" w:hAnsi="Arial"/>
                <w:sz w:val="15"/>
                <w:szCs w:val="15"/>
                <w:color w:val="auto"/>
              </w:rPr>
              <w:t>Thirteen weeks ended</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spacing w:after="0"/>
              <w:rPr>
                <w:sz w:val="20"/>
                <w:szCs w:val="20"/>
                <w:color w:val="auto"/>
              </w:rPr>
            </w:pPr>
            <w:r>
              <w:rPr>
                <w:rFonts w:ascii="Arial" w:cs="Arial" w:eastAsia="Arial" w:hAnsi="Arial"/>
                <w:sz w:val="15"/>
                <w:szCs w:val="15"/>
                <w:color w:val="auto"/>
              </w:rPr>
              <w:t>October 2, 2010</w:t>
            </w:r>
          </w:p>
        </w:tc>
        <w:tc>
          <w:tcPr>
            <w:tcW w:w="54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70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64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Net sales to external</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customers</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91,689</w:t>
            </w:r>
          </w:p>
        </w:tc>
        <w:tc>
          <w:tcPr>
            <w:tcW w:w="720" w:type="dxa"/>
            <w:vAlign w:val="bottom"/>
          </w:tcPr>
          <w:p>
            <w:pPr>
              <w:spacing w:after="0"/>
              <w:rPr>
                <w:sz w:val="16"/>
                <w:szCs w:val="16"/>
                <w:color w:val="auto"/>
              </w:rPr>
            </w:pP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7,637</w:t>
            </w:r>
          </w:p>
        </w:tc>
        <w:tc>
          <w:tcPr>
            <w:tcW w:w="7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540" w:type="dxa"/>
            <w:vAlign w:val="bottom"/>
            <w:gridSpan w:val="2"/>
          </w:tcPr>
          <w:p>
            <w:pPr>
              <w:jc w:val="right"/>
              <w:ind w:right="900"/>
              <w:spacing w:after="0"/>
              <w:rPr>
                <w:sz w:val="20"/>
                <w:szCs w:val="20"/>
                <w:color w:val="auto"/>
              </w:rPr>
            </w:pPr>
            <w:r>
              <w:rPr>
                <w:rFonts w:ascii="Arial" w:cs="Arial" w:eastAsia="Arial" w:hAnsi="Arial"/>
                <w:sz w:val="15"/>
                <w:szCs w:val="15"/>
                <w:color w:val="auto"/>
              </w:rPr>
              <w:t>767</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100,093</w:t>
            </w: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Income (loss) before</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income taxes</w:t>
            </w:r>
          </w:p>
        </w:tc>
        <w:tc>
          <w:tcPr>
            <w:tcW w:w="540" w:type="dxa"/>
            <w:vAlign w:val="bottom"/>
            <w:shd w:val="clear" w:color="auto" w:fill="C0FFFF"/>
          </w:tcPr>
          <w:p>
            <w:pPr>
              <w:spacing w:after="0"/>
              <w:rPr>
                <w:sz w:val="16"/>
                <w:szCs w:val="16"/>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(3,342</w:t>
            </w:r>
          </w:p>
        </w:tc>
        <w:tc>
          <w:tcPr>
            <w:tcW w:w="200" w:type="dxa"/>
            <w:vAlign w:val="bottom"/>
            <w:shd w:val="clear" w:color="auto" w:fill="C0FFFF"/>
          </w:tcPr>
          <w:p>
            <w:pPr>
              <w:spacing w:after="0"/>
              <w:rPr>
                <w:sz w:val="16"/>
                <w:szCs w:val="16"/>
                <w:color w:val="auto"/>
              </w:rPr>
            </w:pPr>
          </w:p>
        </w:tc>
        <w:tc>
          <w:tcPr>
            <w:tcW w:w="72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760" w:type="dxa"/>
            <w:vAlign w:val="bottom"/>
            <w:shd w:val="clear" w:color="auto" w:fill="C0FFFF"/>
          </w:tcPr>
          <w:p>
            <w:pPr>
              <w:spacing w:after="0"/>
              <w:rPr>
                <w:sz w:val="16"/>
                <w:szCs w:val="16"/>
                <w:color w:val="auto"/>
              </w:rPr>
            </w:pPr>
          </w:p>
        </w:tc>
        <w:tc>
          <w:tcPr>
            <w:tcW w:w="16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1,029</w:t>
            </w:r>
          </w:p>
        </w:tc>
        <w:tc>
          <w:tcPr>
            <w:tcW w:w="780" w:type="dxa"/>
            <w:vAlign w:val="bottom"/>
            <w:shd w:val="clear" w:color="auto" w:fill="C0FFFF"/>
          </w:tcPr>
          <w:p>
            <w:pPr>
              <w:spacing w:after="0"/>
              <w:rPr>
                <w:sz w:val="16"/>
                <w:szCs w:val="16"/>
                <w:color w:val="auto"/>
              </w:rPr>
            </w:pP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411</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(1,902</w:t>
            </w:r>
          </w:p>
        </w:tc>
        <w:tc>
          <w:tcPr>
            <w:tcW w:w="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Capital expenditures,</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net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3,724</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74</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3,798</w:t>
            </w: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Depreciation and</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amortization</w:t>
            </w:r>
          </w:p>
        </w:tc>
        <w:tc>
          <w:tcPr>
            <w:tcW w:w="540" w:type="dxa"/>
            <w:vAlign w:val="bottom"/>
            <w:shd w:val="clear" w:color="auto" w:fill="C0FFFF"/>
          </w:tcPr>
          <w:p>
            <w:pPr>
              <w:spacing w:after="0"/>
              <w:rPr>
                <w:sz w:val="16"/>
                <w:szCs w:val="16"/>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6,530</w:t>
            </w:r>
          </w:p>
        </w:tc>
        <w:tc>
          <w:tcPr>
            <w:tcW w:w="200" w:type="dxa"/>
            <w:vAlign w:val="bottom"/>
            <w:shd w:val="clear" w:color="auto" w:fill="C0FFFF"/>
          </w:tcPr>
          <w:p>
            <w:pPr>
              <w:spacing w:after="0"/>
              <w:rPr>
                <w:sz w:val="16"/>
                <w:szCs w:val="16"/>
                <w:color w:val="auto"/>
              </w:rPr>
            </w:pP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7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179</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6,709</w:t>
            </w:r>
          </w:p>
        </w:tc>
        <w:tc>
          <w:tcPr>
            <w:tcW w:w="260" w:type="dxa"/>
            <w:vAlign w:val="bottom"/>
            <w:shd w:val="clear" w:color="auto" w:fill="C0FFFF"/>
          </w:tcPr>
          <w:p>
            <w:pPr>
              <w:spacing w:after="0"/>
              <w:rPr>
                <w:sz w:val="16"/>
                <w:szCs w:val="16"/>
                <w:color w:val="auto"/>
              </w:rPr>
            </w:pPr>
          </w:p>
        </w:tc>
      </w:tr>
      <w:tr>
        <w:trPr>
          <w:trHeight w:val="182"/>
        </w:trPr>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1"/>
        </w:trPr>
        <w:tc>
          <w:tcPr>
            <w:tcW w:w="2280" w:type="dxa"/>
            <w:vAlign w:val="bottom"/>
            <w:shd w:val="clear" w:color="auto" w:fill="C0FFFF"/>
          </w:tcPr>
          <w:p>
            <w:pPr>
              <w:spacing w:after="0" w:line="171" w:lineRule="exact"/>
              <w:rPr>
                <w:sz w:val="20"/>
                <w:szCs w:val="20"/>
                <w:color w:val="auto"/>
              </w:rPr>
            </w:pPr>
            <w:r>
              <w:rPr>
                <w:rFonts w:ascii="Arial" w:cs="Arial" w:eastAsia="Arial" w:hAnsi="Arial"/>
                <w:sz w:val="15"/>
                <w:szCs w:val="15"/>
                <w:color w:val="auto"/>
              </w:rPr>
              <w:t>Thirty-nine weeks ended</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spacing w:after="0"/>
              <w:rPr>
                <w:sz w:val="20"/>
                <w:szCs w:val="20"/>
                <w:color w:val="auto"/>
              </w:rPr>
            </w:pPr>
            <w:r>
              <w:rPr>
                <w:rFonts w:ascii="Arial" w:cs="Arial" w:eastAsia="Arial" w:hAnsi="Arial"/>
                <w:sz w:val="15"/>
                <w:szCs w:val="15"/>
                <w:color w:val="auto"/>
              </w:rPr>
              <w:t>October 1, 2011</w:t>
            </w:r>
          </w:p>
        </w:tc>
        <w:tc>
          <w:tcPr>
            <w:tcW w:w="54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70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64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Net sales to external</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customers</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269,929</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3,002</w:t>
            </w:r>
          </w:p>
        </w:tc>
        <w:tc>
          <w:tcPr>
            <w:tcW w:w="7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540" w:type="dxa"/>
            <w:vAlign w:val="bottom"/>
            <w:gridSpan w:val="2"/>
          </w:tcPr>
          <w:p>
            <w:pPr>
              <w:jc w:val="right"/>
              <w:ind w:right="900"/>
              <w:spacing w:after="0"/>
              <w:rPr>
                <w:sz w:val="20"/>
                <w:szCs w:val="20"/>
                <w:color w:val="auto"/>
              </w:rPr>
            </w:pPr>
            <w:r>
              <w:rPr>
                <w:rFonts w:ascii="Arial" w:cs="Arial" w:eastAsia="Arial" w:hAnsi="Arial"/>
                <w:sz w:val="15"/>
                <w:szCs w:val="15"/>
                <w:color w:val="auto"/>
              </w:rPr>
              <w:t>2,312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275,243</w:t>
            </w: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Income (loss) before</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income taxes</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(15,014</w:t>
            </w:r>
          </w:p>
        </w:tc>
        <w:tc>
          <w:tcPr>
            <w:tcW w:w="72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760" w:type="dxa"/>
            <w:vAlign w:val="bottom"/>
            <w:shd w:val="clear" w:color="auto" w:fill="C0FFFF"/>
          </w:tcPr>
          <w:p>
            <w:pPr>
              <w:spacing w:after="0"/>
              <w:rPr>
                <w:sz w:val="16"/>
                <w:szCs w:val="16"/>
                <w:color w:val="auto"/>
              </w:rPr>
            </w:pPr>
          </w:p>
        </w:tc>
        <w:tc>
          <w:tcPr>
            <w:tcW w:w="16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1,356</w:t>
            </w:r>
          </w:p>
        </w:tc>
        <w:tc>
          <w:tcPr>
            <w:tcW w:w="780" w:type="dxa"/>
            <w:vAlign w:val="bottom"/>
            <w:shd w:val="clear" w:color="auto" w:fill="C0FFFF"/>
          </w:tcPr>
          <w:p>
            <w:pPr>
              <w:spacing w:after="0"/>
              <w:rPr>
                <w:sz w:val="16"/>
                <w:szCs w:val="16"/>
                <w:color w:val="auto"/>
              </w:rPr>
            </w:pP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1,208</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(12,450</w:t>
            </w:r>
          </w:p>
        </w:tc>
        <w:tc>
          <w:tcPr>
            <w:tcW w:w="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Capital expenditures,</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net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9,819</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9,896</w:t>
            </w: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Depreciation and</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amortization</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18,426</w:t>
            </w: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7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188</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18,614</w:t>
            </w:r>
          </w:p>
        </w:tc>
        <w:tc>
          <w:tcPr>
            <w:tcW w:w="260" w:type="dxa"/>
            <w:vAlign w:val="bottom"/>
            <w:shd w:val="clear" w:color="auto" w:fill="C0FFFF"/>
          </w:tcPr>
          <w:p>
            <w:pPr>
              <w:spacing w:after="0"/>
              <w:rPr>
                <w:sz w:val="16"/>
                <w:szCs w:val="16"/>
                <w:color w:val="auto"/>
              </w:rPr>
            </w:pPr>
          </w:p>
        </w:tc>
      </w:tr>
      <w:tr>
        <w:trPr>
          <w:trHeight w:val="171"/>
        </w:trPr>
        <w:tc>
          <w:tcPr>
            <w:tcW w:w="2280" w:type="dxa"/>
            <w:vAlign w:val="bottom"/>
          </w:tcPr>
          <w:p>
            <w:pPr>
              <w:spacing w:after="0" w:line="171" w:lineRule="exact"/>
              <w:rPr>
                <w:sz w:val="20"/>
                <w:szCs w:val="20"/>
                <w:color w:val="auto"/>
              </w:rPr>
            </w:pPr>
            <w:r>
              <w:rPr>
                <w:rFonts w:ascii="Arial" w:cs="Arial" w:eastAsia="Arial" w:hAnsi="Arial"/>
                <w:sz w:val="15"/>
                <w:szCs w:val="15"/>
                <w:color w:val="auto"/>
              </w:rPr>
              <w:t>Thirty-nine weeks ended</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spacing w:after="0"/>
              <w:rPr>
                <w:sz w:val="20"/>
                <w:szCs w:val="20"/>
                <w:color w:val="auto"/>
              </w:rPr>
            </w:pPr>
            <w:r>
              <w:rPr>
                <w:rFonts w:ascii="Arial" w:cs="Arial" w:eastAsia="Arial" w:hAnsi="Arial"/>
                <w:sz w:val="15"/>
                <w:szCs w:val="15"/>
                <w:color w:val="auto"/>
              </w:rPr>
              <w:t>October 2, 2010</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Net sales to external</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customers</w:t>
            </w:r>
          </w:p>
        </w:tc>
        <w:tc>
          <w:tcPr>
            <w:tcW w:w="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263,963</w:t>
            </w:r>
          </w:p>
        </w:tc>
        <w:tc>
          <w:tcPr>
            <w:tcW w:w="200" w:type="dxa"/>
            <w:vAlign w:val="bottom"/>
            <w:shd w:val="clear" w:color="auto" w:fill="C0FFFF"/>
          </w:tcPr>
          <w:p>
            <w:pPr>
              <w:spacing w:after="0"/>
              <w:rPr>
                <w:sz w:val="16"/>
                <w:szCs w:val="16"/>
                <w:color w:val="auto"/>
              </w:rPr>
            </w:pP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jc w:val="right"/>
              <w:ind w:right="204"/>
              <w:spacing w:after="0"/>
              <w:rPr>
                <w:sz w:val="20"/>
                <w:szCs w:val="20"/>
                <w:color w:val="auto"/>
              </w:rPr>
            </w:pPr>
            <w:r>
              <w:rPr>
                <w:rFonts w:ascii="Arial" w:cs="Arial" w:eastAsia="Arial" w:hAnsi="Arial"/>
                <w:sz w:val="15"/>
                <w:szCs w:val="15"/>
                <w:color w:val="auto"/>
              </w:rPr>
              <w:t>$</w:t>
            </w:r>
          </w:p>
        </w:tc>
        <w:tc>
          <w:tcPr>
            <w:tcW w:w="16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9,588</w:t>
            </w:r>
          </w:p>
        </w:tc>
        <w:tc>
          <w:tcPr>
            <w:tcW w:w="780" w:type="dxa"/>
            <w:vAlign w:val="bottom"/>
            <w:shd w:val="clear" w:color="auto" w:fill="C0FFFF"/>
          </w:tcPr>
          <w:p>
            <w:pPr>
              <w:jc w:val="right"/>
              <w:ind w:right="224"/>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2,112</w:t>
            </w:r>
          </w:p>
        </w:tc>
        <w:tc>
          <w:tcPr>
            <w:tcW w:w="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275,663</w:t>
            </w:r>
          </w:p>
        </w:tc>
        <w:tc>
          <w:tcPr>
            <w:tcW w:w="260" w:type="dxa"/>
            <w:vAlign w:val="bottom"/>
            <w:shd w:val="clear" w:color="auto" w:fill="C0FFFF"/>
          </w:tcPr>
          <w:p>
            <w:pPr>
              <w:spacing w:after="0"/>
              <w:rPr>
                <w:sz w:val="16"/>
                <w:szCs w:val="16"/>
                <w:color w:val="auto"/>
              </w:rPr>
            </w:pP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Income (loss) before</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income taxes</w:t>
            </w: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(14,915</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6"/>
                <w:szCs w:val="16"/>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2,222</w:t>
            </w:r>
          </w:p>
        </w:tc>
        <w:tc>
          <w:tcPr>
            <w:tcW w:w="7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5"/>
                <w:szCs w:val="15"/>
                <w:color w:val="auto"/>
              </w:rPr>
              <w:t>1,005</w:t>
            </w: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(11,687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Capital expenditures,</w:t>
            </w: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76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64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9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net</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10,072</w:t>
            </w:r>
          </w:p>
        </w:tc>
        <w:tc>
          <w:tcPr>
            <w:tcW w:w="72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7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136</w:t>
            </w:r>
          </w:p>
        </w:tc>
        <w:tc>
          <w:tcPr>
            <w:tcW w:w="540" w:type="dxa"/>
            <w:vAlign w:val="bottom"/>
            <w:shd w:val="clear" w:color="auto" w:fill="C0FFFF"/>
          </w:tcPr>
          <w:p>
            <w:pPr>
              <w:spacing w:after="0"/>
              <w:rPr>
                <w:sz w:val="16"/>
                <w:szCs w:val="16"/>
                <w:color w:val="auto"/>
              </w:rPr>
            </w:pP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10,208</w:t>
            </w:r>
          </w:p>
        </w:tc>
        <w:tc>
          <w:tcPr>
            <w:tcW w:w="260" w:type="dxa"/>
            <w:vAlign w:val="bottom"/>
            <w:shd w:val="clear" w:color="auto" w:fill="C0FFFF"/>
          </w:tcPr>
          <w:p>
            <w:pPr>
              <w:spacing w:after="0"/>
              <w:rPr>
                <w:sz w:val="16"/>
                <w:szCs w:val="16"/>
                <w:color w:val="auto"/>
              </w:rPr>
            </w:pP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5"/>
                <w:szCs w:val="15"/>
                <w:color w:val="auto"/>
              </w:rPr>
              <w:t>Depreciation and</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amortization</w:t>
            </w: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19,938</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5"/>
                <w:szCs w:val="15"/>
                <w:color w:val="auto"/>
              </w:rPr>
              <w:t>400</w:t>
            </w:r>
          </w:p>
        </w:tc>
        <w:tc>
          <w:tcPr>
            <w:tcW w:w="5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20,338</w:t>
            </w:r>
          </w:p>
        </w:tc>
        <w:tc>
          <w:tcPr>
            <w:tcW w:w="260" w:type="dxa"/>
            <w:vAlign w:val="bottom"/>
          </w:tcPr>
          <w:p>
            <w:pPr>
              <w:spacing w:after="0"/>
              <w:rPr>
                <w:sz w:val="16"/>
                <w:szCs w:val="16"/>
                <w:color w:val="auto"/>
              </w:rPr>
            </w:pPr>
          </w:p>
        </w:tc>
      </w:tr>
      <w:tr>
        <w:trPr>
          <w:trHeight w:val="182"/>
        </w:trPr>
        <w:tc>
          <w:tcPr>
            <w:tcW w:w="2280" w:type="dxa"/>
            <w:vAlign w:val="bottom"/>
            <w:shd w:val="clear" w:color="auto" w:fill="C0FFFF"/>
          </w:tcPr>
          <w:p>
            <w:pPr>
              <w:spacing w:after="0"/>
              <w:rPr>
                <w:sz w:val="15"/>
                <w:szCs w:val="15"/>
                <w:color w:val="auto"/>
              </w:rPr>
            </w:pPr>
          </w:p>
        </w:tc>
        <w:tc>
          <w:tcPr>
            <w:tcW w:w="54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76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780" w:type="dxa"/>
            <w:vAlign w:val="bottom"/>
            <w:shd w:val="clear" w:color="auto" w:fill="C0FFFF"/>
          </w:tcPr>
          <w:p>
            <w:pPr>
              <w:spacing w:after="0"/>
              <w:rPr>
                <w:sz w:val="15"/>
                <w:szCs w:val="15"/>
                <w:color w:val="auto"/>
              </w:rPr>
            </w:pPr>
          </w:p>
        </w:tc>
        <w:tc>
          <w:tcPr>
            <w:tcW w:w="64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54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2"/>
        </w:trPr>
        <w:tc>
          <w:tcPr>
            <w:tcW w:w="2280" w:type="dxa"/>
            <w:vAlign w:val="bottom"/>
          </w:tcPr>
          <w:p>
            <w:pPr>
              <w:spacing w:after="0"/>
              <w:rPr>
                <w:sz w:val="20"/>
                <w:szCs w:val="20"/>
                <w:color w:val="auto"/>
              </w:rPr>
            </w:pPr>
            <w:r>
              <w:rPr>
                <w:rFonts w:ascii="Arial" w:cs="Arial" w:eastAsia="Arial" w:hAnsi="Arial"/>
                <w:sz w:val="15"/>
                <w:szCs w:val="15"/>
                <w:color w:val="auto"/>
              </w:rPr>
              <w:t>Total Assets as of:</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2"/>
        </w:trPr>
        <w:tc>
          <w:tcPr>
            <w:tcW w:w="2280" w:type="dxa"/>
            <w:vAlign w:val="bottom"/>
            <w:shd w:val="clear" w:color="auto" w:fill="C0FFFF"/>
          </w:tcPr>
          <w:p>
            <w:pPr>
              <w:ind w:left="340"/>
              <w:spacing w:after="0"/>
              <w:rPr>
                <w:sz w:val="20"/>
                <w:szCs w:val="20"/>
                <w:color w:val="auto"/>
              </w:rPr>
            </w:pPr>
            <w:r>
              <w:rPr>
                <w:rFonts w:ascii="Arial" w:cs="Arial" w:eastAsia="Arial" w:hAnsi="Arial"/>
                <w:sz w:val="15"/>
                <w:szCs w:val="15"/>
                <w:color w:val="auto"/>
              </w:rPr>
              <w:t>October 1, 2011</w:t>
            </w:r>
          </w:p>
        </w:tc>
        <w:tc>
          <w:tcPr>
            <w:tcW w:w="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230,074</w:t>
            </w: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760" w:type="dxa"/>
            <w:vAlign w:val="bottom"/>
            <w:shd w:val="clear" w:color="auto" w:fill="C0FFFF"/>
          </w:tcPr>
          <w:p>
            <w:pPr>
              <w:jc w:val="right"/>
              <w:ind w:right="204"/>
              <w:spacing w:after="0"/>
              <w:rPr>
                <w:sz w:val="20"/>
                <w:szCs w:val="20"/>
                <w:color w:val="auto"/>
              </w:rPr>
            </w:pPr>
            <w:r>
              <w:rPr>
                <w:rFonts w:ascii="Arial" w:cs="Arial" w:eastAsia="Arial" w:hAnsi="Arial"/>
                <w:sz w:val="15"/>
                <w:szCs w:val="15"/>
                <w:color w:val="auto"/>
              </w:rPr>
              <w:t>$</w:t>
            </w:r>
          </w:p>
        </w:tc>
        <w:tc>
          <w:tcPr>
            <w:tcW w:w="162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9,695</w:t>
            </w:r>
          </w:p>
        </w:tc>
        <w:tc>
          <w:tcPr>
            <w:tcW w:w="780" w:type="dxa"/>
            <w:vAlign w:val="bottom"/>
            <w:shd w:val="clear" w:color="auto" w:fill="C0FFFF"/>
          </w:tcPr>
          <w:p>
            <w:pPr>
              <w:jc w:val="right"/>
              <w:ind w:right="224"/>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2,794</w:t>
            </w:r>
          </w:p>
        </w:tc>
        <w:tc>
          <w:tcPr>
            <w:tcW w:w="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242,563</w:t>
            </w:r>
          </w:p>
        </w:tc>
        <w:tc>
          <w:tcPr>
            <w:tcW w:w="260" w:type="dxa"/>
            <w:vAlign w:val="bottom"/>
            <w:shd w:val="clear" w:color="auto" w:fill="C0FFFF"/>
          </w:tcPr>
          <w:p>
            <w:pPr>
              <w:spacing w:after="0"/>
              <w:rPr>
                <w:sz w:val="15"/>
                <w:szCs w:val="15"/>
                <w:color w:val="auto"/>
              </w:rPr>
            </w:pPr>
          </w:p>
        </w:tc>
      </w:tr>
      <w:tr>
        <w:trPr>
          <w:trHeight w:val="191"/>
        </w:trPr>
        <w:tc>
          <w:tcPr>
            <w:tcW w:w="2280" w:type="dxa"/>
            <w:vAlign w:val="bottom"/>
          </w:tcPr>
          <w:p>
            <w:pPr>
              <w:ind w:left="340"/>
              <w:spacing w:after="0"/>
              <w:rPr>
                <w:sz w:val="20"/>
                <w:szCs w:val="20"/>
                <w:color w:val="auto"/>
              </w:rPr>
            </w:pPr>
            <w:r>
              <w:rPr>
                <w:rFonts w:ascii="Arial" w:cs="Arial" w:eastAsia="Arial" w:hAnsi="Arial"/>
                <w:sz w:val="15"/>
                <w:szCs w:val="15"/>
                <w:color w:val="auto"/>
              </w:rPr>
              <w:t>October 2, 2010</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239,672</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10,382</w:t>
            </w:r>
          </w:p>
        </w:tc>
        <w:tc>
          <w:tcPr>
            <w:tcW w:w="7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540" w:type="dxa"/>
            <w:vAlign w:val="bottom"/>
            <w:gridSpan w:val="2"/>
          </w:tcPr>
          <w:p>
            <w:pPr>
              <w:jc w:val="right"/>
              <w:ind w:right="900"/>
              <w:spacing w:after="0"/>
              <w:rPr>
                <w:sz w:val="20"/>
                <w:szCs w:val="20"/>
                <w:color w:val="auto"/>
              </w:rPr>
            </w:pPr>
            <w:r>
              <w:rPr>
                <w:rFonts w:ascii="Arial" w:cs="Arial" w:eastAsia="Arial" w:hAnsi="Arial"/>
                <w:sz w:val="15"/>
                <w:szCs w:val="15"/>
                <w:color w:val="auto"/>
              </w:rPr>
              <w:t>2,817</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252,871</w:t>
            </w:r>
          </w:p>
        </w:tc>
        <w:tc>
          <w:tcPr>
            <w:tcW w:w="260" w:type="dxa"/>
            <w:vAlign w:val="bottom"/>
          </w:tcPr>
          <w:p>
            <w:pPr>
              <w:spacing w:after="0"/>
              <w:rPr>
                <w:sz w:val="16"/>
                <w:szCs w:val="16"/>
                <w:color w:val="auto"/>
              </w:rPr>
            </w:pPr>
          </w:p>
        </w:tc>
      </w:tr>
    </w:tbl>
    <w:p>
      <w:pPr>
        <w:spacing w:after="0" w:line="162" w:lineRule="exact"/>
        <w:rPr>
          <w:sz w:val="20"/>
          <w:szCs w:val="20"/>
          <w:color w:val="auto"/>
        </w:rPr>
      </w:pPr>
    </w:p>
    <w:p>
      <w:pPr>
        <w:ind w:left="9" w:right="120" w:firstLine="408"/>
        <w:spacing w:after="0" w:line="265" w:lineRule="auto"/>
        <w:rPr>
          <w:sz w:val="20"/>
          <w:szCs w:val="20"/>
          <w:color w:val="auto"/>
        </w:rPr>
      </w:pPr>
      <w:r>
        <w:rPr>
          <w:rFonts w:ascii="Arial" w:cs="Arial" w:eastAsia="Arial" w:hAnsi="Arial"/>
          <w:sz w:val="15"/>
          <w:szCs w:val="15"/>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96"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00" w:type="dxa"/>
            <w:vAlign w:val="bottom"/>
            <w:gridSpan w:val="2"/>
          </w:tcPr>
          <w:p>
            <w:pPr>
              <w:jc w:val="center"/>
              <w:ind w:right="1420"/>
              <w:spacing w:after="0"/>
              <w:rPr>
                <w:sz w:val="20"/>
                <w:szCs w:val="20"/>
                <w:color w:val="auto"/>
              </w:rPr>
            </w:pPr>
            <w:r>
              <w:rPr>
                <w:rFonts w:ascii="Arial" w:cs="Arial" w:eastAsia="Arial" w:hAnsi="Arial"/>
                <w:sz w:val="15"/>
                <w:szCs w:val="15"/>
                <w:b w:val="1"/>
                <w:bCs w:val="1"/>
                <w:color w:val="auto"/>
                <w:w w:val="99"/>
              </w:rPr>
              <w:t>North</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99"/>
        </w:trPr>
        <w:tc>
          <w:tcPr>
            <w:tcW w:w="2340" w:type="dxa"/>
            <w:vAlign w:val="bottom"/>
          </w:tcPr>
          <w:p>
            <w:pPr>
              <w:spacing w:after="0"/>
              <w:rPr>
                <w:sz w:val="17"/>
                <w:szCs w:val="17"/>
                <w:color w:val="auto"/>
              </w:rPr>
            </w:pPr>
          </w:p>
        </w:tc>
        <w:tc>
          <w:tcPr>
            <w:tcW w:w="2420" w:type="dxa"/>
            <w:vAlign w:val="bottom"/>
            <w:gridSpan w:val="3"/>
          </w:tcPr>
          <w:p>
            <w:pPr>
              <w:jc w:val="center"/>
              <w:ind w:right="900"/>
              <w:spacing w:after="0"/>
              <w:rPr>
                <w:sz w:val="20"/>
                <w:szCs w:val="20"/>
                <w:color w:val="auto"/>
              </w:rPr>
            </w:pPr>
            <w:r>
              <w:rPr>
                <w:rFonts w:ascii="Arial" w:cs="Arial" w:eastAsia="Arial" w:hAnsi="Arial"/>
                <w:sz w:val="15"/>
                <w:szCs w:val="15"/>
                <w:b w:val="1"/>
                <w:bCs w:val="1"/>
                <w:color w:val="auto"/>
                <w:w w:val="92"/>
              </w:rPr>
              <w:t>America (1)</w:t>
            </w:r>
          </w:p>
        </w:tc>
        <w:tc>
          <w:tcPr>
            <w:tcW w:w="2380" w:type="dxa"/>
            <w:vAlign w:val="bottom"/>
            <w:gridSpan w:val="3"/>
          </w:tcPr>
          <w:p>
            <w:pPr>
              <w:ind w:left="400"/>
              <w:spacing w:after="0"/>
              <w:rPr>
                <w:sz w:val="20"/>
                <w:szCs w:val="20"/>
                <w:color w:val="auto"/>
              </w:rPr>
            </w:pPr>
            <w:r>
              <w:rPr>
                <w:rFonts w:ascii="Arial" w:cs="Arial" w:eastAsia="Arial" w:hAnsi="Arial"/>
                <w:sz w:val="15"/>
                <w:szCs w:val="15"/>
                <w:b w:val="1"/>
                <w:bCs w:val="1"/>
                <w:color w:val="auto"/>
              </w:rPr>
              <w:t>Europe (2)</w:t>
            </w:r>
          </w:p>
        </w:tc>
        <w:tc>
          <w:tcPr>
            <w:tcW w:w="1040" w:type="dxa"/>
            <w:vAlign w:val="bottom"/>
          </w:tcPr>
          <w:p>
            <w:pPr>
              <w:ind w:left="400"/>
              <w:spacing w:after="0"/>
              <w:rPr>
                <w:sz w:val="20"/>
                <w:szCs w:val="20"/>
                <w:color w:val="auto"/>
              </w:rPr>
            </w:pPr>
            <w:r>
              <w:rPr>
                <w:rFonts w:ascii="Arial" w:cs="Arial" w:eastAsia="Arial" w:hAnsi="Arial"/>
                <w:sz w:val="15"/>
                <w:szCs w:val="15"/>
                <w:b w:val="1"/>
                <w:bCs w:val="1"/>
                <w:color w:val="auto"/>
                <w:w w:val="99"/>
              </w:rPr>
              <w:t>Other (3)</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2"/>
          </w:tcPr>
          <w:p>
            <w:pPr>
              <w:jc w:val="right"/>
              <w:ind w:right="1060"/>
              <w:spacing w:after="0"/>
              <w:rPr>
                <w:sz w:val="20"/>
                <w:szCs w:val="20"/>
                <w:color w:val="auto"/>
              </w:rPr>
            </w:pPr>
            <w:r>
              <w:rPr>
                <w:rFonts w:ascii="Arial" w:cs="Arial" w:eastAsia="Arial" w:hAnsi="Arial"/>
                <w:sz w:val="15"/>
                <w:szCs w:val="15"/>
                <w:b w:val="1"/>
                <w:bCs w:val="1"/>
                <w:color w:val="auto"/>
              </w:rPr>
              <w:t>Total</w:t>
            </w:r>
          </w:p>
        </w:tc>
      </w:tr>
      <w:tr>
        <w:trPr>
          <w:trHeight w:val="352"/>
        </w:trPr>
        <w:tc>
          <w:tcPr>
            <w:tcW w:w="2340" w:type="dxa"/>
            <w:vAlign w:val="bottom"/>
          </w:tcPr>
          <w:p>
            <w:pPr>
              <w:spacing w:after="0"/>
              <w:rPr>
                <w:sz w:val="20"/>
                <w:szCs w:val="20"/>
                <w:color w:val="auto"/>
              </w:rPr>
            </w:pPr>
            <w:r>
              <w:rPr>
                <w:rFonts w:ascii="Arial" w:cs="Arial" w:eastAsia="Arial" w:hAnsi="Arial"/>
                <w:sz w:val="15"/>
                <w:szCs w:val="15"/>
                <w:color w:val="auto"/>
              </w:rPr>
              <w:t>Thirteen weeks ended October</w:t>
            </w:r>
          </w:p>
        </w:tc>
        <w:tc>
          <w:tcPr>
            <w:tcW w:w="5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191"/>
        </w:trPr>
        <w:tc>
          <w:tcPr>
            <w:tcW w:w="2340" w:type="dxa"/>
            <w:vAlign w:val="bottom"/>
          </w:tcPr>
          <w:p>
            <w:pPr>
              <w:spacing w:after="0"/>
              <w:rPr>
                <w:sz w:val="20"/>
                <w:szCs w:val="20"/>
                <w:color w:val="auto"/>
              </w:rPr>
            </w:pPr>
            <w:r>
              <w:rPr>
                <w:rFonts w:ascii="Arial" w:cs="Arial" w:eastAsia="Arial" w:hAnsi="Arial"/>
                <w:sz w:val="15"/>
                <w:szCs w:val="15"/>
                <w:color w:val="auto"/>
              </w:rPr>
              <w:t>1, 2011</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2"/>
        </w:trPr>
        <w:tc>
          <w:tcPr>
            <w:tcW w:w="2340" w:type="dxa"/>
            <w:vAlign w:val="bottom"/>
            <w:shd w:val="clear" w:color="auto" w:fill="C0FFFF"/>
          </w:tcPr>
          <w:p>
            <w:pPr>
              <w:ind w:left="120"/>
              <w:spacing w:after="0"/>
              <w:rPr>
                <w:sz w:val="20"/>
                <w:szCs w:val="20"/>
                <w:color w:val="auto"/>
              </w:rPr>
            </w:pPr>
            <w:r>
              <w:rPr>
                <w:rFonts w:ascii="Arial" w:cs="Arial" w:eastAsia="Arial" w:hAnsi="Arial"/>
                <w:sz w:val="15"/>
                <w:szCs w:val="15"/>
                <w:color w:val="auto"/>
              </w:rPr>
              <w:t>Net sales to external</w:t>
            </w:r>
          </w:p>
        </w:tc>
        <w:tc>
          <w:tcPr>
            <w:tcW w:w="52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1040" w:type="dxa"/>
            <w:vAlign w:val="bottom"/>
            <w:shd w:val="clear" w:color="auto" w:fill="C0FFFF"/>
          </w:tcPr>
          <w:p>
            <w:pPr>
              <w:spacing w:after="0"/>
              <w:rPr>
                <w:sz w:val="14"/>
                <w:szCs w:val="14"/>
                <w:color w:val="auto"/>
              </w:rPr>
            </w:pPr>
          </w:p>
        </w:tc>
        <w:tc>
          <w:tcPr>
            <w:tcW w:w="36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980" w:type="dxa"/>
            <w:vAlign w:val="bottom"/>
            <w:shd w:val="clear" w:color="auto" w:fill="C0FFFF"/>
          </w:tcPr>
          <w:p>
            <w:pPr>
              <w:spacing w:after="0"/>
              <w:rPr>
                <w:sz w:val="14"/>
                <w:szCs w:val="14"/>
                <w:color w:val="auto"/>
              </w:rPr>
            </w:pPr>
          </w:p>
        </w:tc>
        <w:tc>
          <w:tcPr>
            <w:tcW w:w="460" w:type="dxa"/>
            <w:vAlign w:val="bottom"/>
            <w:shd w:val="clear" w:color="auto" w:fill="C0FFFF"/>
          </w:tcPr>
          <w:p>
            <w:pPr>
              <w:spacing w:after="0"/>
              <w:rPr>
                <w:sz w:val="14"/>
                <w:szCs w:val="14"/>
                <w:color w:val="auto"/>
              </w:rPr>
            </w:pPr>
          </w:p>
        </w:tc>
      </w:tr>
      <w:tr>
        <w:trPr>
          <w:trHeight w:val="192"/>
        </w:trPr>
        <w:tc>
          <w:tcPr>
            <w:tcW w:w="2340" w:type="dxa"/>
            <w:vAlign w:val="bottom"/>
            <w:shd w:val="clear" w:color="auto" w:fill="C0FFFF"/>
          </w:tcPr>
          <w:p>
            <w:pPr>
              <w:ind w:left="120"/>
              <w:spacing w:after="0"/>
              <w:rPr>
                <w:sz w:val="20"/>
                <w:szCs w:val="20"/>
                <w:color w:val="auto"/>
              </w:rPr>
            </w:pPr>
            <w:r>
              <w:rPr>
                <w:rFonts w:ascii="Arial" w:cs="Arial" w:eastAsia="Arial" w:hAnsi="Arial"/>
                <w:sz w:val="15"/>
                <w:szCs w:val="15"/>
                <w:color w:val="auto"/>
              </w:rPr>
              <w:t>customers</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9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78,915</w:t>
            </w:r>
          </w:p>
        </w:tc>
        <w:tc>
          <w:tcPr>
            <w:tcW w:w="780" w:type="dxa"/>
            <w:vAlign w:val="bottom"/>
            <w:shd w:val="clear" w:color="auto" w:fill="C0FFFF"/>
          </w:tcPr>
          <w:p>
            <w:pPr>
              <w:jc w:val="right"/>
              <w:ind w:right="204"/>
              <w:spacing w:after="0"/>
              <w:rPr>
                <w:sz w:val="20"/>
                <w:szCs w:val="20"/>
                <w:color w:val="auto"/>
              </w:rPr>
            </w:pPr>
            <w:r>
              <w:rPr>
                <w:rFonts w:ascii="Arial" w:cs="Arial" w:eastAsia="Arial" w:hAnsi="Arial"/>
                <w:sz w:val="15"/>
                <w:szCs w:val="15"/>
                <w:color w:val="auto"/>
              </w:rPr>
              <w:t>$</w:t>
            </w:r>
          </w:p>
        </w:tc>
        <w:tc>
          <w:tcPr>
            <w:tcW w:w="16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17,623</w:t>
            </w:r>
          </w:p>
        </w:tc>
        <w:tc>
          <w:tcPr>
            <w:tcW w:w="1040" w:type="dxa"/>
            <w:vAlign w:val="bottom"/>
            <w:shd w:val="clear" w:color="auto" w:fill="C0FFFF"/>
          </w:tcPr>
          <w:p>
            <w:pPr>
              <w:ind w:left="40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0FFFF"/>
          </w:tcPr>
          <w:p>
            <w:pPr>
              <w:jc w:val="right"/>
              <w:ind w:right="920"/>
              <w:spacing w:after="0"/>
              <w:rPr>
                <w:sz w:val="20"/>
                <w:szCs w:val="20"/>
                <w:color w:val="auto"/>
              </w:rPr>
            </w:pPr>
            <w:r>
              <w:rPr>
                <w:rFonts w:ascii="Arial" w:cs="Arial" w:eastAsia="Arial" w:hAnsi="Arial"/>
                <w:sz w:val="15"/>
                <w:szCs w:val="15"/>
                <w:color w:val="auto"/>
              </w:rPr>
              <w:t>872</w:t>
            </w:r>
          </w:p>
        </w:tc>
        <w:tc>
          <w:tcPr>
            <w:tcW w:w="54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0FFFF"/>
          </w:tcPr>
          <w:p>
            <w:pPr>
              <w:jc w:val="right"/>
              <w:ind w:right="460"/>
              <w:spacing w:after="0"/>
              <w:rPr>
                <w:sz w:val="20"/>
                <w:szCs w:val="20"/>
                <w:color w:val="auto"/>
              </w:rPr>
            </w:pPr>
            <w:r>
              <w:rPr>
                <w:rFonts w:ascii="Arial" w:cs="Arial" w:eastAsia="Arial" w:hAnsi="Arial"/>
                <w:sz w:val="15"/>
                <w:szCs w:val="15"/>
                <w:color w:val="auto"/>
              </w:rPr>
              <w:t>97,410</w:t>
            </w:r>
          </w:p>
        </w:tc>
      </w:tr>
      <w:tr>
        <w:trPr>
          <w:trHeight w:val="182"/>
        </w:trPr>
        <w:tc>
          <w:tcPr>
            <w:tcW w:w="2340" w:type="dxa"/>
            <w:vAlign w:val="bottom"/>
          </w:tcPr>
          <w:p>
            <w:pPr>
              <w:ind w:left="120"/>
              <w:spacing w:after="0"/>
              <w:rPr>
                <w:sz w:val="20"/>
                <w:szCs w:val="20"/>
                <w:color w:val="auto"/>
              </w:rPr>
            </w:pPr>
            <w:r>
              <w:rPr>
                <w:rFonts w:ascii="Arial" w:cs="Arial" w:eastAsia="Arial" w:hAnsi="Arial"/>
                <w:sz w:val="15"/>
                <w:szCs w:val="15"/>
                <w:color w:val="auto"/>
              </w:rPr>
              <w:t>Property and equipment, net</w:t>
            </w:r>
          </w:p>
        </w:tc>
        <w:tc>
          <w:tcPr>
            <w:tcW w:w="520" w:type="dxa"/>
            <w:vAlign w:val="bottom"/>
          </w:tcPr>
          <w:p>
            <w:pPr>
              <w:spacing w:after="0"/>
              <w:rPr>
                <w:sz w:val="15"/>
                <w:szCs w:val="15"/>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5"/>
                <w:szCs w:val="15"/>
                <w:color w:val="auto"/>
              </w:rPr>
              <w:t>67,527</w:t>
            </w:r>
          </w:p>
        </w:tc>
        <w:tc>
          <w:tcPr>
            <w:tcW w:w="780" w:type="dxa"/>
            <w:vAlign w:val="bottom"/>
          </w:tcPr>
          <w:p>
            <w:pPr>
              <w:spacing w:after="0"/>
              <w:rPr>
                <w:sz w:val="15"/>
                <w:szCs w:val="15"/>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5"/>
                <w:szCs w:val="15"/>
                <w:color w:val="auto"/>
              </w:rPr>
              <w:t>11,438</w:t>
            </w:r>
          </w:p>
        </w:tc>
        <w:tc>
          <w:tcPr>
            <w:tcW w:w="10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5"/>
                <w:szCs w:val="15"/>
                <w:color w:val="auto"/>
              </w:rPr>
              <w:t>78,965</w:t>
            </w:r>
          </w:p>
        </w:tc>
      </w:tr>
      <w:tr>
        <w:trPr>
          <w:trHeight w:val="171"/>
        </w:trPr>
        <w:tc>
          <w:tcPr>
            <w:tcW w:w="2340" w:type="dxa"/>
            <w:vAlign w:val="bottom"/>
            <w:shd w:val="clear" w:color="auto" w:fill="C0FFFF"/>
          </w:tcPr>
          <w:p>
            <w:pPr>
              <w:ind w:left="400"/>
              <w:spacing w:after="0" w:line="171" w:lineRule="exact"/>
              <w:rPr>
                <w:sz w:val="20"/>
                <w:szCs w:val="20"/>
                <w:color w:val="auto"/>
              </w:rPr>
            </w:pPr>
            <w:r>
              <w:rPr>
                <w:rFonts w:ascii="Arial" w:cs="Arial" w:eastAsia="Arial" w:hAnsi="Arial"/>
                <w:sz w:val="15"/>
                <w:szCs w:val="15"/>
                <w:color w:val="auto"/>
              </w:rPr>
              <w:t>Thirteen weeks ended</w:t>
            </w:r>
          </w:p>
        </w:tc>
        <w:tc>
          <w:tcPr>
            <w:tcW w:w="52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1040" w:type="dxa"/>
            <w:vAlign w:val="bottom"/>
            <w:shd w:val="clear" w:color="auto" w:fill="C0FFFF"/>
          </w:tcPr>
          <w:p>
            <w:pPr>
              <w:spacing w:after="0"/>
              <w:rPr>
                <w:sz w:val="14"/>
                <w:szCs w:val="14"/>
                <w:color w:val="auto"/>
              </w:rPr>
            </w:pPr>
          </w:p>
        </w:tc>
        <w:tc>
          <w:tcPr>
            <w:tcW w:w="36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980" w:type="dxa"/>
            <w:vAlign w:val="bottom"/>
            <w:shd w:val="clear" w:color="auto" w:fill="C0FFFF"/>
          </w:tcPr>
          <w:p>
            <w:pPr>
              <w:spacing w:after="0"/>
              <w:rPr>
                <w:sz w:val="14"/>
                <w:szCs w:val="14"/>
                <w:color w:val="auto"/>
              </w:rPr>
            </w:pPr>
          </w:p>
        </w:tc>
        <w:tc>
          <w:tcPr>
            <w:tcW w:w="460" w:type="dxa"/>
            <w:vAlign w:val="bottom"/>
            <w:shd w:val="clear" w:color="auto" w:fill="C0FFFF"/>
          </w:tcPr>
          <w:p>
            <w:pPr>
              <w:spacing w:after="0"/>
              <w:rPr>
                <w:sz w:val="14"/>
                <w:szCs w:val="14"/>
                <w:color w:val="auto"/>
              </w:rPr>
            </w:pPr>
          </w:p>
        </w:tc>
      </w:tr>
      <w:tr>
        <w:trPr>
          <w:trHeight w:val="192"/>
        </w:trPr>
        <w:tc>
          <w:tcPr>
            <w:tcW w:w="2340" w:type="dxa"/>
            <w:vAlign w:val="bottom"/>
            <w:shd w:val="clear" w:color="auto" w:fill="C0FFFF"/>
          </w:tcPr>
          <w:p>
            <w:pPr>
              <w:spacing w:after="0"/>
              <w:rPr>
                <w:sz w:val="20"/>
                <w:szCs w:val="20"/>
                <w:color w:val="auto"/>
              </w:rPr>
            </w:pPr>
            <w:r>
              <w:rPr>
                <w:rFonts w:ascii="Arial" w:cs="Arial" w:eastAsia="Arial" w:hAnsi="Arial"/>
                <w:sz w:val="15"/>
                <w:szCs w:val="15"/>
                <w:color w:val="auto"/>
              </w:rPr>
              <w:t>October 2, 2010</w:t>
            </w:r>
          </w:p>
        </w:tc>
        <w:tc>
          <w:tcPr>
            <w:tcW w:w="52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70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040" w:type="dxa"/>
            <w:vAlign w:val="bottom"/>
            <w:shd w:val="clear" w:color="auto" w:fill="C0FFFF"/>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98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r>
      <w:tr>
        <w:trPr>
          <w:trHeight w:val="171"/>
        </w:trPr>
        <w:tc>
          <w:tcPr>
            <w:tcW w:w="2340" w:type="dxa"/>
            <w:vAlign w:val="bottom"/>
          </w:tcPr>
          <w:p>
            <w:pPr>
              <w:ind w:left="120"/>
              <w:spacing w:after="0" w:line="171" w:lineRule="exact"/>
              <w:rPr>
                <w:sz w:val="20"/>
                <w:szCs w:val="20"/>
                <w:color w:val="auto"/>
              </w:rPr>
            </w:pPr>
            <w:r>
              <w:rPr>
                <w:rFonts w:ascii="Arial" w:cs="Arial" w:eastAsia="Arial" w:hAnsi="Arial"/>
                <w:sz w:val="15"/>
                <w:szCs w:val="15"/>
                <w:color w:val="auto"/>
              </w:rPr>
              <w:t>Net sales to external</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1"/>
        </w:trPr>
        <w:tc>
          <w:tcPr>
            <w:tcW w:w="2340" w:type="dxa"/>
            <w:vAlign w:val="bottom"/>
          </w:tcPr>
          <w:p>
            <w:pPr>
              <w:ind w:left="120"/>
              <w:spacing w:after="0"/>
              <w:rPr>
                <w:sz w:val="20"/>
                <w:szCs w:val="20"/>
                <w:color w:val="auto"/>
              </w:rPr>
            </w:pPr>
            <w:r>
              <w:rPr>
                <w:rFonts w:ascii="Arial" w:cs="Arial" w:eastAsia="Arial" w:hAnsi="Arial"/>
                <w:sz w:val="15"/>
                <w:szCs w:val="15"/>
                <w:color w:val="auto"/>
              </w:rPr>
              <w:t>customers</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5"/>
                <w:szCs w:val="15"/>
                <w:color w:val="auto"/>
              </w:rPr>
              <w:t>83,333</w:t>
            </w:r>
          </w:p>
        </w:tc>
        <w:tc>
          <w:tcPr>
            <w:tcW w:w="7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600" w:type="dxa"/>
            <w:vAlign w:val="bottom"/>
            <w:gridSpan w:val="2"/>
          </w:tcPr>
          <w:p>
            <w:pPr>
              <w:jc w:val="right"/>
              <w:ind w:right="900"/>
              <w:spacing w:after="0"/>
              <w:rPr>
                <w:sz w:val="20"/>
                <w:szCs w:val="20"/>
                <w:color w:val="auto"/>
              </w:rPr>
            </w:pPr>
            <w:r>
              <w:rPr>
                <w:rFonts w:ascii="Arial" w:cs="Arial" w:eastAsia="Arial" w:hAnsi="Arial"/>
                <w:sz w:val="15"/>
                <w:szCs w:val="15"/>
                <w:color w:val="auto"/>
              </w:rPr>
              <w:t>15,993</w:t>
            </w:r>
          </w:p>
        </w:tc>
        <w:tc>
          <w:tcPr>
            <w:tcW w:w="1040" w:type="dxa"/>
            <w:vAlign w:val="bottom"/>
          </w:tcPr>
          <w:p>
            <w:pPr>
              <w:ind w:left="4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920"/>
              <w:spacing w:after="0"/>
              <w:rPr>
                <w:sz w:val="20"/>
                <w:szCs w:val="20"/>
                <w:color w:val="auto"/>
              </w:rPr>
            </w:pPr>
            <w:r>
              <w:rPr>
                <w:rFonts w:ascii="Arial" w:cs="Arial" w:eastAsia="Arial" w:hAnsi="Arial"/>
                <w:sz w:val="15"/>
                <w:szCs w:val="15"/>
                <w:color w:val="auto"/>
              </w:rPr>
              <w:t>767</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5"/>
                <w:szCs w:val="15"/>
                <w:color w:val="auto"/>
              </w:rPr>
              <w:t>100,093</w:t>
            </w:r>
          </w:p>
        </w:tc>
      </w:tr>
      <w:tr>
        <w:trPr>
          <w:trHeight w:val="182"/>
        </w:trPr>
        <w:tc>
          <w:tcPr>
            <w:tcW w:w="2340" w:type="dxa"/>
            <w:vAlign w:val="bottom"/>
            <w:shd w:val="clear" w:color="auto" w:fill="C0FFFF"/>
          </w:tcPr>
          <w:p>
            <w:pPr>
              <w:ind w:left="120"/>
              <w:spacing w:after="0"/>
              <w:rPr>
                <w:sz w:val="20"/>
                <w:szCs w:val="20"/>
                <w:color w:val="auto"/>
              </w:rPr>
            </w:pPr>
            <w:r>
              <w:rPr>
                <w:rFonts w:ascii="Arial" w:cs="Arial" w:eastAsia="Arial" w:hAnsi="Arial"/>
                <w:sz w:val="15"/>
                <w:szCs w:val="15"/>
                <w:color w:val="auto"/>
              </w:rPr>
              <w:t>Property and equipment, net</w:t>
            </w:r>
          </w:p>
        </w:tc>
        <w:tc>
          <w:tcPr>
            <w:tcW w:w="520" w:type="dxa"/>
            <w:vAlign w:val="bottom"/>
            <w:shd w:val="clear" w:color="auto" w:fill="C0FFFF"/>
          </w:tcPr>
          <w:p>
            <w:pPr>
              <w:spacing w:after="0"/>
              <w:rPr>
                <w:sz w:val="15"/>
                <w:szCs w:val="15"/>
                <w:color w:val="auto"/>
              </w:rPr>
            </w:pPr>
          </w:p>
        </w:tc>
        <w:tc>
          <w:tcPr>
            <w:tcW w:w="19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78,082</w:t>
            </w:r>
          </w:p>
        </w:tc>
        <w:tc>
          <w:tcPr>
            <w:tcW w:w="780" w:type="dxa"/>
            <w:vAlign w:val="bottom"/>
            <w:shd w:val="clear" w:color="auto" w:fill="C0FFFF"/>
          </w:tcPr>
          <w:p>
            <w:pPr>
              <w:spacing w:after="0"/>
              <w:rPr>
                <w:sz w:val="15"/>
                <w:szCs w:val="15"/>
                <w:color w:val="auto"/>
              </w:rPr>
            </w:pPr>
          </w:p>
        </w:tc>
        <w:tc>
          <w:tcPr>
            <w:tcW w:w="16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12,315</w:t>
            </w:r>
          </w:p>
        </w:tc>
        <w:tc>
          <w:tcPr>
            <w:tcW w:w="1040" w:type="dxa"/>
            <w:vAlign w:val="bottom"/>
            <w:shd w:val="clear" w:color="auto" w:fill="C0FFFF"/>
          </w:tcPr>
          <w:p>
            <w:pPr>
              <w:spacing w:after="0"/>
              <w:rPr>
                <w:sz w:val="15"/>
                <w:szCs w:val="15"/>
                <w:color w:val="auto"/>
              </w:rPr>
            </w:pPr>
          </w:p>
        </w:tc>
        <w:tc>
          <w:tcPr>
            <w:tcW w:w="3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0FFFF"/>
          </w:tcPr>
          <w:p>
            <w:pPr>
              <w:spacing w:after="0"/>
              <w:rPr>
                <w:sz w:val="15"/>
                <w:szCs w:val="15"/>
                <w:color w:val="auto"/>
              </w:rPr>
            </w:pPr>
          </w:p>
        </w:tc>
        <w:tc>
          <w:tcPr>
            <w:tcW w:w="540" w:type="dxa"/>
            <w:vAlign w:val="bottom"/>
            <w:shd w:val="clear" w:color="auto" w:fill="C0FFFF"/>
          </w:tcPr>
          <w:p>
            <w:pPr>
              <w:spacing w:after="0"/>
              <w:rPr>
                <w:sz w:val="15"/>
                <w:szCs w:val="15"/>
                <w:color w:val="auto"/>
              </w:rPr>
            </w:pPr>
          </w:p>
        </w:tc>
        <w:tc>
          <w:tcPr>
            <w:tcW w:w="1440" w:type="dxa"/>
            <w:vAlign w:val="bottom"/>
            <w:gridSpan w:val="2"/>
            <w:shd w:val="clear" w:color="auto" w:fill="C0FFFF"/>
          </w:tcPr>
          <w:p>
            <w:pPr>
              <w:jc w:val="right"/>
              <w:ind w:right="460"/>
              <w:spacing w:after="0"/>
              <w:rPr>
                <w:sz w:val="20"/>
                <w:szCs w:val="20"/>
                <w:color w:val="auto"/>
              </w:rPr>
            </w:pPr>
            <w:r>
              <w:rPr>
                <w:rFonts w:ascii="Arial" w:cs="Arial" w:eastAsia="Arial" w:hAnsi="Arial"/>
                <w:sz w:val="15"/>
                <w:szCs w:val="15"/>
                <w:color w:val="auto"/>
              </w:rPr>
              <w:t>90,397</w:t>
            </w:r>
          </w:p>
        </w:tc>
      </w:tr>
      <w:tr>
        <w:trPr>
          <w:trHeight w:val="171"/>
        </w:trPr>
        <w:tc>
          <w:tcPr>
            <w:tcW w:w="2340" w:type="dxa"/>
            <w:vAlign w:val="bottom"/>
          </w:tcPr>
          <w:p>
            <w:pPr>
              <w:ind w:left="400"/>
              <w:spacing w:after="0" w:line="171" w:lineRule="exact"/>
              <w:rPr>
                <w:sz w:val="20"/>
                <w:szCs w:val="20"/>
                <w:color w:val="auto"/>
              </w:rPr>
            </w:pPr>
            <w:r>
              <w:rPr>
                <w:rFonts w:ascii="Arial" w:cs="Arial" w:eastAsia="Arial" w:hAnsi="Arial"/>
                <w:sz w:val="15"/>
                <w:szCs w:val="15"/>
                <w:color w:val="auto"/>
              </w:rPr>
              <w:t>Thirty-nine weeks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1"/>
        </w:trPr>
        <w:tc>
          <w:tcPr>
            <w:tcW w:w="2340" w:type="dxa"/>
            <w:vAlign w:val="bottom"/>
          </w:tcPr>
          <w:p>
            <w:pPr>
              <w:spacing w:after="0"/>
              <w:rPr>
                <w:sz w:val="20"/>
                <w:szCs w:val="20"/>
                <w:color w:val="auto"/>
              </w:rPr>
            </w:pPr>
            <w:r>
              <w:rPr>
                <w:rFonts w:ascii="Arial" w:cs="Arial" w:eastAsia="Arial" w:hAnsi="Arial"/>
                <w:sz w:val="15"/>
                <w:szCs w:val="15"/>
                <w:color w:val="auto"/>
              </w:rPr>
              <w:t>ended October 1, 2011</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2"/>
        </w:trPr>
        <w:tc>
          <w:tcPr>
            <w:tcW w:w="2340" w:type="dxa"/>
            <w:vAlign w:val="bottom"/>
            <w:shd w:val="clear" w:color="auto" w:fill="C0FFFF"/>
          </w:tcPr>
          <w:p>
            <w:pPr>
              <w:ind w:left="120"/>
              <w:spacing w:after="0"/>
              <w:rPr>
                <w:sz w:val="20"/>
                <w:szCs w:val="20"/>
                <w:color w:val="auto"/>
              </w:rPr>
            </w:pPr>
            <w:r>
              <w:rPr>
                <w:rFonts w:ascii="Arial" w:cs="Arial" w:eastAsia="Arial" w:hAnsi="Arial"/>
                <w:sz w:val="15"/>
                <w:szCs w:val="15"/>
                <w:color w:val="auto"/>
              </w:rPr>
              <w:t>Net sales to external</w:t>
            </w:r>
          </w:p>
        </w:tc>
        <w:tc>
          <w:tcPr>
            <w:tcW w:w="52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1040" w:type="dxa"/>
            <w:vAlign w:val="bottom"/>
            <w:shd w:val="clear" w:color="auto" w:fill="C0FFFF"/>
          </w:tcPr>
          <w:p>
            <w:pPr>
              <w:spacing w:after="0"/>
              <w:rPr>
                <w:sz w:val="14"/>
                <w:szCs w:val="14"/>
                <w:color w:val="auto"/>
              </w:rPr>
            </w:pPr>
          </w:p>
        </w:tc>
        <w:tc>
          <w:tcPr>
            <w:tcW w:w="36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980" w:type="dxa"/>
            <w:vAlign w:val="bottom"/>
            <w:shd w:val="clear" w:color="auto" w:fill="C0FFFF"/>
          </w:tcPr>
          <w:p>
            <w:pPr>
              <w:spacing w:after="0"/>
              <w:rPr>
                <w:sz w:val="14"/>
                <w:szCs w:val="14"/>
                <w:color w:val="auto"/>
              </w:rPr>
            </w:pPr>
          </w:p>
        </w:tc>
        <w:tc>
          <w:tcPr>
            <w:tcW w:w="460" w:type="dxa"/>
            <w:vAlign w:val="bottom"/>
            <w:shd w:val="clear" w:color="auto" w:fill="C0FFFF"/>
          </w:tcPr>
          <w:p>
            <w:pPr>
              <w:spacing w:after="0"/>
              <w:rPr>
                <w:sz w:val="14"/>
                <w:szCs w:val="14"/>
                <w:color w:val="auto"/>
              </w:rPr>
            </w:pPr>
          </w:p>
        </w:tc>
      </w:tr>
      <w:tr>
        <w:trPr>
          <w:trHeight w:val="192"/>
        </w:trPr>
        <w:tc>
          <w:tcPr>
            <w:tcW w:w="2340" w:type="dxa"/>
            <w:vAlign w:val="bottom"/>
            <w:shd w:val="clear" w:color="auto" w:fill="C0FFFF"/>
          </w:tcPr>
          <w:p>
            <w:pPr>
              <w:ind w:left="120"/>
              <w:spacing w:after="0"/>
              <w:rPr>
                <w:sz w:val="20"/>
                <w:szCs w:val="20"/>
                <w:color w:val="auto"/>
              </w:rPr>
            </w:pPr>
            <w:r>
              <w:rPr>
                <w:rFonts w:ascii="Arial" w:cs="Arial" w:eastAsia="Arial" w:hAnsi="Arial"/>
                <w:sz w:val="15"/>
                <w:szCs w:val="15"/>
                <w:color w:val="auto"/>
              </w:rPr>
              <w:t>customers</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9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225,415</w:t>
            </w:r>
          </w:p>
        </w:tc>
        <w:tc>
          <w:tcPr>
            <w:tcW w:w="780" w:type="dxa"/>
            <w:vAlign w:val="bottom"/>
            <w:shd w:val="clear" w:color="auto" w:fill="C0FFFF"/>
          </w:tcPr>
          <w:p>
            <w:pPr>
              <w:jc w:val="right"/>
              <w:ind w:right="204"/>
              <w:spacing w:after="0"/>
              <w:rPr>
                <w:sz w:val="20"/>
                <w:szCs w:val="20"/>
                <w:color w:val="auto"/>
              </w:rPr>
            </w:pPr>
            <w:r>
              <w:rPr>
                <w:rFonts w:ascii="Arial" w:cs="Arial" w:eastAsia="Arial" w:hAnsi="Arial"/>
                <w:sz w:val="15"/>
                <w:szCs w:val="15"/>
                <w:color w:val="auto"/>
              </w:rPr>
              <w:t>$</w:t>
            </w:r>
          </w:p>
        </w:tc>
        <w:tc>
          <w:tcPr>
            <w:tcW w:w="16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47,516</w:t>
            </w:r>
          </w:p>
        </w:tc>
        <w:tc>
          <w:tcPr>
            <w:tcW w:w="1040" w:type="dxa"/>
            <w:vAlign w:val="bottom"/>
            <w:shd w:val="clear" w:color="auto" w:fill="C0FFFF"/>
          </w:tcPr>
          <w:p>
            <w:pPr>
              <w:ind w:left="4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5"/>
                <w:szCs w:val="15"/>
                <w:color w:val="auto"/>
                <w:w w:val="90"/>
              </w:rPr>
              <w:t>2,312</w:t>
            </w:r>
          </w:p>
        </w:tc>
        <w:tc>
          <w:tcPr>
            <w:tcW w:w="9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40" w:type="dxa"/>
            <w:vAlign w:val="bottom"/>
            <w:gridSpan w:val="2"/>
            <w:shd w:val="clear" w:color="auto" w:fill="C0FFFF"/>
          </w:tcPr>
          <w:p>
            <w:pPr>
              <w:jc w:val="right"/>
              <w:ind w:right="460"/>
              <w:spacing w:after="0"/>
              <w:rPr>
                <w:sz w:val="20"/>
                <w:szCs w:val="20"/>
                <w:color w:val="auto"/>
              </w:rPr>
            </w:pPr>
            <w:r>
              <w:rPr>
                <w:rFonts w:ascii="Arial" w:cs="Arial" w:eastAsia="Arial" w:hAnsi="Arial"/>
                <w:sz w:val="15"/>
                <w:szCs w:val="15"/>
                <w:color w:val="auto"/>
              </w:rPr>
              <w:t>275,243</w:t>
            </w:r>
          </w:p>
        </w:tc>
      </w:tr>
      <w:tr>
        <w:trPr>
          <w:trHeight w:val="182"/>
        </w:trPr>
        <w:tc>
          <w:tcPr>
            <w:tcW w:w="2340" w:type="dxa"/>
            <w:vAlign w:val="bottom"/>
          </w:tcPr>
          <w:p>
            <w:pPr>
              <w:ind w:left="120"/>
              <w:spacing w:after="0"/>
              <w:rPr>
                <w:sz w:val="20"/>
                <w:szCs w:val="20"/>
                <w:color w:val="auto"/>
              </w:rPr>
            </w:pPr>
            <w:r>
              <w:rPr>
                <w:rFonts w:ascii="Arial" w:cs="Arial" w:eastAsia="Arial" w:hAnsi="Arial"/>
                <w:sz w:val="15"/>
                <w:szCs w:val="15"/>
                <w:color w:val="auto"/>
              </w:rPr>
              <w:t>Property and equipment, net</w:t>
            </w:r>
          </w:p>
        </w:tc>
        <w:tc>
          <w:tcPr>
            <w:tcW w:w="520" w:type="dxa"/>
            <w:vAlign w:val="bottom"/>
          </w:tcPr>
          <w:p>
            <w:pPr>
              <w:spacing w:after="0"/>
              <w:rPr>
                <w:sz w:val="15"/>
                <w:szCs w:val="15"/>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5"/>
                <w:szCs w:val="15"/>
                <w:color w:val="auto"/>
              </w:rPr>
              <w:t>67,527</w:t>
            </w:r>
          </w:p>
        </w:tc>
        <w:tc>
          <w:tcPr>
            <w:tcW w:w="780" w:type="dxa"/>
            <w:vAlign w:val="bottom"/>
          </w:tcPr>
          <w:p>
            <w:pPr>
              <w:spacing w:after="0"/>
              <w:rPr>
                <w:sz w:val="15"/>
                <w:szCs w:val="15"/>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5"/>
                <w:szCs w:val="15"/>
                <w:color w:val="auto"/>
              </w:rPr>
              <w:t>11,438</w:t>
            </w:r>
          </w:p>
        </w:tc>
        <w:tc>
          <w:tcPr>
            <w:tcW w:w="10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5"/>
                <w:szCs w:val="15"/>
                <w:color w:val="auto"/>
              </w:rPr>
              <w:t>78,965</w:t>
            </w:r>
          </w:p>
        </w:tc>
      </w:tr>
      <w:tr>
        <w:trPr>
          <w:trHeight w:val="171"/>
        </w:trPr>
        <w:tc>
          <w:tcPr>
            <w:tcW w:w="2340" w:type="dxa"/>
            <w:vAlign w:val="bottom"/>
            <w:shd w:val="clear" w:color="auto" w:fill="C0FFFF"/>
          </w:tcPr>
          <w:p>
            <w:pPr>
              <w:ind w:left="400"/>
              <w:spacing w:after="0" w:line="171" w:lineRule="exact"/>
              <w:rPr>
                <w:sz w:val="20"/>
                <w:szCs w:val="20"/>
                <w:color w:val="auto"/>
              </w:rPr>
            </w:pPr>
            <w:r>
              <w:rPr>
                <w:rFonts w:ascii="Arial" w:cs="Arial" w:eastAsia="Arial" w:hAnsi="Arial"/>
                <w:sz w:val="15"/>
                <w:szCs w:val="15"/>
                <w:color w:val="auto"/>
              </w:rPr>
              <w:t>Thirty-nine weeks</w:t>
            </w:r>
          </w:p>
        </w:tc>
        <w:tc>
          <w:tcPr>
            <w:tcW w:w="52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900" w:type="dxa"/>
            <w:vAlign w:val="bottom"/>
            <w:shd w:val="clear" w:color="auto" w:fill="C0FFFF"/>
          </w:tcPr>
          <w:p>
            <w:pPr>
              <w:spacing w:after="0"/>
              <w:rPr>
                <w:sz w:val="14"/>
                <w:szCs w:val="14"/>
                <w:color w:val="auto"/>
              </w:rPr>
            </w:pPr>
          </w:p>
        </w:tc>
        <w:tc>
          <w:tcPr>
            <w:tcW w:w="1040" w:type="dxa"/>
            <w:vAlign w:val="bottom"/>
            <w:shd w:val="clear" w:color="auto" w:fill="C0FFFF"/>
          </w:tcPr>
          <w:p>
            <w:pPr>
              <w:spacing w:after="0"/>
              <w:rPr>
                <w:sz w:val="14"/>
                <w:szCs w:val="14"/>
                <w:color w:val="auto"/>
              </w:rPr>
            </w:pPr>
          </w:p>
        </w:tc>
        <w:tc>
          <w:tcPr>
            <w:tcW w:w="360" w:type="dxa"/>
            <w:vAlign w:val="bottom"/>
            <w:shd w:val="clear" w:color="auto" w:fill="C0FFFF"/>
          </w:tcPr>
          <w:p>
            <w:pPr>
              <w:spacing w:after="0"/>
              <w:rPr>
                <w:sz w:val="14"/>
                <w:szCs w:val="14"/>
                <w:color w:val="auto"/>
              </w:rPr>
            </w:pPr>
          </w:p>
        </w:tc>
        <w:tc>
          <w:tcPr>
            <w:tcW w:w="9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980" w:type="dxa"/>
            <w:vAlign w:val="bottom"/>
            <w:shd w:val="clear" w:color="auto" w:fill="C0FFFF"/>
          </w:tcPr>
          <w:p>
            <w:pPr>
              <w:spacing w:after="0"/>
              <w:rPr>
                <w:sz w:val="14"/>
                <w:szCs w:val="14"/>
                <w:color w:val="auto"/>
              </w:rPr>
            </w:pPr>
          </w:p>
        </w:tc>
        <w:tc>
          <w:tcPr>
            <w:tcW w:w="460" w:type="dxa"/>
            <w:vAlign w:val="bottom"/>
            <w:shd w:val="clear" w:color="auto" w:fill="C0FFFF"/>
          </w:tcPr>
          <w:p>
            <w:pPr>
              <w:spacing w:after="0"/>
              <w:rPr>
                <w:sz w:val="14"/>
                <w:szCs w:val="14"/>
                <w:color w:val="auto"/>
              </w:rPr>
            </w:pPr>
          </w:p>
        </w:tc>
      </w:tr>
      <w:tr>
        <w:trPr>
          <w:trHeight w:val="192"/>
        </w:trPr>
        <w:tc>
          <w:tcPr>
            <w:tcW w:w="2340" w:type="dxa"/>
            <w:vAlign w:val="bottom"/>
            <w:shd w:val="clear" w:color="auto" w:fill="C0FFFF"/>
          </w:tcPr>
          <w:p>
            <w:pPr>
              <w:spacing w:after="0"/>
              <w:rPr>
                <w:sz w:val="20"/>
                <w:szCs w:val="20"/>
                <w:color w:val="auto"/>
              </w:rPr>
            </w:pPr>
            <w:r>
              <w:rPr>
                <w:rFonts w:ascii="Arial" w:cs="Arial" w:eastAsia="Arial" w:hAnsi="Arial"/>
                <w:sz w:val="15"/>
                <w:szCs w:val="15"/>
                <w:color w:val="auto"/>
              </w:rPr>
              <w:t>ended October 2, 2010</w:t>
            </w:r>
          </w:p>
        </w:tc>
        <w:tc>
          <w:tcPr>
            <w:tcW w:w="52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70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040" w:type="dxa"/>
            <w:vAlign w:val="bottom"/>
            <w:shd w:val="clear" w:color="auto" w:fill="C0FFFF"/>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98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r>
      <w:tr>
        <w:trPr>
          <w:trHeight w:val="171"/>
        </w:trPr>
        <w:tc>
          <w:tcPr>
            <w:tcW w:w="2340" w:type="dxa"/>
            <w:vAlign w:val="bottom"/>
          </w:tcPr>
          <w:p>
            <w:pPr>
              <w:ind w:left="120"/>
              <w:spacing w:after="0" w:line="171" w:lineRule="exact"/>
              <w:rPr>
                <w:sz w:val="20"/>
                <w:szCs w:val="20"/>
                <w:color w:val="auto"/>
              </w:rPr>
            </w:pPr>
            <w:r>
              <w:rPr>
                <w:rFonts w:ascii="Arial" w:cs="Arial" w:eastAsia="Arial" w:hAnsi="Arial"/>
                <w:sz w:val="15"/>
                <w:szCs w:val="15"/>
                <w:color w:val="auto"/>
              </w:rPr>
              <w:t>Net sales to external</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1"/>
        </w:trPr>
        <w:tc>
          <w:tcPr>
            <w:tcW w:w="2340" w:type="dxa"/>
            <w:vAlign w:val="bottom"/>
          </w:tcPr>
          <w:p>
            <w:pPr>
              <w:ind w:left="120"/>
              <w:spacing w:after="0"/>
              <w:rPr>
                <w:sz w:val="20"/>
                <w:szCs w:val="20"/>
                <w:color w:val="auto"/>
              </w:rPr>
            </w:pPr>
            <w:r>
              <w:rPr>
                <w:rFonts w:ascii="Arial" w:cs="Arial" w:eastAsia="Arial" w:hAnsi="Arial"/>
                <w:sz w:val="15"/>
                <w:szCs w:val="15"/>
                <w:color w:val="auto"/>
              </w:rPr>
              <w:t>customers</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5"/>
                <w:szCs w:val="15"/>
                <w:color w:val="auto"/>
              </w:rPr>
              <w:t>229,627</w:t>
            </w:r>
          </w:p>
        </w:tc>
        <w:tc>
          <w:tcPr>
            <w:tcW w:w="7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600" w:type="dxa"/>
            <w:vAlign w:val="bottom"/>
            <w:gridSpan w:val="2"/>
          </w:tcPr>
          <w:p>
            <w:pPr>
              <w:jc w:val="right"/>
              <w:ind w:right="900"/>
              <w:spacing w:after="0"/>
              <w:rPr>
                <w:sz w:val="20"/>
                <w:szCs w:val="20"/>
                <w:color w:val="auto"/>
              </w:rPr>
            </w:pPr>
            <w:r>
              <w:rPr>
                <w:rFonts w:ascii="Arial" w:cs="Arial" w:eastAsia="Arial" w:hAnsi="Arial"/>
                <w:sz w:val="15"/>
                <w:szCs w:val="15"/>
                <w:color w:val="auto"/>
              </w:rPr>
              <w:t>43,924</w:t>
            </w:r>
          </w:p>
        </w:tc>
        <w:tc>
          <w:tcPr>
            <w:tcW w:w="1040" w:type="dxa"/>
            <w:vAlign w:val="bottom"/>
          </w:tcPr>
          <w:p>
            <w:pPr>
              <w:ind w:left="4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920"/>
              <w:spacing w:after="0"/>
              <w:rPr>
                <w:sz w:val="20"/>
                <w:szCs w:val="20"/>
                <w:color w:val="auto"/>
              </w:rPr>
            </w:pPr>
            <w:r>
              <w:rPr>
                <w:rFonts w:ascii="Arial" w:cs="Arial" w:eastAsia="Arial" w:hAnsi="Arial"/>
                <w:sz w:val="15"/>
                <w:szCs w:val="15"/>
                <w:color w:val="auto"/>
                <w:w w:val="90"/>
              </w:rPr>
              <w:t>2,112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5"/>
                <w:szCs w:val="15"/>
                <w:color w:val="auto"/>
              </w:rPr>
              <w:t>275,663</w:t>
            </w:r>
          </w:p>
        </w:tc>
      </w:tr>
      <w:tr>
        <w:trPr>
          <w:trHeight w:val="182"/>
        </w:trPr>
        <w:tc>
          <w:tcPr>
            <w:tcW w:w="2340" w:type="dxa"/>
            <w:vAlign w:val="bottom"/>
            <w:shd w:val="clear" w:color="auto" w:fill="C0FFFF"/>
          </w:tcPr>
          <w:p>
            <w:pPr>
              <w:ind w:left="120"/>
              <w:spacing w:after="0"/>
              <w:rPr>
                <w:sz w:val="20"/>
                <w:szCs w:val="20"/>
                <w:color w:val="auto"/>
              </w:rPr>
            </w:pPr>
            <w:r>
              <w:rPr>
                <w:rFonts w:ascii="Arial" w:cs="Arial" w:eastAsia="Arial" w:hAnsi="Arial"/>
                <w:sz w:val="15"/>
                <w:szCs w:val="15"/>
                <w:color w:val="auto"/>
              </w:rPr>
              <w:t>Property and equipment, net</w:t>
            </w:r>
          </w:p>
        </w:tc>
        <w:tc>
          <w:tcPr>
            <w:tcW w:w="520" w:type="dxa"/>
            <w:vAlign w:val="bottom"/>
            <w:shd w:val="clear" w:color="auto" w:fill="C0FFFF"/>
          </w:tcPr>
          <w:p>
            <w:pPr>
              <w:spacing w:after="0"/>
              <w:rPr>
                <w:sz w:val="15"/>
                <w:szCs w:val="15"/>
                <w:color w:val="auto"/>
              </w:rPr>
            </w:pPr>
          </w:p>
        </w:tc>
        <w:tc>
          <w:tcPr>
            <w:tcW w:w="19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78,082</w:t>
            </w:r>
          </w:p>
        </w:tc>
        <w:tc>
          <w:tcPr>
            <w:tcW w:w="780" w:type="dxa"/>
            <w:vAlign w:val="bottom"/>
            <w:shd w:val="clear" w:color="auto" w:fill="C0FFFF"/>
          </w:tcPr>
          <w:p>
            <w:pPr>
              <w:spacing w:after="0"/>
              <w:rPr>
                <w:sz w:val="15"/>
                <w:szCs w:val="15"/>
                <w:color w:val="auto"/>
              </w:rPr>
            </w:pPr>
          </w:p>
        </w:tc>
        <w:tc>
          <w:tcPr>
            <w:tcW w:w="1600" w:type="dxa"/>
            <w:vAlign w:val="bottom"/>
            <w:gridSpan w:val="2"/>
            <w:shd w:val="clear" w:color="auto" w:fill="C0FFFF"/>
          </w:tcPr>
          <w:p>
            <w:pPr>
              <w:jc w:val="right"/>
              <w:ind w:right="900"/>
              <w:spacing w:after="0"/>
              <w:rPr>
                <w:sz w:val="20"/>
                <w:szCs w:val="20"/>
                <w:color w:val="auto"/>
              </w:rPr>
            </w:pPr>
            <w:r>
              <w:rPr>
                <w:rFonts w:ascii="Arial" w:cs="Arial" w:eastAsia="Arial" w:hAnsi="Arial"/>
                <w:sz w:val="15"/>
                <w:szCs w:val="15"/>
                <w:color w:val="auto"/>
              </w:rPr>
              <w:t>12,315</w:t>
            </w:r>
          </w:p>
        </w:tc>
        <w:tc>
          <w:tcPr>
            <w:tcW w:w="1040" w:type="dxa"/>
            <w:vAlign w:val="bottom"/>
            <w:shd w:val="clear" w:color="auto" w:fill="C0FFFF"/>
          </w:tcPr>
          <w:p>
            <w:pPr>
              <w:spacing w:after="0"/>
              <w:rPr>
                <w:sz w:val="15"/>
                <w:szCs w:val="15"/>
                <w:color w:val="auto"/>
              </w:rPr>
            </w:pPr>
          </w:p>
        </w:tc>
        <w:tc>
          <w:tcPr>
            <w:tcW w:w="3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0FFFF"/>
          </w:tcPr>
          <w:p>
            <w:pPr>
              <w:spacing w:after="0"/>
              <w:rPr>
                <w:sz w:val="15"/>
                <w:szCs w:val="15"/>
                <w:color w:val="auto"/>
              </w:rPr>
            </w:pPr>
          </w:p>
        </w:tc>
        <w:tc>
          <w:tcPr>
            <w:tcW w:w="540" w:type="dxa"/>
            <w:vAlign w:val="bottom"/>
            <w:shd w:val="clear" w:color="auto" w:fill="C0FFFF"/>
          </w:tcPr>
          <w:p>
            <w:pPr>
              <w:spacing w:after="0"/>
              <w:rPr>
                <w:sz w:val="15"/>
                <w:szCs w:val="15"/>
                <w:color w:val="auto"/>
              </w:rPr>
            </w:pPr>
          </w:p>
        </w:tc>
        <w:tc>
          <w:tcPr>
            <w:tcW w:w="1440" w:type="dxa"/>
            <w:vAlign w:val="bottom"/>
            <w:gridSpan w:val="2"/>
            <w:shd w:val="clear" w:color="auto" w:fill="C0FFFF"/>
          </w:tcPr>
          <w:p>
            <w:pPr>
              <w:jc w:val="right"/>
              <w:ind w:right="460"/>
              <w:spacing w:after="0"/>
              <w:rPr>
                <w:sz w:val="20"/>
                <w:szCs w:val="20"/>
                <w:color w:val="auto"/>
              </w:rPr>
            </w:pPr>
            <w:r>
              <w:rPr>
                <w:rFonts w:ascii="Arial" w:cs="Arial" w:eastAsia="Arial" w:hAnsi="Arial"/>
                <w:sz w:val="15"/>
                <w:szCs w:val="15"/>
                <w:color w:val="auto"/>
              </w:rPr>
              <w:t>90,397</w:t>
            </w:r>
          </w:p>
        </w:tc>
      </w:tr>
    </w:tbl>
    <w:p>
      <w:pPr>
        <w:spacing w:after="0" w:line="216" w:lineRule="exact"/>
        <w:rPr>
          <w:sz w:val="20"/>
          <w:szCs w:val="20"/>
          <w:color w:val="auto"/>
        </w:rPr>
      </w:pPr>
    </w:p>
    <w:p>
      <w:pPr>
        <w:ind w:left="409" w:hanging="409"/>
        <w:spacing w:after="0"/>
        <w:tabs>
          <w:tab w:leader="none" w:pos="409" w:val="left"/>
        </w:tabs>
        <w:numPr>
          <w:ilvl w:val="0"/>
          <w:numId w:val="3"/>
        </w:numPr>
        <w:rPr>
          <w:rFonts w:ascii="Arial" w:cs="Arial" w:eastAsia="Arial" w:hAnsi="Arial"/>
          <w:sz w:val="15"/>
          <w:szCs w:val="15"/>
          <w:color w:val="auto"/>
        </w:rPr>
      </w:pPr>
      <w:r>
        <w:rPr>
          <w:rFonts w:ascii="Arial" w:cs="Arial" w:eastAsia="Arial" w:hAnsi="Arial"/>
          <w:sz w:val="15"/>
          <w:szCs w:val="15"/>
          <w:color w:val="auto"/>
        </w:rPr>
        <w:t>North America includes the United States, Canada and Puerto Rico</w:t>
      </w:r>
    </w:p>
    <w:p>
      <w:pPr>
        <w:spacing w:after="0" w:line="18" w:lineRule="exact"/>
        <w:rPr>
          <w:rFonts w:ascii="Arial" w:cs="Arial" w:eastAsia="Arial" w:hAnsi="Arial"/>
          <w:sz w:val="15"/>
          <w:szCs w:val="15"/>
          <w:color w:val="auto"/>
        </w:rPr>
      </w:pPr>
    </w:p>
    <w:p>
      <w:pPr>
        <w:ind w:left="409" w:hanging="409"/>
        <w:spacing w:after="0"/>
        <w:tabs>
          <w:tab w:leader="none" w:pos="409" w:val="left"/>
        </w:tabs>
        <w:numPr>
          <w:ilvl w:val="0"/>
          <w:numId w:val="3"/>
        </w:numPr>
        <w:rPr>
          <w:rFonts w:ascii="Arial" w:cs="Arial" w:eastAsia="Arial" w:hAnsi="Arial"/>
          <w:sz w:val="15"/>
          <w:szCs w:val="15"/>
          <w:color w:val="auto"/>
        </w:rPr>
      </w:pPr>
      <w:r>
        <w:rPr>
          <w:rFonts w:ascii="Arial" w:cs="Arial" w:eastAsia="Arial" w:hAnsi="Arial"/>
          <w:sz w:val="15"/>
          <w:szCs w:val="15"/>
          <w:color w:val="auto"/>
        </w:rPr>
        <w:t>Europe includes Company-owned stores in the United Kingdom and Ireland and, prior to 2011, France</w:t>
      </w:r>
    </w:p>
    <w:p>
      <w:pPr>
        <w:spacing w:after="0" w:line="9" w:lineRule="exact"/>
        <w:rPr>
          <w:rFonts w:ascii="Arial" w:cs="Arial" w:eastAsia="Arial" w:hAnsi="Arial"/>
          <w:sz w:val="15"/>
          <w:szCs w:val="15"/>
          <w:color w:val="auto"/>
        </w:rPr>
      </w:pPr>
    </w:p>
    <w:p>
      <w:pPr>
        <w:ind w:left="409" w:hanging="409"/>
        <w:spacing w:after="0"/>
        <w:tabs>
          <w:tab w:leader="none" w:pos="409"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includes franchise businesses outside of the United States, Canada, Puerto Rico, the United Kingdom and Ireland</w:t>
      </w:r>
    </w:p>
    <w:p>
      <w:pPr>
        <w:spacing w:after="0" w:line="22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10. Subsequent Event</w:t>
      </w:r>
    </w:p>
    <w:p>
      <w:pPr>
        <w:spacing w:after="0" w:line="240" w:lineRule="exact"/>
        <w:rPr>
          <w:sz w:val="20"/>
          <w:szCs w:val="20"/>
          <w:color w:val="auto"/>
        </w:rPr>
      </w:pPr>
    </w:p>
    <w:p>
      <w:pPr>
        <w:ind w:left="9" w:firstLine="408"/>
        <w:spacing w:after="0" w:line="277" w:lineRule="auto"/>
        <w:rPr>
          <w:sz w:val="20"/>
          <w:szCs w:val="20"/>
          <w:color w:val="auto"/>
        </w:rPr>
      </w:pPr>
      <w:r>
        <w:rPr>
          <w:rFonts w:ascii="Arial" w:cs="Arial" w:eastAsia="Arial" w:hAnsi="Arial"/>
          <w:sz w:val="15"/>
          <w:szCs w:val="15"/>
          <w:color w:val="auto"/>
        </w:rPr>
        <w:t>In the period from October 2, 2011 through November 7, 2011, the Company repurchased approximately 672,000 shares for an aggregate amount of $3.7 million, leaving $9.8 million of availability under the program.</w:t>
      </w:r>
    </w:p>
    <w:p>
      <w:pPr>
        <w:sectPr>
          <w:pgSz w:w="11900" w:h="16838" w:orient="portrait"/>
          <w:cols w:equalWidth="0" w:num="1">
            <w:col w:w="11449"/>
          </w:cols>
          <w:pgMar w:left="231" w:top="458" w:right="21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74930</wp:posOffset>
            </wp:positionV>
            <wp:extent cx="727392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Notice Regarding Forward-Looking Statements</w:t>
      </w:r>
    </w:p>
    <w:p>
      <w:pPr>
        <w:spacing w:after="0" w:line="240" w:lineRule="exact"/>
        <w:rPr>
          <w:sz w:val="20"/>
          <w:szCs w:val="20"/>
          <w:color w:val="auto"/>
        </w:rPr>
      </w:pPr>
    </w:p>
    <w:p>
      <w:pPr>
        <w:jc w:val="both"/>
        <w:ind w:firstLine="186"/>
        <w:spacing w:after="0" w:line="258" w:lineRule="auto"/>
        <w:rPr>
          <w:sz w:val="20"/>
          <w:szCs w:val="20"/>
          <w:color w:val="auto"/>
        </w:rPr>
      </w:pPr>
      <w:r>
        <w:rPr>
          <w:rFonts w:ascii="Arial" w:cs="Arial" w:eastAsia="Arial" w:hAnsi="Arial"/>
          <w:sz w:val="15"/>
          <w:szCs w:val="15"/>
          <w:color w:val="auto"/>
        </w:rPr>
        <w:t>This report includes statements of our expectations, intentions, plans and beliefs that constitute “forward-looking statements” within the meaning of Section 27A of the Securities Act of 1933 and Section 21E of the Securities Exchange Act of 1934 and are intended to come within the safe harbor protection provided by those sections. These statements relate to future events or our future financial performance in Management’s Discussion and Analysis of Financial Condition and Results of Operations. We generally identify these statements by words or phrases such as “may,” “might,” “should,” “expect,” “plan,” “anticipate,” “believe,” “estimate,” “intend,” “predict,” “future,” “potential” or “continue,” the negative or any derivative of these terms and other comparable terminology.</w:t>
      </w:r>
    </w:p>
    <w:p>
      <w:pPr>
        <w:spacing w:after="0" w:line="207" w:lineRule="exact"/>
        <w:rPr>
          <w:sz w:val="20"/>
          <w:szCs w:val="20"/>
          <w:color w:val="auto"/>
        </w:rPr>
      </w:pPr>
    </w:p>
    <w:p>
      <w:pPr>
        <w:ind w:right="80" w:firstLine="186"/>
        <w:spacing w:after="0" w:line="261" w:lineRule="auto"/>
        <w:rPr>
          <w:sz w:val="20"/>
          <w:szCs w:val="20"/>
          <w:color w:val="auto"/>
        </w:rPr>
      </w:pPr>
      <w:r>
        <w:rPr>
          <w:rFonts w:ascii="Arial" w:cs="Arial" w:eastAsia="Arial" w:hAnsi="Arial"/>
          <w:sz w:val="15"/>
          <w:szCs w:val="15"/>
          <w:color w:val="auto"/>
        </w:rPr>
        <w:t>Without limiting the foregoing, all statements relating to our future sales and operating results, anticipated store locations and capital expenditures, future cash flows and share repurchases, and sources of funding are forward-looking statements and speak only as of the date of this report. These forward-looking statements are based on numerous assumptions that we believe are reasonable, but are subject to a wide range of uncertainties and business risks and actual results may differ materially from those discussed in these statements. Among the factors that could cause actual results to differ materially are:</w:t>
      </w:r>
    </w:p>
    <w:p>
      <w:pPr>
        <w:spacing w:after="0" w:line="203" w:lineRule="exact"/>
        <w:rPr>
          <w:sz w:val="20"/>
          <w:szCs w:val="20"/>
          <w:color w:val="auto"/>
        </w:rPr>
      </w:pPr>
    </w:p>
    <w:p>
      <w:pPr>
        <w:ind w:left="540" w:right="300" w:hanging="277"/>
        <w:spacing w:after="0" w:line="258"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global economic conditions may continue to deteriorate, which could lead to disproportionately reduced consumer demand for our products, which represent relatively discretionary spending;</w:t>
      </w:r>
    </w:p>
    <w:p>
      <w:pPr>
        <w:spacing w:after="0" w:line="1"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customer traffic may continue to decrease in the shopping malls where we are located, on which we depend to attract guests to our stores;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generate interest in and demand for our interactive retail experience, or to identify and respond to consumer preferences in a timely fashion;</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marketing and on-line initiatives may not be effective in generating sufficient levels of brand awareness and guest traffic;</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generate comparable store sales growth;</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availability and costs of our products could be adversely affected by risks associated with international manufacturing and trade including foreign currency fluctuation;</w:t>
      </w:r>
    </w:p>
    <w:p>
      <w:pPr>
        <w:spacing w:after="0" w:line="20" w:lineRule="exact"/>
        <w:rPr>
          <w:rFonts w:ascii="Arial" w:cs="Arial" w:eastAsia="Arial" w:hAnsi="Arial"/>
          <w:sz w:val="14"/>
          <w:szCs w:val="14"/>
          <w:color w:val="auto"/>
        </w:rPr>
      </w:pPr>
    </w:p>
    <w:p>
      <w:pPr>
        <w:ind w:left="540" w:right="420" w:hanging="277"/>
        <w:spacing w:after="0" w:line="252"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renew or replace our store leases, or enter into leases for new stores on favorable terms or in favorable locations, or may violate the terms of our current leases;</w:t>
      </w: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effectively manage the operations and growth of our company-owned stores;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are susceptible to disruption in our inventory flow due to our reliance on a few vendors;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 petroleum product prices could increase some product and inventory transportation costs and adversely affect our profitability;</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effectively manage our international franchises or laws relating to those franchises may change;</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operate our European company-owned stores profitably;</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our quarterly results of operations could cause the price of our common stock to substantially decline;</w:t>
      </w:r>
    </w:p>
    <w:p>
      <w:pPr>
        <w:spacing w:after="0" w:line="9" w:lineRule="exact"/>
        <w:rPr>
          <w:rFonts w:ascii="Arial" w:cs="Arial" w:eastAsia="Arial" w:hAnsi="Arial"/>
          <w:sz w:val="15"/>
          <w:szCs w:val="15"/>
          <w:color w:val="auto"/>
        </w:rPr>
      </w:pPr>
    </w:p>
    <w:p>
      <w:pPr>
        <w:ind w:left="540" w:right="80" w:hanging="277"/>
        <w:spacing w:after="0" w:line="252"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repurchase shares at all or at the times or in the amounts we currently anticipate or the results of the share repurchase program may not be as beneficial as we currently anticipate;</w:t>
      </w:r>
    </w:p>
    <w:p>
      <w:pPr>
        <w:ind w:left="540" w:hanging="277"/>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products could become subject to recalls or product liability claims that could adversely impact our financial performance and harm our reputation among consumers;</w:t>
      </w:r>
    </w:p>
    <w:p>
      <w:pPr>
        <w:spacing w:after="0" w:line="20" w:lineRule="exact"/>
        <w:rPr>
          <w:rFonts w:ascii="Arial" w:cs="Arial" w:eastAsia="Arial" w:hAnsi="Arial"/>
          <w:sz w:val="14"/>
          <w:szCs w:val="14"/>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improperly obtain or be unable to protect information from our guests in violation of privacy or security laws or expectations;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suffer negative publicity or be sued due to violations of labor laws or unethical practices by manufacturers of our merchandise;</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suffer negative publicity or negative sales if the non-proprietary toy products we sell in our stores do not meet our quality or sales expectations;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lose key personnel, be unable to hire qualified additional personnel, or experience turnover of our management team;</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operate our company-owned distribution center efficiently or our third-party distribution center providers may perform poorly;</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market share could be adversely affected by a significant, or increased, number of competitors;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fail to renew, register or otherwise protect our trademarks or other intellectual property;</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have disputes with, or be sued by, third parties for infringement or misappropriation of their proprietary rights; and</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poor global economic conditions could have a material adverse effect on our liquidity and capital resources.</w:t>
      </w:r>
    </w:p>
    <w:p>
      <w:pPr>
        <w:spacing w:after="0" w:line="227" w:lineRule="exact"/>
        <w:rPr>
          <w:sz w:val="20"/>
          <w:szCs w:val="20"/>
          <w:color w:val="auto"/>
        </w:rPr>
      </w:pPr>
    </w:p>
    <w:p>
      <w:pPr>
        <w:ind w:right="60" w:firstLine="186"/>
        <w:spacing w:after="0" w:line="261" w:lineRule="auto"/>
        <w:rPr>
          <w:sz w:val="20"/>
          <w:szCs w:val="20"/>
          <w:color w:val="auto"/>
        </w:rPr>
      </w:pPr>
      <w:r>
        <w:rPr>
          <w:rFonts w:ascii="Arial" w:cs="Arial" w:eastAsia="Arial" w:hAnsi="Arial"/>
          <w:sz w:val="15"/>
          <w:szCs w:val="15"/>
          <w:color w:val="auto"/>
        </w:rPr>
        <w:t>When considering these forward-looking statements, you should keep in mind the cautionary statements in this document and in our other Securities and Exchange Commission (SEC) filings, including the more detailed discussion of these factors, as well as other factors that could affect our results, contained in Item 1A. “Risk Factors” of our Annual Report on Form 10-K for the year ended January 1, 2011. These forward-looking statements speak only as of the date on which such statements were made, and we undertake no obligation to update these statements except as required by federal securities laws.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Overview</w:t>
      </w:r>
    </w:p>
    <w:p>
      <w:pPr>
        <w:spacing w:after="0" w:line="240" w:lineRule="exact"/>
        <w:rPr>
          <w:sz w:val="20"/>
          <w:szCs w:val="20"/>
          <w:color w:val="auto"/>
        </w:rPr>
      </w:pPr>
    </w:p>
    <w:p>
      <w:pPr>
        <w:jc w:val="both"/>
        <w:ind w:right="40" w:firstLine="408"/>
        <w:spacing w:after="0" w:line="261" w:lineRule="auto"/>
        <w:rPr>
          <w:sz w:val="20"/>
          <w:szCs w:val="20"/>
          <w:color w:val="auto"/>
        </w:rPr>
      </w:pPr>
      <w:r>
        <w:rPr>
          <w:rFonts w:ascii="Arial" w:cs="Arial" w:eastAsia="Arial" w:hAnsi="Arial"/>
          <w:sz w:val="15"/>
          <w:szCs w:val="15"/>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03" w:lineRule="exact"/>
        <w:rPr>
          <w:sz w:val="20"/>
          <w:szCs w:val="20"/>
          <w:color w:val="auto"/>
        </w:rPr>
      </w:pPr>
    </w:p>
    <w:p>
      <w:pPr>
        <w:ind w:firstLine="408"/>
        <w:spacing w:after="0" w:line="281" w:lineRule="auto"/>
        <w:rPr>
          <w:sz w:val="20"/>
          <w:szCs w:val="20"/>
          <w:color w:val="auto"/>
        </w:rPr>
      </w:pPr>
      <w:r>
        <w:rPr>
          <w:rFonts w:ascii="Arial" w:cs="Arial" w:eastAsia="Arial" w:hAnsi="Arial"/>
          <w:sz w:val="14"/>
          <w:szCs w:val="14"/>
          <w:color w:val="auto"/>
        </w:rPr>
        <w:t>We are growing our business in our company-owned stores and in our e-commerce by building synergies between our core products, our partnerships with other world class brands and through added engagement in and out of our iconic stores. Build-A-Bear Workshop is a powerful global brand, and we see significant opportunities for growth outside of North America and the United Kingdom. The Build-A-Bear Workshop brand is a strong platform--kids love us and Moms trust us, which gives us the foundation to potentially go to market with other retail concepts and products as well as include these concepts and products in our retail stores and website. We are in a strong financial position to drive further international growth and at the same time, continue to buy back stock and invest in other strategic initiatives for the benefit of all Build-A-Bear Workshop stakeholders.</w:t>
      </w:r>
    </w:p>
    <w:p>
      <w:pPr>
        <w:spacing w:after="0" w:line="192" w:lineRule="exact"/>
        <w:rPr>
          <w:sz w:val="20"/>
          <w:szCs w:val="20"/>
          <w:color w:val="auto"/>
        </w:rPr>
      </w:pPr>
    </w:p>
    <w:p>
      <w:pPr>
        <w:ind w:right="140" w:firstLine="408"/>
        <w:spacing w:after="0" w:line="316" w:lineRule="auto"/>
        <w:rPr>
          <w:sz w:val="20"/>
          <w:szCs w:val="20"/>
          <w:color w:val="auto"/>
        </w:rPr>
      </w:pPr>
      <w:r>
        <w:rPr>
          <w:rFonts w:ascii="Arial" w:cs="Arial" w:eastAsia="Arial" w:hAnsi="Arial"/>
          <w:sz w:val="13"/>
          <w:szCs w:val="13"/>
          <w:color w:val="auto"/>
        </w:rPr>
        <w:t>As of October 1, 2011, we operated 288 stores in the United States, Canada, and Puerto Rico, 56 stores in the United Kingdom and Ireland, and had 76 franchised stores operating internationally under the Build-A-Bear Workshop brand. In order to capitalize on short-term opportunities in specific locations, we also operated seven temporary, pop-up locations. In addition to our stores, we market our products and build our brand through our websites, which simulate our interactive shopping experience, as well as non-traditional store locations in three Major League Baseball</w:t>
      </w:r>
      <w:r>
        <w:rPr>
          <w:rFonts w:ascii="Arial" w:cs="Arial" w:eastAsia="Arial" w:hAnsi="Arial"/>
          <w:sz w:val="18"/>
          <w:szCs w:val="18"/>
          <w:color w:val="auto"/>
          <w:vertAlign w:val="superscript"/>
        </w:rPr>
        <w:t>®</w:t>
      </w:r>
      <w:r>
        <w:rPr>
          <w:rFonts w:ascii="Arial" w:cs="Arial" w:eastAsia="Arial" w:hAnsi="Arial"/>
          <w:sz w:val="13"/>
          <w:szCs w:val="13"/>
          <w:color w:val="auto"/>
        </w:rPr>
        <w:t xml:space="preserve"> ballparks, a zoo, a science center and an airport. Seasonal locations, such as ballparks and zoos, are excluded from our store count.</w:t>
      </w:r>
    </w:p>
    <w:p>
      <w:pPr>
        <w:spacing w:after="0" w:line="90" w:lineRule="exact"/>
        <w:rPr>
          <w:sz w:val="20"/>
          <w:szCs w:val="20"/>
          <w:color w:val="auto"/>
        </w:rPr>
      </w:pPr>
    </w:p>
    <w:p>
      <w:pPr>
        <w:ind w:right="220" w:firstLine="408"/>
        <w:spacing w:after="0" w:line="277" w:lineRule="auto"/>
        <w:rPr>
          <w:sz w:val="20"/>
          <w:szCs w:val="20"/>
          <w:color w:val="auto"/>
        </w:rPr>
      </w:pPr>
      <w:r>
        <w:rPr>
          <w:rFonts w:ascii="Arial" w:cs="Arial" w:eastAsia="Arial" w:hAnsi="Arial"/>
          <w:sz w:val="15"/>
          <w:szCs w:val="15"/>
          <w:color w:val="auto"/>
        </w:rPr>
        <w:t>We operate in three reportable segments (retail, commercial and international franchising) that share the same infrastructure, including management, systems, merchandising and marketing, and generate revenues as follows:</w:t>
      </w:r>
    </w:p>
    <w:p>
      <w:pPr>
        <w:spacing w:after="0" w:line="192" w:lineRule="exact"/>
        <w:rPr>
          <w:sz w:val="20"/>
          <w:szCs w:val="20"/>
          <w:color w:val="auto"/>
        </w:rPr>
      </w:pPr>
    </w:p>
    <w:p>
      <w:pPr>
        <w:ind w:left="720" w:right="60" w:hanging="275"/>
        <w:spacing w:after="0" w:line="258" w:lineRule="auto"/>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Company-owned retail stores located in the United States, Canada, Puerto Rico, the United Kingdom, and Ireland, all non-traditional store locations and e-commerce websites or “webstores”;</w:t>
      </w:r>
    </w:p>
    <w:p>
      <w:pPr>
        <w:spacing w:after="0" w:line="1" w:lineRule="exact"/>
        <w:rPr>
          <w:rFonts w:ascii="Arial" w:cs="Arial" w:eastAsia="Arial" w:hAnsi="Arial"/>
          <w:sz w:val="15"/>
          <w:szCs w:val="15"/>
          <w:color w:val="auto"/>
        </w:rPr>
      </w:pPr>
    </w:p>
    <w:p>
      <w:pPr>
        <w:ind w:left="720" w:hanging="275"/>
        <w:spacing w:after="0" w:line="252" w:lineRule="auto"/>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Transactions with other business partners, mainly comprised of licensing our intellectual property, including entertainment properties, for third-party use and wholesale product sales; and</w:t>
      </w:r>
    </w:p>
    <w:p>
      <w:pPr>
        <w:ind w:left="720" w:hanging="275"/>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International stores operated under franchise agreements.</w:t>
      </w:r>
    </w:p>
    <w:p>
      <w:pPr>
        <w:spacing w:after="0" w:line="227" w:lineRule="exact"/>
        <w:rPr>
          <w:sz w:val="20"/>
          <w:szCs w:val="20"/>
          <w:color w:val="auto"/>
        </w:rPr>
      </w:pPr>
    </w:p>
    <w:p>
      <w:pPr>
        <w:ind w:right="300" w:firstLine="408"/>
        <w:spacing w:after="0" w:line="277" w:lineRule="auto"/>
        <w:rPr>
          <w:sz w:val="20"/>
          <w:szCs w:val="20"/>
          <w:color w:val="auto"/>
        </w:rPr>
      </w:pPr>
      <w:r>
        <w:rPr>
          <w:rFonts w:ascii="Arial" w:cs="Arial" w:eastAsia="Arial" w:hAnsi="Arial"/>
          <w:sz w:val="15"/>
          <w:szCs w:val="15"/>
          <w:color w:val="auto"/>
        </w:rPr>
        <w:t>Selected financial data attributable to each segment for the thirteen and thirty-nine weeks ended October 1, 2011 and October 2, 2010 are set forth in the notes to our condensed consolidated financial statements included elsewhere in this quarterly report on Form 10-Q.</w:t>
      </w:r>
    </w:p>
    <w:p>
      <w:pPr>
        <w:spacing w:after="0" w:line="192" w:lineRule="exact"/>
        <w:rPr>
          <w:sz w:val="20"/>
          <w:szCs w:val="20"/>
          <w:color w:val="auto"/>
        </w:rPr>
      </w:pPr>
    </w:p>
    <w:p>
      <w:pPr>
        <w:ind w:right="40" w:firstLine="408"/>
        <w:spacing w:after="0" w:line="258" w:lineRule="auto"/>
        <w:rPr>
          <w:sz w:val="20"/>
          <w:szCs w:val="20"/>
          <w:color w:val="auto"/>
        </w:rPr>
      </w:pPr>
      <w:r>
        <w:rPr>
          <w:rFonts w:ascii="Arial" w:cs="Arial" w:eastAsia="Arial" w:hAnsi="Arial"/>
          <w:sz w:val="15"/>
          <w:szCs w:val="15"/>
          <w:color w:val="auto"/>
        </w:rPr>
        <w:t>Store contribution, for our consolidated operations, was 11.3% for the thirty-nine weeks ended October 1, 2011 and 11.7% for the thirty-nine weeks ended October 2, 2010 and consolidated net loss as a percentage of total revenues was 2.9% for the thirty-nine weeks ended October 1, 2011 and 3.0% for the thirty-nine weeks ended October 2, 2010. See “— Non-GAAP Financial Measures” for a definition of store contribution and a reconciliation of store contribution to net loss. The decrease in our store contribution over the prior year was primarily due to the decrease in comparable store sales partially offset by the improvements in gross margin driven by improved leverage on fixed occupancy costs, increased merchandise margin and lower distribution costs.</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340"/>
          </w:cols>
          <w:pgMar w:left="240" w:top="477" w:right="319" w:bottom="1440" w:gutter="0" w:footer="0" w:header="0"/>
        </w:sectPr>
      </w:pPr>
    </w:p>
    <w:bookmarkStart w:id="12" w:name="page13"/>
    <w:bookmarkEnd w:id="12"/>
    <w:p>
      <w:pPr>
        <w:ind w:right="60" w:firstLine="408"/>
        <w:spacing w:after="0" w:line="261" w:lineRule="auto"/>
        <w:rPr>
          <w:sz w:val="20"/>
          <w:szCs w:val="20"/>
          <w:color w:val="auto"/>
        </w:rPr>
      </w:pPr>
      <w:r>
        <w:rPr>
          <w:rFonts w:ascii="Arial" w:cs="Arial" w:eastAsia="Arial" w:hAnsi="Arial"/>
          <w:sz w:val="15"/>
          <w:szCs w:val="15"/>
          <w:color w:val="auto"/>
        </w:rPr>
        <w:t>We use comparable store sales as one of the performance measures for our business. Comparable store sales percentage changes are based on net retail sales, excluding our webstore and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20" w:type="dxa"/>
            <w:vAlign w:val="bottom"/>
          </w:tcPr>
          <w:p>
            <w:pPr>
              <w:spacing w:after="0"/>
              <w:rPr>
                <w:sz w:val="17"/>
                <w:szCs w:val="17"/>
                <w:color w:val="auto"/>
              </w:rPr>
            </w:pPr>
          </w:p>
        </w:tc>
        <w:tc>
          <w:tcPr>
            <w:tcW w:w="2880" w:type="dxa"/>
            <w:vAlign w:val="bottom"/>
            <w:gridSpan w:val="4"/>
          </w:tcPr>
          <w:p>
            <w:pPr>
              <w:ind w:left="900"/>
              <w:spacing w:after="0"/>
              <w:rPr>
                <w:sz w:val="20"/>
                <w:szCs w:val="20"/>
                <w:color w:val="auto"/>
              </w:rPr>
            </w:pPr>
            <w:r>
              <w:rPr>
                <w:rFonts w:ascii="Arial" w:cs="Arial" w:eastAsia="Arial" w:hAnsi="Arial"/>
                <w:sz w:val="15"/>
                <w:szCs w:val="15"/>
                <w:b w:val="1"/>
                <w:bCs w:val="1"/>
                <w:color w:val="auto"/>
              </w:rPr>
              <w:t>Thirteen weeks ended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gridSpan w:val="4"/>
          </w:tcPr>
          <w:p>
            <w:pPr>
              <w:jc w:val="right"/>
              <w:ind w:right="1000"/>
              <w:spacing w:after="0"/>
              <w:rPr>
                <w:sz w:val="20"/>
                <w:szCs w:val="20"/>
                <w:color w:val="auto"/>
              </w:rPr>
            </w:pPr>
            <w:r>
              <w:rPr>
                <w:rFonts w:ascii="Arial" w:cs="Arial" w:eastAsia="Arial" w:hAnsi="Arial"/>
                <w:sz w:val="15"/>
                <w:szCs w:val="15"/>
                <w:b w:val="1"/>
                <w:bCs w:val="1"/>
                <w:color w:val="auto"/>
              </w:rPr>
              <w:t>Thirty-nine weeks ended</w:t>
            </w:r>
          </w:p>
        </w:tc>
      </w:tr>
      <w:tr>
        <w:trPr>
          <w:trHeight w:val="167"/>
        </w:trPr>
        <w:tc>
          <w:tcPr>
            <w:tcW w:w="4520" w:type="dxa"/>
            <w:vAlign w:val="bottom"/>
          </w:tcPr>
          <w:p>
            <w:pPr>
              <w:spacing w:after="0"/>
              <w:rPr>
                <w:sz w:val="14"/>
                <w:szCs w:val="14"/>
                <w:color w:val="auto"/>
              </w:rPr>
            </w:pPr>
          </w:p>
        </w:tc>
        <w:tc>
          <w:tcPr>
            <w:tcW w:w="1180" w:type="dxa"/>
            <w:vAlign w:val="bottom"/>
            <w:tcBorders>
              <w:top w:val="single" w:sz="8" w:color="auto"/>
            </w:tcBorders>
          </w:tcPr>
          <w:p>
            <w:pPr>
              <w:jc w:val="center"/>
              <w:ind w:left="184"/>
              <w:spacing w:after="0" w:line="167" w:lineRule="exact"/>
              <w:rPr>
                <w:sz w:val="20"/>
                <w:szCs w:val="20"/>
                <w:color w:val="auto"/>
              </w:rPr>
            </w:pPr>
            <w:r>
              <w:rPr>
                <w:rFonts w:ascii="Arial" w:cs="Arial" w:eastAsia="Arial" w:hAnsi="Arial"/>
                <w:sz w:val="15"/>
                <w:szCs w:val="15"/>
                <w:b w:val="1"/>
                <w:bCs w:val="1"/>
                <w:color w:val="auto"/>
                <w:w w:val="91"/>
              </w:rPr>
              <w:t>October 1,</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left="224"/>
              <w:spacing w:after="0" w:line="167" w:lineRule="exact"/>
              <w:rPr>
                <w:sz w:val="20"/>
                <w:szCs w:val="20"/>
                <w:color w:val="auto"/>
              </w:rPr>
            </w:pPr>
            <w:r>
              <w:rPr>
                <w:rFonts w:ascii="Arial" w:cs="Arial" w:eastAsia="Arial" w:hAnsi="Arial"/>
                <w:sz w:val="15"/>
                <w:szCs w:val="15"/>
                <w:b w:val="1"/>
                <w:bCs w:val="1"/>
                <w:color w:val="auto"/>
                <w:w w:val="91"/>
              </w:rPr>
              <w:t>October 2,</w:t>
            </w:r>
          </w:p>
        </w:tc>
        <w:tc>
          <w:tcPr>
            <w:tcW w:w="3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Borders>
              <w:top w:val="single" w:sz="8" w:color="auto"/>
            </w:tcBorders>
            <w:gridSpan w:val="2"/>
          </w:tcPr>
          <w:p>
            <w:pPr>
              <w:jc w:val="center"/>
              <w:ind w:right="340"/>
              <w:spacing w:after="0" w:line="167" w:lineRule="exact"/>
              <w:rPr>
                <w:sz w:val="20"/>
                <w:szCs w:val="20"/>
                <w:color w:val="auto"/>
              </w:rPr>
            </w:pPr>
            <w:r>
              <w:rPr>
                <w:rFonts w:ascii="Arial" w:cs="Arial" w:eastAsia="Arial" w:hAnsi="Arial"/>
                <w:sz w:val="15"/>
                <w:szCs w:val="15"/>
                <w:b w:val="1"/>
                <w:bCs w:val="1"/>
                <w:color w:val="auto"/>
                <w:w w:val="91"/>
              </w:rPr>
              <w:t>October 1,</w:t>
            </w:r>
          </w:p>
        </w:tc>
        <w:tc>
          <w:tcPr>
            <w:tcW w:w="1460" w:type="dxa"/>
            <w:vAlign w:val="bottom"/>
            <w:tcBorders>
              <w:top w:val="single" w:sz="8" w:color="auto"/>
            </w:tcBorders>
          </w:tcPr>
          <w:p>
            <w:pPr>
              <w:jc w:val="right"/>
              <w:ind w:right="324"/>
              <w:spacing w:after="0" w:line="167" w:lineRule="exact"/>
              <w:rPr>
                <w:sz w:val="20"/>
                <w:szCs w:val="20"/>
                <w:color w:val="auto"/>
              </w:rPr>
            </w:pPr>
            <w:r>
              <w:rPr>
                <w:rFonts w:ascii="Arial" w:cs="Arial" w:eastAsia="Arial" w:hAnsi="Arial"/>
                <w:sz w:val="15"/>
                <w:szCs w:val="15"/>
                <w:b w:val="1"/>
                <w:bCs w:val="1"/>
                <w:color w:val="auto"/>
              </w:rPr>
              <w:t>October 2,</w:t>
            </w:r>
          </w:p>
        </w:tc>
        <w:tc>
          <w:tcPr>
            <w:tcW w:w="180" w:type="dxa"/>
            <w:vAlign w:val="bottom"/>
          </w:tcPr>
          <w:p>
            <w:pPr>
              <w:spacing w:after="0"/>
              <w:rPr>
                <w:sz w:val="14"/>
                <w:szCs w:val="14"/>
                <w:color w:val="auto"/>
              </w:rPr>
            </w:pPr>
          </w:p>
        </w:tc>
      </w:tr>
      <w:tr>
        <w:trPr>
          <w:trHeight w:val="199"/>
        </w:trPr>
        <w:tc>
          <w:tcPr>
            <w:tcW w:w="5700" w:type="dxa"/>
            <w:vAlign w:val="bottom"/>
            <w:gridSpan w:val="2"/>
          </w:tcPr>
          <w:p>
            <w:pPr>
              <w:jc w:val="right"/>
              <w:ind w:right="224"/>
              <w:spacing w:after="0"/>
              <w:rPr>
                <w:sz w:val="20"/>
                <w:szCs w:val="20"/>
                <w:color w:val="auto"/>
              </w:rPr>
            </w:pPr>
            <w:r>
              <w:rPr>
                <w:rFonts w:ascii="Arial" w:cs="Arial" w:eastAsia="Arial" w:hAnsi="Arial"/>
                <w:sz w:val="15"/>
                <w:szCs w:val="15"/>
                <w:b w:val="1"/>
                <w:bCs w:val="1"/>
                <w:color w:val="auto"/>
              </w:rPr>
              <w:t>2011</w:t>
            </w:r>
          </w:p>
        </w:tc>
        <w:tc>
          <w:tcPr>
            <w:tcW w:w="1700" w:type="dxa"/>
            <w:vAlign w:val="bottom"/>
            <w:gridSpan w:val="3"/>
          </w:tcPr>
          <w:p>
            <w:pPr>
              <w:jc w:val="right"/>
              <w:ind w:right="184"/>
              <w:spacing w:after="0"/>
              <w:rPr>
                <w:sz w:val="20"/>
                <w:szCs w:val="20"/>
                <w:color w:val="auto"/>
              </w:rPr>
            </w:pPr>
            <w:r>
              <w:rPr>
                <w:rFonts w:ascii="Arial" w:cs="Arial" w:eastAsia="Arial" w:hAnsi="Arial"/>
                <w:sz w:val="15"/>
                <w:szCs w:val="15"/>
                <w:b w:val="1"/>
                <w:bCs w:val="1"/>
                <w:color w:val="auto"/>
              </w:rPr>
              <w:t>2010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ind w:right="504"/>
              <w:spacing w:after="0"/>
              <w:rPr>
                <w:sz w:val="20"/>
                <w:szCs w:val="20"/>
                <w:color w:val="auto"/>
              </w:rPr>
            </w:pPr>
            <w:r>
              <w:rPr>
                <w:rFonts w:ascii="Arial" w:cs="Arial" w:eastAsia="Arial" w:hAnsi="Arial"/>
                <w:sz w:val="15"/>
                <w:szCs w:val="15"/>
                <w:b w:val="1"/>
                <w:bCs w:val="1"/>
                <w:color w:val="auto"/>
              </w:rPr>
              <w:t>2011</w:t>
            </w:r>
          </w:p>
        </w:tc>
        <w:tc>
          <w:tcPr>
            <w:tcW w:w="320" w:type="dxa"/>
            <w:vAlign w:val="bottom"/>
          </w:tcPr>
          <w:p>
            <w:pPr>
              <w:spacing w:after="0"/>
              <w:rPr>
                <w:sz w:val="17"/>
                <w:szCs w:val="17"/>
                <w:color w:val="auto"/>
              </w:rPr>
            </w:pPr>
          </w:p>
        </w:tc>
        <w:tc>
          <w:tcPr>
            <w:tcW w:w="1460" w:type="dxa"/>
            <w:vAlign w:val="bottom"/>
          </w:tcPr>
          <w:p>
            <w:pPr>
              <w:jc w:val="right"/>
              <w:ind w:right="504"/>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7"/>
                <w:szCs w:val="17"/>
                <w:color w:val="auto"/>
              </w:rPr>
            </w:pPr>
          </w:p>
        </w:tc>
      </w:tr>
      <w:tr>
        <w:trPr>
          <w:trHeight w:val="182"/>
        </w:trPr>
        <w:tc>
          <w:tcPr>
            <w:tcW w:w="45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5700" w:type="dxa"/>
            <w:vAlign w:val="bottom"/>
            <w:gridSpan w:val="2"/>
            <w:shd w:val="clear" w:color="auto" w:fill="C0FFFF"/>
          </w:tcPr>
          <w:p>
            <w:pPr>
              <w:spacing w:after="0"/>
              <w:rPr>
                <w:sz w:val="20"/>
                <w:szCs w:val="20"/>
                <w:color w:val="auto"/>
              </w:rPr>
            </w:pPr>
            <w:r>
              <w:rPr>
                <w:rFonts w:ascii="Arial" w:cs="Arial" w:eastAsia="Arial" w:hAnsi="Arial"/>
                <w:sz w:val="15"/>
                <w:szCs w:val="15"/>
                <w:color w:val="auto"/>
              </w:rPr>
              <w:t>North America</w:t>
            </w:r>
          </w:p>
        </w:tc>
        <w:tc>
          <w:tcPr>
            <w:tcW w:w="56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b w:val="1"/>
                <w:bCs w:val="1"/>
                <w:color w:val="auto"/>
              </w:rPr>
              <w:t>0.7%</w:t>
            </w:r>
          </w:p>
        </w:tc>
        <w:tc>
          <w:tcPr>
            <w:tcW w:w="1140" w:type="dxa"/>
            <w:vAlign w:val="bottom"/>
            <w:shd w:val="clear" w:color="auto" w:fill="C0FFFF"/>
          </w:tcPr>
          <w:p>
            <w:pPr>
              <w:spacing w:after="0"/>
              <w:rPr>
                <w:sz w:val="15"/>
                <w:szCs w:val="15"/>
                <w:color w:val="auto"/>
              </w:rPr>
            </w:pPr>
          </w:p>
        </w:tc>
        <w:tc>
          <w:tcPr>
            <w:tcW w:w="6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5.3%</w:t>
            </w:r>
          </w:p>
        </w:tc>
        <w:tc>
          <w:tcPr>
            <w:tcW w:w="17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b w:val="1"/>
                <w:bCs w:val="1"/>
                <w:color w:val="auto"/>
              </w:rPr>
              <w:t>(1.1)%</w:t>
            </w:r>
          </w:p>
        </w:tc>
        <w:tc>
          <w:tcPr>
            <w:tcW w:w="1640" w:type="dxa"/>
            <w:vAlign w:val="bottom"/>
            <w:gridSpan w:val="2"/>
            <w:shd w:val="clear" w:color="auto" w:fill="C0FFFF"/>
          </w:tcPr>
          <w:p>
            <w:pPr>
              <w:jc w:val="right"/>
              <w:spacing w:after="0"/>
              <w:rPr>
                <w:sz w:val="20"/>
                <w:szCs w:val="20"/>
                <w:color w:val="auto"/>
              </w:rPr>
            </w:pPr>
            <w:r>
              <w:rPr>
                <w:rFonts w:ascii="Arial" w:cs="Arial" w:eastAsia="Arial" w:hAnsi="Arial"/>
                <w:sz w:val="15"/>
                <w:szCs w:val="15"/>
                <w:color w:val="auto"/>
              </w:rPr>
              <w:t>(0.5)%</w:t>
            </w:r>
          </w:p>
        </w:tc>
      </w:tr>
      <w:tr>
        <w:trPr>
          <w:trHeight w:val="182"/>
        </w:trPr>
        <w:tc>
          <w:tcPr>
            <w:tcW w:w="4520" w:type="dxa"/>
            <w:vAlign w:val="bottom"/>
          </w:tcPr>
          <w:p>
            <w:pPr>
              <w:spacing w:after="0"/>
              <w:rPr>
                <w:sz w:val="20"/>
                <w:szCs w:val="20"/>
                <w:color w:val="auto"/>
              </w:rPr>
            </w:pPr>
            <w:r>
              <w:rPr>
                <w:rFonts w:ascii="Arial" w:cs="Arial" w:eastAsia="Arial" w:hAnsi="Arial"/>
                <w:sz w:val="15"/>
                <w:szCs w:val="15"/>
                <w:color w:val="auto"/>
              </w:rPr>
              <w:t>Europe</w:t>
            </w:r>
          </w:p>
        </w:tc>
        <w:tc>
          <w:tcPr>
            <w:tcW w:w="11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3.0%</w:t>
            </w:r>
          </w:p>
        </w:tc>
        <w:tc>
          <w:tcPr>
            <w:tcW w:w="1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(6.6)%</w:t>
            </w:r>
          </w:p>
        </w:tc>
        <w:tc>
          <w:tcPr>
            <w:tcW w:w="17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0.0%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23"/>
        </w:trPr>
        <w:tc>
          <w:tcPr>
            <w:tcW w:w="4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2"/>
        </w:trPr>
        <w:tc>
          <w:tcPr>
            <w:tcW w:w="4520" w:type="dxa"/>
            <w:vAlign w:val="bottom"/>
            <w:shd w:val="clear" w:color="auto" w:fill="C0FFFF"/>
          </w:tcPr>
          <w:p>
            <w:pPr>
              <w:spacing w:after="0"/>
              <w:rPr>
                <w:sz w:val="20"/>
                <w:szCs w:val="20"/>
                <w:color w:val="auto"/>
              </w:rPr>
            </w:pPr>
            <w:r>
              <w:rPr>
                <w:rFonts w:ascii="Arial" w:cs="Arial" w:eastAsia="Arial" w:hAnsi="Arial"/>
                <w:sz w:val="15"/>
                <w:szCs w:val="15"/>
                <w:color w:val="auto"/>
              </w:rPr>
              <w:t>Consolidated</w:t>
            </w:r>
          </w:p>
        </w:tc>
        <w:tc>
          <w:tcPr>
            <w:tcW w:w="1180" w:type="dxa"/>
            <w:vAlign w:val="bottom"/>
            <w:shd w:val="clear" w:color="auto" w:fill="C0FFFF"/>
          </w:tcPr>
          <w:p>
            <w:pPr>
              <w:spacing w:after="0"/>
              <w:rPr>
                <w:sz w:val="17"/>
                <w:szCs w:val="17"/>
                <w:color w:val="auto"/>
              </w:rPr>
            </w:pPr>
          </w:p>
        </w:tc>
        <w:tc>
          <w:tcPr>
            <w:tcW w:w="56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b w:val="1"/>
                <w:bCs w:val="1"/>
                <w:color w:val="auto"/>
              </w:rPr>
              <w:t>1.1%</w:t>
            </w:r>
          </w:p>
        </w:tc>
        <w:tc>
          <w:tcPr>
            <w:tcW w:w="1140" w:type="dxa"/>
            <w:vAlign w:val="bottom"/>
            <w:shd w:val="clear" w:color="auto" w:fill="C0FFFF"/>
          </w:tcPr>
          <w:p>
            <w:pPr>
              <w:spacing w:after="0"/>
              <w:rPr>
                <w:sz w:val="17"/>
                <w:szCs w:val="17"/>
                <w:color w:val="auto"/>
              </w:rPr>
            </w:pPr>
          </w:p>
        </w:tc>
        <w:tc>
          <w:tcPr>
            <w:tcW w:w="6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3.1%</w:t>
            </w:r>
          </w:p>
        </w:tc>
        <w:tc>
          <w:tcPr>
            <w:tcW w:w="17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b w:val="1"/>
                <w:bCs w:val="1"/>
                <w:color w:val="auto"/>
              </w:rPr>
              <w:t>(0.9)%</w:t>
            </w:r>
          </w:p>
        </w:tc>
        <w:tc>
          <w:tcPr>
            <w:tcW w:w="1640" w:type="dxa"/>
            <w:vAlign w:val="bottom"/>
            <w:gridSpan w:val="2"/>
            <w:shd w:val="clear" w:color="auto" w:fill="C0FFFF"/>
          </w:tcPr>
          <w:p>
            <w:pPr>
              <w:jc w:val="right"/>
              <w:spacing w:after="0"/>
              <w:rPr>
                <w:sz w:val="20"/>
                <w:szCs w:val="20"/>
                <w:color w:val="auto"/>
              </w:rPr>
            </w:pPr>
            <w:r>
              <w:rPr>
                <w:rFonts w:ascii="Arial" w:cs="Arial" w:eastAsia="Arial" w:hAnsi="Arial"/>
                <w:sz w:val="15"/>
                <w:szCs w:val="15"/>
                <w:color w:val="auto"/>
              </w:rPr>
              <w:t>(1.2)%</w:t>
            </w:r>
          </w:p>
        </w:tc>
      </w:tr>
      <w:tr>
        <w:trPr>
          <w:trHeight w:val="20"/>
        </w:trPr>
        <w:tc>
          <w:tcPr>
            <w:tcW w:w="4520" w:type="dxa"/>
            <w:vAlign w:val="bottom"/>
            <w:tcBorders>
              <w:top w:val="single" w:sz="8" w:color="C0FFFF"/>
            </w:tcBorders>
            <w:shd w:val="clear" w:color="auto" w:fill="C0FF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believe the changes in comparable store sales for the periods presented are primarily attributable to the following factors:</w:t>
      </w:r>
    </w:p>
    <w:p>
      <w:pPr>
        <w:spacing w:after="0" w:line="236" w:lineRule="exact"/>
        <w:rPr>
          <w:sz w:val="20"/>
          <w:szCs w:val="20"/>
          <w:color w:val="auto"/>
        </w:rPr>
      </w:pPr>
    </w:p>
    <w:p>
      <w:pPr>
        <w:jc w:val="both"/>
        <w:ind w:left="1020" w:hanging="337"/>
        <w:spacing w:after="0" w:line="275"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We believe that the improvement in our comparable store sales in the 2011 fiscal third quarter was a result of improved merchandise assortments and a successful promotional event that allowed us to effectively capitalize on increased mall traffic in the key back-to-school moths of July and August. Overall, we reduced promotional activity in the quarter compared to the prior year which resulted in higher average transaction value that was partially offset by a decline in the number of transactions.</w:t>
      </w:r>
    </w:p>
    <w:p>
      <w:pPr>
        <w:ind w:left="980" w:right="20" w:hanging="365"/>
        <w:spacing w:after="0" w:line="265" w:lineRule="auto"/>
        <w:tabs>
          <w:tab w:leader="none" w:pos="98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thirty-nine weeks, the third quarter growth partially offset comparable store sales declines experienced in the first half of 2011 which were driven primarily by a decline in transactions and negative trends in consumer sentiment and spending in the UK.</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is working to continue the positive trend in the 2011 fourth quarter comparable store sales with the following key initiatives:</w:t>
      </w:r>
    </w:p>
    <w:p>
      <w:pPr>
        <w:spacing w:after="0" w:line="191" w:lineRule="exact"/>
        <w:rPr>
          <w:sz w:val="20"/>
          <w:szCs w:val="20"/>
          <w:color w:val="auto"/>
        </w:rPr>
      </w:pPr>
    </w:p>
    <w:p>
      <w:pPr>
        <w:ind w:left="980" w:hanging="365"/>
        <w:spacing w:after="0"/>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continuing our focus on product innovation and introducing limited edition products supported by a fully integrated approach to marketing and promotion;</w:t>
      </w:r>
    </w:p>
    <w:p>
      <w:pPr>
        <w:spacing w:after="0" w:line="29" w:lineRule="exact"/>
        <w:rPr>
          <w:rFonts w:ascii="Arial" w:cs="Arial" w:eastAsia="Arial" w:hAnsi="Arial"/>
          <w:sz w:val="14"/>
          <w:szCs w:val="14"/>
          <w:color w:val="auto"/>
        </w:rPr>
      </w:pPr>
    </w:p>
    <w:p>
      <w:pPr>
        <w:ind w:left="980" w:hanging="365"/>
        <w:spacing w:after="0"/>
        <w:tabs>
          <w:tab w:leader="none" w:pos="9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intend to drive incremental sales from existing traffic by expanding our assortment of brand right toys; and</w:t>
      </w:r>
    </w:p>
    <w:p>
      <w:pPr>
        <w:spacing w:after="0" w:line="9" w:lineRule="exact"/>
        <w:rPr>
          <w:rFonts w:ascii="Arial" w:cs="Arial" w:eastAsia="Arial" w:hAnsi="Arial"/>
          <w:sz w:val="15"/>
          <w:szCs w:val="15"/>
          <w:color w:val="auto"/>
        </w:rPr>
      </w:pPr>
    </w:p>
    <w:p>
      <w:pPr>
        <w:ind w:left="980" w:right="40" w:hanging="365"/>
        <w:spacing w:after="0" w:line="265" w:lineRule="auto"/>
        <w:tabs>
          <w:tab w:leader="none" w:pos="9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focused on increasing engagement in the digital world, both through our online virtual world for children, bearville.com, and our social media efforts, to drive brand interaction and traffic to our stores.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Expansion and Growth Potential</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Retail Stores:</w:t>
      </w:r>
    </w:p>
    <w:p>
      <w:pPr>
        <w:spacing w:after="0" w:line="236" w:lineRule="exact"/>
        <w:rPr>
          <w:sz w:val="20"/>
          <w:szCs w:val="20"/>
          <w:color w:val="auto"/>
        </w:rPr>
      </w:pPr>
    </w:p>
    <w:p>
      <w:pPr>
        <w:ind w:right="540" w:firstLine="408"/>
        <w:spacing w:after="0" w:line="277" w:lineRule="auto"/>
        <w:rPr>
          <w:sz w:val="20"/>
          <w:szCs w:val="20"/>
          <w:color w:val="auto"/>
        </w:rPr>
      </w:pPr>
      <w:r>
        <w:rPr>
          <w:rFonts w:ascii="Arial" w:cs="Arial" w:eastAsia="Arial" w:hAnsi="Arial"/>
          <w:sz w:val="15"/>
          <w:szCs w:val="15"/>
          <w:color w:val="auto"/>
        </w:rPr>
        <w:t>The table below sets forth the number of Build-A-Bear Workshop company-owned stores in the United States, Canada, Puerto Rico (collectively, North America), the United Kingdom, Ireland, and France (collectively, Europe) for the periods presented:</w:t>
      </w:r>
    </w:p>
    <w:p>
      <w:pPr>
        <w:spacing w:after="0" w:line="188"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Thirty-nine weeks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980" w:type="dxa"/>
            <w:vAlign w:val="bottom"/>
            <w:tcBorders>
              <w:top w:val="single" w:sz="8" w:color="auto"/>
            </w:tcBorders>
          </w:tcPr>
          <w:p>
            <w:pPr>
              <w:ind w:left="280"/>
              <w:spacing w:after="0" w:line="171" w:lineRule="exact"/>
              <w:rPr>
                <w:sz w:val="20"/>
                <w:szCs w:val="20"/>
                <w:color w:val="auto"/>
              </w:rPr>
            </w:pPr>
            <w:r>
              <w:rPr>
                <w:rFonts w:ascii="Arial" w:cs="Arial" w:eastAsia="Arial" w:hAnsi="Arial"/>
                <w:sz w:val="15"/>
                <w:szCs w:val="15"/>
                <w:b w:val="1"/>
                <w:bCs w:val="1"/>
                <w:color w:val="auto"/>
                <w:w w:val="91"/>
              </w:rPr>
              <w:t>October 1,</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5"/>
                <w:szCs w:val="15"/>
                <w:b w:val="1"/>
                <w:bCs w:val="1"/>
                <w:color w:val="auto"/>
                <w:w w:val="91"/>
              </w:rPr>
              <w:t>October 2,</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7280" w:type="dxa"/>
            <w:vAlign w:val="bottom"/>
            <w:gridSpan w:val="2"/>
          </w:tcPr>
          <w:p>
            <w:pPr>
              <w:ind w:left="6760"/>
              <w:spacing w:after="0"/>
              <w:rPr>
                <w:sz w:val="20"/>
                <w:szCs w:val="20"/>
                <w:color w:val="auto"/>
              </w:rPr>
            </w:pPr>
            <w:r>
              <w:rPr>
                <w:rFonts w:ascii="Arial" w:cs="Arial" w:eastAsia="Arial" w:hAnsi="Arial"/>
                <w:sz w:val="15"/>
                <w:szCs w:val="15"/>
                <w:b w:val="1"/>
                <w:bCs w:val="1"/>
                <w:color w:val="auto"/>
              </w:rPr>
              <w:t>2011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0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7280" w:type="dxa"/>
            <w:vAlign w:val="bottom"/>
            <w:gridSpan w:val="2"/>
            <w:shd w:val="clear" w:color="auto" w:fill="C0FFFF"/>
          </w:tcPr>
          <w:p>
            <w:pPr>
              <w:spacing w:after="0"/>
              <w:rPr>
                <w:sz w:val="20"/>
                <w:szCs w:val="20"/>
                <w:color w:val="auto"/>
              </w:rPr>
            </w:pPr>
            <w:r>
              <w:rPr>
                <w:rFonts w:ascii="Arial" w:cs="Arial" w:eastAsia="Arial" w:hAnsi="Arial"/>
                <w:sz w:val="15"/>
                <w:szCs w:val="15"/>
                <w:color w:val="auto"/>
              </w:rPr>
              <w:t>Beginning of period</w:t>
            </w:r>
          </w:p>
        </w:tc>
        <w:tc>
          <w:tcPr>
            <w:tcW w:w="48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b w:val="1"/>
                <w:bCs w:val="1"/>
                <w:color w:val="auto"/>
                <w:w w:val="95"/>
              </w:rPr>
              <w:t>344</w:t>
            </w:r>
          </w:p>
        </w:tc>
        <w:tc>
          <w:tcPr>
            <w:tcW w:w="14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345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Arial" w:cs="Arial" w:eastAsia="Arial" w:hAnsi="Arial"/>
                <w:sz w:val="15"/>
                <w:szCs w:val="15"/>
                <w:color w:val="auto"/>
              </w:rPr>
              <w:t>Opened</w:t>
            </w:r>
          </w:p>
        </w:tc>
        <w:tc>
          <w:tcPr>
            <w:tcW w:w="4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4</w:t>
            </w: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5"/>
                <w:szCs w:val="15"/>
                <w:color w:val="auto"/>
              </w:rPr>
              <w:t>Closed</w:t>
            </w:r>
          </w:p>
        </w:tc>
        <w:tc>
          <w:tcPr>
            <w:tcW w:w="980" w:type="dxa"/>
            <w:vAlign w:val="bottom"/>
            <w:shd w:val="clear" w:color="auto" w:fill="C0FFFF"/>
          </w:tcPr>
          <w:p>
            <w:pPr>
              <w:spacing w:after="0"/>
              <w:rPr>
                <w:sz w:val="15"/>
                <w:szCs w:val="15"/>
                <w:color w:val="auto"/>
              </w:rPr>
            </w:pPr>
          </w:p>
        </w:tc>
        <w:tc>
          <w:tcPr>
            <w:tcW w:w="48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b w:val="1"/>
                <w:bCs w:val="1"/>
                <w:color w:val="auto"/>
              </w:rPr>
              <w:t>(4)</w:t>
            </w:r>
          </w:p>
        </w:tc>
        <w:tc>
          <w:tcPr>
            <w:tcW w:w="14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6300" w:type="dxa"/>
            <w:vAlign w:val="bottom"/>
            <w:shd w:val="clear" w:color="auto" w:fill="C0FF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6300" w:type="dxa"/>
            <w:vAlign w:val="bottom"/>
          </w:tcPr>
          <w:p>
            <w:pPr>
              <w:spacing w:after="0"/>
              <w:rPr>
                <w:sz w:val="20"/>
                <w:szCs w:val="20"/>
                <w:color w:val="auto"/>
              </w:rPr>
            </w:pPr>
            <w:r>
              <w:rPr>
                <w:rFonts w:ascii="Arial" w:cs="Arial" w:eastAsia="Arial" w:hAnsi="Arial"/>
                <w:sz w:val="15"/>
                <w:szCs w:val="15"/>
                <w:color w:val="auto"/>
              </w:rPr>
              <w:t>End of period</w:t>
            </w:r>
          </w:p>
        </w:tc>
        <w:tc>
          <w:tcPr>
            <w:tcW w:w="9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5"/>
              </w:rPr>
              <w:t>344</w:t>
            </w: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347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00" w:type="dxa"/>
            <w:vAlign w:val="bottom"/>
            <w:vMerge w:val="restart"/>
          </w:tcPr>
          <w:p>
            <w:pPr>
              <w:ind w:left="4500"/>
              <w:spacing w:after="0"/>
              <w:rPr>
                <w:sz w:val="20"/>
                <w:szCs w:val="20"/>
                <w:color w:val="auto"/>
              </w:rPr>
            </w:pPr>
            <w:r>
              <w:rPr>
                <w:rFonts w:ascii="Arial" w:cs="Arial" w:eastAsia="Arial" w:hAnsi="Arial"/>
                <w:sz w:val="15"/>
                <w:szCs w:val="15"/>
                <w:color w:val="auto"/>
              </w:rPr>
              <w:t>12</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114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4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bookmarkStart w:id="13" w:name="page14"/>
    <w:bookmarkEnd w:id="13"/>
    <w:p>
      <w:pPr>
        <w:ind w:right="80" w:firstLine="408"/>
        <w:spacing w:after="0" w:line="277" w:lineRule="auto"/>
        <w:rPr>
          <w:sz w:val="20"/>
          <w:szCs w:val="20"/>
          <w:color w:val="auto"/>
        </w:rPr>
      </w:pPr>
      <w:r>
        <w:rPr>
          <w:rFonts w:ascii="Arial" w:cs="Arial" w:eastAsia="Arial" w:hAnsi="Arial"/>
          <w:sz w:val="15"/>
          <w:szCs w:val="15"/>
          <w:color w:val="auto"/>
        </w:rPr>
        <w:t>During fiscal 2011, we anticipate opening six stores and closing six stores. We believe there is a market potential for at least 350 Build-A-Bear Workshop stores in the United States and Canada and approximately 70 stores in the United Kingdom and Ireland.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Non-Traditional Store Locations:</w:t>
      </w:r>
    </w:p>
    <w:p>
      <w:pPr>
        <w:spacing w:after="0" w:line="236" w:lineRule="exact"/>
        <w:rPr>
          <w:sz w:val="20"/>
          <w:szCs w:val="20"/>
          <w:color w:val="auto"/>
        </w:rPr>
      </w:pPr>
    </w:p>
    <w:p>
      <w:pPr>
        <w:ind w:right="20" w:firstLine="408"/>
        <w:spacing w:after="0" w:line="281" w:lineRule="auto"/>
        <w:rPr>
          <w:sz w:val="20"/>
          <w:szCs w:val="20"/>
          <w:color w:val="auto"/>
        </w:rPr>
      </w:pPr>
      <w:r>
        <w:rPr>
          <w:rFonts w:ascii="Arial" w:cs="Arial" w:eastAsia="Arial" w:hAnsi="Arial"/>
          <w:sz w:val="14"/>
          <w:szCs w:val="14"/>
          <w:color w:val="auto"/>
        </w:rPr>
        <w:t>In fiscal 2004, we began offering merchandise in seasonal, event-based locations such as Major League Baseball® ballparks. We expect to expand our future presence at select seasonal, event-based locations contingent on their availability and the financial terms associated with the venue. As of October 1, 2011, we had a total of three ballpark locations, one store within a zoo, one store within a science center and one store within an airport. Seasonal locations, such as ballparks and zoos are excluded from our store count. In 2010, we opened our first pop-up stores. Pop-up stores are temporary locations that generally have lease terms of six to eighteen months and are excluded from our store count. These locations are intended to capitalize on short-term opportunities in specific locations. As of October 1, 2011, seven pop-up stores were open.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International Franchise Revenue:</w:t>
      </w:r>
    </w:p>
    <w:p>
      <w:pPr>
        <w:spacing w:after="0" w:line="23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first franchised location opened in November 2003. The number of international, franchised stores for the periods presented below can be summarized as follows:</w:t>
      </w:r>
    </w:p>
    <w:p>
      <w:pPr>
        <w:spacing w:after="0" w:line="232"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Thirty-nine weeks ended</w:t>
      </w:r>
    </w:p>
    <w:p>
      <w:pPr>
        <w:spacing w:after="0" w:line="2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020" w:type="dxa"/>
            <w:vAlign w:val="bottom"/>
            <w:tcBorders>
              <w:top w:val="single" w:sz="8" w:color="auto"/>
            </w:tcBorders>
          </w:tcPr>
          <w:p>
            <w:pPr>
              <w:ind w:left="280"/>
              <w:spacing w:after="0" w:line="171" w:lineRule="exact"/>
              <w:rPr>
                <w:sz w:val="20"/>
                <w:szCs w:val="20"/>
                <w:color w:val="auto"/>
              </w:rPr>
            </w:pPr>
            <w:r>
              <w:rPr>
                <w:rFonts w:ascii="Arial" w:cs="Arial" w:eastAsia="Arial" w:hAnsi="Arial"/>
                <w:sz w:val="15"/>
                <w:szCs w:val="15"/>
                <w:b w:val="1"/>
                <w:bCs w:val="1"/>
                <w:color w:val="auto"/>
                <w:w w:val="96"/>
              </w:rPr>
              <w:t>October 1,</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04"/>
              <w:spacing w:after="0" w:line="171" w:lineRule="exact"/>
              <w:rPr>
                <w:sz w:val="20"/>
                <w:szCs w:val="20"/>
                <w:color w:val="auto"/>
              </w:rPr>
            </w:pPr>
            <w:r>
              <w:rPr>
                <w:rFonts w:ascii="Arial" w:cs="Arial" w:eastAsia="Arial" w:hAnsi="Arial"/>
                <w:sz w:val="15"/>
                <w:szCs w:val="15"/>
                <w:b w:val="1"/>
                <w:bCs w:val="1"/>
                <w:color w:val="auto"/>
              </w:rPr>
              <w:t>October 2,</w:t>
            </w:r>
          </w:p>
        </w:tc>
        <w:tc>
          <w:tcPr>
            <w:tcW w:w="140" w:type="dxa"/>
            <w:vAlign w:val="bottom"/>
          </w:tcPr>
          <w:p>
            <w:pPr>
              <w:spacing w:after="0"/>
              <w:rPr>
                <w:sz w:val="14"/>
                <w:szCs w:val="14"/>
                <w:color w:val="auto"/>
              </w:rPr>
            </w:pPr>
          </w:p>
        </w:tc>
      </w:tr>
      <w:tr>
        <w:trPr>
          <w:trHeight w:val="199"/>
        </w:trPr>
        <w:tc>
          <w:tcPr>
            <w:tcW w:w="7320" w:type="dxa"/>
            <w:vAlign w:val="bottom"/>
            <w:gridSpan w:val="2"/>
          </w:tcPr>
          <w:p>
            <w:pPr>
              <w:ind w:left="6760"/>
              <w:spacing w:after="0"/>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0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r>
      <w:tr>
        <w:trPr>
          <w:trHeight w:val="182"/>
        </w:trPr>
        <w:tc>
          <w:tcPr>
            <w:tcW w:w="63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7320" w:type="dxa"/>
            <w:vAlign w:val="bottom"/>
            <w:gridSpan w:val="2"/>
            <w:shd w:val="clear" w:color="auto" w:fill="C0FFFF"/>
          </w:tcPr>
          <w:p>
            <w:pPr>
              <w:spacing w:after="0"/>
              <w:rPr>
                <w:sz w:val="20"/>
                <w:szCs w:val="20"/>
                <w:color w:val="auto"/>
              </w:rPr>
            </w:pPr>
            <w:r>
              <w:rPr>
                <w:rFonts w:ascii="Arial" w:cs="Arial" w:eastAsia="Arial" w:hAnsi="Arial"/>
                <w:sz w:val="15"/>
                <w:szCs w:val="15"/>
                <w:color w:val="auto"/>
              </w:rPr>
              <w:t>Beginning of period</w:t>
            </w:r>
          </w:p>
        </w:tc>
        <w:tc>
          <w:tcPr>
            <w:tcW w:w="220" w:type="dxa"/>
            <w:vAlign w:val="bottom"/>
            <w:shd w:val="clear" w:color="auto" w:fill="C0FFFF"/>
          </w:tcPr>
          <w:p>
            <w:pPr>
              <w:jc w:val="right"/>
              <w:spacing w:after="0"/>
              <w:rPr>
                <w:sz w:val="20"/>
                <w:szCs w:val="20"/>
                <w:color w:val="auto"/>
              </w:rPr>
            </w:pPr>
            <w:r>
              <w:rPr>
                <w:rFonts w:ascii="Arial" w:cs="Arial" w:eastAsia="Arial" w:hAnsi="Arial"/>
                <w:sz w:val="15"/>
                <w:szCs w:val="15"/>
                <w:b w:val="1"/>
                <w:bCs w:val="1"/>
                <w:color w:val="auto"/>
              </w:rPr>
              <w:t>63</w:t>
            </w: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65</w:t>
            </w:r>
          </w:p>
        </w:tc>
        <w:tc>
          <w:tcPr>
            <w:tcW w:w="140" w:type="dxa"/>
            <w:vAlign w:val="bottom"/>
            <w:shd w:val="clear" w:color="auto" w:fill="C0FFFF"/>
          </w:tcPr>
          <w:p>
            <w:pPr>
              <w:spacing w:after="0"/>
              <w:rPr>
                <w:sz w:val="15"/>
                <w:szCs w:val="15"/>
                <w:color w:val="auto"/>
              </w:rPr>
            </w:pPr>
          </w:p>
        </w:tc>
      </w:tr>
      <w:tr>
        <w:trPr>
          <w:trHeight w:val="182"/>
        </w:trPr>
        <w:tc>
          <w:tcPr>
            <w:tcW w:w="7320" w:type="dxa"/>
            <w:vAlign w:val="bottom"/>
            <w:gridSpan w:val="2"/>
          </w:tcPr>
          <w:p>
            <w:pPr>
              <w:spacing w:after="0"/>
              <w:rPr>
                <w:sz w:val="20"/>
                <w:szCs w:val="20"/>
                <w:color w:val="auto"/>
              </w:rPr>
            </w:pPr>
            <w:r>
              <w:rPr>
                <w:rFonts w:ascii="Arial" w:cs="Arial" w:eastAsia="Arial" w:hAnsi="Arial"/>
                <w:sz w:val="15"/>
                <w:szCs w:val="15"/>
                <w:color w:val="auto"/>
              </w:rPr>
              <w:t>Opened</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5</w:t>
            </w:r>
          </w:p>
        </w:tc>
      </w:tr>
      <w:tr>
        <w:trPr>
          <w:trHeight w:val="184"/>
        </w:trPr>
        <w:tc>
          <w:tcPr>
            <w:tcW w:w="6300" w:type="dxa"/>
            <w:vAlign w:val="bottom"/>
            <w:shd w:val="clear" w:color="auto" w:fill="C0FFFF"/>
          </w:tcPr>
          <w:p>
            <w:pPr>
              <w:spacing w:after="0"/>
              <w:rPr>
                <w:sz w:val="20"/>
                <w:szCs w:val="20"/>
                <w:color w:val="auto"/>
              </w:rPr>
            </w:pPr>
            <w:r>
              <w:rPr>
                <w:rFonts w:ascii="Arial" w:cs="Arial" w:eastAsia="Arial" w:hAnsi="Arial"/>
                <w:sz w:val="15"/>
                <w:szCs w:val="15"/>
                <w:color w:val="auto"/>
              </w:rPr>
              <w:t>Closed</w:t>
            </w:r>
          </w:p>
        </w:tc>
        <w:tc>
          <w:tcPr>
            <w:tcW w:w="1020" w:type="dxa"/>
            <w:vAlign w:val="bottom"/>
            <w:shd w:val="clear" w:color="auto" w:fill="C0FFFF"/>
          </w:tcPr>
          <w:p>
            <w:pPr>
              <w:spacing w:after="0"/>
              <w:rPr>
                <w:sz w:val="16"/>
                <w:szCs w:val="16"/>
                <w:color w:val="auto"/>
              </w:rPr>
            </w:pPr>
          </w:p>
        </w:tc>
        <w:tc>
          <w:tcPr>
            <w:tcW w:w="44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b w:val="1"/>
                <w:bCs w:val="1"/>
                <w:color w:val="auto"/>
              </w:rPr>
              <w:t>(3)</w:t>
            </w:r>
          </w:p>
        </w:tc>
        <w:tc>
          <w:tcPr>
            <w:tcW w:w="140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(12)</w:t>
            </w:r>
          </w:p>
        </w:tc>
      </w:tr>
      <w:tr>
        <w:trPr>
          <w:trHeight w:val="182"/>
        </w:trPr>
        <w:tc>
          <w:tcPr>
            <w:tcW w:w="6300" w:type="dxa"/>
            <w:vAlign w:val="bottom"/>
            <w:tcBorders>
              <w:top w:val="single" w:sz="8" w:color="C0FFFF"/>
            </w:tcBorders>
          </w:tcPr>
          <w:p>
            <w:pPr>
              <w:spacing w:after="0"/>
              <w:rPr>
                <w:sz w:val="20"/>
                <w:szCs w:val="20"/>
                <w:color w:val="auto"/>
              </w:rPr>
            </w:pPr>
            <w:r>
              <w:rPr>
                <w:rFonts w:ascii="Arial" w:cs="Arial" w:eastAsia="Arial" w:hAnsi="Arial"/>
                <w:sz w:val="15"/>
                <w:szCs w:val="15"/>
                <w:color w:val="auto"/>
              </w:rPr>
              <w:t>End of period</w:t>
            </w:r>
          </w:p>
        </w:tc>
        <w:tc>
          <w:tcPr>
            <w:tcW w:w="10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w:t>
            </w:r>
          </w:p>
        </w:tc>
        <w:tc>
          <w:tcPr>
            <w:tcW w:w="220" w:type="dxa"/>
            <w:vAlign w:val="bottom"/>
            <w:tcBorders>
              <w:top w:val="single" w:sz="8" w:color="C0FF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40" w:type="dxa"/>
            <w:vAlign w:val="bottom"/>
            <w:tcBorders>
              <w:top w:val="single" w:sz="8" w:color="C0FFFF"/>
            </w:tcBorders>
          </w:tcPr>
          <w:p>
            <w:pPr>
              <w:spacing w:after="0"/>
              <w:rPr>
                <w:sz w:val="15"/>
                <w:szCs w:val="15"/>
                <w:color w:val="auto"/>
              </w:rPr>
            </w:pPr>
          </w:p>
        </w:tc>
      </w:tr>
      <w:tr>
        <w:trPr>
          <w:trHeight w:val="20"/>
        </w:trPr>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6" w:lineRule="exact"/>
        <w:rPr>
          <w:sz w:val="20"/>
          <w:szCs w:val="20"/>
          <w:color w:val="auto"/>
        </w:rPr>
      </w:pPr>
    </w:p>
    <w:p>
      <w:pPr>
        <w:ind w:firstLine="408"/>
        <w:spacing w:after="0" w:line="265" w:lineRule="auto"/>
        <w:rPr>
          <w:sz w:val="20"/>
          <w:szCs w:val="20"/>
          <w:color w:val="auto"/>
        </w:rPr>
      </w:pPr>
      <w:r>
        <w:rPr>
          <w:rFonts w:ascii="Arial" w:cs="Arial" w:eastAsia="Arial" w:hAnsi="Arial"/>
          <w:sz w:val="15"/>
          <w:szCs w:val="15"/>
          <w:color w:val="auto"/>
        </w:rPr>
        <w:t>As of October 1, 2011, we had master franchise agreements, which typically grant franchise rights for a particular country or countries, covering 16 countries. We anticipate signing additional master franchise agreements in the future. We expect to end fiscal 2011 with approximately 80 franchised locations. We believe there is a market potential for approximately 300 franchised stores outside of the United States, Canada, Puerto Rico, the United Kingdom and Ireland.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14" w:name="page15"/>
    <w:bookmarkEnd w:id="14"/>
    <w:p>
      <w:pPr>
        <w:ind w:left="9"/>
        <w:spacing w:after="0"/>
        <w:rPr>
          <w:sz w:val="20"/>
          <w:szCs w:val="20"/>
          <w:color w:val="auto"/>
        </w:rPr>
      </w:pPr>
      <w:r>
        <w:rPr>
          <w:rFonts w:ascii="Arial" w:cs="Arial" w:eastAsia="Arial" w:hAnsi="Arial"/>
          <w:sz w:val="15"/>
          <w:szCs w:val="15"/>
          <w:b w:val="1"/>
          <w:bCs w:val="1"/>
          <w:color w:val="auto"/>
        </w:rPr>
        <w:t>Results of Operations</w:t>
      </w:r>
    </w:p>
    <w:p>
      <w:pPr>
        <w:spacing w:after="0" w:line="240" w:lineRule="exact"/>
        <w:rPr>
          <w:sz w:val="20"/>
          <w:szCs w:val="20"/>
          <w:color w:val="auto"/>
        </w:rPr>
      </w:pPr>
    </w:p>
    <w:p>
      <w:pPr>
        <w:ind w:left="409"/>
        <w:spacing w:after="0"/>
        <w:rPr>
          <w:sz w:val="20"/>
          <w:szCs w:val="20"/>
          <w:color w:val="auto"/>
        </w:rPr>
      </w:pPr>
      <w:r>
        <w:rPr>
          <w:rFonts w:ascii="Arial" w:cs="Arial" w:eastAsia="Arial" w:hAnsi="Arial"/>
          <w:sz w:val="14"/>
          <w:szCs w:val="14"/>
          <w:color w:val="auto"/>
        </w:rPr>
        <w:t>The following table sets forth, for the periods indicated, selected statement of income data expressed as a percentage of total revenues, except where otherwise indicated:</w:t>
      </w:r>
    </w:p>
    <w:p>
      <w:pPr>
        <w:spacing w:after="0" w:line="24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(Unaudited)</w:t>
      </w:r>
    </w:p>
    <w:p>
      <w:pPr>
        <w:spacing w:after="0" w:line="223" w:lineRule="exact"/>
        <w:rPr>
          <w:sz w:val="20"/>
          <w:szCs w:val="20"/>
          <w:color w:val="auto"/>
        </w:rPr>
      </w:pPr>
    </w:p>
    <w:tbl>
      <w:tblPr>
        <w:tblLayout w:type="fixed"/>
        <w:tblInd w:w="9" w:type="dxa"/>
        <w:tblCellMar>
          <w:top w:w="0" w:type="dxa"/>
          <w:left w:w="0" w:type="dxa"/>
          <w:bottom w:w="0" w:type="dxa"/>
          <w:right w:w="0" w:type="dxa"/>
        </w:tblCellMar>
      </w:tblPr>
      <w:tr>
        <w:trPr>
          <w:trHeight w:val="199"/>
        </w:trPr>
        <w:tc>
          <w:tcPr>
            <w:tcW w:w="4620" w:type="dxa"/>
            <w:vAlign w:val="bottom"/>
          </w:tcPr>
          <w:p>
            <w:pPr>
              <w:spacing w:after="0"/>
              <w:rPr>
                <w:sz w:val="17"/>
                <w:szCs w:val="17"/>
                <w:color w:val="auto"/>
              </w:rPr>
            </w:pPr>
          </w:p>
        </w:tc>
        <w:tc>
          <w:tcPr>
            <w:tcW w:w="2840" w:type="dxa"/>
            <w:vAlign w:val="bottom"/>
            <w:gridSpan w:val="4"/>
          </w:tcPr>
          <w:p>
            <w:pPr>
              <w:ind w:left="900"/>
              <w:spacing w:after="0"/>
              <w:rPr>
                <w:sz w:val="20"/>
                <w:szCs w:val="20"/>
                <w:color w:val="auto"/>
              </w:rPr>
            </w:pPr>
            <w:r>
              <w:rPr>
                <w:rFonts w:ascii="Arial" w:cs="Arial" w:eastAsia="Arial" w:hAnsi="Arial"/>
                <w:sz w:val="15"/>
                <w:szCs w:val="15"/>
                <w:b w:val="1"/>
                <w:bCs w:val="1"/>
                <w:color w:val="auto"/>
              </w:rPr>
              <w:t>Thirteen weeks ended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gridSpan w:val="4"/>
          </w:tcPr>
          <w:p>
            <w:pPr>
              <w:jc w:val="right"/>
              <w:ind w:right="960"/>
              <w:spacing w:after="0"/>
              <w:rPr>
                <w:sz w:val="20"/>
                <w:szCs w:val="20"/>
                <w:color w:val="auto"/>
              </w:rPr>
            </w:pPr>
            <w:r>
              <w:rPr>
                <w:rFonts w:ascii="Arial" w:cs="Arial" w:eastAsia="Arial" w:hAnsi="Arial"/>
                <w:sz w:val="15"/>
                <w:szCs w:val="15"/>
                <w:b w:val="1"/>
                <w:bCs w:val="1"/>
                <w:color w:val="auto"/>
              </w:rPr>
              <w:t>Thirty-nine weeks ended</w:t>
            </w:r>
          </w:p>
        </w:tc>
      </w:tr>
      <w:tr>
        <w:trPr>
          <w:trHeight w:val="167"/>
        </w:trPr>
        <w:tc>
          <w:tcPr>
            <w:tcW w:w="4620" w:type="dxa"/>
            <w:vAlign w:val="bottom"/>
          </w:tcPr>
          <w:p>
            <w:pPr>
              <w:spacing w:after="0"/>
              <w:rPr>
                <w:sz w:val="14"/>
                <w:szCs w:val="14"/>
                <w:color w:val="auto"/>
              </w:rPr>
            </w:pPr>
          </w:p>
        </w:tc>
        <w:tc>
          <w:tcPr>
            <w:tcW w:w="1100" w:type="dxa"/>
            <w:vAlign w:val="bottom"/>
            <w:tcBorders>
              <w:top w:val="single" w:sz="8" w:color="auto"/>
            </w:tcBorders>
          </w:tcPr>
          <w:p>
            <w:pPr>
              <w:ind w:left="400"/>
              <w:spacing w:after="0" w:line="167" w:lineRule="exact"/>
              <w:rPr>
                <w:sz w:val="20"/>
                <w:szCs w:val="20"/>
                <w:color w:val="auto"/>
              </w:rPr>
            </w:pPr>
            <w:r>
              <w:rPr>
                <w:rFonts w:ascii="Arial" w:cs="Arial" w:eastAsia="Arial" w:hAnsi="Arial"/>
                <w:sz w:val="15"/>
                <w:szCs w:val="15"/>
                <w:b w:val="1"/>
                <w:bCs w:val="1"/>
                <w:color w:val="auto"/>
                <w:w w:val="91"/>
              </w:rPr>
              <w:t>October 1,</w:t>
            </w: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left="284"/>
              <w:spacing w:after="0" w:line="167" w:lineRule="exact"/>
              <w:rPr>
                <w:sz w:val="20"/>
                <w:szCs w:val="20"/>
                <w:color w:val="auto"/>
              </w:rPr>
            </w:pPr>
            <w:r>
              <w:rPr>
                <w:rFonts w:ascii="Arial" w:cs="Arial" w:eastAsia="Arial" w:hAnsi="Arial"/>
                <w:sz w:val="15"/>
                <w:szCs w:val="15"/>
                <w:b w:val="1"/>
                <w:bCs w:val="1"/>
                <w:color w:val="auto"/>
                <w:w w:val="91"/>
              </w:rPr>
              <w:t>October 2,</w:t>
            </w:r>
          </w:p>
        </w:tc>
        <w:tc>
          <w:tcPr>
            <w:tcW w:w="3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Borders>
              <w:top w:val="single" w:sz="8" w:color="auto"/>
            </w:tcBorders>
            <w:gridSpan w:val="2"/>
          </w:tcPr>
          <w:p>
            <w:pPr>
              <w:jc w:val="right"/>
              <w:ind w:right="660"/>
              <w:spacing w:after="0" w:line="167" w:lineRule="exact"/>
              <w:rPr>
                <w:sz w:val="20"/>
                <w:szCs w:val="20"/>
                <w:color w:val="auto"/>
              </w:rPr>
            </w:pPr>
            <w:r>
              <w:rPr>
                <w:rFonts w:ascii="Arial" w:cs="Arial" w:eastAsia="Arial" w:hAnsi="Arial"/>
                <w:sz w:val="15"/>
                <w:szCs w:val="15"/>
                <w:b w:val="1"/>
                <w:bCs w:val="1"/>
                <w:color w:val="auto"/>
              </w:rPr>
              <w:t>October 1,</w:t>
            </w:r>
          </w:p>
        </w:tc>
        <w:tc>
          <w:tcPr>
            <w:tcW w:w="1480" w:type="dxa"/>
            <w:vAlign w:val="bottom"/>
            <w:tcBorders>
              <w:top w:val="single" w:sz="8" w:color="auto"/>
            </w:tcBorders>
          </w:tcPr>
          <w:p>
            <w:pPr>
              <w:jc w:val="right"/>
              <w:ind w:right="324"/>
              <w:spacing w:after="0" w:line="167" w:lineRule="exact"/>
              <w:rPr>
                <w:sz w:val="20"/>
                <w:szCs w:val="20"/>
                <w:color w:val="auto"/>
              </w:rPr>
            </w:pPr>
            <w:r>
              <w:rPr>
                <w:rFonts w:ascii="Arial" w:cs="Arial" w:eastAsia="Arial" w:hAnsi="Arial"/>
                <w:sz w:val="15"/>
                <w:szCs w:val="15"/>
                <w:b w:val="1"/>
                <w:bCs w:val="1"/>
                <w:color w:val="auto"/>
              </w:rPr>
              <w:t>October 2,</w:t>
            </w:r>
          </w:p>
        </w:tc>
        <w:tc>
          <w:tcPr>
            <w:tcW w:w="140" w:type="dxa"/>
            <w:vAlign w:val="bottom"/>
          </w:tcPr>
          <w:p>
            <w:pPr>
              <w:spacing w:after="0"/>
              <w:rPr>
                <w:sz w:val="14"/>
                <w:szCs w:val="14"/>
                <w:color w:val="auto"/>
              </w:rPr>
            </w:pPr>
          </w:p>
        </w:tc>
      </w:tr>
      <w:tr>
        <w:trPr>
          <w:trHeight w:val="199"/>
        </w:trPr>
        <w:tc>
          <w:tcPr>
            <w:tcW w:w="5720" w:type="dxa"/>
            <w:vAlign w:val="bottom"/>
            <w:gridSpan w:val="2"/>
          </w:tcPr>
          <w:p>
            <w:pPr>
              <w:ind w:left="5200"/>
              <w:spacing w:after="0"/>
              <w:rPr>
                <w:sz w:val="20"/>
                <w:szCs w:val="20"/>
                <w:color w:val="auto"/>
              </w:rPr>
            </w:pPr>
            <w:r>
              <w:rPr>
                <w:rFonts w:ascii="Arial" w:cs="Arial" w:eastAsia="Arial" w:hAnsi="Arial"/>
                <w:sz w:val="15"/>
                <w:szCs w:val="15"/>
                <w:b w:val="1"/>
                <w:bCs w:val="1"/>
                <w:color w:val="auto"/>
              </w:rPr>
              <w:t>2011</w:t>
            </w:r>
          </w:p>
        </w:tc>
        <w:tc>
          <w:tcPr>
            <w:tcW w:w="1740" w:type="dxa"/>
            <w:vAlign w:val="bottom"/>
            <w:gridSpan w:val="3"/>
          </w:tcPr>
          <w:p>
            <w:pPr>
              <w:jc w:val="right"/>
              <w:ind w:right="144"/>
              <w:spacing w:after="0"/>
              <w:rPr>
                <w:sz w:val="20"/>
                <w:szCs w:val="20"/>
                <w:color w:val="auto"/>
              </w:rPr>
            </w:pPr>
            <w:r>
              <w:rPr>
                <w:rFonts w:ascii="Arial" w:cs="Arial" w:eastAsia="Arial" w:hAnsi="Arial"/>
                <w:sz w:val="15"/>
                <w:szCs w:val="15"/>
                <w:b w:val="1"/>
                <w:bCs w:val="1"/>
                <w:color w:val="auto"/>
              </w:rPr>
              <w:t>2010</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Arial" w:cs="Arial" w:eastAsia="Arial" w:hAnsi="Arial"/>
                <w:sz w:val="15"/>
                <w:szCs w:val="15"/>
                <w:b w:val="1"/>
                <w:bCs w:val="1"/>
                <w:color w:val="auto"/>
              </w:rPr>
              <w:t>2011</w:t>
            </w:r>
          </w:p>
        </w:tc>
        <w:tc>
          <w:tcPr>
            <w:tcW w:w="26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r>
      <w:tr>
        <w:trPr>
          <w:trHeight w:val="181"/>
        </w:trPr>
        <w:tc>
          <w:tcPr>
            <w:tcW w:w="4620" w:type="dxa"/>
            <w:vAlign w:val="bottom"/>
          </w:tcPr>
          <w:p>
            <w:pPr>
              <w:ind w:left="20"/>
              <w:spacing w:after="0"/>
              <w:rPr>
                <w:sz w:val="20"/>
                <w:szCs w:val="20"/>
                <w:color w:val="auto"/>
              </w:rPr>
            </w:pPr>
            <w:r>
              <w:rPr>
                <w:rFonts w:ascii="Arial" w:cs="Arial" w:eastAsia="Arial" w:hAnsi="Arial"/>
                <w:sz w:val="15"/>
                <w:szCs w:val="15"/>
                <w:color w:val="auto"/>
              </w:rPr>
              <w:t>Revenues:</w:t>
            </w:r>
          </w:p>
        </w:tc>
        <w:tc>
          <w:tcPr>
            <w:tcW w:w="1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5720" w:type="dxa"/>
            <w:vAlign w:val="bottom"/>
            <w:gridSpan w:val="2"/>
            <w:shd w:val="clear" w:color="auto" w:fill="C0FFFF"/>
          </w:tcPr>
          <w:p>
            <w:pPr>
              <w:ind w:left="380"/>
              <w:spacing w:after="0"/>
              <w:rPr>
                <w:sz w:val="20"/>
                <w:szCs w:val="20"/>
                <w:color w:val="auto"/>
              </w:rPr>
            </w:pPr>
            <w:r>
              <w:rPr>
                <w:rFonts w:ascii="Arial" w:cs="Arial" w:eastAsia="Arial" w:hAnsi="Arial"/>
                <w:sz w:val="15"/>
                <w:szCs w:val="15"/>
                <w:color w:val="auto"/>
              </w:rPr>
              <w:t>Net retail sales</w:t>
            </w:r>
          </w:p>
        </w:tc>
        <w:tc>
          <w:tcPr>
            <w:tcW w:w="6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97.9%</w:t>
            </w:r>
          </w:p>
        </w:tc>
        <w:tc>
          <w:tcPr>
            <w:tcW w:w="1120" w:type="dxa"/>
            <w:vAlign w:val="bottom"/>
            <w:shd w:val="clear" w:color="auto" w:fill="C0FFFF"/>
          </w:tcPr>
          <w:p>
            <w:pPr>
              <w:spacing w:after="0"/>
              <w:rPr>
                <w:sz w:val="15"/>
                <w:szCs w:val="15"/>
                <w:color w:val="auto"/>
              </w:rPr>
            </w:pPr>
          </w:p>
        </w:tc>
        <w:tc>
          <w:tcPr>
            <w:tcW w:w="6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91.6%</w:t>
            </w:r>
          </w:p>
        </w:tc>
        <w:tc>
          <w:tcPr>
            <w:tcW w:w="17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98.1%</w:t>
            </w:r>
          </w:p>
        </w:tc>
        <w:tc>
          <w:tcPr>
            <w:tcW w:w="1620" w:type="dxa"/>
            <w:vAlign w:val="bottom"/>
            <w:gridSpan w:val="2"/>
            <w:shd w:val="clear" w:color="auto" w:fill="C0FFFF"/>
          </w:tcPr>
          <w:p>
            <w:pPr>
              <w:jc w:val="right"/>
              <w:ind w:right="20"/>
              <w:spacing w:after="0"/>
              <w:rPr>
                <w:sz w:val="20"/>
                <w:szCs w:val="20"/>
                <w:color w:val="auto"/>
              </w:rPr>
            </w:pPr>
            <w:r>
              <w:rPr>
                <w:rFonts w:ascii="Arial" w:cs="Arial" w:eastAsia="Arial" w:hAnsi="Arial"/>
                <w:sz w:val="15"/>
                <w:szCs w:val="15"/>
                <w:color w:val="auto"/>
              </w:rPr>
              <w:t>95.8%</w:t>
            </w:r>
          </w:p>
        </w:tc>
      </w:tr>
      <w:tr>
        <w:trPr>
          <w:trHeight w:val="182"/>
        </w:trPr>
        <w:tc>
          <w:tcPr>
            <w:tcW w:w="5720" w:type="dxa"/>
            <w:vAlign w:val="bottom"/>
            <w:gridSpan w:val="2"/>
          </w:tcPr>
          <w:p>
            <w:pPr>
              <w:ind w:left="380"/>
              <w:spacing w:after="0"/>
              <w:rPr>
                <w:sz w:val="20"/>
                <w:szCs w:val="20"/>
                <w:color w:val="auto"/>
              </w:rPr>
            </w:pPr>
            <w:r>
              <w:rPr>
                <w:rFonts w:ascii="Arial" w:cs="Arial" w:eastAsia="Arial" w:hAnsi="Arial"/>
                <w:sz w:val="15"/>
                <w:szCs w:val="15"/>
                <w:color w:val="auto"/>
              </w:rPr>
              <w:t>Commercial revenue</w:t>
            </w:r>
          </w:p>
        </w:tc>
        <w:tc>
          <w:tcPr>
            <w:tcW w:w="380" w:type="dxa"/>
            <w:vAlign w:val="bottom"/>
          </w:tcPr>
          <w:p>
            <w:pPr>
              <w:jc w:val="right"/>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rPr>
              <w:t>7.6</w:t>
            </w:r>
          </w:p>
        </w:tc>
        <w:tc>
          <w:tcPr>
            <w:tcW w:w="1480" w:type="dxa"/>
            <w:vAlign w:val="bottom"/>
          </w:tcPr>
          <w:p>
            <w:pPr>
              <w:jc w:val="right"/>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3.5</w:t>
            </w:r>
          </w:p>
        </w:tc>
      </w:tr>
      <w:tr>
        <w:trPr>
          <w:trHeight w:val="182"/>
        </w:trPr>
        <w:tc>
          <w:tcPr>
            <w:tcW w:w="4620" w:type="dxa"/>
            <w:vAlign w:val="bottom"/>
            <w:shd w:val="clear" w:color="auto" w:fill="C0FFFF"/>
          </w:tcPr>
          <w:p>
            <w:pPr>
              <w:ind w:left="380"/>
              <w:spacing w:after="0"/>
              <w:rPr>
                <w:sz w:val="20"/>
                <w:szCs w:val="20"/>
                <w:color w:val="auto"/>
              </w:rPr>
            </w:pPr>
            <w:r>
              <w:rPr>
                <w:rFonts w:ascii="Arial" w:cs="Arial" w:eastAsia="Arial" w:hAnsi="Arial"/>
                <w:sz w:val="15"/>
                <w:szCs w:val="15"/>
                <w:color w:val="auto"/>
              </w:rPr>
              <w:t>Franchise fees</w:t>
            </w:r>
          </w:p>
        </w:tc>
        <w:tc>
          <w:tcPr>
            <w:tcW w:w="1100" w:type="dxa"/>
            <w:vAlign w:val="bottom"/>
            <w:shd w:val="clear" w:color="auto" w:fill="C0FFFF"/>
          </w:tcPr>
          <w:p>
            <w:pPr>
              <w:spacing w:after="0"/>
              <w:rPr>
                <w:sz w:val="15"/>
                <w:szCs w:val="15"/>
                <w:color w:val="auto"/>
              </w:rPr>
            </w:pPr>
          </w:p>
        </w:tc>
        <w:tc>
          <w:tcPr>
            <w:tcW w:w="3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0.9</w:t>
            </w:r>
          </w:p>
        </w:tc>
        <w:tc>
          <w:tcPr>
            <w:tcW w:w="24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6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0.8</w:t>
            </w:r>
          </w:p>
        </w:tc>
        <w:tc>
          <w:tcPr>
            <w:tcW w:w="14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0.8</w:t>
            </w:r>
          </w:p>
        </w:tc>
        <w:tc>
          <w:tcPr>
            <w:tcW w:w="260" w:type="dxa"/>
            <w:vAlign w:val="bottom"/>
            <w:shd w:val="clear" w:color="auto" w:fill="C0FFFF"/>
          </w:tcPr>
          <w:p>
            <w:pPr>
              <w:spacing w:after="0"/>
              <w:rPr>
                <w:sz w:val="15"/>
                <w:szCs w:val="15"/>
                <w:color w:val="auto"/>
              </w:rPr>
            </w:pPr>
          </w:p>
        </w:tc>
        <w:tc>
          <w:tcPr>
            <w:tcW w:w="16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0.8</w:t>
            </w:r>
          </w:p>
        </w:tc>
      </w:tr>
      <w:tr>
        <w:trPr>
          <w:trHeight w:val="23"/>
        </w:trPr>
        <w:tc>
          <w:tcPr>
            <w:tcW w:w="4620" w:type="dxa"/>
            <w:vAlign w:val="bottom"/>
            <w:shd w:val="clear" w:color="auto" w:fill="C0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0FF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0FF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r>
      <w:tr>
        <w:trPr>
          <w:trHeight w:val="184"/>
        </w:trPr>
        <w:tc>
          <w:tcPr>
            <w:tcW w:w="4620" w:type="dxa"/>
            <w:vAlign w:val="bottom"/>
          </w:tcPr>
          <w:p>
            <w:pPr>
              <w:ind w:left="820"/>
              <w:spacing w:after="0"/>
              <w:rPr>
                <w:sz w:val="20"/>
                <w:szCs w:val="20"/>
                <w:color w:val="auto"/>
              </w:rPr>
            </w:pPr>
            <w:r>
              <w:rPr>
                <w:rFonts w:ascii="Arial" w:cs="Arial" w:eastAsia="Arial" w:hAnsi="Arial"/>
                <w:sz w:val="15"/>
                <w:szCs w:val="15"/>
                <w:color w:val="auto"/>
              </w:rPr>
              <w:t>Total revenues</w:t>
            </w: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100.0</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w w:val="90"/>
              </w:rPr>
              <w:t>100.0</w:t>
            </w:r>
          </w:p>
        </w:tc>
        <w:tc>
          <w:tcPr>
            <w:tcW w:w="1480" w:type="dxa"/>
            <w:vAlign w:val="bottom"/>
          </w:tcPr>
          <w:p>
            <w:pPr>
              <w:jc w:val="right"/>
              <w:spacing w:after="0"/>
              <w:rPr>
                <w:sz w:val="20"/>
                <w:szCs w:val="20"/>
                <w:color w:val="auto"/>
              </w:rPr>
            </w:pPr>
            <w:r>
              <w:rPr>
                <w:rFonts w:ascii="Arial" w:cs="Arial" w:eastAsia="Arial" w:hAnsi="Arial"/>
                <w:sz w:val="15"/>
                <w:szCs w:val="15"/>
                <w:color w:val="auto"/>
              </w:rPr>
              <w:t>100.0</w:t>
            </w:r>
          </w:p>
        </w:tc>
        <w:tc>
          <w:tcPr>
            <w:tcW w:w="26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100.0</w:t>
            </w:r>
          </w:p>
        </w:tc>
      </w:tr>
      <w:tr>
        <w:trPr>
          <w:trHeight w:val="182"/>
        </w:trPr>
        <w:tc>
          <w:tcPr>
            <w:tcW w:w="4620" w:type="dxa"/>
            <w:vAlign w:val="bottom"/>
            <w:shd w:val="clear" w:color="auto" w:fill="C0FFFF"/>
          </w:tcPr>
          <w:p>
            <w:pPr>
              <w:spacing w:after="0"/>
              <w:rPr>
                <w:sz w:val="15"/>
                <w:szCs w:val="15"/>
                <w:color w:val="auto"/>
              </w:rPr>
            </w:pPr>
          </w:p>
        </w:tc>
        <w:tc>
          <w:tcPr>
            <w:tcW w:w="1100" w:type="dxa"/>
            <w:vAlign w:val="bottom"/>
            <w:tcBorders>
              <w:top w:val="single" w:sz="8" w:color="auto"/>
            </w:tcBorders>
            <w:shd w:val="clear" w:color="auto" w:fill="C0FFFF"/>
          </w:tcPr>
          <w:p>
            <w:pPr>
              <w:spacing w:after="0"/>
              <w:rPr>
                <w:sz w:val="15"/>
                <w:szCs w:val="15"/>
                <w:color w:val="auto"/>
              </w:rPr>
            </w:pPr>
          </w:p>
        </w:tc>
        <w:tc>
          <w:tcPr>
            <w:tcW w:w="380" w:type="dxa"/>
            <w:vAlign w:val="bottom"/>
            <w:tcBorders>
              <w:top w:val="single" w:sz="8" w:color="auto"/>
            </w:tcBorders>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120" w:type="dxa"/>
            <w:vAlign w:val="bottom"/>
            <w:tcBorders>
              <w:top w:val="single" w:sz="8" w:color="auto"/>
            </w:tcBorders>
            <w:shd w:val="clear" w:color="auto" w:fill="C0FFFF"/>
          </w:tcPr>
          <w:p>
            <w:pPr>
              <w:spacing w:after="0"/>
              <w:rPr>
                <w:sz w:val="15"/>
                <w:szCs w:val="15"/>
                <w:color w:val="auto"/>
              </w:rPr>
            </w:pPr>
          </w:p>
        </w:tc>
        <w:tc>
          <w:tcPr>
            <w:tcW w:w="360" w:type="dxa"/>
            <w:vAlign w:val="bottom"/>
            <w:tcBorders>
              <w:top w:val="single" w:sz="8" w:color="auto"/>
            </w:tcBorders>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1480" w:type="dxa"/>
            <w:vAlign w:val="bottom"/>
            <w:tcBorders>
              <w:top w:val="single" w:sz="8" w:color="auto"/>
            </w:tcBorders>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148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r>
      <w:tr>
        <w:trPr>
          <w:trHeight w:val="182"/>
        </w:trPr>
        <w:tc>
          <w:tcPr>
            <w:tcW w:w="5720" w:type="dxa"/>
            <w:vAlign w:val="bottom"/>
            <w:gridSpan w:val="2"/>
          </w:tcPr>
          <w:p>
            <w:pPr>
              <w:ind w:left="20"/>
              <w:spacing w:after="0"/>
              <w:rPr>
                <w:sz w:val="20"/>
                <w:szCs w:val="20"/>
                <w:color w:val="auto"/>
              </w:rPr>
            </w:pPr>
            <w:r>
              <w:rPr>
                <w:rFonts w:ascii="Arial" w:cs="Arial" w:eastAsia="Arial" w:hAnsi="Arial"/>
                <w:sz w:val="15"/>
                <w:szCs w:val="15"/>
                <w:color w:val="auto"/>
              </w:rPr>
              <w:t>Costs and expenses: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5720" w:type="dxa"/>
            <w:vAlign w:val="bottom"/>
            <w:gridSpan w:val="2"/>
            <w:shd w:val="clear" w:color="auto" w:fill="C0FFFF"/>
          </w:tcPr>
          <w:p>
            <w:pPr>
              <w:ind w:left="380"/>
              <w:spacing w:after="0" w:line="182" w:lineRule="exact"/>
              <w:rPr>
                <w:sz w:val="20"/>
                <w:szCs w:val="20"/>
                <w:color w:val="auto"/>
              </w:rPr>
            </w:pPr>
            <w:r>
              <w:rPr>
                <w:rFonts w:ascii="Arial" w:cs="Arial" w:eastAsia="Arial" w:hAnsi="Arial"/>
                <w:sz w:val="15"/>
                <w:szCs w:val="15"/>
                <w:color w:val="auto"/>
              </w:rPr>
              <w:t>Cost of merchandise sol</w:t>
            </w:r>
            <w:r>
              <w:rPr>
                <w:rFonts w:ascii="Arial" w:cs="Arial" w:eastAsia="Arial" w:hAnsi="Arial"/>
                <w:sz w:val="21"/>
                <w:szCs w:val="21"/>
                <w:color w:val="auto"/>
                <w:vertAlign w:val="superscript"/>
              </w:rPr>
              <w:t>d (1)</w:t>
            </w:r>
          </w:p>
        </w:tc>
        <w:tc>
          <w:tcPr>
            <w:tcW w:w="62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59.6</w:t>
            </w:r>
          </w:p>
        </w:tc>
        <w:tc>
          <w:tcPr>
            <w:tcW w:w="1120" w:type="dxa"/>
            <w:vAlign w:val="bottom"/>
            <w:shd w:val="clear" w:color="auto" w:fill="C0FFFF"/>
          </w:tcPr>
          <w:p>
            <w:pPr>
              <w:spacing w:after="0"/>
              <w:rPr>
                <w:sz w:val="15"/>
                <w:szCs w:val="15"/>
                <w:color w:val="auto"/>
              </w:rPr>
            </w:pPr>
          </w:p>
        </w:tc>
        <w:tc>
          <w:tcPr>
            <w:tcW w:w="6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63.1</w:t>
            </w:r>
          </w:p>
        </w:tc>
        <w:tc>
          <w:tcPr>
            <w:tcW w:w="174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61.5</w:t>
            </w:r>
          </w:p>
        </w:tc>
        <w:tc>
          <w:tcPr>
            <w:tcW w:w="16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62.9</w:t>
            </w:r>
          </w:p>
        </w:tc>
      </w:tr>
      <w:tr>
        <w:trPr>
          <w:trHeight w:val="182"/>
        </w:trPr>
        <w:tc>
          <w:tcPr>
            <w:tcW w:w="5720" w:type="dxa"/>
            <w:vAlign w:val="bottom"/>
            <w:gridSpan w:val="2"/>
          </w:tcPr>
          <w:p>
            <w:pPr>
              <w:ind w:left="380"/>
              <w:spacing w:after="0"/>
              <w:rPr>
                <w:sz w:val="20"/>
                <w:szCs w:val="20"/>
                <w:color w:val="auto"/>
              </w:rPr>
            </w:pPr>
            <w:r>
              <w:rPr>
                <w:rFonts w:ascii="Arial" w:cs="Arial" w:eastAsia="Arial" w:hAnsi="Arial"/>
                <w:sz w:val="15"/>
                <w:szCs w:val="15"/>
                <w:color w:val="auto"/>
              </w:rPr>
              <w:t>Selling, general and administrative</w:t>
            </w: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38.8</w:t>
            </w:r>
          </w:p>
        </w:tc>
        <w:tc>
          <w:tcPr>
            <w:tcW w:w="1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rPr>
              <w:t>39.1</w:t>
            </w: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43.5</w:t>
            </w: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41.7</w:t>
            </w:r>
          </w:p>
        </w:tc>
      </w:tr>
      <w:tr>
        <w:trPr>
          <w:trHeight w:val="182"/>
        </w:trPr>
        <w:tc>
          <w:tcPr>
            <w:tcW w:w="5720" w:type="dxa"/>
            <w:vAlign w:val="bottom"/>
            <w:gridSpan w:val="2"/>
            <w:shd w:val="clear" w:color="auto" w:fill="C0FFFF"/>
          </w:tcPr>
          <w:p>
            <w:pPr>
              <w:ind w:left="380"/>
              <w:spacing w:after="0"/>
              <w:rPr>
                <w:sz w:val="20"/>
                <w:szCs w:val="20"/>
                <w:color w:val="auto"/>
              </w:rPr>
            </w:pPr>
            <w:r>
              <w:rPr>
                <w:rFonts w:ascii="Arial" w:cs="Arial" w:eastAsia="Arial" w:hAnsi="Arial"/>
                <w:sz w:val="15"/>
                <w:szCs w:val="15"/>
                <w:color w:val="auto"/>
              </w:rPr>
              <w:t>Store preopening</w:t>
            </w:r>
          </w:p>
        </w:tc>
        <w:tc>
          <w:tcPr>
            <w:tcW w:w="3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0.2</w:t>
            </w:r>
          </w:p>
        </w:tc>
        <w:tc>
          <w:tcPr>
            <w:tcW w:w="24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6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0.3</w:t>
            </w:r>
          </w:p>
        </w:tc>
        <w:tc>
          <w:tcPr>
            <w:tcW w:w="14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0.1</w:t>
            </w:r>
          </w:p>
        </w:tc>
        <w:tc>
          <w:tcPr>
            <w:tcW w:w="260" w:type="dxa"/>
            <w:vAlign w:val="bottom"/>
            <w:shd w:val="clear" w:color="auto" w:fill="C0FFFF"/>
          </w:tcPr>
          <w:p>
            <w:pPr>
              <w:spacing w:after="0"/>
              <w:rPr>
                <w:sz w:val="15"/>
                <w:szCs w:val="15"/>
                <w:color w:val="auto"/>
              </w:rPr>
            </w:pPr>
          </w:p>
        </w:tc>
        <w:tc>
          <w:tcPr>
            <w:tcW w:w="16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0.1</w:t>
            </w:r>
          </w:p>
        </w:tc>
      </w:tr>
      <w:tr>
        <w:trPr>
          <w:trHeight w:val="182"/>
        </w:trPr>
        <w:tc>
          <w:tcPr>
            <w:tcW w:w="4620" w:type="dxa"/>
            <w:vAlign w:val="bottom"/>
          </w:tcPr>
          <w:p>
            <w:pPr>
              <w:ind w:left="380"/>
              <w:spacing w:after="0"/>
              <w:rPr>
                <w:sz w:val="20"/>
                <w:szCs w:val="20"/>
                <w:color w:val="auto"/>
              </w:rPr>
            </w:pPr>
            <w:r>
              <w:rPr>
                <w:rFonts w:ascii="Arial" w:cs="Arial" w:eastAsia="Arial" w:hAnsi="Arial"/>
                <w:sz w:val="15"/>
                <w:szCs w:val="15"/>
                <w:color w:val="auto"/>
              </w:rPr>
              <w:t>Interest expense (income), net</w:t>
            </w:r>
          </w:p>
        </w:tc>
        <w:tc>
          <w:tcPr>
            <w:tcW w:w="1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(0.0)</w:t>
            </w:r>
          </w:p>
        </w:tc>
        <w:tc>
          <w:tcPr>
            <w:tcW w:w="112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(0.1)</w:t>
            </w:r>
          </w:p>
        </w:tc>
        <w:tc>
          <w:tcPr>
            <w:tcW w:w="1740" w:type="dxa"/>
            <w:vAlign w:val="bottom"/>
            <w:gridSpan w:val="2"/>
          </w:tcPr>
          <w:p>
            <w:pPr>
              <w:jc w:val="right"/>
              <w:ind w:right="200"/>
              <w:spacing w:after="0"/>
              <w:rPr>
                <w:sz w:val="20"/>
                <w:szCs w:val="20"/>
                <w:color w:val="auto"/>
              </w:rPr>
            </w:pPr>
            <w:r>
              <w:rPr>
                <w:rFonts w:ascii="Arial" w:cs="Arial" w:eastAsia="Arial" w:hAnsi="Arial"/>
                <w:sz w:val="15"/>
                <w:szCs w:val="15"/>
                <w:color w:val="auto"/>
              </w:rPr>
              <w:t>(0.0)</w:t>
            </w: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r>
      <w:tr>
        <w:trPr>
          <w:trHeight w:val="23"/>
        </w:trPr>
        <w:tc>
          <w:tcPr>
            <w:tcW w:w="4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4620" w:type="dxa"/>
            <w:vAlign w:val="bottom"/>
            <w:shd w:val="clear" w:color="auto" w:fill="C0FFFF"/>
          </w:tcPr>
          <w:p>
            <w:pPr>
              <w:ind w:left="820"/>
              <w:spacing w:after="0"/>
              <w:rPr>
                <w:sz w:val="20"/>
                <w:szCs w:val="20"/>
                <w:color w:val="auto"/>
              </w:rPr>
            </w:pPr>
            <w:r>
              <w:rPr>
                <w:rFonts w:ascii="Arial" w:cs="Arial" w:eastAsia="Arial" w:hAnsi="Arial"/>
                <w:sz w:val="15"/>
                <w:szCs w:val="15"/>
                <w:color w:val="auto"/>
              </w:rPr>
              <w:t>Total costs and expenses</w:t>
            </w:r>
          </w:p>
        </w:tc>
        <w:tc>
          <w:tcPr>
            <w:tcW w:w="1100" w:type="dxa"/>
            <w:vAlign w:val="bottom"/>
            <w:shd w:val="clear" w:color="auto" w:fill="C0FFFF"/>
          </w:tcPr>
          <w:p>
            <w:pPr>
              <w:spacing w:after="0"/>
              <w:rPr>
                <w:sz w:val="16"/>
                <w:szCs w:val="16"/>
                <w:color w:val="auto"/>
              </w:rPr>
            </w:pPr>
          </w:p>
        </w:tc>
        <w:tc>
          <w:tcPr>
            <w:tcW w:w="3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98.1</w:t>
            </w:r>
          </w:p>
        </w:tc>
        <w:tc>
          <w:tcPr>
            <w:tcW w:w="24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6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w w:val="90"/>
              </w:rPr>
              <w:t>101.9</w:t>
            </w:r>
          </w:p>
        </w:tc>
        <w:tc>
          <w:tcPr>
            <w:tcW w:w="14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104.5</w:t>
            </w:r>
          </w:p>
        </w:tc>
        <w:tc>
          <w:tcPr>
            <w:tcW w:w="260" w:type="dxa"/>
            <w:vAlign w:val="bottom"/>
            <w:shd w:val="clear" w:color="auto" w:fill="C0FFFF"/>
          </w:tcPr>
          <w:p>
            <w:pPr>
              <w:spacing w:after="0"/>
              <w:rPr>
                <w:sz w:val="16"/>
                <w:szCs w:val="16"/>
                <w:color w:val="auto"/>
              </w:rPr>
            </w:pPr>
          </w:p>
        </w:tc>
        <w:tc>
          <w:tcPr>
            <w:tcW w:w="162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104.2</w:t>
            </w:r>
          </w:p>
        </w:tc>
      </w:tr>
      <w:tr>
        <w:trPr>
          <w:trHeight w:val="182"/>
        </w:trPr>
        <w:tc>
          <w:tcPr>
            <w:tcW w:w="4620" w:type="dxa"/>
            <w:vAlign w:val="bottom"/>
            <w:tcBorders>
              <w:top w:val="single" w:sz="8" w:color="C0FF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C0FFFF"/>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60" w:type="dxa"/>
            <w:vAlign w:val="bottom"/>
            <w:tcBorders>
              <w:top w:val="single" w:sz="8" w:color="C0FFFF"/>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r>
      <w:tr>
        <w:trPr>
          <w:trHeight w:val="182"/>
        </w:trPr>
        <w:tc>
          <w:tcPr>
            <w:tcW w:w="5720" w:type="dxa"/>
            <w:vAlign w:val="bottom"/>
            <w:gridSpan w:val="2"/>
            <w:shd w:val="clear" w:color="auto" w:fill="C0FFFF"/>
          </w:tcPr>
          <w:p>
            <w:pPr>
              <w:ind w:left="820"/>
              <w:spacing w:after="0"/>
              <w:rPr>
                <w:sz w:val="20"/>
                <w:szCs w:val="20"/>
                <w:color w:val="auto"/>
              </w:rPr>
            </w:pPr>
            <w:r>
              <w:rPr>
                <w:rFonts w:ascii="Arial" w:cs="Arial" w:eastAsia="Arial" w:hAnsi="Arial"/>
                <w:sz w:val="15"/>
                <w:szCs w:val="15"/>
                <w:color w:val="auto"/>
              </w:rPr>
              <w:t>Income (loss) before income taxes</w:t>
            </w:r>
          </w:p>
        </w:tc>
        <w:tc>
          <w:tcPr>
            <w:tcW w:w="3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1.9</w:t>
            </w:r>
          </w:p>
        </w:tc>
        <w:tc>
          <w:tcPr>
            <w:tcW w:w="24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6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(1.9)</w:t>
            </w:r>
          </w:p>
        </w:tc>
        <w:tc>
          <w:tcPr>
            <w:tcW w:w="174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(4.5)</w:t>
            </w:r>
          </w:p>
        </w:tc>
        <w:tc>
          <w:tcPr>
            <w:tcW w:w="162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(4.2)</w:t>
            </w:r>
          </w:p>
        </w:tc>
      </w:tr>
      <w:tr>
        <w:trPr>
          <w:trHeight w:val="182"/>
        </w:trPr>
        <w:tc>
          <w:tcPr>
            <w:tcW w:w="4620" w:type="dxa"/>
            <w:vAlign w:val="bottom"/>
          </w:tcPr>
          <w:p>
            <w:pPr>
              <w:ind w:left="380"/>
              <w:spacing w:after="0"/>
              <w:rPr>
                <w:sz w:val="20"/>
                <w:szCs w:val="20"/>
                <w:color w:val="auto"/>
              </w:rPr>
            </w:pPr>
            <w:r>
              <w:rPr>
                <w:rFonts w:ascii="Arial" w:cs="Arial" w:eastAsia="Arial" w:hAnsi="Arial"/>
                <w:sz w:val="15"/>
                <w:szCs w:val="15"/>
                <w:color w:val="auto"/>
              </w:rPr>
              <w:t>Income tax expense (benefit)</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(0.5)</w:t>
            </w:r>
          </w:p>
        </w:tc>
        <w:tc>
          <w:tcPr>
            <w:tcW w:w="1740" w:type="dxa"/>
            <w:vAlign w:val="bottom"/>
            <w:gridSpan w:val="2"/>
          </w:tcPr>
          <w:p>
            <w:pPr>
              <w:jc w:val="right"/>
              <w:ind w:right="200"/>
              <w:spacing w:after="0"/>
              <w:rPr>
                <w:sz w:val="20"/>
                <w:szCs w:val="20"/>
                <w:color w:val="auto"/>
              </w:rPr>
            </w:pPr>
            <w:r>
              <w:rPr>
                <w:rFonts w:ascii="Arial" w:cs="Arial" w:eastAsia="Arial" w:hAnsi="Arial"/>
                <w:sz w:val="15"/>
                <w:szCs w:val="15"/>
                <w:color w:val="auto"/>
              </w:rPr>
              <w:t>(1.6)</w:t>
            </w: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(1.3)</w:t>
            </w:r>
          </w:p>
        </w:tc>
      </w:tr>
      <w:tr>
        <w:trPr>
          <w:trHeight w:val="23"/>
        </w:trPr>
        <w:tc>
          <w:tcPr>
            <w:tcW w:w="4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4620" w:type="dxa"/>
            <w:vAlign w:val="bottom"/>
            <w:shd w:val="clear" w:color="auto" w:fill="C0FFFF"/>
          </w:tcPr>
          <w:p>
            <w:pPr>
              <w:ind w:left="820"/>
              <w:spacing w:after="0"/>
              <w:rPr>
                <w:sz w:val="20"/>
                <w:szCs w:val="20"/>
                <w:color w:val="auto"/>
              </w:rPr>
            </w:pPr>
            <w:r>
              <w:rPr>
                <w:rFonts w:ascii="Arial" w:cs="Arial" w:eastAsia="Arial" w:hAnsi="Arial"/>
                <w:sz w:val="15"/>
                <w:szCs w:val="15"/>
                <w:color w:val="auto"/>
              </w:rPr>
              <w:t>Net income (loss)</w:t>
            </w:r>
          </w:p>
        </w:tc>
        <w:tc>
          <w:tcPr>
            <w:tcW w:w="1100" w:type="dxa"/>
            <w:vAlign w:val="bottom"/>
            <w:shd w:val="clear" w:color="auto" w:fill="C0FFFF"/>
          </w:tcPr>
          <w:p>
            <w:pPr>
              <w:spacing w:after="0"/>
              <w:rPr>
                <w:sz w:val="19"/>
                <w:szCs w:val="19"/>
                <w:color w:val="auto"/>
              </w:rPr>
            </w:pPr>
          </w:p>
        </w:tc>
        <w:tc>
          <w:tcPr>
            <w:tcW w:w="3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0.9</w:t>
            </w:r>
          </w:p>
        </w:tc>
        <w:tc>
          <w:tcPr>
            <w:tcW w:w="240" w:type="dxa"/>
            <w:vAlign w:val="bottom"/>
            <w:shd w:val="clear" w:color="auto" w:fill="C0FFFF"/>
          </w:tcPr>
          <w:p>
            <w:pPr>
              <w:spacing w:after="0"/>
              <w:rPr>
                <w:sz w:val="19"/>
                <w:szCs w:val="19"/>
                <w:color w:val="auto"/>
              </w:rPr>
            </w:pPr>
          </w:p>
        </w:tc>
        <w:tc>
          <w:tcPr>
            <w:tcW w:w="1120" w:type="dxa"/>
            <w:vAlign w:val="bottom"/>
            <w:shd w:val="clear" w:color="auto" w:fill="C0FFFF"/>
          </w:tcPr>
          <w:p>
            <w:pPr>
              <w:spacing w:after="0"/>
              <w:rPr>
                <w:sz w:val="19"/>
                <w:szCs w:val="19"/>
                <w:color w:val="auto"/>
              </w:rPr>
            </w:pPr>
          </w:p>
        </w:tc>
        <w:tc>
          <w:tcPr>
            <w:tcW w:w="62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(1.4)</w:t>
            </w:r>
          </w:p>
        </w:tc>
        <w:tc>
          <w:tcPr>
            <w:tcW w:w="174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(2.9)</w:t>
            </w:r>
          </w:p>
        </w:tc>
        <w:tc>
          <w:tcPr>
            <w:tcW w:w="162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(3.0)</w:t>
            </w:r>
          </w:p>
        </w:tc>
      </w:tr>
      <w:tr>
        <w:trPr>
          <w:trHeight w:val="167"/>
        </w:trPr>
        <w:tc>
          <w:tcPr>
            <w:tcW w:w="4620" w:type="dxa"/>
            <w:vAlign w:val="bottom"/>
            <w:tcBorders>
              <w:top w:val="single" w:sz="8" w:color="C0FF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C0FF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60" w:type="dxa"/>
            <w:vAlign w:val="bottom"/>
            <w:tcBorders>
              <w:top w:val="single" w:sz="8" w:color="C0FF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60" w:type="dxa"/>
            <w:vAlign w:val="bottom"/>
            <w:tcBorders>
              <w:top w:val="single" w:sz="8" w:color="C0FF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r>
      <w:tr>
        <w:trPr>
          <w:trHeight w:val="182"/>
        </w:trPr>
        <w:tc>
          <w:tcPr>
            <w:tcW w:w="4620" w:type="dxa"/>
            <w:vAlign w:val="bottom"/>
            <w:shd w:val="clear" w:color="auto" w:fill="C0FFFF"/>
          </w:tcPr>
          <w:p>
            <w:pPr>
              <w:spacing w:after="0"/>
              <w:rPr>
                <w:sz w:val="15"/>
                <w:szCs w:val="15"/>
                <w:color w:val="auto"/>
              </w:rPr>
            </w:pPr>
          </w:p>
        </w:tc>
        <w:tc>
          <w:tcPr>
            <w:tcW w:w="11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148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148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r>
      <w:tr>
        <w:trPr>
          <w:trHeight w:val="182"/>
        </w:trPr>
        <w:tc>
          <w:tcPr>
            <w:tcW w:w="5720" w:type="dxa"/>
            <w:vAlign w:val="bottom"/>
            <w:gridSpan w:val="2"/>
          </w:tcPr>
          <w:p>
            <w:pPr>
              <w:ind w:left="20"/>
              <w:spacing w:after="0" w:line="182" w:lineRule="exact"/>
              <w:rPr>
                <w:sz w:val="20"/>
                <w:szCs w:val="20"/>
                <w:color w:val="auto"/>
              </w:rPr>
            </w:pPr>
            <w:r>
              <w:rPr>
                <w:rFonts w:ascii="Arial" w:cs="Arial" w:eastAsia="Arial" w:hAnsi="Arial"/>
                <w:sz w:val="15"/>
                <w:szCs w:val="15"/>
                <w:color w:val="auto"/>
              </w:rPr>
              <w:t xml:space="preserve">Retail Gross Margin % </w:t>
            </w:r>
            <w:r>
              <w:rPr>
                <w:rFonts w:ascii="Arial" w:cs="Arial" w:eastAsia="Arial" w:hAnsi="Arial"/>
                <w:sz w:val="21"/>
                <w:szCs w:val="21"/>
                <w:color w:val="auto"/>
                <w:vertAlign w:val="superscript"/>
              </w:rPr>
              <w:t>(2)</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40.2%</w:t>
            </w:r>
          </w:p>
        </w:tc>
        <w:tc>
          <w:tcPr>
            <w:tcW w:w="1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38.6%</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38.4%</w:t>
            </w:r>
          </w:p>
        </w:tc>
        <w:tc>
          <w:tcPr>
            <w:tcW w:w="1620" w:type="dxa"/>
            <w:vAlign w:val="bottom"/>
            <w:gridSpan w:val="2"/>
          </w:tcPr>
          <w:p>
            <w:pPr>
              <w:jc w:val="right"/>
              <w:ind w:right="20"/>
              <w:spacing w:after="0"/>
              <w:rPr>
                <w:sz w:val="20"/>
                <w:szCs w:val="20"/>
                <w:color w:val="auto"/>
              </w:rPr>
            </w:pPr>
            <w:r>
              <w:rPr>
                <w:rFonts w:ascii="Arial" w:cs="Arial" w:eastAsia="Arial" w:hAnsi="Arial"/>
                <w:sz w:val="15"/>
                <w:szCs w:val="15"/>
                <w:color w:val="auto"/>
              </w:rPr>
              <w:t>37.4%</w:t>
            </w:r>
          </w:p>
        </w:tc>
      </w:tr>
      <w:tr>
        <w:trPr>
          <w:trHeight w:val="20"/>
        </w:trPr>
        <w:tc>
          <w:tcPr>
            <w:tcW w:w="4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21971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97100" cy="6985"/>
                    </a:xfrm>
                    <a:prstGeom prst="rect">
                      <a:avLst/>
                    </a:prstGeom>
                    <a:noFill/>
                  </pic:spPr>
                </pic:pic>
              </a:graphicData>
            </a:graphic>
          </wp:anchor>
        </w:drawing>
      </w:r>
    </w:p>
    <w:p>
      <w:pPr>
        <w:spacing w:after="0" w:line="344" w:lineRule="exact"/>
        <w:rPr>
          <w:sz w:val="20"/>
          <w:szCs w:val="20"/>
          <w:color w:val="auto"/>
        </w:rPr>
      </w:pPr>
    </w:p>
    <w:p>
      <w:pPr>
        <w:ind w:left="269" w:hanging="269"/>
        <w:spacing w:after="0"/>
        <w:tabs>
          <w:tab w:leader="none" w:pos="269" w:val="left"/>
        </w:tabs>
        <w:numPr>
          <w:ilvl w:val="0"/>
          <w:numId w:val="8"/>
        </w:numPr>
        <w:rPr>
          <w:rFonts w:ascii="Arial" w:cs="Arial" w:eastAsia="Arial" w:hAnsi="Arial"/>
          <w:sz w:val="15"/>
          <w:szCs w:val="15"/>
          <w:color w:val="auto"/>
        </w:rPr>
      </w:pPr>
      <w:r>
        <w:rPr>
          <w:rFonts w:ascii="Arial" w:cs="Arial" w:eastAsia="Arial" w:hAnsi="Arial"/>
          <w:sz w:val="15"/>
          <w:szCs w:val="15"/>
          <w:color w:val="auto"/>
        </w:rPr>
        <w:t>Cost of merchandise sold is expressed as a percentage of net retail sales and commercial revenue.</w:t>
      </w:r>
    </w:p>
    <w:p>
      <w:pPr>
        <w:spacing w:after="0" w:line="235" w:lineRule="exact"/>
        <w:rPr>
          <w:rFonts w:ascii="Arial" w:cs="Arial" w:eastAsia="Arial" w:hAnsi="Arial"/>
          <w:sz w:val="15"/>
          <w:szCs w:val="15"/>
          <w:color w:val="auto"/>
        </w:rPr>
      </w:pPr>
    </w:p>
    <w:p>
      <w:pPr>
        <w:ind w:left="269" w:hanging="269"/>
        <w:spacing w:after="0"/>
        <w:tabs>
          <w:tab w:leader="none" w:pos="269" w:val="left"/>
        </w:tabs>
        <w:numPr>
          <w:ilvl w:val="0"/>
          <w:numId w:val="8"/>
        </w:numPr>
        <w:rPr>
          <w:rFonts w:ascii="Arial" w:cs="Arial" w:eastAsia="Arial" w:hAnsi="Arial"/>
          <w:sz w:val="14"/>
          <w:szCs w:val="14"/>
          <w:color w:val="auto"/>
        </w:rPr>
      </w:pPr>
      <w:r>
        <w:rPr>
          <w:rFonts w:ascii="Arial" w:cs="Arial" w:eastAsia="Arial" w:hAnsi="Arial"/>
          <w:sz w:val="14"/>
          <w:szCs w:val="14"/>
          <w:color w:val="auto"/>
        </w:rPr>
        <w:t>Retail gross margin represents net retail sales less cost of retail merchandise sold, which excludes cost of wholesale merchandise sold. Retail gross margin was $38.4 million and</w:t>
      </w:r>
    </w:p>
    <w:p>
      <w:pPr>
        <w:spacing w:after="0" w:line="29" w:lineRule="exact"/>
        <w:rPr>
          <w:rFonts w:ascii="Arial" w:cs="Arial" w:eastAsia="Arial" w:hAnsi="Arial"/>
          <w:sz w:val="14"/>
          <w:szCs w:val="14"/>
          <w:color w:val="auto"/>
        </w:rPr>
      </w:pPr>
    </w:p>
    <w:p>
      <w:pPr>
        <w:ind w:left="269" w:right="180"/>
        <w:spacing w:after="0" w:line="265" w:lineRule="auto"/>
        <w:rPr>
          <w:rFonts w:ascii="Arial" w:cs="Arial" w:eastAsia="Arial" w:hAnsi="Arial"/>
          <w:sz w:val="14"/>
          <w:szCs w:val="14"/>
          <w:color w:val="auto"/>
        </w:rPr>
      </w:pPr>
      <w:r>
        <w:rPr>
          <w:rFonts w:ascii="Arial" w:cs="Arial" w:eastAsia="Arial" w:hAnsi="Arial"/>
          <w:sz w:val="15"/>
          <w:szCs w:val="15"/>
          <w:color w:val="auto"/>
        </w:rPr>
        <w:t>$103.7 million for the thirteen and thirty-nine weeks ended October 1, 2011, respectively, and $35.4 million and $98.8 million for the thirteen and thirty-nine weeks ended October 1, 2011, respectively. Retail gross margin percentage represents retail gross margin divided by net retail sales.</w:t>
      </w:r>
    </w:p>
    <w:p>
      <w:pPr>
        <w:spacing w:after="0" w:line="200"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Thirteen weeks ended October 1, 2011 compared to thirteen weeks ended October 2, 2010</w:t>
      </w:r>
    </w:p>
    <w:p>
      <w:pPr>
        <w:spacing w:after="0" w:line="239"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p>
      <w:pPr>
        <w:ind w:left="9" w:right="60" w:firstLine="408"/>
        <w:spacing w:after="0" w:line="285" w:lineRule="auto"/>
        <w:rPr>
          <w:sz w:val="20"/>
          <w:szCs w:val="20"/>
          <w:color w:val="auto"/>
        </w:rPr>
      </w:pPr>
      <w:r>
        <w:rPr>
          <w:rFonts w:ascii="Arial" w:cs="Arial" w:eastAsia="Arial" w:hAnsi="Arial"/>
          <w:sz w:val="14"/>
          <w:szCs w:val="14"/>
          <w:i w:val="1"/>
          <w:iCs w:val="1"/>
          <w:color w:val="auto"/>
        </w:rPr>
        <w:t xml:space="preserve">Net retail sales. </w:t>
      </w:r>
      <w:r>
        <w:rPr>
          <w:rFonts w:ascii="Arial" w:cs="Arial" w:eastAsia="Arial" w:hAnsi="Arial"/>
          <w:sz w:val="14"/>
          <w:szCs w:val="14"/>
          <w:color w:val="auto"/>
        </w:rPr>
        <w:t>Net retail sales were $95.4 million for the thirteen weeks ended October 1, 2011 compared to $91.7 million for the thirteen weeks ended October 2, 2010, an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of $3.7 million, or 4.0%. This increase was primarily attributable to a $1.0 million increase in comparable store sales, a $0.8 million increase in sales from pop-up and other non-store locations and a $0.9 million increase in sales from new stores. These were partially offset by a $0.8 million decline in sales from non-comparable store locations, primarily closures and relocations. Other changes in net retail sales, which included the positive impact of the changes in deferred revenue and foreign currency, totaled $1.8 million.</w:t>
      </w:r>
    </w:p>
    <w:p>
      <w:pPr>
        <w:spacing w:after="0" w:line="188" w:lineRule="exact"/>
        <w:rPr>
          <w:sz w:val="20"/>
          <w:szCs w:val="20"/>
          <w:color w:val="auto"/>
        </w:rPr>
      </w:pPr>
    </w:p>
    <w:p>
      <w:pPr>
        <w:jc w:val="both"/>
        <w:ind w:left="9" w:firstLine="363"/>
        <w:spacing w:after="0" w:line="265" w:lineRule="auto"/>
        <w:rPr>
          <w:sz w:val="20"/>
          <w:szCs w:val="20"/>
          <w:color w:val="auto"/>
        </w:rPr>
      </w:pPr>
      <w:r>
        <w:rPr>
          <w:rFonts w:ascii="Arial" w:cs="Arial" w:eastAsia="Arial" w:hAnsi="Arial"/>
          <w:sz w:val="15"/>
          <w:szCs w:val="15"/>
          <w:color w:val="auto"/>
        </w:rPr>
        <w:t>We believe that the improvement in our comparable store sales in the 2011 fiscal third quarter was a result of improved merchandise assortments and a successful promotional event that allowed us to effectively capitalize on increased mall traffic in the key back-to-school moths of July and August. Overall, we reduced promotional activity in the quarter compared to the prior year which resulted in higher average transaction value that was partially offset by a decline in the number of transactions.</w:t>
      </w:r>
    </w:p>
    <w:p>
      <w:pPr>
        <w:spacing w:after="0" w:line="200" w:lineRule="exact"/>
        <w:rPr>
          <w:sz w:val="20"/>
          <w:szCs w:val="20"/>
          <w:color w:val="auto"/>
        </w:rPr>
      </w:pPr>
    </w:p>
    <w:p>
      <w:pPr>
        <w:ind w:left="9" w:right="300" w:firstLine="408"/>
        <w:spacing w:after="0" w:line="292" w:lineRule="auto"/>
        <w:rPr>
          <w:sz w:val="20"/>
          <w:szCs w:val="20"/>
          <w:color w:val="auto"/>
        </w:rPr>
      </w:pPr>
      <w:r>
        <w:rPr>
          <w:rFonts w:ascii="Arial" w:cs="Arial" w:eastAsia="Arial" w:hAnsi="Arial"/>
          <w:sz w:val="14"/>
          <w:szCs w:val="14"/>
          <w:i w:val="1"/>
          <w:iCs w:val="1"/>
          <w:color w:val="auto"/>
        </w:rPr>
        <w:t xml:space="preserve">Commerical revenue and franchise fees. </w:t>
      </w:r>
      <w:r>
        <w:rPr>
          <w:rFonts w:ascii="Arial" w:cs="Arial" w:eastAsia="Arial" w:hAnsi="Arial"/>
          <w:sz w:val="14"/>
          <w:szCs w:val="14"/>
          <w:color w:val="auto"/>
        </w:rPr>
        <w:t>Commercial revenue was $1.2 million for the thirteen weeks ended October 1, 2011, a decrease of $6.5 million from $7.6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thirteen weeks ended October 2, 2010. This decrease was primarily attributable to a single $5.8 million wholesale transaction with no associated gross margin in the 2010 third quarter. Revenue from franchise fees increased to $0.9 million for the thirteen weeks ended October 1, 2011 from $0.8 million for the thirteen weeks ended October 2, 2010.</w:t>
      </w:r>
    </w:p>
    <w:p>
      <w:pPr>
        <w:spacing w:after="0" w:line="30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454" w:right="219" w:bottom="1440" w:gutter="0" w:footer="0" w:header="0"/>
        </w:sectPr>
      </w:pPr>
    </w:p>
    <w:bookmarkStart w:id="15" w:name="page16"/>
    <w:bookmarkEnd w:id="15"/>
    <w:p>
      <w:pPr>
        <w:ind w:right="20" w:firstLine="408"/>
        <w:spacing w:after="0" w:line="281" w:lineRule="auto"/>
        <w:rPr>
          <w:sz w:val="20"/>
          <w:szCs w:val="20"/>
          <w:color w:val="auto"/>
        </w:rPr>
      </w:pPr>
      <w:r>
        <w:rPr>
          <w:rFonts w:ascii="Arial" w:cs="Arial" w:eastAsia="Arial" w:hAnsi="Arial"/>
          <w:sz w:val="14"/>
          <w:szCs w:val="14"/>
          <w:i w:val="1"/>
          <w:iCs w:val="1"/>
          <w:color w:val="auto"/>
        </w:rPr>
        <w:t xml:space="preserve">Gross margin. </w:t>
      </w:r>
      <w:r>
        <w:rPr>
          <w:rFonts w:ascii="Arial" w:cs="Arial" w:eastAsia="Arial" w:hAnsi="Arial"/>
          <w:sz w:val="14"/>
          <w:szCs w:val="14"/>
          <w:color w:val="auto"/>
        </w:rPr>
        <w:t>Total gross margin was $39.0 million for the thirteen weeks ended October 1, 2011, compared to $36.6 million for the thirteen weeks ended October 2, 2010, an</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of $2.4 million, or 6.4%. Retail gross margin increased to $38.4 million for the thirteen weeks ended October 1, 2011 compared to $35.4 million for the thirteen weeks ended October 2, 2010, an increase of $3.0 million, or 8.5%. As a percentage of net retail sales, retail gross margin increased to 40.2% for the thirteen weeks ended October 1, 2011 from 38.6% for the thirteen weeks ended October 2, 2010. This 160 basis points as a percentage of net retail sales (bps) increase was primarily driven by a 70 basis point improvement in warehouse and distribution costs, 60 basis points in improved leverage of fixed occupancy costs and a 40 basis point improvement in merchandising margin .</w:t>
      </w:r>
    </w:p>
    <w:p>
      <w:pPr>
        <w:spacing w:after="0" w:line="192" w:lineRule="exact"/>
        <w:rPr>
          <w:sz w:val="20"/>
          <w:szCs w:val="20"/>
          <w:color w:val="auto"/>
        </w:rPr>
      </w:pPr>
    </w:p>
    <w:p>
      <w:pPr>
        <w:ind w:right="140" w:firstLine="408"/>
        <w:spacing w:after="0" w:line="307"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expenses were $37.8 million for the thirteen weeks ended October 1, 2011 as compared to $39.1 million for</w:t>
      </w:r>
      <w:r>
        <w:rPr>
          <w:rFonts w:ascii="Arial" w:cs="Arial" w:eastAsia="Arial" w:hAnsi="Arial"/>
          <w:sz w:val="13"/>
          <w:szCs w:val="13"/>
          <w:i w:val="1"/>
          <w:iCs w:val="1"/>
          <w:color w:val="auto"/>
        </w:rPr>
        <w:t xml:space="preserve"> </w:t>
      </w:r>
      <w:r>
        <w:rPr>
          <w:rFonts w:ascii="Arial" w:cs="Arial" w:eastAsia="Arial" w:hAnsi="Arial"/>
          <w:sz w:val="13"/>
          <w:szCs w:val="13"/>
          <w:color w:val="auto"/>
        </w:rPr>
        <w:t>the thirteen weeks ended October 2, 2010, a decrease of $1.3 million, or 3.3%. The dollar decrease was primarily attributable to a shift in advertising and supplies costs, partially offset by increases in salaries and travel costs. As a percentage of total revenues, selling, general and administrative expenses decreased to 38.8% for the thirteen weeks ended October 1, 2011 as compared to 41.5% for the thirteen weeks ended October 2, 2010, excluding revenues from the single wholesale transaction in 2010, a 270 bps improvement. This improvement was primarily driven by a 160 bps reduction in marketing-related expenses, a 50 bps reduction in store operation costs and a 40 bps decline in corporate depreciation expense.</w:t>
      </w:r>
    </w:p>
    <w:p>
      <w:pPr>
        <w:spacing w:after="0" w:line="133" w:lineRule="exact"/>
        <w:rPr>
          <w:sz w:val="20"/>
          <w:szCs w:val="20"/>
          <w:color w:val="auto"/>
        </w:rPr>
      </w:pPr>
    </w:p>
    <w:p>
      <w:pPr>
        <w:ind w:right="1100" w:firstLine="408"/>
        <w:spacing w:after="0" w:line="357" w:lineRule="auto"/>
        <w:rPr>
          <w:sz w:val="20"/>
          <w:szCs w:val="20"/>
          <w:color w:val="auto"/>
        </w:rPr>
      </w:pPr>
      <w:r>
        <w:rPr>
          <w:rFonts w:ascii="Arial" w:cs="Arial" w:eastAsia="Arial" w:hAnsi="Arial"/>
          <w:sz w:val="13"/>
          <w:szCs w:val="13"/>
          <w:i w:val="1"/>
          <w:iCs w:val="1"/>
          <w:color w:val="auto"/>
        </w:rPr>
        <w:t xml:space="preserve">Store preopening. </w:t>
      </w:r>
      <w:r>
        <w:rPr>
          <w:rFonts w:ascii="Arial" w:cs="Arial" w:eastAsia="Arial" w:hAnsi="Arial"/>
          <w:sz w:val="13"/>
          <w:szCs w:val="13"/>
          <w:color w:val="auto"/>
        </w:rPr>
        <w:t>Store preopening expense was $0.2 million for the thirteen weeks ended October 1, 2011 and $0.3 million for the thirteen weeks ended October 2,</w:t>
      </w:r>
      <w:r>
        <w:rPr>
          <w:rFonts w:ascii="Arial" w:cs="Arial" w:eastAsia="Arial" w:hAnsi="Arial"/>
          <w:sz w:val="13"/>
          <w:szCs w:val="13"/>
          <w:i w:val="1"/>
          <w:iCs w:val="1"/>
          <w:color w:val="auto"/>
        </w:rPr>
        <w:t xml:space="preserve"> </w:t>
      </w:r>
      <w:r>
        <w:rPr>
          <w:rFonts w:ascii="Arial" w:cs="Arial" w:eastAsia="Arial" w:hAnsi="Arial"/>
          <w:sz w:val="13"/>
          <w:szCs w:val="13"/>
          <w:color w:val="auto"/>
        </w:rPr>
        <w:t>2010. Preopening expenses include expenses for stores that opened in the current period as well as expenses incurred for stores that will open in future periods.</w:t>
      </w:r>
    </w:p>
    <w:p>
      <w:pPr>
        <w:spacing w:after="0" w:line="145" w:lineRule="exact"/>
        <w:rPr>
          <w:sz w:val="20"/>
          <w:szCs w:val="20"/>
          <w:color w:val="auto"/>
        </w:rPr>
      </w:pPr>
    </w:p>
    <w:p>
      <w:pPr>
        <w:ind w:right="360" w:firstLine="408"/>
        <w:spacing w:after="0" w:line="277" w:lineRule="auto"/>
        <w:rPr>
          <w:sz w:val="20"/>
          <w:szCs w:val="20"/>
          <w:color w:val="auto"/>
        </w:rPr>
      </w:pPr>
      <w:r>
        <w:rPr>
          <w:rFonts w:ascii="Arial" w:cs="Arial" w:eastAsia="Arial" w:hAnsi="Arial"/>
          <w:sz w:val="15"/>
          <w:szCs w:val="15"/>
          <w:i w:val="1"/>
          <w:iCs w:val="1"/>
          <w:color w:val="auto"/>
        </w:rPr>
        <w:t xml:space="preserve">Interest expense (income), net. </w:t>
      </w:r>
      <w:r>
        <w:rPr>
          <w:rFonts w:ascii="Arial" w:cs="Arial" w:eastAsia="Arial" w:hAnsi="Arial"/>
          <w:sz w:val="15"/>
          <w:szCs w:val="15"/>
          <w:color w:val="auto"/>
        </w:rPr>
        <w:t>Interest income, net of interest expense, was $40,000 for the thirteen weeks ended October 1, 2011 as compared to $83,000 for the thirteen weeks</w:t>
      </w:r>
      <w:r>
        <w:rPr>
          <w:rFonts w:ascii="Arial" w:cs="Arial" w:eastAsia="Arial" w:hAnsi="Arial"/>
          <w:sz w:val="15"/>
          <w:szCs w:val="15"/>
          <w:i w:val="1"/>
          <w:iCs w:val="1"/>
          <w:color w:val="auto"/>
        </w:rPr>
        <w:t xml:space="preserve"> </w:t>
      </w:r>
      <w:r>
        <w:rPr>
          <w:rFonts w:ascii="Arial" w:cs="Arial" w:eastAsia="Arial" w:hAnsi="Arial"/>
          <w:sz w:val="15"/>
          <w:szCs w:val="15"/>
          <w:color w:val="auto"/>
        </w:rPr>
        <w:t>ended October 2, 2010.</w:t>
      </w:r>
    </w:p>
    <w:p>
      <w:pPr>
        <w:spacing w:after="0" w:line="192" w:lineRule="exact"/>
        <w:rPr>
          <w:sz w:val="20"/>
          <w:szCs w:val="20"/>
          <w:color w:val="auto"/>
        </w:rPr>
      </w:pPr>
    </w:p>
    <w:p>
      <w:pPr>
        <w:ind w:right="40" w:firstLine="408"/>
        <w:spacing w:after="0" w:line="261" w:lineRule="auto"/>
        <w:rPr>
          <w:sz w:val="20"/>
          <w:szCs w:val="20"/>
          <w:color w:val="auto"/>
        </w:rPr>
      </w:pPr>
      <w:r>
        <w:rPr>
          <w:rFonts w:ascii="Arial" w:cs="Arial" w:eastAsia="Arial" w:hAnsi="Arial"/>
          <w:sz w:val="15"/>
          <w:szCs w:val="15"/>
          <w:i w:val="1"/>
          <w:iCs w:val="1"/>
          <w:color w:val="auto"/>
        </w:rPr>
        <w:t>Provision for income taxes</w:t>
      </w:r>
      <w:r>
        <w:rPr>
          <w:rFonts w:ascii="Arial" w:cs="Arial" w:eastAsia="Arial" w:hAnsi="Arial"/>
          <w:sz w:val="15"/>
          <w:szCs w:val="15"/>
          <w:color w:val="auto"/>
        </w:rPr>
        <w:t>. Income tax expense was $1.0 million for the thirteen weeks ended October 1, 2011 as compared to an income tax benefit of $0.5 million for the thirteen</w:t>
      </w:r>
      <w:r>
        <w:rPr>
          <w:rFonts w:ascii="Arial" w:cs="Arial" w:eastAsia="Arial" w:hAnsi="Arial"/>
          <w:sz w:val="15"/>
          <w:szCs w:val="15"/>
          <w:i w:val="1"/>
          <w:iCs w:val="1"/>
          <w:color w:val="auto"/>
        </w:rPr>
        <w:t xml:space="preserve"> </w:t>
      </w:r>
      <w:r>
        <w:rPr>
          <w:rFonts w:ascii="Arial" w:cs="Arial" w:eastAsia="Arial" w:hAnsi="Arial"/>
          <w:sz w:val="15"/>
          <w:szCs w:val="15"/>
          <w:color w:val="auto"/>
        </w:rPr>
        <w:t>weeks ended October 2, 2010. The effective tax rate was 54.2% for the thirteen weeks ended October 1, 2011 compared to 27.5% for the thirteen weeks ended October 2, 2010. The increase in the effective tax rate was primarily attributable to the impact of recording a valuation allowance in the previous year as well as the impact of adjusting the provision to reflect the anticipated annual tax rate of approximately 35%.</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Thirty-nine weeks ended October 1, 2011 compared to thirty-nine weeks ended October 2, 2010</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p>
      <w:pPr>
        <w:ind w:right="20" w:firstLine="408"/>
        <w:spacing w:after="0" w:line="285" w:lineRule="auto"/>
        <w:rPr>
          <w:sz w:val="20"/>
          <w:szCs w:val="20"/>
          <w:color w:val="auto"/>
        </w:rPr>
      </w:pPr>
      <w:r>
        <w:rPr>
          <w:rFonts w:ascii="Arial" w:cs="Arial" w:eastAsia="Arial" w:hAnsi="Arial"/>
          <w:sz w:val="14"/>
          <w:szCs w:val="14"/>
          <w:i w:val="1"/>
          <w:iCs w:val="1"/>
          <w:color w:val="auto"/>
        </w:rPr>
        <w:t xml:space="preserve">Net retail sales. </w:t>
      </w:r>
      <w:r>
        <w:rPr>
          <w:rFonts w:ascii="Arial" w:cs="Arial" w:eastAsia="Arial" w:hAnsi="Arial"/>
          <w:sz w:val="14"/>
          <w:szCs w:val="14"/>
          <w:color w:val="auto"/>
        </w:rPr>
        <w:t>Net retail sales were $269.9 million for the thirty-nine weeks ended October 1, 2011 compared to $264.0 million for the thirty-nine weeks ended October 2, 2010, an</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of $6.0 million, or 2.3%. This increase was primarily attributable to a $3.8 million increase in sales from pop-up and other non-store locations and a $2.6 million increase in sales from new stores. These were partially offset by a $2.2 million decrease in comparable store sales and a $2.9 million decline in sales from non-comparable store locations, primarily closures and relocations. Other changes in net retail sales, which included the positive impact of the changes in deferred revenue and foreign currency, totaled $4.6 million.</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believe the decrease in comparable store sales was attributed primarily to the following factors:</w:t>
      </w:r>
    </w:p>
    <w:p>
      <w:pPr>
        <w:spacing w:after="0" w:line="213" w:lineRule="exact"/>
        <w:rPr>
          <w:sz w:val="20"/>
          <w:szCs w:val="20"/>
          <w:color w:val="auto"/>
        </w:rPr>
      </w:pPr>
    </w:p>
    <w:p>
      <w:pPr>
        <w:jc w:val="both"/>
        <w:ind w:left="980" w:hanging="365"/>
        <w:spacing w:after="0" w:line="292" w:lineRule="auto"/>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believe that the improvement in our comparable store sales in the 2011 fiscal third quarter was a result of improved merchandise assortments and a successful promotional event that allowed us to effectively capitalize on increased mall traffic in the key back-to-school moths of July and August. Overall, we reduced promotional activity in the quarter compared to the prior year which resulted in higher average transaction value that was partially offset by a decline in the number of transactions.</w:t>
      </w:r>
    </w:p>
    <w:p>
      <w:pPr>
        <w:spacing w:after="0" w:line="138" w:lineRule="exact"/>
        <w:rPr>
          <w:rFonts w:ascii="Arial" w:cs="Arial" w:eastAsia="Arial" w:hAnsi="Arial"/>
          <w:sz w:val="14"/>
          <w:szCs w:val="14"/>
          <w:color w:val="auto"/>
        </w:rPr>
      </w:pPr>
    </w:p>
    <w:p>
      <w:pPr>
        <w:ind w:left="980" w:right="20" w:hanging="365"/>
        <w:spacing w:after="0" w:line="277" w:lineRule="auto"/>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thirty-nine weeks, the third quarter growth partially offset comparable store sales declines experienced in the first half of 2011 which were driven primarily by a decline in transactions and negative trends in consumer sentiment and spending in the UK.</w:t>
      </w:r>
    </w:p>
    <w:p>
      <w:pPr>
        <w:spacing w:after="0" w:line="192" w:lineRule="exact"/>
        <w:rPr>
          <w:sz w:val="20"/>
          <w:szCs w:val="20"/>
          <w:color w:val="auto"/>
        </w:rPr>
      </w:pPr>
    </w:p>
    <w:p>
      <w:pPr>
        <w:ind w:right="100" w:firstLine="408"/>
        <w:spacing w:after="0" w:line="324" w:lineRule="auto"/>
        <w:rPr>
          <w:sz w:val="20"/>
          <w:szCs w:val="20"/>
          <w:color w:val="auto"/>
        </w:rPr>
      </w:pPr>
      <w:r>
        <w:rPr>
          <w:rFonts w:ascii="Arial" w:cs="Arial" w:eastAsia="Arial" w:hAnsi="Arial"/>
          <w:sz w:val="13"/>
          <w:szCs w:val="13"/>
          <w:i w:val="1"/>
          <w:iCs w:val="1"/>
          <w:color w:val="auto"/>
        </w:rPr>
        <w:t xml:space="preserve">Commerical revenue and franchise fees. </w:t>
      </w:r>
      <w:r>
        <w:rPr>
          <w:rFonts w:ascii="Arial" w:cs="Arial" w:eastAsia="Arial" w:hAnsi="Arial"/>
          <w:sz w:val="13"/>
          <w:szCs w:val="13"/>
          <w:color w:val="auto"/>
        </w:rPr>
        <w:t>Commercial revenue was $3.0 million for the thirty-nine weeks ended October 1, 2011 compared to $9.6 million for the thirty-nine weeks</w:t>
      </w:r>
      <w:r>
        <w:rPr>
          <w:rFonts w:ascii="Arial" w:cs="Arial" w:eastAsia="Arial" w:hAnsi="Arial"/>
          <w:sz w:val="13"/>
          <w:szCs w:val="13"/>
          <w:i w:val="1"/>
          <w:iCs w:val="1"/>
          <w:color w:val="auto"/>
        </w:rPr>
        <w:t xml:space="preserve"> </w:t>
      </w:r>
      <w:r>
        <w:rPr>
          <w:rFonts w:ascii="Arial" w:cs="Arial" w:eastAsia="Arial" w:hAnsi="Arial"/>
          <w:sz w:val="13"/>
          <w:szCs w:val="13"/>
          <w:color w:val="auto"/>
        </w:rPr>
        <w:t>ended October 2, 2010, a decrease of $6.6 million. This decrease was primarily attributable to a single $5.8 million wholesale transaction with no associated gross margin in the 2010 third quarter. Revenue from franchise fees increased to $2.3 million for the thirty-nine weeks ended October 1, 2011 from $2.1 million for the thirty-nine weeks ended October 2, 2010.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58" w:right="219" w:bottom="1440" w:gutter="0" w:footer="0" w:header="0"/>
        </w:sectPr>
      </w:pPr>
    </w:p>
    <w:bookmarkStart w:id="16" w:name="page17"/>
    <w:bookmarkEnd w:id="16"/>
    <w:p>
      <w:pPr>
        <w:ind w:right="120" w:firstLine="408"/>
        <w:spacing w:after="0" w:line="296" w:lineRule="auto"/>
        <w:rPr>
          <w:sz w:val="20"/>
          <w:szCs w:val="20"/>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Total gross margin increased to $105.2 million for the thirty-nine weeks ended October 1, 2011 from $101.4 million for the thirty-nine weeks ended October 2, 2010,</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$3.8 million, or 3.8%. Retail gross margin increased to $103.7 million for the thirty-nine weeks ended October 1, 2011 from $98.8 million for the thirty-nine weeks ended October 2, 2010, an increase of $4.9 million, or 5.0%. As a percentage of net retail sales, retail gross margin increased to 38.4% for the thirty-nine weeks ended October 1, 2011 from</w:t>
      </w:r>
    </w:p>
    <w:p>
      <w:pPr>
        <w:spacing w:after="0" w:line="1"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37.4% for the thirty-nine weeks ended October 2, 2010. This 100 bps increase resulted primarily from a 50 bps increase in leverage on occupancy costs, a 40 bps increase in merchandise margin and a 30 bps improvement in distribution costs, partially offset by a 20 bps increase in buying costs.</w:t>
      </w:r>
    </w:p>
    <w:p>
      <w:pPr>
        <w:spacing w:after="0" w:line="200" w:lineRule="exact"/>
        <w:rPr>
          <w:sz w:val="20"/>
          <w:szCs w:val="20"/>
          <w:color w:val="auto"/>
        </w:rPr>
      </w:pPr>
    </w:p>
    <w:p>
      <w:pPr>
        <w:ind w:right="20" w:firstLine="408"/>
        <w:spacing w:after="0" w:line="257" w:lineRule="auto"/>
        <w:rPr>
          <w:sz w:val="20"/>
          <w:szCs w:val="20"/>
          <w:color w:val="auto"/>
        </w:rPr>
      </w:pPr>
      <w:r>
        <w:rPr>
          <w:rFonts w:ascii="Arial" w:cs="Arial" w:eastAsia="Arial" w:hAnsi="Arial"/>
          <w:sz w:val="15"/>
          <w:szCs w:val="15"/>
          <w:i w:val="1"/>
          <w:iCs w:val="1"/>
          <w:color w:val="auto"/>
        </w:rPr>
        <w:t xml:space="preserve">Selling, general and administrative. </w:t>
      </w:r>
      <w:r>
        <w:rPr>
          <w:rFonts w:ascii="Arial" w:cs="Arial" w:eastAsia="Arial" w:hAnsi="Arial"/>
          <w:sz w:val="15"/>
          <w:szCs w:val="15"/>
          <w:color w:val="auto"/>
        </w:rPr>
        <w:t>Selling, general and administrative expenses were $119.6 million for the thirty-nine weeks ended October 1, 2011 as compared to $115.0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thirty-nine weeks ended October 2, 2010, an increase of $4.6 million, or 4.0%. As a percentage of total revenues, selling, general and administrative expenses increased to 43.5% for the thirty-nine weeks ended October 1, 2011 as compared to 42.6% for the thirty-nine weeks ended October 2, 2010, excluding revenues from the single wholesale transaction is 2010, an increase of 90 bps. The dollar increase was primarily attributable to consulting costs related to continuing efforts to improve efficiencies and reduce expenses and increases in advertising and payroll costs. The increase in selling, general and administrative expenses as a percent of revenue was primarily due to the increase in costs, partially offset by improved leverage on the fixed components of costs.</w:t>
      </w:r>
    </w:p>
    <w:p>
      <w:pPr>
        <w:spacing w:after="0" w:line="162" w:lineRule="exact"/>
        <w:rPr>
          <w:sz w:val="20"/>
          <w:szCs w:val="20"/>
          <w:color w:val="auto"/>
        </w:rPr>
      </w:pPr>
    </w:p>
    <w:p>
      <w:pPr>
        <w:ind w:right="20" w:firstLine="408"/>
        <w:spacing w:after="0" w:line="314" w:lineRule="auto"/>
        <w:rPr>
          <w:sz w:val="20"/>
          <w:szCs w:val="20"/>
          <w:color w:val="auto"/>
        </w:rPr>
      </w:pPr>
      <w:r>
        <w:rPr>
          <w:rFonts w:ascii="Arial" w:cs="Arial" w:eastAsia="Arial" w:hAnsi="Arial"/>
          <w:sz w:val="14"/>
          <w:szCs w:val="14"/>
          <w:i w:val="1"/>
          <w:iCs w:val="1"/>
          <w:color w:val="auto"/>
        </w:rPr>
        <w:t xml:space="preserve">Store preopening. </w:t>
      </w:r>
      <w:r>
        <w:rPr>
          <w:rFonts w:ascii="Arial" w:cs="Arial" w:eastAsia="Arial" w:hAnsi="Arial"/>
          <w:sz w:val="14"/>
          <w:szCs w:val="14"/>
          <w:color w:val="auto"/>
        </w:rPr>
        <w:t>Store preopening expense was $0.4 million for the thirty-nine weeks ended October 1, 2011 as compared to $0.3 million for the thirty-nine weeks ended October 2,</w:t>
      </w:r>
      <w:r>
        <w:rPr>
          <w:rFonts w:ascii="Arial" w:cs="Arial" w:eastAsia="Arial" w:hAnsi="Arial"/>
          <w:sz w:val="14"/>
          <w:szCs w:val="14"/>
          <w:i w:val="1"/>
          <w:iCs w:val="1"/>
          <w:color w:val="auto"/>
        </w:rPr>
        <w:t xml:space="preserve"> </w:t>
      </w:r>
      <w:r>
        <w:rPr>
          <w:rFonts w:ascii="Arial" w:cs="Arial" w:eastAsia="Arial" w:hAnsi="Arial"/>
          <w:sz w:val="14"/>
          <w:szCs w:val="14"/>
          <w:color w:val="auto"/>
        </w:rPr>
        <w:t>2010. Preopening expenses include expenses for stores that opened in the current period as well as expenses incurred for stores that will open in future periods.</w:t>
      </w:r>
    </w:p>
    <w:p>
      <w:pPr>
        <w:spacing w:after="0" w:line="169" w:lineRule="exact"/>
        <w:rPr>
          <w:sz w:val="20"/>
          <w:szCs w:val="20"/>
          <w:color w:val="auto"/>
        </w:rPr>
      </w:pPr>
    </w:p>
    <w:p>
      <w:pPr>
        <w:ind w:right="140" w:firstLine="408"/>
        <w:spacing w:after="0" w:line="277" w:lineRule="auto"/>
        <w:rPr>
          <w:sz w:val="20"/>
          <w:szCs w:val="20"/>
          <w:color w:val="auto"/>
        </w:rPr>
      </w:pPr>
      <w:r>
        <w:rPr>
          <w:rFonts w:ascii="Arial" w:cs="Arial" w:eastAsia="Arial" w:hAnsi="Arial"/>
          <w:sz w:val="15"/>
          <w:szCs w:val="15"/>
          <w:i w:val="1"/>
          <w:iCs w:val="1"/>
          <w:color w:val="auto"/>
        </w:rPr>
        <w:t xml:space="preserve">Interest expense (income), net. </w:t>
      </w:r>
      <w:r>
        <w:rPr>
          <w:rFonts w:ascii="Arial" w:cs="Arial" w:eastAsia="Arial" w:hAnsi="Arial"/>
          <w:sz w:val="15"/>
          <w:szCs w:val="15"/>
          <w:color w:val="auto"/>
        </w:rPr>
        <w:t>Interest income, net of interest expense, was $41,000 for the thirty-nine weeks ended October 1, 2011 as compared to $0.2 million for the thirty-nine</w:t>
      </w:r>
      <w:r>
        <w:rPr>
          <w:rFonts w:ascii="Arial" w:cs="Arial" w:eastAsia="Arial" w:hAnsi="Arial"/>
          <w:sz w:val="15"/>
          <w:szCs w:val="15"/>
          <w:i w:val="1"/>
          <w:iCs w:val="1"/>
          <w:color w:val="auto"/>
        </w:rPr>
        <w:t xml:space="preserve"> </w:t>
      </w:r>
      <w:r>
        <w:rPr>
          <w:rFonts w:ascii="Arial" w:cs="Arial" w:eastAsia="Arial" w:hAnsi="Arial"/>
          <w:sz w:val="15"/>
          <w:szCs w:val="15"/>
          <w:color w:val="auto"/>
        </w:rPr>
        <w:t>weeks ended October 2, 2010. The decrease in interest income was primarily attributable to interest costs related to an ongoing sales and use tax audit.</w:t>
      </w:r>
    </w:p>
    <w:p>
      <w:pPr>
        <w:spacing w:after="0" w:line="192" w:lineRule="exact"/>
        <w:rPr>
          <w:sz w:val="20"/>
          <w:szCs w:val="20"/>
          <w:color w:val="auto"/>
        </w:rPr>
      </w:pPr>
    </w:p>
    <w:p>
      <w:pPr>
        <w:ind w:right="80" w:firstLine="408"/>
        <w:spacing w:after="0" w:line="265"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Income tax benefit was $4.4 million for the thirty-nine weeks ended October 1, 2011 as compared to the income tax benefit of $3.5 million for the thirty-nine weeks ended October 2, 2010. The effective tax rate was 35.2% for the thirty-nine weeks ended October 1, 2011 compared to 30.0% for the thirty-nine weeks ended October 2, 2010. The increase in the effective tax rate was primarily attributable to the impact of recording a valuation allowance in the previous year.</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240" w:lineRule="exact"/>
        <w:rPr>
          <w:sz w:val="20"/>
          <w:szCs w:val="20"/>
          <w:color w:val="auto"/>
        </w:rPr>
      </w:pPr>
    </w:p>
    <w:p>
      <w:pPr>
        <w:ind w:firstLine="408"/>
        <w:spacing w:after="0" w:line="261" w:lineRule="auto"/>
        <w:rPr>
          <w:sz w:val="20"/>
          <w:szCs w:val="20"/>
          <w:color w:val="auto"/>
        </w:rPr>
      </w:pPr>
      <w:r>
        <w:rPr>
          <w:rFonts w:ascii="Arial" w:cs="Arial" w:eastAsia="Arial" w:hAnsi="Arial"/>
          <w:sz w:val="15"/>
          <w:szCs w:val="15"/>
          <w:color w:val="auto"/>
        </w:rPr>
        <w:t>We use the term “store contribution” in this quarterly report on Form 10-Q. Store contribution consists of income before income tax expense, interest, store depreciation, amortization and impairment, store preopening expense, store closing expense and equity losses from investment in affiliate and general and administrative expense, excluding franchise fees, income from commercial activities and contribution from our webstore and seasonal and event-based locations. This term, as we define it, may not be comparable to similarly titled measures used by other companies and is not a measure of performance presented in accordance with U.S. GAAP.</w:t>
      </w:r>
    </w:p>
    <w:p>
      <w:pPr>
        <w:spacing w:after="0" w:line="203" w:lineRule="exact"/>
        <w:rPr>
          <w:sz w:val="20"/>
          <w:szCs w:val="20"/>
          <w:color w:val="auto"/>
        </w:rPr>
      </w:pPr>
    </w:p>
    <w:p>
      <w:pPr>
        <w:ind w:right="200" w:firstLine="408"/>
        <w:spacing w:after="0" w:line="324" w:lineRule="auto"/>
        <w:rPr>
          <w:sz w:val="20"/>
          <w:szCs w:val="20"/>
          <w:color w:val="auto"/>
        </w:rPr>
      </w:pPr>
      <w:r>
        <w:rPr>
          <w:rFonts w:ascii="Arial" w:cs="Arial" w:eastAsia="Arial" w:hAnsi="Arial"/>
          <w:sz w:val="13"/>
          <w:szCs w:val="13"/>
          <w:color w:val="auto"/>
        </w:rPr>
        <w:t>We use store contribution as a measure of our stores’ operating performance. Store contribution should be considered supplemental and not a substitute for net income, net income per store, cash flows provided by operating activities, cash flows provided by operating activities per store, or other income or cash flow data prepared in accordance with GAAP. We believe store contribution is useful to investors in evaluating our operating performance because it, along with the number of stores in operation, directly impacts our profitability.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17" w:name="page18"/>
    <w:bookmarkEnd w:id="17"/>
    <w:p>
      <w:pPr>
        <w:ind w:left="409"/>
        <w:spacing w:after="0"/>
        <w:rPr>
          <w:sz w:val="20"/>
          <w:szCs w:val="20"/>
          <w:color w:val="auto"/>
        </w:rPr>
      </w:pPr>
      <w:r>
        <w:rPr>
          <w:rFonts w:ascii="Arial" w:cs="Arial" w:eastAsia="Arial" w:hAnsi="Arial"/>
          <w:sz w:val="14"/>
          <w:szCs w:val="14"/>
          <w:color w:val="auto"/>
        </w:rPr>
        <w:t>The following table sets forth a reconciliation of store contribution to net income for our company-owned stores located in the United States, Canada and Puerto Rico (North</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5"/>
          <w:szCs w:val="15"/>
          <w:color w:val="auto"/>
        </w:rPr>
        <w:t>America), stores located the United Kingdom, Ireland and France (Europe) and for our consolidated store base (Dollars in thousands):</w:t>
      </w:r>
    </w:p>
    <w:p>
      <w:pPr>
        <w:spacing w:after="0" w:line="17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0" w:type="dxa"/>
            <w:vAlign w:val="bottom"/>
            <w:gridSpan w:val="4"/>
          </w:tcPr>
          <w:p>
            <w:pPr>
              <w:jc w:val="center"/>
              <w:spacing w:after="0"/>
              <w:rPr>
                <w:sz w:val="20"/>
                <w:szCs w:val="20"/>
                <w:color w:val="auto"/>
              </w:rPr>
            </w:pPr>
            <w:r>
              <w:rPr>
                <w:rFonts w:ascii="Arial" w:cs="Arial" w:eastAsia="Arial" w:hAnsi="Arial"/>
                <w:sz w:val="15"/>
                <w:szCs w:val="15"/>
                <w:b w:val="1"/>
                <w:bCs w:val="1"/>
                <w:color w:val="auto"/>
                <w:w w:val="91"/>
              </w:rPr>
              <w:t>Thirty-nine weeks ended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4"/>
          </w:tcPr>
          <w:p>
            <w:pPr>
              <w:jc w:val="center"/>
              <w:spacing w:after="0"/>
              <w:rPr>
                <w:sz w:val="20"/>
                <w:szCs w:val="20"/>
                <w:color w:val="auto"/>
              </w:rPr>
            </w:pPr>
            <w:r>
              <w:rPr>
                <w:rFonts w:ascii="Arial" w:cs="Arial" w:eastAsia="Arial" w:hAnsi="Arial"/>
                <w:sz w:val="15"/>
                <w:szCs w:val="15"/>
                <w:b w:val="1"/>
                <w:bCs w:val="1"/>
                <w:color w:val="auto"/>
                <w:w w:val="91"/>
              </w:rPr>
              <w:t>Thirty-nine weeks ended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9"/>
        </w:trPr>
        <w:tc>
          <w:tcPr>
            <w:tcW w:w="2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b w:val="1"/>
                <w:bCs w:val="1"/>
                <w:color w:val="auto"/>
                <w:w w:val="89"/>
              </w:rPr>
              <w:t>October 1, 2011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b w:val="1"/>
                <w:bCs w:val="1"/>
                <w:color w:val="auto"/>
                <w:w w:val="91"/>
              </w:rPr>
              <w:t>October 2, 2010</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67"/>
        </w:trPr>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24"/>
              <w:spacing w:after="0" w:line="167" w:lineRule="exact"/>
              <w:rPr>
                <w:sz w:val="20"/>
                <w:szCs w:val="20"/>
                <w:color w:val="auto"/>
              </w:rPr>
            </w:pPr>
            <w:r>
              <w:rPr>
                <w:rFonts w:ascii="Arial" w:cs="Arial" w:eastAsia="Arial" w:hAnsi="Arial"/>
                <w:sz w:val="15"/>
                <w:szCs w:val="15"/>
                <w:b w:val="1"/>
                <w:bCs w:val="1"/>
                <w:color w:val="auto"/>
                <w:w w:val="94"/>
              </w:rPr>
              <w:t>North</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24"/>
              <w:spacing w:after="0" w:line="167" w:lineRule="exact"/>
              <w:rPr>
                <w:sz w:val="20"/>
                <w:szCs w:val="20"/>
                <w:color w:val="auto"/>
              </w:rPr>
            </w:pPr>
            <w:r>
              <w:rPr>
                <w:rFonts w:ascii="Arial" w:cs="Arial" w:eastAsia="Arial" w:hAnsi="Arial"/>
                <w:sz w:val="15"/>
                <w:szCs w:val="15"/>
                <w:b w:val="1"/>
                <w:bCs w:val="1"/>
                <w:color w:val="auto"/>
                <w:w w:val="99"/>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9"/>
        </w:trPr>
        <w:tc>
          <w:tcPr>
            <w:tcW w:w="2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4"/>
              </w:rPr>
              <w:t>America</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2"/>
              </w:rPr>
              <w:t>Europe</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Total</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4"/>
              </w:rPr>
              <w:t>America</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Europe</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7"/>
                <w:szCs w:val="17"/>
                <w:color w:val="auto"/>
              </w:rPr>
            </w:pPr>
          </w:p>
        </w:tc>
      </w:tr>
      <w:tr>
        <w:trPr>
          <w:trHeight w:val="182"/>
        </w:trPr>
        <w:tc>
          <w:tcPr>
            <w:tcW w:w="2480" w:type="dxa"/>
            <w:vAlign w:val="bottom"/>
            <w:shd w:val="clear" w:color="auto" w:fill="C0FFFF"/>
          </w:tcPr>
          <w:p>
            <w:pPr>
              <w:spacing w:after="0"/>
              <w:rPr>
                <w:sz w:val="20"/>
                <w:szCs w:val="20"/>
                <w:color w:val="auto"/>
              </w:rPr>
            </w:pPr>
            <w:r>
              <w:rPr>
                <w:rFonts w:ascii="Arial" w:cs="Arial" w:eastAsia="Arial" w:hAnsi="Arial"/>
                <w:sz w:val="15"/>
                <w:szCs w:val="15"/>
                <w:color w:val="auto"/>
              </w:rPr>
              <w:t>Net loss</w:t>
            </w:r>
          </w:p>
        </w:tc>
        <w:tc>
          <w:tcPr>
            <w:tcW w:w="200" w:type="dxa"/>
            <w:vAlign w:val="bottom"/>
            <w:shd w:val="clear" w:color="auto" w:fill="C0FF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0FFFF"/>
          </w:tcPr>
          <w:p>
            <w:pPr>
              <w:jc w:val="right"/>
              <w:ind w:right="164"/>
              <w:spacing w:after="0"/>
              <w:rPr>
                <w:sz w:val="20"/>
                <w:szCs w:val="20"/>
                <w:color w:val="auto"/>
              </w:rPr>
            </w:pPr>
            <w:r>
              <w:rPr>
                <w:rFonts w:ascii="Arial" w:cs="Arial" w:eastAsia="Arial" w:hAnsi="Arial"/>
                <w:sz w:val="15"/>
                <w:szCs w:val="15"/>
                <w:color w:val="auto"/>
              </w:rPr>
              <w:t>(7,924)</w:t>
            </w:r>
          </w:p>
        </w:tc>
        <w:tc>
          <w:tcPr>
            <w:tcW w:w="8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(149)</w:t>
            </w:r>
          </w:p>
        </w:tc>
        <w:tc>
          <w:tcPr>
            <w:tcW w:w="260" w:type="dxa"/>
            <w:vAlign w:val="bottom"/>
            <w:shd w:val="clear" w:color="auto" w:fill="C0FF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(8,073)</w:t>
            </w:r>
          </w:p>
        </w:tc>
        <w:tc>
          <w:tcPr>
            <w:tcW w:w="200" w:type="dxa"/>
            <w:vAlign w:val="bottom"/>
            <w:shd w:val="clear" w:color="auto" w:fill="C0FFFF"/>
          </w:tcPr>
          <w:p>
            <w:pPr>
              <w:jc w:val="right"/>
              <w:ind w:right="9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0FFFF"/>
          </w:tcPr>
          <w:p>
            <w:pPr>
              <w:jc w:val="right"/>
              <w:ind w:right="164"/>
              <w:spacing w:after="0"/>
              <w:rPr>
                <w:sz w:val="20"/>
                <w:szCs w:val="20"/>
                <w:color w:val="auto"/>
              </w:rPr>
            </w:pPr>
            <w:r>
              <w:rPr>
                <w:rFonts w:ascii="Arial" w:cs="Arial" w:eastAsia="Arial" w:hAnsi="Arial"/>
                <w:sz w:val="15"/>
                <w:szCs w:val="15"/>
                <w:color w:val="auto"/>
              </w:rPr>
              <w:t>(6,417)</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(1,759)</w:t>
            </w:r>
          </w:p>
        </w:tc>
        <w:tc>
          <w:tcPr>
            <w:tcW w:w="260" w:type="dxa"/>
            <w:vAlign w:val="bottom"/>
            <w:shd w:val="clear" w:color="auto" w:fill="C0FFFF"/>
          </w:tcPr>
          <w:p>
            <w:pPr>
              <w:jc w:val="right"/>
              <w:ind w:right="15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(8,176)</w:t>
            </w:r>
          </w:p>
        </w:tc>
      </w:tr>
      <w:tr>
        <w:trPr>
          <w:trHeight w:val="182"/>
        </w:trPr>
        <w:tc>
          <w:tcPr>
            <w:tcW w:w="248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200" w:type="dxa"/>
            <w:vAlign w:val="bottom"/>
          </w:tcPr>
          <w:p>
            <w:pPr>
              <w:spacing w:after="0"/>
              <w:rPr>
                <w:sz w:val="15"/>
                <w:szCs w:val="15"/>
                <w:color w:val="auto"/>
              </w:rPr>
            </w:pPr>
          </w:p>
        </w:tc>
        <w:tc>
          <w:tcPr>
            <w:tcW w:w="1320" w:type="dxa"/>
            <w:vAlign w:val="bottom"/>
            <w:gridSpan w:val="2"/>
          </w:tcPr>
          <w:p>
            <w:pPr>
              <w:jc w:val="right"/>
              <w:ind w:right="164"/>
              <w:spacing w:after="0"/>
              <w:rPr>
                <w:sz w:val="20"/>
                <w:szCs w:val="20"/>
                <w:color w:val="auto"/>
              </w:rPr>
            </w:pPr>
            <w:r>
              <w:rPr>
                <w:rFonts w:ascii="Arial" w:cs="Arial" w:eastAsia="Arial" w:hAnsi="Arial"/>
                <w:sz w:val="15"/>
                <w:szCs w:val="15"/>
                <w:color w:val="auto"/>
              </w:rPr>
              <w:t>(4,346)</w:t>
            </w:r>
          </w:p>
        </w:tc>
        <w:tc>
          <w:tcPr>
            <w:tcW w:w="8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(31)</w:t>
            </w:r>
          </w:p>
        </w:tc>
        <w:tc>
          <w:tcPr>
            <w:tcW w:w="26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(4,377)</w:t>
            </w:r>
          </w:p>
        </w:tc>
        <w:tc>
          <w:tcPr>
            <w:tcW w:w="200" w:type="dxa"/>
            <w:vAlign w:val="bottom"/>
          </w:tcPr>
          <w:p>
            <w:pPr>
              <w:spacing w:after="0"/>
              <w:rPr>
                <w:sz w:val="15"/>
                <w:szCs w:val="15"/>
                <w:color w:val="auto"/>
              </w:rPr>
            </w:pPr>
          </w:p>
        </w:tc>
        <w:tc>
          <w:tcPr>
            <w:tcW w:w="1300" w:type="dxa"/>
            <w:vAlign w:val="bottom"/>
            <w:gridSpan w:val="2"/>
          </w:tcPr>
          <w:p>
            <w:pPr>
              <w:jc w:val="right"/>
              <w:ind w:right="164"/>
              <w:spacing w:after="0"/>
              <w:rPr>
                <w:sz w:val="20"/>
                <w:szCs w:val="20"/>
                <w:color w:val="auto"/>
              </w:rPr>
            </w:pPr>
            <w:r>
              <w:rPr>
                <w:rFonts w:ascii="Arial" w:cs="Arial" w:eastAsia="Arial" w:hAnsi="Arial"/>
                <w:sz w:val="15"/>
                <w:szCs w:val="15"/>
                <w:color w:val="auto"/>
              </w:rPr>
              <w:t>(3,531)</w:t>
            </w:r>
          </w:p>
        </w:tc>
        <w:tc>
          <w:tcPr>
            <w:tcW w:w="10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(3,511)</w:t>
            </w:r>
          </w:p>
        </w:tc>
      </w:tr>
      <w:tr>
        <w:trPr>
          <w:trHeight w:val="182"/>
        </w:trPr>
        <w:tc>
          <w:tcPr>
            <w:tcW w:w="2480" w:type="dxa"/>
            <w:vAlign w:val="bottom"/>
            <w:shd w:val="clear" w:color="auto" w:fill="C0FFFF"/>
          </w:tcPr>
          <w:p>
            <w:pPr>
              <w:spacing w:after="0"/>
              <w:rPr>
                <w:sz w:val="20"/>
                <w:szCs w:val="20"/>
                <w:color w:val="auto"/>
              </w:rPr>
            </w:pPr>
            <w:r>
              <w:rPr>
                <w:rFonts w:ascii="Arial" w:cs="Arial" w:eastAsia="Arial" w:hAnsi="Arial"/>
                <w:sz w:val="15"/>
                <w:szCs w:val="15"/>
                <w:color w:val="auto"/>
              </w:rPr>
              <w:t>Interest expense (income)</w:t>
            </w:r>
          </w:p>
        </w:tc>
        <w:tc>
          <w:tcPr>
            <w:tcW w:w="200" w:type="dxa"/>
            <w:vAlign w:val="bottom"/>
            <w:shd w:val="clear" w:color="auto" w:fill="C0FFFF"/>
          </w:tcPr>
          <w:p>
            <w:pPr>
              <w:spacing w:after="0"/>
              <w:rPr>
                <w:sz w:val="15"/>
                <w:szCs w:val="15"/>
                <w:color w:val="auto"/>
              </w:rPr>
            </w:pPr>
          </w:p>
        </w:tc>
        <w:tc>
          <w:tcPr>
            <w:tcW w:w="1320" w:type="dxa"/>
            <w:vAlign w:val="bottom"/>
            <w:gridSpan w:val="2"/>
            <w:shd w:val="clear" w:color="auto" w:fill="C0FFFF"/>
          </w:tcPr>
          <w:p>
            <w:pPr>
              <w:jc w:val="right"/>
              <w:ind w:right="224"/>
              <w:spacing w:after="0"/>
              <w:rPr>
                <w:sz w:val="20"/>
                <w:szCs w:val="20"/>
                <w:color w:val="auto"/>
              </w:rPr>
            </w:pPr>
            <w:r>
              <w:rPr>
                <w:rFonts w:ascii="Arial" w:cs="Arial" w:eastAsia="Arial" w:hAnsi="Arial"/>
                <w:sz w:val="15"/>
                <w:szCs w:val="15"/>
                <w:color w:val="auto"/>
              </w:rPr>
              <w:t>65</w:t>
            </w:r>
          </w:p>
        </w:tc>
        <w:tc>
          <w:tcPr>
            <w:tcW w:w="80" w:type="dxa"/>
            <w:vAlign w:val="bottom"/>
            <w:shd w:val="clear" w:color="auto" w:fill="C0FFFF"/>
          </w:tcPr>
          <w:p>
            <w:pPr>
              <w:spacing w:after="0"/>
              <w:rPr>
                <w:sz w:val="15"/>
                <w:szCs w:val="15"/>
                <w:color w:val="auto"/>
              </w:rPr>
            </w:pPr>
          </w:p>
        </w:tc>
        <w:tc>
          <w:tcPr>
            <w:tcW w:w="142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(106)</w:t>
            </w:r>
          </w:p>
        </w:tc>
        <w:tc>
          <w:tcPr>
            <w:tcW w:w="260" w:type="dxa"/>
            <w:vAlign w:val="bottom"/>
            <w:shd w:val="clear" w:color="auto" w:fill="C0FFFF"/>
          </w:tcPr>
          <w:p>
            <w:pPr>
              <w:spacing w:after="0"/>
              <w:rPr>
                <w:sz w:val="15"/>
                <w:szCs w:val="15"/>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(41)</w:t>
            </w:r>
          </w:p>
        </w:tc>
        <w:tc>
          <w:tcPr>
            <w:tcW w:w="200" w:type="dxa"/>
            <w:vAlign w:val="bottom"/>
            <w:shd w:val="clear" w:color="auto" w:fill="C0FFFF"/>
          </w:tcPr>
          <w:p>
            <w:pPr>
              <w:spacing w:after="0"/>
              <w:rPr>
                <w:sz w:val="15"/>
                <w:szCs w:val="15"/>
                <w:color w:val="auto"/>
              </w:rPr>
            </w:pPr>
          </w:p>
        </w:tc>
        <w:tc>
          <w:tcPr>
            <w:tcW w:w="1300" w:type="dxa"/>
            <w:vAlign w:val="bottom"/>
            <w:gridSpan w:val="2"/>
            <w:shd w:val="clear" w:color="auto" w:fill="C0FFFF"/>
          </w:tcPr>
          <w:p>
            <w:pPr>
              <w:jc w:val="right"/>
              <w:ind w:right="164"/>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0FFFF"/>
          </w:tcPr>
          <w:p>
            <w:pPr>
              <w:spacing w:after="0"/>
              <w:rPr>
                <w:sz w:val="15"/>
                <w:szCs w:val="15"/>
                <w:color w:val="auto"/>
              </w:rPr>
            </w:pPr>
          </w:p>
        </w:tc>
        <w:tc>
          <w:tcPr>
            <w:tcW w:w="14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(126)</w:t>
            </w:r>
          </w:p>
        </w:tc>
        <w:tc>
          <w:tcPr>
            <w:tcW w:w="2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(191)</w:t>
            </w:r>
          </w:p>
        </w:tc>
      </w:tr>
      <w:tr>
        <w:trPr>
          <w:trHeight w:val="171"/>
        </w:trPr>
        <w:tc>
          <w:tcPr>
            <w:tcW w:w="2480" w:type="dxa"/>
            <w:vAlign w:val="bottom"/>
          </w:tcPr>
          <w:p>
            <w:pPr>
              <w:spacing w:after="0" w:line="171" w:lineRule="exact"/>
              <w:rPr>
                <w:sz w:val="20"/>
                <w:szCs w:val="20"/>
                <w:color w:val="auto"/>
              </w:rPr>
            </w:pPr>
            <w:r>
              <w:rPr>
                <w:rFonts w:ascii="Arial" w:cs="Arial" w:eastAsia="Arial" w:hAnsi="Arial"/>
                <w:sz w:val="15"/>
                <w:szCs w:val="15"/>
                <w:color w:val="auto"/>
              </w:rPr>
              <w:t>Store depreciation, amortization and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1"/>
        </w:trPr>
        <w:tc>
          <w:tcPr>
            <w:tcW w:w="2480" w:type="dxa"/>
            <w:vAlign w:val="bottom"/>
          </w:tcPr>
          <w:p>
            <w:pPr>
              <w:ind w:left="120"/>
              <w:spacing w:after="0"/>
              <w:rPr>
                <w:sz w:val="20"/>
                <w:szCs w:val="20"/>
                <w:color w:val="auto"/>
              </w:rPr>
            </w:pPr>
            <w:r>
              <w:rPr>
                <w:rFonts w:ascii="Arial" w:cs="Arial" w:eastAsia="Arial" w:hAnsi="Arial"/>
                <w:sz w:val="15"/>
                <w:szCs w:val="15"/>
                <w:color w:val="auto"/>
              </w:rPr>
              <w:t>impairment (1)</w:t>
            </w:r>
          </w:p>
        </w:tc>
        <w:tc>
          <w:tcPr>
            <w:tcW w:w="200" w:type="dxa"/>
            <w:vAlign w:val="bottom"/>
          </w:tcPr>
          <w:p>
            <w:pPr>
              <w:spacing w:after="0"/>
              <w:rPr>
                <w:sz w:val="16"/>
                <w:szCs w:val="16"/>
                <w:color w:val="auto"/>
              </w:rPr>
            </w:pPr>
          </w:p>
        </w:tc>
        <w:tc>
          <w:tcPr>
            <w:tcW w:w="1320" w:type="dxa"/>
            <w:vAlign w:val="bottom"/>
            <w:gridSpan w:val="2"/>
          </w:tcPr>
          <w:p>
            <w:pPr>
              <w:jc w:val="right"/>
              <w:ind w:right="224"/>
              <w:spacing w:after="0"/>
              <w:rPr>
                <w:sz w:val="20"/>
                <w:szCs w:val="20"/>
                <w:color w:val="auto"/>
              </w:rPr>
            </w:pPr>
            <w:r>
              <w:rPr>
                <w:rFonts w:ascii="Arial" w:cs="Arial" w:eastAsia="Arial" w:hAnsi="Arial"/>
                <w:sz w:val="15"/>
                <w:szCs w:val="15"/>
                <w:color w:val="auto"/>
              </w:rPr>
              <w:t>11,568</w:t>
            </w:r>
          </w:p>
        </w:tc>
        <w:tc>
          <w:tcPr>
            <w:tcW w:w="80" w:type="dxa"/>
            <w:vAlign w:val="bottom"/>
          </w:tcPr>
          <w:p>
            <w:pPr>
              <w:spacing w:after="0"/>
              <w:rPr>
                <w:sz w:val="16"/>
                <w:szCs w:val="16"/>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1,706</w:t>
            </w:r>
          </w:p>
        </w:tc>
        <w:tc>
          <w:tcPr>
            <w:tcW w:w="26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5"/>
                <w:szCs w:val="15"/>
                <w:color w:val="auto"/>
              </w:rPr>
              <w:t>13,274</w:t>
            </w:r>
          </w:p>
        </w:tc>
        <w:tc>
          <w:tcPr>
            <w:tcW w:w="200" w:type="dxa"/>
            <w:vAlign w:val="bottom"/>
          </w:tcPr>
          <w:p>
            <w:pPr>
              <w:spacing w:after="0"/>
              <w:rPr>
                <w:sz w:val="16"/>
                <w:szCs w:val="16"/>
                <w:color w:val="auto"/>
              </w:rPr>
            </w:pPr>
          </w:p>
        </w:tc>
        <w:tc>
          <w:tcPr>
            <w:tcW w:w="1300" w:type="dxa"/>
            <w:vAlign w:val="bottom"/>
            <w:gridSpan w:val="2"/>
          </w:tcPr>
          <w:p>
            <w:pPr>
              <w:jc w:val="right"/>
              <w:ind w:right="224"/>
              <w:spacing w:after="0"/>
              <w:rPr>
                <w:sz w:val="20"/>
                <w:szCs w:val="20"/>
                <w:color w:val="auto"/>
              </w:rPr>
            </w:pPr>
            <w:r>
              <w:rPr>
                <w:rFonts w:ascii="Arial" w:cs="Arial" w:eastAsia="Arial" w:hAnsi="Arial"/>
                <w:sz w:val="15"/>
                <w:szCs w:val="15"/>
                <w:color w:val="auto"/>
              </w:rPr>
              <w:t>11,848</w:t>
            </w:r>
          </w:p>
        </w:tc>
        <w:tc>
          <w:tcPr>
            <w:tcW w:w="100" w:type="dxa"/>
            <w:vAlign w:val="bottom"/>
          </w:tcPr>
          <w:p>
            <w:pPr>
              <w:spacing w:after="0"/>
              <w:rPr>
                <w:sz w:val="16"/>
                <w:szCs w:val="16"/>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2,082</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13,930</w:t>
            </w:r>
          </w:p>
        </w:tc>
      </w:tr>
      <w:tr>
        <w:trPr>
          <w:trHeight w:val="182"/>
        </w:trPr>
        <w:tc>
          <w:tcPr>
            <w:tcW w:w="2480" w:type="dxa"/>
            <w:vAlign w:val="bottom"/>
            <w:shd w:val="clear" w:color="auto" w:fill="C0FFFF"/>
          </w:tcPr>
          <w:p>
            <w:pPr>
              <w:spacing w:after="0"/>
              <w:rPr>
                <w:sz w:val="20"/>
                <w:szCs w:val="20"/>
                <w:color w:val="auto"/>
              </w:rPr>
            </w:pPr>
            <w:r>
              <w:rPr>
                <w:rFonts w:ascii="Arial" w:cs="Arial" w:eastAsia="Arial" w:hAnsi="Arial"/>
                <w:sz w:val="15"/>
                <w:szCs w:val="15"/>
                <w:color w:val="auto"/>
              </w:rPr>
              <w:t>Store preopening expense</w:t>
            </w:r>
          </w:p>
        </w:tc>
        <w:tc>
          <w:tcPr>
            <w:tcW w:w="200" w:type="dxa"/>
            <w:vAlign w:val="bottom"/>
            <w:shd w:val="clear" w:color="auto" w:fill="C0FFFF"/>
          </w:tcPr>
          <w:p>
            <w:pPr>
              <w:spacing w:after="0"/>
              <w:rPr>
                <w:sz w:val="15"/>
                <w:szCs w:val="15"/>
                <w:color w:val="auto"/>
              </w:rPr>
            </w:pPr>
          </w:p>
        </w:tc>
        <w:tc>
          <w:tcPr>
            <w:tcW w:w="1320" w:type="dxa"/>
            <w:vAlign w:val="bottom"/>
            <w:gridSpan w:val="2"/>
            <w:shd w:val="clear" w:color="auto" w:fill="C0FFFF"/>
          </w:tcPr>
          <w:p>
            <w:pPr>
              <w:jc w:val="right"/>
              <w:ind w:right="224"/>
              <w:spacing w:after="0"/>
              <w:rPr>
                <w:sz w:val="20"/>
                <w:szCs w:val="20"/>
                <w:color w:val="auto"/>
              </w:rPr>
            </w:pPr>
            <w:r>
              <w:rPr>
                <w:rFonts w:ascii="Arial" w:cs="Arial" w:eastAsia="Arial" w:hAnsi="Arial"/>
                <w:sz w:val="15"/>
                <w:szCs w:val="15"/>
                <w:color w:val="auto"/>
              </w:rPr>
              <w:t>172</w:t>
            </w:r>
          </w:p>
        </w:tc>
        <w:tc>
          <w:tcPr>
            <w:tcW w:w="80" w:type="dxa"/>
            <w:vAlign w:val="bottom"/>
            <w:shd w:val="clear" w:color="auto" w:fill="C0FFFF"/>
          </w:tcPr>
          <w:p>
            <w:pPr>
              <w:spacing w:after="0"/>
              <w:rPr>
                <w:sz w:val="15"/>
                <w:szCs w:val="15"/>
                <w:color w:val="auto"/>
              </w:rPr>
            </w:pP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219</w:t>
            </w:r>
          </w:p>
        </w:tc>
        <w:tc>
          <w:tcPr>
            <w:tcW w:w="260" w:type="dxa"/>
            <w:vAlign w:val="bottom"/>
            <w:shd w:val="clear" w:color="auto" w:fill="C0FFFF"/>
          </w:tcPr>
          <w:p>
            <w:pPr>
              <w:spacing w:after="0"/>
              <w:rPr>
                <w:sz w:val="15"/>
                <w:szCs w:val="15"/>
                <w:color w:val="auto"/>
              </w:rPr>
            </w:pPr>
          </w:p>
        </w:tc>
        <w:tc>
          <w:tcPr>
            <w:tcW w:w="126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391</w:t>
            </w:r>
          </w:p>
        </w:tc>
        <w:tc>
          <w:tcPr>
            <w:tcW w:w="200" w:type="dxa"/>
            <w:vAlign w:val="bottom"/>
            <w:shd w:val="clear" w:color="auto" w:fill="C0FFFF"/>
          </w:tcPr>
          <w:p>
            <w:pPr>
              <w:spacing w:after="0"/>
              <w:rPr>
                <w:sz w:val="15"/>
                <w:szCs w:val="15"/>
                <w:color w:val="auto"/>
              </w:rPr>
            </w:pPr>
          </w:p>
        </w:tc>
        <w:tc>
          <w:tcPr>
            <w:tcW w:w="1300" w:type="dxa"/>
            <w:vAlign w:val="bottom"/>
            <w:gridSpan w:val="2"/>
            <w:shd w:val="clear" w:color="auto" w:fill="C0FFFF"/>
          </w:tcPr>
          <w:p>
            <w:pPr>
              <w:jc w:val="right"/>
              <w:ind w:right="224"/>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0FFFF"/>
          </w:tcPr>
          <w:p>
            <w:pPr>
              <w:spacing w:after="0"/>
              <w:rPr>
                <w:sz w:val="15"/>
                <w:szCs w:val="15"/>
                <w:color w:val="auto"/>
              </w:rPr>
            </w:pP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181</w:t>
            </w:r>
          </w:p>
        </w:tc>
        <w:tc>
          <w:tcPr>
            <w:tcW w:w="2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343</w:t>
            </w:r>
          </w:p>
        </w:tc>
      </w:tr>
      <w:tr>
        <w:trPr>
          <w:trHeight w:val="182"/>
        </w:trPr>
        <w:tc>
          <w:tcPr>
            <w:tcW w:w="2480" w:type="dxa"/>
            <w:vAlign w:val="bottom"/>
          </w:tcPr>
          <w:p>
            <w:pPr>
              <w:spacing w:after="0"/>
              <w:rPr>
                <w:sz w:val="20"/>
                <w:szCs w:val="20"/>
                <w:color w:val="auto"/>
              </w:rPr>
            </w:pPr>
            <w:r>
              <w:rPr>
                <w:rFonts w:ascii="Arial" w:cs="Arial" w:eastAsia="Arial" w:hAnsi="Arial"/>
                <w:sz w:val="15"/>
                <w:szCs w:val="15"/>
                <w:color w:val="auto"/>
                <w:w w:val="93"/>
              </w:rPr>
              <w:t>General and administrative expense (2)</w:t>
            </w:r>
          </w:p>
        </w:tc>
        <w:tc>
          <w:tcPr>
            <w:tcW w:w="200" w:type="dxa"/>
            <w:vAlign w:val="bottom"/>
          </w:tcPr>
          <w:p>
            <w:pPr>
              <w:spacing w:after="0"/>
              <w:rPr>
                <w:sz w:val="15"/>
                <w:szCs w:val="15"/>
                <w:color w:val="auto"/>
              </w:rPr>
            </w:pPr>
          </w:p>
        </w:tc>
        <w:tc>
          <w:tcPr>
            <w:tcW w:w="1320" w:type="dxa"/>
            <w:vAlign w:val="bottom"/>
            <w:gridSpan w:val="2"/>
          </w:tcPr>
          <w:p>
            <w:pPr>
              <w:jc w:val="right"/>
              <w:ind w:right="224"/>
              <w:spacing w:after="0"/>
              <w:rPr>
                <w:sz w:val="20"/>
                <w:szCs w:val="20"/>
                <w:color w:val="auto"/>
              </w:rPr>
            </w:pPr>
            <w:r>
              <w:rPr>
                <w:rFonts w:ascii="Arial" w:cs="Arial" w:eastAsia="Arial" w:hAnsi="Arial"/>
                <w:sz w:val="15"/>
                <w:szCs w:val="15"/>
                <w:color w:val="auto"/>
              </w:rPr>
              <w:t>34,382</w:t>
            </w:r>
          </w:p>
        </w:tc>
        <w:tc>
          <w:tcPr>
            <w:tcW w:w="8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2,264</w:t>
            </w:r>
          </w:p>
        </w:tc>
        <w:tc>
          <w:tcPr>
            <w:tcW w:w="26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5"/>
                <w:szCs w:val="15"/>
                <w:color w:val="auto"/>
              </w:rPr>
              <w:t>36,646</w:t>
            </w:r>
          </w:p>
        </w:tc>
        <w:tc>
          <w:tcPr>
            <w:tcW w:w="200" w:type="dxa"/>
            <w:vAlign w:val="bottom"/>
          </w:tcPr>
          <w:p>
            <w:pPr>
              <w:spacing w:after="0"/>
              <w:rPr>
                <w:sz w:val="15"/>
                <w:szCs w:val="15"/>
                <w:color w:val="auto"/>
              </w:rPr>
            </w:pPr>
          </w:p>
        </w:tc>
        <w:tc>
          <w:tcPr>
            <w:tcW w:w="1300" w:type="dxa"/>
            <w:vAlign w:val="bottom"/>
            <w:gridSpan w:val="2"/>
          </w:tcPr>
          <w:p>
            <w:pPr>
              <w:jc w:val="right"/>
              <w:ind w:right="224"/>
              <w:spacing w:after="0"/>
              <w:rPr>
                <w:sz w:val="20"/>
                <w:szCs w:val="20"/>
                <w:color w:val="auto"/>
              </w:rPr>
            </w:pPr>
            <w:r>
              <w:rPr>
                <w:rFonts w:ascii="Arial" w:cs="Arial" w:eastAsia="Arial" w:hAnsi="Arial"/>
                <w:sz w:val="15"/>
                <w:szCs w:val="15"/>
                <w:color w:val="auto"/>
              </w:rPr>
              <w:t>30,184</w:t>
            </w:r>
          </w:p>
        </w:tc>
        <w:tc>
          <w:tcPr>
            <w:tcW w:w="10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2,956</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33,140</w:t>
            </w:r>
          </w:p>
        </w:tc>
      </w:tr>
      <w:tr>
        <w:trPr>
          <w:trHeight w:val="171"/>
        </w:trPr>
        <w:tc>
          <w:tcPr>
            <w:tcW w:w="2480" w:type="dxa"/>
            <w:vAlign w:val="bottom"/>
            <w:shd w:val="clear" w:color="auto" w:fill="C0FFFF"/>
          </w:tcPr>
          <w:p>
            <w:pPr>
              <w:spacing w:after="0" w:line="171" w:lineRule="exact"/>
              <w:rPr>
                <w:sz w:val="20"/>
                <w:szCs w:val="20"/>
                <w:color w:val="auto"/>
              </w:rPr>
            </w:pPr>
            <w:r>
              <w:rPr>
                <w:rFonts w:ascii="Arial" w:cs="Arial" w:eastAsia="Arial" w:hAnsi="Arial"/>
                <w:sz w:val="15"/>
                <w:szCs w:val="15"/>
                <w:color w:val="auto"/>
                <w:w w:val="98"/>
              </w:rPr>
              <w:t>Franchising and licensing contribution</w:t>
            </w:r>
          </w:p>
        </w:tc>
        <w:tc>
          <w:tcPr>
            <w:tcW w:w="20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12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c>
          <w:tcPr>
            <w:tcW w:w="96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12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c>
          <w:tcPr>
            <w:tcW w:w="960" w:type="dxa"/>
            <w:vAlign w:val="bottom"/>
            <w:shd w:val="clear" w:color="auto" w:fill="C0FFFF"/>
          </w:tcPr>
          <w:p>
            <w:pPr>
              <w:spacing w:after="0"/>
              <w:rPr>
                <w:sz w:val="14"/>
                <w:szCs w:val="14"/>
                <w:color w:val="auto"/>
              </w:rPr>
            </w:pPr>
          </w:p>
        </w:tc>
        <w:tc>
          <w:tcPr>
            <w:tcW w:w="180" w:type="dxa"/>
            <w:vAlign w:val="bottom"/>
            <w:shd w:val="clear" w:color="auto" w:fill="C0FFFF"/>
          </w:tcPr>
          <w:p>
            <w:pPr>
              <w:spacing w:after="0"/>
              <w:rPr>
                <w:sz w:val="14"/>
                <w:szCs w:val="14"/>
                <w:color w:val="auto"/>
              </w:rPr>
            </w:pPr>
          </w:p>
        </w:tc>
      </w:tr>
      <w:tr>
        <w:trPr>
          <w:trHeight w:val="192"/>
        </w:trPr>
        <w:tc>
          <w:tcPr>
            <w:tcW w:w="2480" w:type="dxa"/>
            <w:vAlign w:val="bottom"/>
            <w:shd w:val="clear" w:color="auto" w:fill="C0FFFF"/>
          </w:tcPr>
          <w:p>
            <w:pPr>
              <w:ind w:left="120"/>
              <w:spacing w:after="0"/>
              <w:rPr>
                <w:sz w:val="20"/>
                <w:szCs w:val="20"/>
                <w:color w:val="auto"/>
              </w:rPr>
            </w:pPr>
            <w:r>
              <w:rPr>
                <w:rFonts w:ascii="Arial" w:cs="Arial" w:eastAsia="Arial" w:hAnsi="Arial"/>
                <w:sz w:val="15"/>
                <w:szCs w:val="15"/>
                <w:color w:val="auto"/>
              </w:rPr>
              <w:t>(3)</w:t>
            </w:r>
          </w:p>
        </w:tc>
        <w:tc>
          <w:tcPr>
            <w:tcW w:w="2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64"/>
              <w:spacing w:after="0"/>
              <w:rPr>
                <w:sz w:val="20"/>
                <w:szCs w:val="20"/>
                <w:color w:val="auto"/>
              </w:rPr>
            </w:pPr>
            <w:r>
              <w:rPr>
                <w:rFonts w:ascii="Arial" w:cs="Arial" w:eastAsia="Arial" w:hAnsi="Arial"/>
                <w:sz w:val="15"/>
                <w:szCs w:val="15"/>
                <w:color w:val="auto"/>
              </w:rPr>
              <w:t>(2,752)</w:t>
            </w:r>
          </w:p>
        </w:tc>
        <w:tc>
          <w:tcPr>
            <w:tcW w:w="80" w:type="dxa"/>
            <w:vAlign w:val="bottom"/>
            <w:shd w:val="clear" w:color="auto" w:fill="C0FFFF"/>
          </w:tcPr>
          <w:p>
            <w:pPr>
              <w:spacing w:after="0"/>
              <w:rPr>
                <w:sz w:val="16"/>
                <w:szCs w:val="16"/>
                <w:color w:val="auto"/>
              </w:rPr>
            </w:pP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(2,752)</w:t>
            </w:r>
          </w:p>
        </w:tc>
        <w:tc>
          <w:tcPr>
            <w:tcW w:w="20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64"/>
              <w:spacing w:after="0"/>
              <w:rPr>
                <w:sz w:val="20"/>
                <w:szCs w:val="20"/>
                <w:color w:val="auto"/>
              </w:rPr>
            </w:pPr>
            <w:r>
              <w:rPr>
                <w:rFonts w:ascii="Arial" w:cs="Arial" w:eastAsia="Arial" w:hAnsi="Arial"/>
                <w:sz w:val="15"/>
                <w:szCs w:val="15"/>
                <w:color w:val="auto"/>
              </w:rPr>
              <w:t>(3,399)</w:t>
            </w:r>
          </w:p>
        </w:tc>
        <w:tc>
          <w:tcPr>
            <w:tcW w:w="100" w:type="dxa"/>
            <w:vAlign w:val="bottom"/>
            <w:shd w:val="clear" w:color="auto" w:fill="C0FFFF"/>
          </w:tcPr>
          <w:p>
            <w:pPr>
              <w:spacing w:after="0"/>
              <w:rPr>
                <w:sz w:val="16"/>
                <w:szCs w:val="16"/>
                <w:color w:val="auto"/>
              </w:rPr>
            </w:pP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(3,399)</w:t>
            </w:r>
          </w:p>
        </w:tc>
      </w:tr>
      <w:tr>
        <w:trPr>
          <w:trHeight w:val="182"/>
        </w:trPr>
        <w:tc>
          <w:tcPr>
            <w:tcW w:w="2480" w:type="dxa"/>
            <w:vAlign w:val="bottom"/>
          </w:tcPr>
          <w:p>
            <w:pPr>
              <w:spacing w:after="0"/>
              <w:rPr>
                <w:sz w:val="20"/>
                <w:szCs w:val="20"/>
                <w:color w:val="auto"/>
              </w:rPr>
            </w:pPr>
            <w:r>
              <w:rPr>
                <w:rFonts w:ascii="Arial" w:cs="Arial" w:eastAsia="Arial" w:hAnsi="Arial"/>
                <w:sz w:val="15"/>
                <w:szCs w:val="15"/>
                <w:color w:val="auto"/>
              </w:rPr>
              <w:t>Non-store activity contribution (4)</w:t>
            </w:r>
          </w:p>
        </w:tc>
        <w:tc>
          <w:tcPr>
            <w:tcW w:w="200" w:type="dxa"/>
            <w:vAlign w:val="bottom"/>
          </w:tcPr>
          <w:p>
            <w:pPr>
              <w:spacing w:after="0"/>
              <w:rPr>
                <w:sz w:val="15"/>
                <w:szCs w:val="15"/>
                <w:color w:val="auto"/>
              </w:rPr>
            </w:pPr>
          </w:p>
        </w:tc>
        <w:tc>
          <w:tcPr>
            <w:tcW w:w="1320" w:type="dxa"/>
            <w:vAlign w:val="bottom"/>
            <w:gridSpan w:val="2"/>
          </w:tcPr>
          <w:p>
            <w:pPr>
              <w:jc w:val="right"/>
              <w:ind w:right="164"/>
              <w:spacing w:after="0"/>
              <w:rPr>
                <w:sz w:val="20"/>
                <w:szCs w:val="20"/>
                <w:color w:val="auto"/>
              </w:rPr>
            </w:pPr>
            <w:r>
              <w:rPr>
                <w:rFonts w:ascii="Arial" w:cs="Arial" w:eastAsia="Arial" w:hAnsi="Arial"/>
                <w:sz w:val="15"/>
                <w:szCs w:val="15"/>
                <w:color w:val="auto"/>
              </w:rPr>
              <w:t>(5,646)</w:t>
            </w:r>
          </w:p>
        </w:tc>
        <w:tc>
          <w:tcPr>
            <w:tcW w:w="8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(538)</w:t>
            </w:r>
          </w:p>
        </w:tc>
        <w:tc>
          <w:tcPr>
            <w:tcW w:w="26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(6,184)</w:t>
            </w:r>
          </w:p>
        </w:tc>
        <w:tc>
          <w:tcPr>
            <w:tcW w:w="200" w:type="dxa"/>
            <w:vAlign w:val="bottom"/>
          </w:tcPr>
          <w:p>
            <w:pPr>
              <w:spacing w:after="0"/>
              <w:rPr>
                <w:sz w:val="15"/>
                <w:szCs w:val="15"/>
                <w:color w:val="auto"/>
              </w:rPr>
            </w:pPr>
          </w:p>
        </w:tc>
        <w:tc>
          <w:tcPr>
            <w:tcW w:w="1300" w:type="dxa"/>
            <w:vAlign w:val="bottom"/>
            <w:gridSpan w:val="2"/>
          </w:tcPr>
          <w:p>
            <w:pPr>
              <w:jc w:val="right"/>
              <w:ind w:right="164"/>
              <w:spacing w:after="0"/>
              <w:rPr>
                <w:sz w:val="20"/>
                <w:szCs w:val="20"/>
                <w:color w:val="auto"/>
              </w:rPr>
            </w:pPr>
            <w:r>
              <w:rPr>
                <w:rFonts w:ascii="Arial" w:cs="Arial" w:eastAsia="Arial" w:hAnsi="Arial"/>
                <w:sz w:val="15"/>
                <w:szCs w:val="15"/>
                <w:color w:val="auto"/>
              </w:rPr>
              <w:t>(1,807)</w:t>
            </w:r>
          </w:p>
        </w:tc>
        <w:tc>
          <w:tcPr>
            <w:tcW w:w="10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(472)</w:t>
            </w: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(2,279)</w:t>
            </w:r>
          </w:p>
        </w:tc>
      </w:tr>
      <w:tr>
        <w:trPr>
          <w:trHeight w:val="23"/>
        </w:trPr>
        <w:tc>
          <w:tcPr>
            <w:tcW w:w="2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2480" w:type="dxa"/>
            <w:vAlign w:val="bottom"/>
            <w:shd w:val="clear" w:color="auto" w:fill="C0FFFF"/>
          </w:tcPr>
          <w:p>
            <w:pPr>
              <w:spacing w:after="0"/>
              <w:rPr>
                <w:sz w:val="20"/>
                <w:szCs w:val="20"/>
                <w:color w:val="auto"/>
              </w:rPr>
            </w:pPr>
            <w:r>
              <w:rPr>
                <w:rFonts w:ascii="Arial" w:cs="Arial" w:eastAsia="Arial" w:hAnsi="Arial"/>
                <w:sz w:val="15"/>
                <w:szCs w:val="15"/>
                <w:color w:val="auto"/>
              </w:rPr>
              <w:t>Store contribution</w:t>
            </w:r>
          </w:p>
        </w:tc>
        <w:tc>
          <w:tcPr>
            <w:tcW w:w="200" w:type="dxa"/>
            <w:vAlign w:val="bottom"/>
            <w:shd w:val="clear" w:color="auto" w:fill="C0FF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0FFFF"/>
          </w:tcPr>
          <w:p>
            <w:pPr>
              <w:jc w:val="right"/>
              <w:ind w:right="224"/>
              <w:spacing w:after="0"/>
              <w:rPr>
                <w:sz w:val="20"/>
                <w:szCs w:val="20"/>
                <w:color w:val="auto"/>
              </w:rPr>
            </w:pPr>
            <w:r>
              <w:rPr>
                <w:rFonts w:ascii="Arial" w:cs="Arial" w:eastAsia="Arial" w:hAnsi="Arial"/>
                <w:sz w:val="15"/>
                <w:szCs w:val="15"/>
                <w:color w:val="auto"/>
              </w:rPr>
              <w:t>25,519</w:t>
            </w:r>
          </w:p>
        </w:tc>
        <w:tc>
          <w:tcPr>
            <w:tcW w:w="8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3,365</w:t>
            </w:r>
          </w:p>
        </w:tc>
        <w:tc>
          <w:tcPr>
            <w:tcW w:w="260" w:type="dxa"/>
            <w:vAlign w:val="bottom"/>
            <w:shd w:val="clear" w:color="auto" w:fill="C0FF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28,884</w:t>
            </w:r>
          </w:p>
        </w:tc>
        <w:tc>
          <w:tcPr>
            <w:tcW w:w="200" w:type="dxa"/>
            <w:vAlign w:val="bottom"/>
            <w:shd w:val="clear" w:color="auto" w:fill="C0FFFF"/>
          </w:tcPr>
          <w:p>
            <w:pPr>
              <w:jc w:val="right"/>
              <w:ind w:right="9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0FFFF"/>
          </w:tcPr>
          <w:p>
            <w:pPr>
              <w:jc w:val="right"/>
              <w:ind w:right="224"/>
              <w:spacing w:after="0"/>
              <w:rPr>
                <w:sz w:val="20"/>
                <w:szCs w:val="20"/>
                <w:color w:val="auto"/>
              </w:rPr>
            </w:pPr>
            <w:r>
              <w:rPr>
                <w:rFonts w:ascii="Arial" w:cs="Arial" w:eastAsia="Arial" w:hAnsi="Arial"/>
                <w:sz w:val="15"/>
                <w:szCs w:val="15"/>
                <w:color w:val="auto"/>
              </w:rPr>
              <w:t>26,975</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2,882</w:t>
            </w:r>
          </w:p>
        </w:tc>
        <w:tc>
          <w:tcPr>
            <w:tcW w:w="260" w:type="dxa"/>
            <w:vAlign w:val="bottom"/>
            <w:shd w:val="clear" w:color="auto" w:fill="C0FFFF"/>
          </w:tcPr>
          <w:p>
            <w:pPr>
              <w:jc w:val="right"/>
              <w:ind w:right="15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29,857</w:t>
            </w:r>
          </w:p>
        </w:tc>
      </w:tr>
      <w:tr>
        <w:trPr>
          <w:trHeight w:val="167"/>
        </w:trPr>
        <w:tc>
          <w:tcPr>
            <w:tcW w:w="2480" w:type="dxa"/>
            <w:vAlign w:val="bottom"/>
            <w:tcBorders>
              <w:top w:val="single" w:sz="8" w:color="C0FF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0FFFF"/>
            </w:tcBorders>
          </w:tcPr>
          <w:p>
            <w:pPr>
              <w:spacing w:after="0"/>
              <w:rPr>
                <w:sz w:val="14"/>
                <w:szCs w:val="14"/>
                <w:color w:val="auto"/>
              </w:rPr>
            </w:pPr>
          </w:p>
        </w:tc>
      </w:tr>
      <w:tr>
        <w:trPr>
          <w:trHeight w:val="171"/>
        </w:trPr>
        <w:tc>
          <w:tcPr>
            <w:tcW w:w="2480" w:type="dxa"/>
            <w:vAlign w:val="bottom"/>
            <w:shd w:val="clear" w:color="auto" w:fill="C0FFFF"/>
          </w:tcPr>
          <w:p>
            <w:pPr>
              <w:spacing w:after="0" w:line="171" w:lineRule="exact"/>
              <w:rPr>
                <w:sz w:val="20"/>
                <w:szCs w:val="20"/>
                <w:color w:val="auto"/>
              </w:rPr>
            </w:pPr>
            <w:r>
              <w:rPr>
                <w:rFonts w:ascii="Arial" w:cs="Arial" w:eastAsia="Arial" w:hAnsi="Arial"/>
                <w:sz w:val="15"/>
                <w:szCs w:val="15"/>
                <w:color w:val="auto"/>
              </w:rPr>
              <w:t>Total revenues from external</w:t>
            </w:r>
          </w:p>
        </w:tc>
        <w:tc>
          <w:tcPr>
            <w:tcW w:w="20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12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c>
          <w:tcPr>
            <w:tcW w:w="96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120" w:type="dxa"/>
            <w:vAlign w:val="bottom"/>
            <w:shd w:val="clear" w:color="auto" w:fill="C0FFFF"/>
          </w:tcPr>
          <w:p>
            <w:pPr>
              <w:spacing w:after="0"/>
              <w:rPr>
                <w:sz w:val="14"/>
                <w:szCs w:val="14"/>
                <w:color w:val="auto"/>
              </w:rPr>
            </w:pPr>
          </w:p>
        </w:tc>
        <w:tc>
          <w:tcPr>
            <w:tcW w:w="3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c>
          <w:tcPr>
            <w:tcW w:w="960" w:type="dxa"/>
            <w:vAlign w:val="bottom"/>
            <w:shd w:val="clear" w:color="auto" w:fill="C0FFFF"/>
          </w:tcPr>
          <w:p>
            <w:pPr>
              <w:spacing w:after="0"/>
              <w:rPr>
                <w:sz w:val="14"/>
                <w:szCs w:val="14"/>
                <w:color w:val="auto"/>
              </w:rPr>
            </w:pPr>
          </w:p>
        </w:tc>
        <w:tc>
          <w:tcPr>
            <w:tcW w:w="180" w:type="dxa"/>
            <w:vAlign w:val="bottom"/>
            <w:shd w:val="clear" w:color="auto" w:fill="C0FFFF"/>
          </w:tcPr>
          <w:p>
            <w:pPr>
              <w:spacing w:after="0"/>
              <w:rPr>
                <w:sz w:val="14"/>
                <w:szCs w:val="14"/>
                <w:color w:val="auto"/>
              </w:rPr>
            </w:pPr>
          </w:p>
        </w:tc>
      </w:tr>
      <w:tr>
        <w:trPr>
          <w:trHeight w:val="192"/>
        </w:trPr>
        <w:tc>
          <w:tcPr>
            <w:tcW w:w="2480" w:type="dxa"/>
            <w:vAlign w:val="bottom"/>
            <w:shd w:val="clear" w:color="auto" w:fill="C0FFFF"/>
          </w:tcPr>
          <w:p>
            <w:pPr>
              <w:ind w:left="120"/>
              <w:spacing w:after="0"/>
              <w:rPr>
                <w:sz w:val="20"/>
                <w:szCs w:val="20"/>
                <w:color w:val="auto"/>
              </w:rPr>
            </w:pPr>
            <w:r>
              <w:rPr>
                <w:rFonts w:ascii="Arial" w:cs="Arial" w:eastAsia="Arial" w:hAnsi="Arial"/>
                <w:sz w:val="15"/>
                <w:szCs w:val="15"/>
                <w:color w:val="auto"/>
              </w:rPr>
              <w:t>customers</w:t>
            </w:r>
          </w:p>
        </w:tc>
        <w:tc>
          <w:tcPr>
            <w:tcW w:w="200" w:type="dxa"/>
            <w:vAlign w:val="bottom"/>
            <w:shd w:val="clear" w:color="auto" w:fill="C0FF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0FFFF"/>
          </w:tcPr>
          <w:p>
            <w:pPr>
              <w:jc w:val="right"/>
              <w:ind w:right="224"/>
              <w:spacing w:after="0"/>
              <w:rPr>
                <w:sz w:val="20"/>
                <w:szCs w:val="20"/>
                <w:color w:val="auto"/>
              </w:rPr>
            </w:pPr>
            <w:r>
              <w:rPr>
                <w:rFonts w:ascii="Arial" w:cs="Arial" w:eastAsia="Arial" w:hAnsi="Arial"/>
                <w:sz w:val="15"/>
                <w:szCs w:val="15"/>
                <w:color w:val="auto"/>
              </w:rPr>
              <w:t>227,727</w:t>
            </w:r>
          </w:p>
        </w:tc>
        <w:tc>
          <w:tcPr>
            <w:tcW w:w="8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47,516</w:t>
            </w:r>
          </w:p>
        </w:tc>
        <w:tc>
          <w:tcPr>
            <w:tcW w:w="260" w:type="dxa"/>
            <w:vAlign w:val="bottom"/>
            <w:shd w:val="clear" w:color="auto" w:fill="C0FF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275,243</w:t>
            </w:r>
          </w:p>
        </w:tc>
        <w:tc>
          <w:tcPr>
            <w:tcW w:w="200" w:type="dxa"/>
            <w:vAlign w:val="bottom"/>
            <w:shd w:val="clear" w:color="auto" w:fill="C0FFFF"/>
          </w:tcPr>
          <w:p>
            <w:pPr>
              <w:jc w:val="right"/>
              <w:ind w:right="9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0FFFF"/>
          </w:tcPr>
          <w:p>
            <w:pPr>
              <w:jc w:val="right"/>
              <w:ind w:right="224"/>
              <w:spacing w:after="0"/>
              <w:rPr>
                <w:sz w:val="20"/>
                <w:szCs w:val="20"/>
                <w:color w:val="auto"/>
              </w:rPr>
            </w:pPr>
            <w:r>
              <w:rPr>
                <w:rFonts w:ascii="Arial" w:cs="Arial" w:eastAsia="Arial" w:hAnsi="Arial"/>
                <w:sz w:val="15"/>
                <w:szCs w:val="15"/>
                <w:color w:val="auto"/>
              </w:rPr>
              <w:t>231,739</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43,924</w:t>
            </w:r>
          </w:p>
        </w:tc>
        <w:tc>
          <w:tcPr>
            <w:tcW w:w="260" w:type="dxa"/>
            <w:vAlign w:val="bottom"/>
            <w:shd w:val="clear" w:color="auto" w:fill="C0FFFF"/>
          </w:tcPr>
          <w:p>
            <w:pPr>
              <w:jc w:val="right"/>
              <w:ind w:right="15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275,663</w:t>
            </w:r>
          </w:p>
        </w:tc>
      </w:tr>
      <w:tr>
        <w:trPr>
          <w:trHeight w:val="182"/>
        </w:trPr>
        <w:tc>
          <w:tcPr>
            <w:tcW w:w="2480" w:type="dxa"/>
            <w:vAlign w:val="bottom"/>
          </w:tcPr>
          <w:p>
            <w:pPr>
              <w:spacing w:after="0"/>
              <w:rPr>
                <w:sz w:val="20"/>
                <w:szCs w:val="20"/>
                <w:color w:val="auto"/>
              </w:rPr>
            </w:pPr>
            <w:r>
              <w:rPr>
                <w:rFonts w:ascii="Arial" w:cs="Arial" w:eastAsia="Arial" w:hAnsi="Arial"/>
                <w:sz w:val="15"/>
                <w:szCs w:val="15"/>
                <w:color w:val="auto"/>
                <w:w w:val="97"/>
              </w:rPr>
              <w:t>Franchising and commercial revenues</w:t>
            </w:r>
          </w:p>
        </w:tc>
        <w:tc>
          <w:tcPr>
            <w:tcW w:w="200" w:type="dxa"/>
            <w:vAlign w:val="bottom"/>
          </w:tcPr>
          <w:p>
            <w:pPr>
              <w:spacing w:after="0"/>
              <w:rPr>
                <w:sz w:val="15"/>
                <w:szCs w:val="15"/>
                <w:color w:val="auto"/>
              </w:rPr>
            </w:pPr>
          </w:p>
        </w:tc>
        <w:tc>
          <w:tcPr>
            <w:tcW w:w="1320" w:type="dxa"/>
            <w:vAlign w:val="bottom"/>
            <w:gridSpan w:val="2"/>
          </w:tcPr>
          <w:p>
            <w:pPr>
              <w:jc w:val="right"/>
              <w:ind w:right="164"/>
              <w:spacing w:after="0"/>
              <w:rPr>
                <w:sz w:val="20"/>
                <w:szCs w:val="20"/>
                <w:color w:val="auto"/>
              </w:rPr>
            </w:pPr>
            <w:r>
              <w:rPr>
                <w:rFonts w:ascii="Arial" w:cs="Arial" w:eastAsia="Arial" w:hAnsi="Arial"/>
                <w:sz w:val="15"/>
                <w:szCs w:val="15"/>
                <w:color w:val="auto"/>
              </w:rPr>
              <w:t>(5,314)</w:t>
            </w:r>
          </w:p>
        </w:tc>
        <w:tc>
          <w:tcPr>
            <w:tcW w:w="8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(5,314)</w:t>
            </w:r>
          </w:p>
        </w:tc>
        <w:tc>
          <w:tcPr>
            <w:tcW w:w="200" w:type="dxa"/>
            <w:vAlign w:val="bottom"/>
          </w:tcPr>
          <w:p>
            <w:pPr>
              <w:spacing w:after="0"/>
              <w:rPr>
                <w:sz w:val="15"/>
                <w:szCs w:val="15"/>
                <w:color w:val="auto"/>
              </w:rPr>
            </w:pPr>
          </w:p>
        </w:tc>
        <w:tc>
          <w:tcPr>
            <w:tcW w:w="1300" w:type="dxa"/>
            <w:vAlign w:val="bottom"/>
            <w:gridSpan w:val="2"/>
          </w:tcPr>
          <w:p>
            <w:pPr>
              <w:jc w:val="right"/>
              <w:ind w:right="164"/>
              <w:spacing w:after="0"/>
              <w:rPr>
                <w:sz w:val="20"/>
                <w:szCs w:val="20"/>
                <w:color w:val="auto"/>
              </w:rPr>
            </w:pPr>
            <w:r>
              <w:rPr>
                <w:rFonts w:ascii="Arial" w:cs="Arial" w:eastAsia="Arial" w:hAnsi="Arial"/>
                <w:sz w:val="15"/>
                <w:szCs w:val="15"/>
                <w:color w:val="auto"/>
              </w:rPr>
              <w:t>(11,700)</w:t>
            </w:r>
          </w:p>
        </w:tc>
        <w:tc>
          <w:tcPr>
            <w:tcW w:w="10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(11,700)</w:t>
            </w:r>
          </w:p>
        </w:tc>
      </w:tr>
      <w:tr>
        <w:trPr>
          <w:trHeight w:val="182"/>
        </w:trPr>
        <w:tc>
          <w:tcPr>
            <w:tcW w:w="2480" w:type="dxa"/>
            <w:vAlign w:val="bottom"/>
            <w:shd w:val="clear" w:color="auto" w:fill="C0FFFF"/>
          </w:tcPr>
          <w:p>
            <w:pPr>
              <w:spacing w:after="0"/>
              <w:rPr>
                <w:sz w:val="20"/>
                <w:szCs w:val="20"/>
                <w:color w:val="auto"/>
              </w:rPr>
            </w:pPr>
            <w:r>
              <w:rPr>
                <w:rFonts w:ascii="Arial" w:cs="Arial" w:eastAsia="Arial" w:hAnsi="Arial"/>
                <w:sz w:val="15"/>
                <w:szCs w:val="15"/>
                <w:color w:val="auto"/>
                <w:w w:val="97"/>
              </w:rPr>
              <w:t>Revenues from non-store activities (4)</w:t>
            </w:r>
          </w:p>
        </w:tc>
        <w:tc>
          <w:tcPr>
            <w:tcW w:w="200" w:type="dxa"/>
            <w:vAlign w:val="bottom"/>
            <w:shd w:val="clear" w:color="auto" w:fill="C0FFFF"/>
          </w:tcPr>
          <w:p>
            <w:pPr>
              <w:spacing w:after="0"/>
              <w:rPr>
                <w:sz w:val="15"/>
                <w:szCs w:val="15"/>
                <w:color w:val="auto"/>
              </w:rPr>
            </w:pPr>
          </w:p>
        </w:tc>
        <w:tc>
          <w:tcPr>
            <w:tcW w:w="1320" w:type="dxa"/>
            <w:vAlign w:val="bottom"/>
            <w:gridSpan w:val="2"/>
            <w:shd w:val="clear" w:color="auto" w:fill="C0FFFF"/>
          </w:tcPr>
          <w:p>
            <w:pPr>
              <w:jc w:val="right"/>
              <w:ind w:right="164"/>
              <w:spacing w:after="0"/>
              <w:rPr>
                <w:sz w:val="20"/>
                <w:szCs w:val="20"/>
                <w:color w:val="auto"/>
              </w:rPr>
            </w:pPr>
            <w:r>
              <w:rPr>
                <w:rFonts w:ascii="Arial" w:cs="Arial" w:eastAsia="Arial" w:hAnsi="Arial"/>
                <w:sz w:val="15"/>
                <w:szCs w:val="15"/>
                <w:color w:val="auto"/>
              </w:rPr>
              <w:t>(12,322)</w:t>
            </w:r>
          </w:p>
        </w:tc>
        <w:tc>
          <w:tcPr>
            <w:tcW w:w="80" w:type="dxa"/>
            <w:vAlign w:val="bottom"/>
            <w:shd w:val="clear" w:color="auto" w:fill="C0FFFF"/>
          </w:tcPr>
          <w:p>
            <w:pPr>
              <w:spacing w:after="0"/>
              <w:rPr>
                <w:sz w:val="15"/>
                <w:szCs w:val="15"/>
                <w:color w:val="auto"/>
              </w:rPr>
            </w:pPr>
          </w:p>
        </w:tc>
        <w:tc>
          <w:tcPr>
            <w:tcW w:w="142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(1,568)</w:t>
            </w:r>
          </w:p>
        </w:tc>
        <w:tc>
          <w:tcPr>
            <w:tcW w:w="260" w:type="dxa"/>
            <w:vAlign w:val="bottom"/>
            <w:shd w:val="clear" w:color="auto" w:fill="C0FFFF"/>
          </w:tcPr>
          <w:p>
            <w:pPr>
              <w:spacing w:after="0"/>
              <w:rPr>
                <w:sz w:val="15"/>
                <w:szCs w:val="15"/>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(13,890)</w:t>
            </w:r>
          </w:p>
        </w:tc>
        <w:tc>
          <w:tcPr>
            <w:tcW w:w="200" w:type="dxa"/>
            <w:vAlign w:val="bottom"/>
            <w:shd w:val="clear" w:color="auto" w:fill="C0FFFF"/>
          </w:tcPr>
          <w:p>
            <w:pPr>
              <w:spacing w:after="0"/>
              <w:rPr>
                <w:sz w:val="15"/>
                <w:szCs w:val="15"/>
                <w:color w:val="auto"/>
              </w:rPr>
            </w:pPr>
          </w:p>
        </w:tc>
        <w:tc>
          <w:tcPr>
            <w:tcW w:w="1300" w:type="dxa"/>
            <w:vAlign w:val="bottom"/>
            <w:gridSpan w:val="2"/>
            <w:shd w:val="clear" w:color="auto" w:fill="C0FFFF"/>
          </w:tcPr>
          <w:p>
            <w:pPr>
              <w:jc w:val="right"/>
              <w:ind w:right="164"/>
              <w:spacing w:after="0"/>
              <w:rPr>
                <w:sz w:val="20"/>
                <w:szCs w:val="20"/>
                <w:color w:val="auto"/>
              </w:rPr>
            </w:pPr>
            <w:r>
              <w:rPr>
                <w:rFonts w:ascii="Arial" w:cs="Arial" w:eastAsia="Arial" w:hAnsi="Arial"/>
                <w:sz w:val="15"/>
                <w:szCs w:val="15"/>
                <w:color w:val="auto"/>
              </w:rPr>
              <w:t>(7,926)</w:t>
            </w:r>
          </w:p>
        </w:tc>
        <w:tc>
          <w:tcPr>
            <w:tcW w:w="100" w:type="dxa"/>
            <w:vAlign w:val="bottom"/>
            <w:shd w:val="clear" w:color="auto" w:fill="C0FFFF"/>
          </w:tcPr>
          <w:p>
            <w:pPr>
              <w:spacing w:after="0"/>
              <w:rPr>
                <w:sz w:val="15"/>
                <w:szCs w:val="15"/>
                <w:color w:val="auto"/>
              </w:rPr>
            </w:pPr>
          </w:p>
        </w:tc>
        <w:tc>
          <w:tcPr>
            <w:tcW w:w="14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(1,273)</w:t>
            </w:r>
          </w:p>
        </w:tc>
        <w:tc>
          <w:tcPr>
            <w:tcW w:w="2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(9,199)</w:t>
            </w:r>
          </w:p>
        </w:tc>
      </w:tr>
      <w:tr>
        <w:trPr>
          <w:trHeight w:val="23"/>
        </w:trPr>
        <w:tc>
          <w:tcPr>
            <w:tcW w:w="248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0FFFF"/>
          </w:tcPr>
          <w:p>
            <w:pPr>
              <w:spacing w:after="0" w:line="20" w:lineRule="exact"/>
              <w:rPr>
                <w:sz w:val="1"/>
                <w:szCs w:val="1"/>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5"/>
                <w:szCs w:val="15"/>
                <w:color w:val="auto"/>
              </w:rPr>
              <w:t>Store location net retail sales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4"/>
              <w:spacing w:after="0"/>
              <w:rPr>
                <w:sz w:val="20"/>
                <w:szCs w:val="20"/>
                <w:color w:val="auto"/>
              </w:rPr>
            </w:pPr>
            <w:r>
              <w:rPr>
                <w:rFonts w:ascii="Arial" w:cs="Arial" w:eastAsia="Arial" w:hAnsi="Arial"/>
                <w:sz w:val="15"/>
                <w:szCs w:val="15"/>
                <w:color w:val="auto"/>
              </w:rPr>
              <w:t>210,091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45,948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5"/>
                <w:szCs w:val="15"/>
                <w:color w:val="auto"/>
              </w:rPr>
              <w:t>256,039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4"/>
              <w:spacing w:after="0"/>
              <w:rPr>
                <w:sz w:val="20"/>
                <w:szCs w:val="20"/>
                <w:color w:val="auto"/>
              </w:rPr>
            </w:pPr>
            <w:r>
              <w:rPr>
                <w:rFonts w:ascii="Arial" w:cs="Arial" w:eastAsia="Arial" w:hAnsi="Arial"/>
                <w:sz w:val="15"/>
                <w:szCs w:val="15"/>
                <w:color w:val="auto"/>
              </w:rPr>
              <w:t>212,113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42,651</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254,764</w:t>
            </w:r>
          </w:p>
        </w:tc>
      </w:tr>
      <w:tr>
        <w:trPr>
          <w:trHeight w:val="20"/>
        </w:trPr>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6"/>
        </w:trPr>
        <w:tc>
          <w:tcPr>
            <w:tcW w:w="2480" w:type="dxa"/>
            <w:vAlign w:val="bottom"/>
            <w:shd w:val="clear" w:color="auto" w:fill="C0FFFF"/>
          </w:tcPr>
          <w:p>
            <w:pPr>
              <w:spacing w:after="0" w:line="156" w:lineRule="exact"/>
              <w:rPr>
                <w:sz w:val="20"/>
                <w:szCs w:val="20"/>
                <w:color w:val="auto"/>
              </w:rPr>
            </w:pPr>
            <w:r>
              <w:rPr>
                <w:rFonts w:ascii="Arial" w:cs="Arial" w:eastAsia="Arial" w:hAnsi="Arial"/>
                <w:sz w:val="15"/>
                <w:szCs w:val="15"/>
                <w:color w:val="auto"/>
                <w:w w:val="99"/>
              </w:rPr>
              <w:t>Store contribution as a percentage of</w:t>
            </w:r>
          </w:p>
        </w:tc>
        <w:tc>
          <w:tcPr>
            <w:tcW w:w="20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80" w:type="dxa"/>
            <w:vAlign w:val="bottom"/>
            <w:shd w:val="clear" w:color="auto" w:fill="C0FFFF"/>
          </w:tcPr>
          <w:p>
            <w:pPr>
              <w:spacing w:after="0"/>
              <w:rPr>
                <w:sz w:val="13"/>
                <w:szCs w:val="13"/>
                <w:color w:val="auto"/>
              </w:rPr>
            </w:pPr>
          </w:p>
        </w:tc>
        <w:tc>
          <w:tcPr>
            <w:tcW w:w="112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260" w:type="dxa"/>
            <w:vAlign w:val="bottom"/>
            <w:shd w:val="clear" w:color="auto" w:fill="C0FFFF"/>
          </w:tcPr>
          <w:p>
            <w:pPr>
              <w:spacing w:after="0"/>
              <w:rPr>
                <w:sz w:val="13"/>
                <w:szCs w:val="13"/>
                <w:color w:val="auto"/>
              </w:rPr>
            </w:pPr>
          </w:p>
        </w:tc>
        <w:tc>
          <w:tcPr>
            <w:tcW w:w="96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200" w:type="dxa"/>
            <w:vAlign w:val="bottom"/>
            <w:shd w:val="clear" w:color="auto" w:fill="C0FFFF"/>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100" w:type="dxa"/>
            <w:vAlign w:val="bottom"/>
            <w:shd w:val="clear" w:color="auto" w:fill="C0FFFF"/>
          </w:tcPr>
          <w:p>
            <w:pPr>
              <w:spacing w:after="0"/>
              <w:rPr>
                <w:sz w:val="13"/>
                <w:szCs w:val="13"/>
                <w:color w:val="auto"/>
              </w:rPr>
            </w:pPr>
          </w:p>
        </w:tc>
        <w:tc>
          <w:tcPr>
            <w:tcW w:w="112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260" w:type="dxa"/>
            <w:vAlign w:val="bottom"/>
            <w:shd w:val="clear" w:color="auto" w:fill="C0FFFF"/>
          </w:tcPr>
          <w:p>
            <w:pPr>
              <w:spacing w:after="0"/>
              <w:rPr>
                <w:sz w:val="13"/>
                <w:szCs w:val="13"/>
                <w:color w:val="auto"/>
              </w:rPr>
            </w:pPr>
          </w:p>
        </w:tc>
        <w:tc>
          <w:tcPr>
            <w:tcW w:w="960" w:type="dxa"/>
            <w:vAlign w:val="bottom"/>
            <w:shd w:val="clear" w:color="auto" w:fill="C0FFFF"/>
          </w:tcPr>
          <w:p>
            <w:pPr>
              <w:spacing w:after="0"/>
              <w:rPr>
                <w:sz w:val="13"/>
                <w:szCs w:val="13"/>
                <w:color w:val="auto"/>
              </w:rPr>
            </w:pPr>
          </w:p>
        </w:tc>
        <w:tc>
          <w:tcPr>
            <w:tcW w:w="180" w:type="dxa"/>
            <w:vAlign w:val="bottom"/>
            <w:shd w:val="clear" w:color="auto" w:fill="C0FFFF"/>
          </w:tcPr>
          <w:p>
            <w:pPr>
              <w:spacing w:after="0"/>
              <w:rPr>
                <w:sz w:val="13"/>
                <w:szCs w:val="13"/>
                <w:color w:val="auto"/>
              </w:rPr>
            </w:pPr>
          </w:p>
        </w:tc>
      </w:tr>
      <w:tr>
        <w:trPr>
          <w:trHeight w:val="231"/>
        </w:trPr>
        <w:tc>
          <w:tcPr>
            <w:tcW w:w="2480" w:type="dxa"/>
            <w:vAlign w:val="bottom"/>
            <w:shd w:val="clear" w:color="auto" w:fill="C0FFFF"/>
          </w:tcPr>
          <w:p>
            <w:pPr>
              <w:ind w:left="120"/>
              <w:spacing w:after="0"/>
              <w:rPr>
                <w:sz w:val="20"/>
                <w:szCs w:val="20"/>
                <w:color w:val="auto"/>
              </w:rPr>
            </w:pPr>
            <w:r>
              <w:rPr>
                <w:rFonts w:ascii="Arial" w:cs="Arial" w:eastAsia="Arial" w:hAnsi="Arial"/>
                <w:sz w:val="15"/>
                <w:szCs w:val="15"/>
                <w:color w:val="auto"/>
              </w:rPr>
              <w:t>store location net retail sales</w:t>
            </w:r>
          </w:p>
        </w:tc>
        <w:tc>
          <w:tcPr>
            <w:tcW w:w="200" w:type="dxa"/>
            <w:vAlign w:val="bottom"/>
            <w:shd w:val="clear" w:color="auto" w:fill="C0FFFF"/>
          </w:tcPr>
          <w:p>
            <w:pPr>
              <w:spacing w:after="0"/>
              <w:rPr>
                <w:sz w:val="20"/>
                <w:szCs w:val="20"/>
                <w:color w:val="auto"/>
              </w:rPr>
            </w:pPr>
          </w:p>
        </w:tc>
        <w:tc>
          <w:tcPr>
            <w:tcW w:w="1320" w:type="dxa"/>
            <w:vAlign w:val="bottom"/>
            <w:gridSpan w:val="2"/>
            <w:shd w:val="clear" w:color="auto" w:fill="C0FFFF"/>
          </w:tcPr>
          <w:p>
            <w:pPr>
              <w:jc w:val="right"/>
              <w:ind w:right="104"/>
              <w:spacing w:after="0"/>
              <w:rPr>
                <w:sz w:val="20"/>
                <w:szCs w:val="20"/>
                <w:color w:val="auto"/>
              </w:rPr>
            </w:pPr>
            <w:r>
              <w:rPr>
                <w:rFonts w:ascii="Arial" w:cs="Arial" w:eastAsia="Arial" w:hAnsi="Arial"/>
                <w:sz w:val="15"/>
                <w:szCs w:val="15"/>
                <w:color w:val="auto"/>
              </w:rPr>
              <w:t>12.1%</w:t>
            </w:r>
          </w:p>
        </w:tc>
        <w:tc>
          <w:tcPr>
            <w:tcW w:w="80" w:type="dxa"/>
            <w:vAlign w:val="bottom"/>
            <w:shd w:val="clear" w:color="auto" w:fill="C0FFFF"/>
          </w:tcPr>
          <w:p>
            <w:pPr>
              <w:spacing w:after="0"/>
              <w:rPr>
                <w:sz w:val="20"/>
                <w:szCs w:val="20"/>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7.3%</w:t>
            </w:r>
          </w:p>
        </w:tc>
        <w:tc>
          <w:tcPr>
            <w:tcW w:w="260" w:type="dxa"/>
            <w:vAlign w:val="bottom"/>
            <w:shd w:val="clear" w:color="auto" w:fill="C0FFFF"/>
          </w:tcPr>
          <w:p>
            <w:pPr>
              <w:spacing w:after="0"/>
              <w:rPr>
                <w:sz w:val="20"/>
                <w:szCs w:val="20"/>
                <w:color w:val="auto"/>
              </w:rPr>
            </w:pPr>
          </w:p>
        </w:tc>
        <w:tc>
          <w:tcPr>
            <w:tcW w:w="126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11.3%</w:t>
            </w:r>
          </w:p>
        </w:tc>
        <w:tc>
          <w:tcPr>
            <w:tcW w:w="20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84"/>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0FFFF"/>
          </w:tcPr>
          <w:p>
            <w:pPr>
              <w:spacing w:after="0"/>
              <w:rPr>
                <w:sz w:val="20"/>
                <w:szCs w:val="20"/>
                <w:color w:val="auto"/>
              </w:rPr>
            </w:pPr>
          </w:p>
        </w:tc>
        <w:tc>
          <w:tcPr>
            <w:tcW w:w="14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6.8%</w:t>
            </w:r>
          </w:p>
        </w:tc>
        <w:tc>
          <w:tcPr>
            <w:tcW w:w="260" w:type="dxa"/>
            <w:vAlign w:val="bottom"/>
            <w:shd w:val="clear" w:color="auto" w:fill="C0FFFF"/>
          </w:tcPr>
          <w:p>
            <w:pPr>
              <w:spacing w:after="0"/>
              <w:rPr>
                <w:sz w:val="20"/>
                <w:szCs w:val="20"/>
                <w:color w:val="auto"/>
              </w:rPr>
            </w:pPr>
          </w:p>
        </w:tc>
        <w:tc>
          <w:tcPr>
            <w:tcW w:w="114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11.7%</w:t>
            </w:r>
          </w:p>
        </w:tc>
      </w:tr>
      <w:tr>
        <w:trPr>
          <w:trHeight w:val="157"/>
        </w:trPr>
        <w:tc>
          <w:tcPr>
            <w:tcW w:w="2480" w:type="dxa"/>
            <w:vAlign w:val="bottom"/>
            <w:tcBorders>
              <w:top w:val="single" w:sz="8" w:color="C0FFFF"/>
            </w:tcBorders>
          </w:tcPr>
          <w:p>
            <w:pPr>
              <w:spacing w:after="0" w:line="157" w:lineRule="exact"/>
              <w:rPr>
                <w:sz w:val="20"/>
                <w:szCs w:val="20"/>
                <w:color w:val="auto"/>
              </w:rPr>
            </w:pPr>
            <w:r>
              <w:rPr>
                <w:rFonts w:ascii="Arial" w:cs="Arial" w:eastAsia="Arial" w:hAnsi="Arial"/>
                <w:sz w:val="15"/>
                <w:szCs w:val="15"/>
                <w:color w:val="auto"/>
                <w:w w:val="98"/>
              </w:rPr>
              <w:t>Total net loss as a percentage of total</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Borders>
              <w:top w:val="single" w:sz="8" w:color="C0FF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00" w:type="dxa"/>
            <w:vAlign w:val="bottom"/>
            <w:tcBorders>
              <w:top w:val="single" w:sz="8" w:color="C0FF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C0FF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Borders>
              <w:top w:val="single" w:sz="8" w:color="C0FF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00" w:type="dxa"/>
            <w:vAlign w:val="bottom"/>
            <w:tcBorders>
              <w:top w:val="single" w:sz="8" w:color="C0FF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C0FFFF"/>
            </w:tcBorders>
          </w:tcPr>
          <w:p>
            <w:pPr>
              <w:spacing w:after="0"/>
              <w:rPr>
                <w:sz w:val="13"/>
                <w:szCs w:val="13"/>
                <w:color w:val="auto"/>
              </w:rPr>
            </w:pPr>
          </w:p>
        </w:tc>
      </w:tr>
      <w:tr>
        <w:trPr>
          <w:trHeight w:val="191"/>
        </w:trPr>
        <w:tc>
          <w:tcPr>
            <w:tcW w:w="2480" w:type="dxa"/>
            <w:vAlign w:val="bottom"/>
          </w:tcPr>
          <w:p>
            <w:pPr>
              <w:ind w:left="120"/>
              <w:spacing w:after="0"/>
              <w:rPr>
                <w:sz w:val="20"/>
                <w:szCs w:val="20"/>
                <w:color w:val="auto"/>
              </w:rPr>
            </w:pPr>
            <w:r>
              <w:rPr>
                <w:rFonts w:ascii="Arial" w:cs="Arial" w:eastAsia="Arial" w:hAnsi="Arial"/>
                <w:sz w:val="15"/>
                <w:szCs w:val="15"/>
                <w:color w:val="auto"/>
              </w:rPr>
              <w:t>revenues</w:t>
            </w:r>
          </w:p>
        </w:tc>
        <w:tc>
          <w:tcPr>
            <w:tcW w:w="200" w:type="dxa"/>
            <w:vAlign w:val="bottom"/>
          </w:tcPr>
          <w:p>
            <w:pPr>
              <w:spacing w:after="0"/>
              <w:rPr>
                <w:sz w:val="16"/>
                <w:szCs w:val="16"/>
                <w:color w:val="auto"/>
              </w:rPr>
            </w:pPr>
          </w:p>
        </w:tc>
        <w:tc>
          <w:tcPr>
            <w:tcW w:w="1320" w:type="dxa"/>
            <w:vAlign w:val="bottom"/>
            <w:gridSpan w:val="2"/>
          </w:tcPr>
          <w:p>
            <w:pPr>
              <w:jc w:val="right"/>
              <w:ind w:right="44"/>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5"/>
                <w:szCs w:val="15"/>
                <w:color w:val="auto"/>
              </w:rPr>
              <w:t>(0.3)%</w:t>
            </w:r>
          </w:p>
        </w:tc>
        <w:tc>
          <w:tcPr>
            <w:tcW w:w="2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(2.9)%</w:t>
            </w:r>
          </w:p>
        </w:tc>
        <w:tc>
          <w:tcPr>
            <w:tcW w:w="200" w:type="dxa"/>
            <w:vAlign w:val="bottom"/>
          </w:tcPr>
          <w:p>
            <w:pPr>
              <w:spacing w:after="0"/>
              <w:rPr>
                <w:sz w:val="16"/>
                <w:szCs w:val="16"/>
                <w:color w:val="auto"/>
              </w:rPr>
            </w:pPr>
          </w:p>
        </w:tc>
        <w:tc>
          <w:tcPr>
            <w:tcW w:w="1300" w:type="dxa"/>
            <w:vAlign w:val="bottom"/>
            <w:gridSpan w:val="2"/>
          </w:tcPr>
          <w:p>
            <w:pPr>
              <w:jc w:val="right"/>
              <w:ind w:right="44"/>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5"/>
                <w:szCs w:val="15"/>
                <w:color w:val="auto"/>
              </w:rPr>
              <w:t>(4.0)%</w:t>
            </w:r>
          </w:p>
        </w:tc>
        <w:tc>
          <w:tcPr>
            <w:tcW w:w="2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20"/>
        </w:trPr>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21971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97100" cy="6985"/>
                    </a:xfrm>
                    <a:prstGeom prst="rect">
                      <a:avLst/>
                    </a:prstGeom>
                    <a:noFill/>
                  </pic:spPr>
                </pic:pic>
              </a:graphicData>
            </a:graphic>
          </wp:anchor>
        </w:drawing>
      </w:r>
    </w:p>
    <w:p>
      <w:pPr>
        <w:spacing w:after="0" w:line="389" w:lineRule="exact"/>
        <w:rPr>
          <w:sz w:val="20"/>
          <w:szCs w:val="20"/>
          <w:color w:val="auto"/>
        </w:rPr>
      </w:pPr>
    </w:p>
    <w:p>
      <w:pPr>
        <w:ind w:left="409" w:right="200" w:hanging="409"/>
        <w:spacing w:after="0" w:line="258" w:lineRule="auto"/>
        <w:tabs>
          <w:tab w:leader="none" w:pos="4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Store depreciation, amortization and impairment includes depreciation and amortization of all capitalized assets in store locations, including leasehold improvements, furniture and fixtures, and computer hardware and software and store asset impairment charges, included in cost of merchandise sold.</w:t>
      </w:r>
    </w:p>
    <w:p>
      <w:pPr>
        <w:spacing w:after="0" w:line="1" w:lineRule="exact"/>
        <w:rPr>
          <w:rFonts w:ascii="Arial" w:cs="Arial" w:eastAsia="Arial" w:hAnsi="Arial"/>
          <w:sz w:val="15"/>
          <w:szCs w:val="15"/>
          <w:color w:val="auto"/>
        </w:rPr>
      </w:pPr>
    </w:p>
    <w:p>
      <w:pPr>
        <w:ind w:left="409" w:right="80" w:hanging="409"/>
        <w:spacing w:after="0" w:line="270" w:lineRule="auto"/>
        <w:tabs>
          <w:tab w:leader="none" w:pos="409"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General and administrative expenses consist of non-store, central office general and administrative functions such as management payroll and related benefits, travel, information systems, accounting, purchasing and legal costs as well as the depreciation and amortization of central office leasehold improvements, furniture and fixtures, computer hardware and software, and intellectual property. General and administrative expenses also include a central office marketing department, primarily payroll and related benefits expense, but exclude advertising expenses, such as direct mail catalogs and television advertising, which are included in store contribution.</w:t>
      </w:r>
    </w:p>
    <w:p>
      <w:pPr>
        <w:spacing w:after="0" w:line="1" w:lineRule="exact"/>
        <w:rPr>
          <w:rFonts w:ascii="Arial" w:cs="Arial" w:eastAsia="Arial" w:hAnsi="Arial"/>
          <w:sz w:val="14"/>
          <w:szCs w:val="14"/>
          <w:color w:val="auto"/>
        </w:rPr>
      </w:pPr>
    </w:p>
    <w:p>
      <w:pPr>
        <w:ind w:left="409" w:right="100" w:hanging="409"/>
        <w:spacing w:after="0" w:line="270" w:lineRule="auto"/>
        <w:tabs>
          <w:tab w:leader="none" w:pos="409" w:val="left"/>
        </w:tabs>
        <w:numPr>
          <w:ilvl w:val="0"/>
          <w:numId w:val="10"/>
        </w:numPr>
        <w:rPr>
          <w:rFonts w:ascii="Arial" w:cs="Arial" w:eastAsia="Arial" w:hAnsi="Arial"/>
          <w:sz w:val="14"/>
          <w:szCs w:val="14"/>
          <w:color w:val="auto"/>
        </w:rPr>
      </w:pPr>
      <w:r>
        <w:rPr>
          <w:rFonts w:ascii="Arial" w:cs="Arial" w:eastAsia="Arial" w:hAnsi="Arial"/>
          <w:sz w:val="14"/>
          <w:szCs w:val="14"/>
          <w:color w:val="auto"/>
        </w:rPr>
        <w:t>Franchising and commercial contribution includes franchising and commercial revenues and all expenses attributable to the international franchising and commercial segments other than depreciation, amortization and interest expense/income. Depreciation and amortization related to franchising and commercial activities is included in the general and administrative expense caption. Interest expense/income related to commercial and franchising activities is included in the interest expense (income) caption.</w:t>
      </w:r>
    </w:p>
    <w:p>
      <w:pPr>
        <w:spacing w:after="0" w:line="1" w:lineRule="exact"/>
        <w:rPr>
          <w:rFonts w:ascii="Arial" w:cs="Arial" w:eastAsia="Arial" w:hAnsi="Arial"/>
          <w:sz w:val="14"/>
          <w:szCs w:val="14"/>
          <w:color w:val="auto"/>
        </w:rPr>
      </w:pPr>
    </w:p>
    <w:p>
      <w:pPr>
        <w:ind w:left="409" w:hanging="409"/>
        <w:spacing w:after="0"/>
        <w:tabs>
          <w:tab w:leader="none" w:pos="4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Non-store activities include our webstores, pop-ups and seasonal and event-based locations, as well as intercompany transfer pricing charges.</w:t>
      </w:r>
    </w:p>
    <w:p>
      <w:pPr>
        <w:spacing w:after="0" w:line="22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Seasonality and Quarterly Results</w:t>
      </w:r>
    </w:p>
    <w:p>
      <w:pPr>
        <w:spacing w:after="0" w:line="240" w:lineRule="exact"/>
        <w:rPr>
          <w:sz w:val="20"/>
          <w:szCs w:val="20"/>
          <w:color w:val="auto"/>
        </w:rPr>
      </w:pPr>
    </w:p>
    <w:p>
      <w:pPr>
        <w:ind w:left="409"/>
        <w:spacing w:after="0"/>
        <w:rPr>
          <w:sz w:val="20"/>
          <w:szCs w:val="20"/>
          <w:color w:val="auto"/>
        </w:rPr>
      </w:pPr>
      <w:r>
        <w:rPr>
          <w:rFonts w:ascii="Arial" w:cs="Arial" w:eastAsia="Arial" w:hAnsi="Arial"/>
          <w:sz w:val="14"/>
          <w:szCs w:val="14"/>
          <w:color w:val="auto"/>
        </w:rPr>
        <w:t>Our operating results for one period may not be indicative of results for other periods, and may fluctuate significantly because of a variety of factors, including, but not limited to:</w:t>
      </w:r>
    </w:p>
    <w:p>
      <w:pPr>
        <w:spacing w:after="0" w:line="30" w:lineRule="exact"/>
        <w:rPr>
          <w:sz w:val="20"/>
          <w:szCs w:val="20"/>
          <w:color w:val="auto"/>
        </w:rPr>
      </w:pPr>
    </w:p>
    <w:p>
      <w:pPr>
        <w:ind w:left="209" w:hanging="209"/>
        <w:spacing w:after="0"/>
        <w:tabs>
          <w:tab w:leader="none" w:pos="209"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general economic conditions and consumer spending patterns; (2) increases or decreases in our comparable store sales; (3) fluctuations in the profitability of our stores;</w:t>
      </w:r>
    </w:p>
    <w:p>
      <w:pPr>
        <w:spacing w:after="0" w:line="20" w:lineRule="exact"/>
        <w:rPr>
          <w:rFonts w:ascii="Arial" w:cs="Arial" w:eastAsia="Arial" w:hAnsi="Arial"/>
          <w:sz w:val="14"/>
          <w:szCs w:val="14"/>
          <w:color w:val="auto"/>
        </w:rPr>
      </w:pPr>
    </w:p>
    <w:p>
      <w:pPr>
        <w:ind w:left="9" w:right="220" w:hanging="9"/>
        <w:spacing w:after="0" w:line="258" w:lineRule="auto"/>
        <w:tabs>
          <w:tab w:leader="none" w:pos="223"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206" w:lineRule="exact"/>
        <w:rPr>
          <w:sz w:val="20"/>
          <w:szCs w:val="20"/>
          <w:color w:val="auto"/>
        </w:rPr>
      </w:pPr>
    </w:p>
    <w:p>
      <w:pPr>
        <w:ind w:left="9" w:right="40" w:firstLine="408"/>
        <w:spacing w:after="0" w:line="265" w:lineRule="auto"/>
        <w:rPr>
          <w:sz w:val="20"/>
          <w:szCs w:val="20"/>
          <w:color w:val="auto"/>
        </w:rPr>
      </w:pPr>
      <w:r>
        <w:rPr>
          <w:rFonts w:ascii="Arial" w:cs="Arial" w:eastAsia="Arial" w:hAnsi="Arial"/>
          <w:sz w:val="15"/>
          <w:szCs w:val="15"/>
          <w:color w:val="auto"/>
        </w:rPr>
        <w:t>The timing of new store openings may result in fluctuations in quarterly results as a result of the revenues and expenses associated with each new store location. We typically incur most preopening costs for a new store in the three months immediately preceding the store’s opening. We expect our growth, operating results and profitability to depend in some degree on our ability to increase our number of stores.</w:t>
      </w:r>
    </w:p>
    <w:p>
      <w:pPr>
        <w:spacing w:after="0" w:line="32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458" w:right="219" w:bottom="1440" w:gutter="0" w:footer="0" w:header="0"/>
        </w:sectPr>
      </w:pPr>
    </w:p>
    <w:bookmarkStart w:id="18" w:name="page19"/>
    <w:bookmarkEnd w:id="18"/>
    <w:p>
      <w:pPr>
        <w:ind w:right="260" w:firstLine="408"/>
        <w:spacing w:after="0" w:line="265" w:lineRule="auto"/>
        <w:rPr>
          <w:sz w:val="20"/>
          <w:szCs w:val="20"/>
          <w:color w:val="auto"/>
        </w:rPr>
      </w:pPr>
      <w:r>
        <w:rPr>
          <w:rFonts w:ascii="Arial" w:cs="Arial" w:eastAsia="Arial" w:hAnsi="Arial"/>
          <w:sz w:val="15"/>
          <w:szCs w:val="15"/>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2008 fiscal fourth quarter had 14 weeks.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40" w:lineRule="exact"/>
        <w:rPr>
          <w:sz w:val="20"/>
          <w:szCs w:val="20"/>
          <w:color w:val="auto"/>
        </w:rPr>
      </w:pPr>
    </w:p>
    <w:p>
      <w:pPr>
        <w:ind w:right="220" w:firstLine="408"/>
        <w:spacing w:after="0" w:line="265" w:lineRule="auto"/>
        <w:rPr>
          <w:sz w:val="20"/>
          <w:szCs w:val="20"/>
          <w:color w:val="auto"/>
        </w:rPr>
      </w:pPr>
      <w:r>
        <w:rPr>
          <w:rFonts w:ascii="Arial" w:cs="Arial" w:eastAsia="Arial" w:hAnsi="Arial"/>
          <w:sz w:val="15"/>
          <w:szCs w:val="15"/>
          <w:color w:val="auto"/>
        </w:rPr>
        <w:t>Our cash requirements are primarily for the opening of new stores, information systems, including Web site enhancements and maintenance and working capital. Historically, we have been able to meet these requirements through cash flow provided by operations. In our history, we have also generated capital from the sale and issuance of our securities to private investors and through our initial public offering, and our revolving line of credit.</w:t>
      </w:r>
    </w:p>
    <w:p>
      <w:pPr>
        <w:spacing w:after="0" w:line="200" w:lineRule="exact"/>
        <w:rPr>
          <w:sz w:val="20"/>
          <w:szCs w:val="20"/>
          <w:color w:val="auto"/>
        </w:rPr>
      </w:pPr>
    </w:p>
    <w:p>
      <w:pPr>
        <w:jc w:val="both"/>
        <w:ind w:right="160" w:firstLine="408"/>
        <w:spacing w:after="0" w:line="265"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Cash used in operating activities was $13.2 million for the thirty-nine weeks ended October 1, 2011 as compared with $17.3 million for the thirty-nine weeks</w:t>
      </w:r>
      <w:r>
        <w:rPr>
          <w:rFonts w:ascii="Arial" w:cs="Arial" w:eastAsia="Arial" w:hAnsi="Arial"/>
          <w:sz w:val="15"/>
          <w:szCs w:val="15"/>
          <w:i w:val="1"/>
          <w:iCs w:val="1"/>
          <w:color w:val="auto"/>
        </w:rPr>
        <w:t xml:space="preserve"> </w:t>
      </w:r>
      <w:r>
        <w:rPr>
          <w:rFonts w:ascii="Arial" w:cs="Arial" w:eastAsia="Arial" w:hAnsi="Arial"/>
          <w:sz w:val="15"/>
          <w:szCs w:val="15"/>
          <w:color w:val="auto"/>
        </w:rPr>
        <w:t>ended October 2, 2010, or a decrease of $4.1 million. Generally, changes in cash from operating activities are driven by changes in net income or loss and changes in operating assets and liabilities. The decrease for the thirty-nine weeks ended October 2, 2010 reflects the following factors:</w:t>
      </w:r>
    </w:p>
    <w:p>
      <w:pPr>
        <w:spacing w:after="0" w:line="200" w:lineRule="exact"/>
        <w:rPr>
          <w:sz w:val="20"/>
          <w:szCs w:val="20"/>
          <w:color w:val="auto"/>
        </w:rPr>
      </w:pPr>
    </w:p>
    <w:p>
      <w:pPr>
        <w:jc w:val="both"/>
        <w:ind w:left="600" w:hanging="121"/>
        <w:spacing w:after="0" w:line="256" w:lineRule="auto"/>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smaller increase in inventories for the first thirty-nine weeks of 2011 as compared to the same period last year, due primarily to increases in 2010 related to incremental proprietary and non-proprietary inventory purchases, initial inventory for pop-up locations opening in the 2010 fourth quarter and higher levels of inventory due to extension of lead times by vendors; and</w:t>
      </w:r>
    </w:p>
    <w:p>
      <w:pPr>
        <w:spacing w:after="0" w:line="1" w:lineRule="exact"/>
        <w:rPr>
          <w:rFonts w:ascii="Arial" w:cs="Arial" w:eastAsia="Arial" w:hAnsi="Arial"/>
          <w:sz w:val="15"/>
          <w:szCs w:val="15"/>
          <w:color w:val="auto"/>
        </w:rPr>
      </w:pPr>
    </w:p>
    <w:p>
      <w:pPr>
        <w:ind w:left="600" w:hanging="121"/>
        <w:spacing w:after="0" w:line="265" w:lineRule="auto"/>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decrease in receivables in the first thirty-nine weeks of 2011 as compared to an increase in the same period last year, attributable to decreased licensing activities in 2011 and a receivable in 2010 related to the single wholesale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These decreases were partially offset by:</w:t>
      </w:r>
    </w:p>
    <w:p>
      <w:pPr>
        <w:spacing w:after="0" w:line="236" w:lineRule="exact"/>
        <w:rPr>
          <w:sz w:val="20"/>
          <w:szCs w:val="20"/>
          <w:color w:val="auto"/>
        </w:rPr>
      </w:pPr>
    </w:p>
    <w:p>
      <w:pPr>
        <w:ind w:left="600" w:hanging="121"/>
        <w:spacing w:after="0" w:line="258"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larger increase in prepaid expenses and other assets for the first thirty-nine weeks of 2011 as compared to the same period last year, as the 2010 income tax refund had not been received as of October 1, 2011; the 2009 refund was received in the first half of 2010; and</w:t>
      </w:r>
    </w:p>
    <w:p>
      <w:pPr>
        <w:spacing w:after="0" w:line="1" w:lineRule="exact"/>
        <w:rPr>
          <w:rFonts w:ascii="Arial" w:cs="Arial" w:eastAsia="Arial" w:hAnsi="Arial"/>
          <w:sz w:val="15"/>
          <w:szCs w:val="15"/>
          <w:color w:val="auto"/>
        </w:rPr>
      </w:pPr>
    </w:p>
    <w:p>
      <w:pPr>
        <w:ind w:left="600" w:right="20" w:hanging="121"/>
        <w:spacing w:after="0" w:line="265"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larger increase in accounts payable and accrued expenses for the first thirty-nine weeks of 2011 as compared to the same period last year, due in part to timing of inventory receipts and payments.</w:t>
      </w:r>
    </w:p>
    <w:p>
      <w:pPr>
        <w:spacing w:after="0" w:line="200" w:lineRule="exact"/>
        <w:rPr>
          <w:sz w:val="20"/>
          <w:szCs w:val="20"/>
          <w:color w:val="auto"/>
        </w:rPr>
      </w:pPr>
    </w:p>
    <w:p>
      <w:pPr>
        <w:ind w:right="40" w:firstLine="408"/>
        <w:spacing w:after="0" w:line="258"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Cash used in investing activities was $10.9 million for the thirty-nine weeks ended October 1, 2011 as compared to $10.2 million for the thirty-nine weeks ended</w:t>
      </w:r>
      <w:r>
        <w:rPr>
          <w:rFonts w:ascii="Arial" w:cs="Arial" w:eastAsia="Arial" w:hAnsi="Arial"/>
          <w:sz w:val="15"/>
          <w:szCs w:val="15"/>
          <w:i w:val="1"/>
          <w:iCs w:val="1"/>
          <w:color w:val="auto"/>
        </w:rPr>
        <w:t xml:space="preserve"> </w:t>
      </w:r>
      <w:r>
        <w:rPr>
          <w:rFonts w:ascii="Arial" w:cs="Arial" w:eastAsia="Arial" w:hAnsi="Arial"/>
          <w:sz w:val="15"/>
          <w:szCs w:val="15"/>
          <w:color w:val="auto"/>
        </w:rPr>
        <w:t>October 2, 2010, an increase of $0.7 million. Cash used in investing activities during the thirty-nine weeks ended October 1, 2011 primarily related to investments in central office information technology systems and new store construction costs as well as the purchase of short term investments, net of maturities. Cash used in investing activities during the thirty-nine weeks ended October 2, 2010 primarily related to investments in central office information technology systems, new store construction costs and the acquisition of trademarks and other intellectual property.</w:t>
      </w:r>
    </w:p>
    <w:p>
      <w:pPr>
        <w:spacing w:after="0" w:line="207" w:lineRule="exact"/>
        <w:rPr>
          <w:sz w:val="20"/>
          <w:szCs w:val="20"/>
          <w:color w:val="auto"/>
        </w:rPr>
      </w:pPr>
    </w:p>
    <w:p>
      <w:pPr>
        <w:ind w:right="80" w:firstLine="408"/>
        <w:spacing w:after="0" w:line="265"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Cash used in financing activities was $9.8 million and $7.2 million in the thirty-nine weeks ended October 1, 2011 and October 2, 2010, respectively, which</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consisted primarily of cash used for repurchases of the Company’s common stock. No borrowings were made under our line of credit in either the thirty-nine weeks ended October 1, 2011 or October 2, 2010.</w:t>
      </w:r>
    </w:p>
    <w:p>
      <w:pPr>
        <w:spacing w:after="0" w:line="200" w:lineRule="exact"/>
        <w:rPr>
          <w:sz w:val="20"/>
          <w:szCs w:val="20"/>
          <w:color w:val="auto"/>
        </w:rPr>
      </w:pPr>
    </w:p>
    <w:p>
      <w:pPr>
        <w:ind w:right="40" w:firstLine="408"/>
        <w:spacing w:after="0" w:line="275" w:lineRule="auto"/>
        <w:rPr>
          <w:sz w:val="20"/>
          <w:szCs w:val="20"/>
          <w:color w:val="auto"/>
        </w:rPr>
      </w:pPr>
      <w:r>
        <w:rPr>
          <w:rFonts w:ascii="Arial" w:cs="Arial" w:eastAsia="Arial" w:hAnsi="Arial"/>
          <w:sz w:val="14"/>
          <w:szCs w:val="14"/>
          <w:i w:val="1"/>
          <w:iCs w:val="1"/>
          <w:color w:val="auto"/>
        </w:rPr>
        <w:t xml:space="preserve">Capital Resources. </w:t>
      </w:r>
      <w:r>
        <w:rPr>
          <w:rFonts w:ascii="Arial" w:cs="Arial" w:eastAsia="Arial" w:hAnsi="Arial"/>
          <w:sz w:val="14"/>
          <w:szCs w:val="14"/>
          <w:color w:val="auto"/>
        </w:rPr>
        <w:t>As of October 1, 2011, we had a consolidated cash balance of $25.1 million, over 50% of which was held outside of the United States. We also have a line of</w:t>
      </w:r>
      <w:r>
        <w:rPr>
          <w:rFonts w:ascii="Arial" w:cs="Arial" w:eastAsia="Arial" w:hAnsi="Arial"/>
          <w:sz w:val="14"/>
          <w:szCs w:val="14"/>
          <w:i w:val="1"/>
          <w:iCs w:val="1"/>
          <w:color w:val="auto"/>
        </w:rPr>
        <w:t xml:space="preserve"> </w:t>
      </w:r>
      <w:r>
        <w:rPr>
          <w:rFonts w:ascii="Arial" w:cs="Arial" w:eastAsia="Arial" w:hAnsi="Arial"/>
          <w:sz w:val="14"/>
          <w:szCs w:val="14"/>
          <w:color w:val="auto"/>
        </w:rPr>
        <w:t>credit, which we can use to finance capital expenditures and working capital needs throughout the year. The credit agreement is with U.S. Bank, National Association and was amended effective December 31, 2010. The bank line continues to provide availability of $40 million for the first half of the fiscal year and a seasonal overline of $50 million. The seasonal overline is in effect from July 1 to December 31 each year. Borrowings under the credit agreement are secured by our assets and a pledge of 65% of our ownership interest in our foreign subsidiaries. The credit agreement expires on December 31, 2012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October 1, 2011: (i) we were in compliance with these covenants; (ii) there were no borrowings under our line of credit; (iii) there was a standby letter of credit of approximately $1.1 million outstanding under the credit agreement; and (iv) there was approximately $48.9 million available for borrowing under the line of credit.</w:t>
      </w:r>
    </w:p>
    <w:p>
      <w:pPr>
        <w:spacing w:after="0" w:line="152" w:lineRule="exact"/>
        <w:rPr>
          <w:sz w:val="20"/>
          <w:szCs w:val="20"/>
          <w:color w:val="auto"/>
        </w:rPr>
      </w:pPr>
    </w:p>
    <w:p>
      <w:pPr>
        <w:ind w:right="20" w:firstLine="408"/>
        <w:spacing w:after="0" w:line="258" w:lineRule="auto"/>
        <w:rPr>
          <w:sz w:val="20"/>
          <w:szCs w:val="20"/>
          <w:color w:val="auto"/>
        </w:rPr>
      </w:pPr>
      <w:r>
        <w:rPr>
          <w:rFonts w:ascii="Arial" w:cs="Arial" w:eastAsia="Arial" w:hAnsi="Arial"/>
          <w:sz w:val="15"/>
          <w:szCs w:val="15"/>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07" w:lineRule="exact"/>
        <w:rPr>
          <w:sz w:val="20"/>
          <w:szCs w:val="20"/>
          <w:color w:val="auto"/>
        </w:rPr>
      </w:pPr>
    </w:p>
    <w:p>
      <w:pPr>
        <w:ind w:right="80" w:firstLine="408"/>
        <w:spacing w:after="0" w:line="261" w:lineRule="auto"/>
        <w:rPr>
          <w:sz w:val="20"/>
          <w:szCs w:val="20"/>
          <w:color w:val="auto"/>
        </w:rPr>
      </w:pPr>
      <w:r>
        <w:rPr>
          <w:rFonts w:ascii="Arial" w:cs="Arial" w:eastAsia="Arial" w:hAnsi="Arial"/>
          <w:sz w:val="15"/>
          <w:szCs w:val="15"/>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58" w:right="219" w:bottom="1440" w:gutter="0" w:footer="0" w:header="0"/>
        </w:sectPr>
      </w:pPr>
    </w:p>
    <w:bookmarkStart w:id="19" w:name="page20"/>
    <w:bookmarkEnd w:id="19"/>
    <w:p>
      <w:pPr>
        <w:ind w:right="200" w:firstLine="408"/>
        <w:spacing w:after="0" w:line="265" w:lineRule="auto"/>
        <w:rPr>
          <w:sz w:val="20"/>
          <w:szCs w:val="20"/>
          <w:color w:val="auto"/>
        </w:rPr>
      </w:pPr>
      <w:r>
        <w:rPr>
          <w:rFonts w:ascii="Arial" w:cs="Arial" w:eastAsia="Arial" w:hAnsi="Arial"/>
          <w:sz w:val="15"/>
          <w:szCs w:val="15"/>
          <w:color w:val="auto"/>
        </w:rPr>
        <w:t>In fiscal 2011, we expect to spend a total of approximately $12 million on capital expenditures. Capital spending through the thirty-nine weeks ended October 1, 2011 totaled $9.9 million, on track with our full year plans. Capital spending in fiscal 2011 is primarily for the opening of six new stores, the relocation of four stores and the continued installation and upgrades of central office information technology systems including web enhancements.</w:t>
      </w:r>
    </w:p>
    <w:p>
      <w:pPr>
        <w:spacing w:after="0" w:line="155" w:lineRule="exact"/>
        <w:rPr>
          <w:sz w:val="20"/>
          <w:szCs w:val="20"/>
          <w:color w:val="auto"/>
        </w:rPr>
      </w:pPr>
    </w:p>
    <w:p>
      <w:pPr>
        <w:ind w:right="140" w:firstLine="408"/>
        <w:spacing w:after="0" w:line="277" w:lineRule="auto"/>
        <w:rPr>
          <w:sz w:val="20"/>
          <w:szCs w:val="20"/>
          <w:color w:val="auto"/>
        </w:rPr>
      </w:pPr>
      <w:r>
        <w:rPr>
          <w:rFonts w:ascii="Arial" w:cs="Arial" w:eastAsia="Arial" w:hAnsi="Arial"/>
          <w:sz w:val="15"/>
          <w:szCs w:val="15"/>
          <w:color w:val="auto"/>
        </w:rPr>
        <w:t>We believe that cash generated from operations and available borrowings under our credit agreement will be sufficient to fund our working capital and other cash flow requirements for the near future. Our credit agreement expires on December 31, 2012.</w:t>
      </w:r>
    </w:p>
    <w:p>
      <w:pPr>
        <w:spacing w:after="0" w:line="192" w:lineRule="exact"/>
        <w:rPr>
          <w:sz w:val="20"/>
          <w:szCs w:val="20"/>
          <w:color w:val="auto"/>
        </w:rPr>
      </w:pPr>
    </w:p>
    <w:p>
      <w:pPr>
        <w:ind w:right="140" w:firstLine="408"/>
        <w:spacing w:after="0" w:line="256" w:lineRule="auto"/>
        <w:rPr>
          <w:sz w:val="20"/>
          <w:szCs w:val="20"/>
          <w:color w:val="auto"/>
        </w:rPr>
      </w:pPr>
      <w:r>
        <w:rPr>
          <w:rFonts w:ascii="Arial" w:cs="Arial" w:eastAsia="Arial" w:hAnsi="Arial"/>
          <w:sz w:val="15"/>
          <w:szCs w:val="15"/>
          <w:color w:val="auto"/>
        </w:rPr>
        <w:t>On February 20, 2007, we announced that our board of directors had authorized a $25 million share repurchase program of our outstanding common stock. On March 10, 2008, we announced an expansion of our share repurchase program to $50 million. On March 2, 2011, we announced that our share repurchase program had been extended to March 31, 2012.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will be subsequently retired. As of November 7, 2011, approximately 5.4 million shares at an average price of $7.49 per share have been repurchased under this program for an aggregate amount of $40.2 million, leaving $9.8 million of availability under the program.</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240" w:lineRule="exact"/>
        <w:rPr>
          <w:sz w:val="20"/>
          <w:szCs w:val="20"/>
          <w:color w:val="auto"/>
        </w:rPr>
      </w:pPr>
    </w:p>
    <w:p>
      <w:pPr>
        <w:ind w:right="80" w:firstLine="408"/>
        <w:spacing w:after="0" w:line="275" w:lineRule="auto"/>
        <w:rPr>
          <w:sz w:val="20"/>
          <w:szCs w:val="20"/>
          <w:color w:val="auto"/>
        </w:rPr>
      </w:pPr>
      <w:r>
        <w:rPr>
          <w:rFonts w:ascii="Arial" w:cs="Arial" w:eastAsia="Arial" w:hAnsi="Arial"/>
          <w:sz w:val="14"/>
          <w:szCs w:val="14"/>
          <w:color w:val="auto"/>
        </w:rPr>
        <w:t>We hold a minority interest in Ridemakerz, which is accounted for under the equity method. We purchased a call option from a group of other Ridemakerz investors for $150,000 for 1.25 million Ridemakerz common units at an exercise price of $1.25 per unit. The call option was immediately exercisable and expires April 30, 2012. Simultaneously, we granted a put option to the same group of investors for 1.25 million common units at an exercise price of $0.50 per unit. The put option was exercisable on April 30, 2008 and expires on April 30,</w:t>
      </w:r>
    </w:p>
    <w:p>
      <w:pPr>
        <w:ind w:right="300"/>
        <w:spacing w:after="0" w:line="265" w:lineRule="auto"/>
        <w:rPr>
          <w:sz w:val="20"/>
          <w:szCs w:val="20"/>
          <w:color w:val="auto"/>
        </w:rPr>
      </w:pPr>
      <w:r>
        <w:rPr>
          <w:rFonts w:ascii="Arial" w:cs="Arial" w:eastAsia="Arial" w:hAnsi="Arial"/>
          <w:sz w:val="15"/>
          <w:szCs w:val="15"/>
          <w:color w:val="auto"/>
        </w:rPr>
        <w:t>2012. As of October 1, 2011, the book value of our investment in Ridemakerz was zero. We still retain an ownership interest of approximately 15%. Under the current agreements, we could own up to approximately 24% of fully diluted equity in Ridemakerz.</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240" w:lineRule="exact"/>
        <w:rPr>
          <w:sz w:val="20"/>
          <w:szCs w:val="20"/>
          <w:color w:val="auto"/>
        </w:rPr>
      </w:pPr>
    </w:p>
    <w:p>
      <w:pPr>
        <w:ind w:firstLine="408"/>
        <w:spacing w:after="0" w:line="265" w:lineRule="auto"/>
        <w:rPr>
          <w:sz w:val="20"/>
          <w:szCs w:val="20"/>
          <w:color w:val="auto"/>
        </w:rPr>
      </w:pPr>
      <w:r>
        <w:rPr>
          <w:rFonts w:ascii="Arial" w:cs="Arial" w:eastAsia="Arial" w:hAnsi="Arial"/>
          <w:sz w:val="15"/>
          <w:szCs w:val="15"/>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55" w:lineRule="exact"/>
        <w:rPr>
          <w:sz w:val="20"/>
          <w:szCs w:val="20"/>
          <w:color w:val="auto"/>
        </w:rPr>
      </w:pPr>
    </w:p>
    <w:p>
      <w:pPr>
        <w:ind w:right="100" w:firstLine="408"/>
        <w:spacing w:after="0" w:line="324" w:lineRule="auto"/>
        <w:rPr>
          <w:sz w:val="20"/>
          <w:szCs w:val="20"/>
          <w:color w:val="auto"/>
        </w:rPr>
      </w:pPr>
      <w:r>
        <w:rPr>
          <w:rFonts w:ascii="Arial" w:cs="Arial" w:eastAsia="Arial" w:hAnsi="Arial"/>
          <w:sz w:val="13"/>
          <w:szCs w:val="13"/>
          <w:color w:val="auto"/>
        </w:rPr>
        <w:t>We believe the application of accounting policies, and the estimates inherently required therein, are reasonable. These accounting policies and estimates, including those related to inventory, long-lived assets, goodwill and revenue recognition,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6" w:lineRule="exact"/>
        <w:rPr>
          <w:sz w:val="20"/>
          <w:szCs w:val="20"/>
          <w:color w:val="auto"/>
        </w:rPr>
      </w:pPr>
    </w:p>
    <w:p>
      <w:pPr>
        <w:jc w:val="both"/>
        <w:ind w:right="260" w:firstLine="408"/>
        <w:spacing w:after="0" w:line="265" w:lineRule="auto"/>
        <w:rPr>
          <w:sz w:val="20"/>
          <w:szCs w:val="20"/>
          <w:color w:val="auto"/>
        </w:rPr>
      </w:pPr>
      <w:r>
        <w:rPr>
          <w:rFonts w:ascii="Arial" w:cs="Arial" w:eastAsia="Arial" w:hAnsi="Arial"/>
          <w:sz w:val="15"/>
          <w:szCs w:val="15"/>
          <w:color w:val="auto"/>
        </w:rPr>
        <w:t>Our critical accounting policies and estimates are discussed in and should be read in conjunction with our annual report on Form 10-K, as filed with the SEC on March 17, 2011, which includes audited consolidated financial statements for our 2010, 2009 and 2008 fiscal years. There have been no material changes to the critical accounting policies and estimates disclosed in the 2010 Form 10-K.</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There are no new accounting pronouncements for which adoption is expected to have a material effect on the Company’s financial statements in future accounting periods.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40" w:lineRule="exact"/>
        <w:rPr>
          <w:sz w:val="20"/>
          <w:szCs w:val="20"/>
          <w:color w:val="auto"/>
        </w:rPr>
      </w:pPr>
    </w:p>
    <w:p>
      <w:pPr>
        <w:ind w:right="20" w:firstLine="408"/>
        <w:spacing w:after="0" w:line="279" w:lineRule="auto"/>
        <w:rPr>
          <w:sz w:val="20"/>
          <w:szCs w:val="20"/>
          <w:color w:val="auto"/>
        </w:rPr>
      </w:pPr>
      <w:r>
        <w:rPr>
          <w:rFonts w:ascii="Arial" w:cs="Arial" w:eastAsia="Arial" w:hAnsi="Arial"/>
          <w:sz w:val="14"/>
          <w:szCs w:val="14"/>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nine months of fiscal 2011.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58" w:right="219" w:bottom="1440" w:gutter="0" w:footer="0" w:header="0"/>
        </w:sectPr>
      </w:pPr>
    </w:p>
    <w:bookmarkStart w:id="20" w:name="page21"/>
    <w:bookmarkEnd w:id="20"/>
    <w:p>
      <w:pPr>
        <w:ind w:right="40" w:firstLine="408"/>
        <w:spacing w:after="0" w:line="261" w:lineRule="auto"/>
        <w:rPr>
          <w:sz w:val="20"/>
          <w:szCs w:val="20"/>
          <w:color w:val="auto"/>
        </w:rPr>
      </w:pPr>
      <w:r>
        <w:rPr>
          <w:rFonts w:ascii="Arial" w:cs="Arial" w:eastAsia="Arial" w:hAnsi="Arial"/>
          <w:sz w:val="15"/>
          <w:szCs w:val="15"/>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03" w:lineRule="exact"/>
        <w:rPr>
          <w:sz w:val="20"/>
          <w:szCs w:val="20"/>
          <w:color w:val="auto"/>
        </w:rPr>
      </w:pPr>
    </w:p>
    <w:p>
      <w:pPr>
        <w:ind w:right="20" w:firstLine="408"/>
        <w:spacing w:after="0" w:line="265" w:lineRule="auto"/>
        <w:rPr>
          <w:sz w:val="20"/>
          <w:szCs w:val="20"/>
          <w:color w:val="auto"/>
        </w:rPr>
      </w:pPr>
      <w:r>
        <w:rPr>
          <w:rFonts w:ascii="Arial" w:cs="Arial" w:eastAsia="Arial" w:hAnsi="Arial"/>
          <w:sz w:val="15"/>
          <w:szCs w:val="15"/>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do not engage in financial transactions for trading or speculative purposes.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95" w:lineRule="exact"/>
        <w:rPr>
          <w:sz w:val="20"/>
          <w:szCs w:val="20"/>
          <w:color w:val="auto"/>
        </w:rPr>
      </w:pPr>
    </w:p>
    <w:p>
      <w:pPr>
        <w:ind w:right="200" w:firstLine="408"/>
        <w:spacing w:after="0" w:line="281" w:lineRule="auto"/>
        <w:rPr>
          <w:sz w:val="20"/>
          <w:szCs w:val="20"/>
          <w:color w:val="auto"/>
        </w:rPr>
      </w:pPr>
      <w:r>
        <w:rPr>
          <w:rFonts w:ascii="Arial" w:cs="Arial" w:eastAsia="Arial" w:hAnsi="Arial"/>
          <w:sz w:val="14"/>
          <w:szCs w:val="14"/>
          <w:i w:val="1"/>
          <w:iCs w:val="1"/>
          <w:color w:val="auto"/>
        </w:rPr>
        <w:t xml:space="preserve">Disclosure Controls and Procedures. </w:t>
      </w:r>
      <w:r>
        <w:rPr>
          <w:rFonts w:ascii="Arial" w:cs="Arial" w:eastAsia="Arial" w:hAnsi="Arial"/>
          <w:sz w:val="14"/>
          <w:szCs w:val="14"/>
          <w:color w:val="auto"/>
        </w:rPr>
        <w:t>The Company’s management, with the participation of the Company’s Chief Executive Bear and Chief Operations and Financial Bear, has</w:t>
      </w:r>
      <w:r>
        <w:rPr>
          <w:rFonts w:ascii="Arial" w:cs="Arial" w:eastAsia="Arial" w:hAnsi="Arial"/>
          <w:sz w:val="14"/>
          <w:szCs w:val="14"/>
          <w:i w:val="1"/>
          <w:iCs w:val="1"/>
          <w:color w:val="auto"/>
        </w:rPr>
        <w:t xml:space="preserve"> </w:t>
      </w:r>
      <w:r>
        <w:rPr>
          <w:rFonts w:ascii="Arial" w:cs="Arial" w:eastAsia="Arial" w:hAnsi="Arial"/>
          <w:sz w:val="14"/>
          <w:szCs w:val="14"/>
          <w:color w:val="auto"/>
        </w:rPr>
        <w:t>evaluated the effectiveness of the Company’s disclosure controls and procedures (as such term is defined in Rules 13a-15(e) and 15d-15(e) under the Securities Exchange Act of 1934, as amended (the Exchange Act)), as of the end of the period covered by this report. Our disclosure controls are designed to provide reasonable assurance of achieving their objectives and based on the aforementioned evaluation, the Company’s management, including the Chief Executive Bear and Chief Operations and Financial Bear, have concluded that the Company’s disclosure controls and procedures were effective at the reasonable assurance level as of October 1, 2011, the end of the period covered by this quarterly report.</w:t>
      </w:r>
    </w:p>
    <w:p>
      <w:pPr>
        <w:spacing w:after="0" w:line="147" w:lineRule="exact"/>
        <w:rPr>
          <w:sz w:val="20"/>
          <w:szCs w:val="20"/>
          <w:color w:val="auto"/>
        </w:rPr>
      </w:pPr>
    </w:p>
    <w:p>
      <w:pPr>
        <w:ind w:firstLine="408"/>
        <w:spacing w:after="0" w:line="299" w:lineRule="auto"/>
        <w:rPr>
          <w:sz w:val="20"/>
          <w:szCs w:val="20"/>
          <w:color w:val="auto"/>
        </w:rPr>
      </w:pPr>
      <w:r>
        <w:rPr>
          <w:rFonts w:ascii="Arial" w:cs="Arial" w:eastAsia="Arial" w:hAnsi="Arial"/>
          <w:sz w:val="13"/>
          <w:szCs w:val="13"/>
          <w:color w:val="auto"/>
        </w:rPr>
        <w:t>It should be noted that our management, including the Chief Executive Bear and the Chief Operations and Financial Bear, does not expect that the Company’s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9" w:lineRule="exact"/>
        <w:rPr>
          <w:sz w:val="20"/>
          <w:szCs w:val="20"/>
          <w:color w:val="auto"/>
        </w:rPr>
      </w:pPr>
    </w:p>
    <w:p>
      <w:pPr>
        <w:ind w:right="200" w:firstLine="408"/>
        <w:spacing w:after="0" w:line="261" w:lineRule="auto"/>
        <w:rPr>
          <w:sz w:val="20"/>
          <w:szCs w:val="20"/>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The Company’s management, with the participation of the Company’s Chief Executive Bear and Chief Operations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 –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There have been no material changes to our Risk Factors as disclosed in our Annual Report on Form 10-K for the year ended January 1, 2011 as filed with the SEC on March 17,</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21" w:name="page22"/>
    <w:bookmarkEnd w:id="21"/>
    <w:tbl>
      <w:tblPr>
        <w:tblLayout w:type="fixed"/>
        <w:tblInd w:w="9" w:type="dxa"/>
        <w:tblCellMar>
          <w:top w:w="0" w:type="dxa"/>
          <w:left w:w="0" w:type="dxa"/>
          <w:bottom w:w="0" w:type="dxa"/>
          <w:right w:w="0" w:type="dxa"/>
        </w:tblCellMar>
      </w:tblPr>
      <w:tr>
        <w:trPr>
          <w:trHeight w:val="195"/>
        </w:trPr>
        <w:tc>
          <w:tcPr>
            <w:tcW w:w="6180" w:type="dxa"/>
            <w:vAlign w:val="bottom"/>
            <w:gridSpan w:val="3"/>
          </w:tcPr>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6"/>
        </w:trPr>
        <w:tc>
          <w:tcPr>
            <w:tcW w:w="404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Arial" w:cs="Arial" w:eastAsia="Arial" w:hAnsi="Arial"/>
                <w:sz w:val="15"/>
                <w:szCs w:val="15"/>
                <w:b w:val="1"/>
                <w:bCs w:val="1"/>
                <w:color w:val="auto"/>
              </w:rPr>
              <w:t>ISSUER PURCHASES OF EQUITY SECURITIES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8"/>
        </w:trPr>
        <w:tc>
          <w:tcPr>
            <w:tcW w:w="40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(d)</w:t>
            </w:r>
          </w:p>
        </w:tc>
      </w:tr>
      <w:tr>
        <w:trPr>
          <w:trHeight w:val="182"/>
        </w:trPr>
        <w:tc>
          <w:tcPr>
            <w:tcW w:w="4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7"/>
              </w:rPr>
              <w:t>(c)</w:t>
            </w:r>
          </w:p>
        </w:tc>
        <w:tc>
          <w:tcPr>
            <w:tcW w:w="12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5"/>
                <w:szCs w:val="15"/>
                <w:b w:val="1"/>
                <w:bCs w:val="1"/>
                <w:color w:val="auto"/>
              </w:rPr>
              <w:t>Maximum Number (or</w:t>
            </w:r>
          </w:p>
        </w:tc>
      </w:tr>
      <w:tr>
        <w:trPr>
          <w:trHeight w:val="182"/>
        </w:trPr>
        <w:tc>
          <w:tcPr>
            <w:tcW w:w="4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Total Number of</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Approximate Dollar</w:t>
            </w:r>
          </w:p>
        </w:tc>
      </w:tr>
      <w:tr>
        <w:trPr>
          <w:trHeight w:val="182"/>
        </w:trPr>
        <w:tc>
          <w:tcPr>
            <w:tcW w:w="4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7"/>
              </w:rPr>
              <w:t>(a)</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Shares (or Units)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Value) of Shares (or</w:t>
            </w:r>
          </w:p>
        </w:tc>
      </w:tr>
      <w:tr>
        <w:trPr>
          <w:trHeight w:val="182"/>
        </w:trPr>
        <w:tc>
          <w:tcPr>
            <w:tcW w:w="4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3"/>
              </w:rPr>
              <w:t>Total Number of</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Purchased as Part</w:t>
            </w: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2"/>
              </w:rPr>
              <w:t>Units) the May Yet Be</w:t>
            </w:r>
          </w:p>
        </w:tc>
      </w:tr>
      <w:tr>
        <w:trPr>
          <w:trHeight w:val="182"/>
        </w:trPr>
        <w:tc>
          <w:tcPr>
            <w:tcW w:w="4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0"/>
              </w:rPr>
              <w:t>Shares (or Units)</w:t>
            </w:r>
          </w:p>
        </w:tc>
        <w:tc>
          <w:tcPr>
            <w:tcW w:w="240" w:type="dxa"/>
            <w:vAlign w:val="bottom"/>
          </w:tcPr>
          <w:p>
            <w:pPr>
              <w:spacing w:after="0"/>
              <w:rPr>
                <w:sz w:val="15"/>
                <w:szCs w:val="15"/>
                <w:color w:val="auto"/>
              </w:rPr>
            </w:pPr>
          </w:p>
        </w:tc>
        <w:tc>
          <w:tcPr>
            <w:tcW w:w="1700" w:type="dxa"/>
            <w:vAlign w:val="bottom"/>
            <w:gridSpan w:val="4"/>
          </w:tcPr>
          <w:p>
            <w:pPr>
              <w:spacing w:after="0"/>
              <w:rPr>
                <w:sz w:val="20"/>
                <w:szCs w:val="20"/>
                <w:color w:val="auto"/>
              </w:rPr>
            </w:pPr>
            <w:r>
              <w:rPr>
                <w:rFonts w:ascii="Arial" w:cs="Arial" w:eastAsia="Arial" w:hAnsi="Arial"/>
                <w:sz w:val="15"/>
                <w:szCs w:val="15"/>
                <w:b w:val="1"/>
                <w:bCs w:val="1"/>
                <w:color w:val="auto"/>
              </w:rPr>
              <w:t>(b) Average Price Paid</w:t>
            </w: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of Publicly Announced</w:t>
            </w:r>
          </w:p>
        </w:tc>
        <w:tc>
          <w:tcPr>
            <w:tcW w:w="120" w:type="dxa"/>
            <w:vAlign w:val="bottom"/>
          </w:tcPr>
          <w:p>
            <w:pPr>
              <w:spacing w:after="0"/>
              <w:rPr>
                <w:sz w:val="15"/>
                <w:szCs w:val="15"/>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Purchased Under the</w:t>
            </w:r>
          </w:p>
        </w:tc>
      </w:tr>
      <w:tr>
        <w:trPr>
          <w:trHeight w:val="199"/>
        </w:trPr>
        <w:tc>
          <w:tcPr>
            <w:tcW w:w="404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6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Purchased (1)</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w w:val="95"/>
              </w:rPr>
              <w:t>Per Share (or Unit)</w:t>
            </w:r>
          </w:p>
        </w:tc>
        <w:tc>
          <w:tcPr>
            <w:tcW w:w="2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Plans or Programs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2"/>
              </w:rPr>
              <w:t>Plan or Program</w:t>
            </w:r>
          </w:p>
        </w:tc>
        <w:tc>
          <w:tcPr>
            <w:tcW w:w="120" w:type="dxa"/>
            <w:vAlign w:val="bottom"/>
          </w:tcPr>
          <w:p>
            <w:pPr>
              <w:spacing w:after="0"/>
              <w:rPr>
                <w:sz w:val="17"/>
                <w:szCs w:val="17"/>
                <w:color w:val="auto"/>
              </w:rPr>
            </w:pPr>
          </w:p>
        </w:tc>
      </w:tr>
      <w:tr>
        <w:trPr>
          <w:trHeight w:val="182"/>
        </w:trPr>
        <w:tc>
          <w:tcPr>
            <w:tcW w:w="4040" w:type="dxa"/>
            <w:vAlign w:val="bottom"/>
            <w:shd w:val="clear" w:color="auto" w:fill="C0FFFF"/>
          </w:tcPr>
          <w:p>
            <w:pPr>
              <w:ind w:left="120"/>
              <w:spacing w:after="0"/>
              <w:rPr>
                <w:sz w:val="20"/>
                <w:szCs w:val="20"/>
                <w:color w:val="auto"/>
              </w:rPr>
            </w:pPr>
            <w:r>
              <w:rPr>
                <w:rFonts w:ascii="Arial" w:cs="Arial" w:eastAsia="Arial" w:hAnsi="Arial"/>
                <w:sz w:val="15"/>
                <w:szCs w:val="15"/>
                <w:b w:val="1"/>
                <w:bCs w:val="1"/>
                <w:color w:val="auto"/>
              </w:rPr>
              <w:t>Jul. 3, 2011 – Jul. 30, 2011</w:t>
            </w:r>
          </w:p>
        </w:tc>
        <w:tc>
          <w:tcPr>
            <w:tcW w:w="2140" w:type="dxa"/>
            <w:vAlign w:val="bottom"/>
            <w:gridSpan w:val="2"/>
            <w:shd w:val="clear" w:color="auto" w:fill="C0FFFF"/>
          </w:tcPr>
          <w:p>
            <w:pPr>
              <w:jc w:val="right"/>
              <w:spacing w:after="0"/>
              <w:rPr>
                <w:sz w:val="20"/>
                <w:szCs w:val="20"/>
                <w:color w:val="auto"/>
              </w:rPr>
            </w:pPr>
            <w:r>
              <w:rPr>
                <w:rFonts w:ascii="Arial" w:cs="Arial" w:eastAsia="Arial" w:hAnsi="Arial"/>
                <w:sz w:val="15"/>
                <w:szCs w:val="15"/>
                <w:color w:val="auto"/>
              </w:rPr>
              <w:t>89</w:t>
            </w:r>
          </w:p>
        </w:tc>
        <w:tc>
          <w:tcPr>
            <w:tcW w:w="320" w:type="dxa"/>
            <w:vAlign w:val="bottom"/>
            <w:gridSpan w:val="2"/>
            <w:shd w:val="clear" w:color="auto" w:fill="C0FFFF"/>
          </w:tcPr>
          <w:p>
            <w:pPr>
              <w:ind w:left="240"/>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0FFFF"/>
          </w:tcPr>
          <w:p>
            <w:pPr>
              <w:jc w:val="right"/>
              <w:ind w:right="220"/>
              <w:spacing w:after="0"/>
              <w:rPr>
                <w:sz w:val="20"/>
                <w:szCs w:val="20"/>
                <w:color w:val="auto"/>
              </w:rPr>
            </w:pPr>
            <w:r>
              <w:rPr>
                <w:rFonts w:ascii="Arial" w:cs="Arial" w:eastAsia="Arial" w:hAnsi="Arial"/>
                <w:sz w:val="15"/>
                <w:szCs w:val="15"/>
                <w:color w:val="auto"/>
              </w:rPr>
              <w:t>6.12</w:t>
            </w:r>
          </w:p>
        </w:tc>
        <w:tc>
          <w:tcPr>
            <w:tcW w:w="16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0FFFF"/>
          </w:tcPr>
          <w:p>
            <w:pPr>
              <w:ind w:left="12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18,641,289</w:t>
            </w:r>
          </w:p>
        </w:tc>
        <w:tc>
          <w:tcPr>
            <w:tcW w:w="120" w:type="dxa"/>
            <w:vAlign w:val="bottom"/>
            <w:shd w:val="clear" w:color="auto" w:fill="C0FFFF"/>
          </w:tcPr>
          <w:p>
            <w:pPr>
              <w:spacing w:after="0"/>
              <w:rPr>
                <w:sz w:val="15"/>
                <w:szCs w:val="15"/>
                <w:color w:val="auto"/>
              </w:rPr>
            </w:pPr>
          </w:p>
        </w:tc>
      </w:tr>
      <w:tr>
        <w:trPr>
          <w:trHeight w:val="182"/>
        </w:trPr>
        <w:tc>
          <w:tcPr>
            <w:tcW w:w="4040" w:type="dxa"/>
            <w:vAlign w:val="bottom"/>
          </w:tcPr>
          <w:p>
            <w:pPr>
              <w:ind w:left="120"/>
              <w:spacing w:after="0"/>
              <w:rPr>
                <w:sz w:val="20"/>
                <w:szCs w:val="20"/>
                <w:color w:val="auto"/>
              </w:rPr>
            </w:pPr>
            <w:r>
              <w:rPr>
                <w:rFonts w:ascii="Arial" w:cs="Arial" w:eastAsia="Arial" w:hAnsi="Arial"/>
                <w:sz w:val="15"/>
                <w:szCs w:val="15"/>
                <w:b w:val="1"/>
                <w:bCs w:val="1"/>
                <w:color w:val="auto"/>
              </w:rPr>
              <w:t>Jul 31, 2011 – Aug. 27, 2011</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253,827</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620" w:type="dxa"/>
            <w:vAlign w:val="bottom"/>
            <w:gridSpan w:val="3"/>
          </w:tcPr>
          <w:p>
            <w:pPr>
              <w:jc w:val="right"/>
              <w:ind w:right="220"/>
              <w:spacing w:after="0"/>
              <w:rPr>
                <w:sz w:val="20"/>
                <w:szCs w:val="20"/>
                <w:color w:val="auto"/>
              </w:rPr>
            </w:pPr>
            <w:r>
              <w:rPr>
                <w:rFonts w:ascii="Arial" w:cs="Arial" w:eastAsia="Arial" w:hAnsi="Arial"/>
                <w:sz w:val="15"/>
                <w:szCs w:val="15"/>
                <w:color w:val="auto"/>
              </w:rPr>
              <w:t>5.40</w:t>
            </w:r>
          </w:p>
        </w:tc>
        <w:tc>
          <w:tcPr>
            <w:tcW w:w="1600" w:type="dxa"/>
            <w:vAlign w:val="bottom"/>
            <w:gridSpan w:val="2"/>
          </w:tcPr>
          <w:p>
            <w:pPr>
              <w:jc w:val="right"/>
              <w:ind w:right="100"/>
              <w:spacing w:after="0"/>
              <w:rPr>
                <w:sz w:val="20"/>
                <w:szCs w:val="20"/>
                <w:color w:val="auto"/>
              </w:rPr>
            </w:pPr>
            <w:r>
              <w:rPr>
                <w:rFonts w:ascii="Arial" w:cs="Arial" w:eastAsia="Arial" w:hAnsi="Arial"/>
                <w:sz w:val="15"/>
                <w:szCs w:val="15"/>
                <w:color w:val="auto"/>
              </w:rPr>
              <w:t>253,710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17,271,008</w:t>
            </w:r>
          </w:p>
        </w:tc>
        <w:tc>
          <w:tcPr>
            <w:tcW w:w="120" w:type="dxa"/>
            <w:vAlign w:val="bottom"/>
          </w:tcPr>
          <w:p>
            <w:pPr>
              <w:spacing w:after="0"/>
              <w:rPr>
                <w:sz w:val="15"/>
                <w:szCs w:val="15"/>
                <w:color w:val="auto"/>
              </w:rPr>
            </w:pPr>
          </w:p>
        </w:tc>
      </w:tr>
      <w:tr>
        <w:trPr>
          <w:trHeight w:val="182"/>
        </w:trPr>
        <w:tc>
          <w:tcPr>
            <w:tcW w:w="4040" w:type="dxa"/>
            <w:vAlign w:val="bottom"/>
            <w:shd w:val="clear" w:color="auto" w:fill="C0FFFF"/>
          </w:tcPr>
          <w:p>
            <w:pPr>
              <w:ind w:left="120"/>
              <w:spacing w:after="0"/>
              <w:rPr>
                <w:sz w:val="20"/>
                <w:szCs w:val="20"/>
                <w:color w:val="auto"/>
              </w:rPr>
            </w:pPr>
            <w:r>
              <w:rPr>
                <w:rFonts w:ascii="Arial" w:cs="Arial" w:eastAsia="Arial" w:hAnsi="Arial"/>
                <w:sz w:val="15"/>
                <w:szCs w:val="15"/>
                <w:b w:val="1"/>
                <w:bCs w:val="1"/>
                <w:color w:val="auto"/>
              </w:rPr>
              <w:t>Aug. 28, 2011 – Oct. 1, 2011</w:t>
            </w:r>
          </w:p>
        </w:tc>
        <w:tc>
          <w:tcPr>
            <w:tcW w:w="660" w:type="dxa"/>
            <w:vAlign w:val="bottom"/>
            <w:shd w:val="clear" w:color="auto" w:fill="C0FFFF"/>
          </w:tcPr>
          <w:p>
            <w:pPr>
              <w:spacing w:after="0"/>
              <w:rPr>
                <w:sz w:val="15"/>
                <w:szCs w:val="15"/>
                <w:color w:val="auto"/>
              </w:rPr>
            </w:pPr>
          </w:p>
        </w:tc>
        <w:tc>
          <w:tcPr>
            <w:tcW w:w="14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680,519</w:t>
            </w:r>
          </w:p>
        </w:tc>
        <w:tc>
          <w:tcPr>
            <w:tcW w:w="320" w:type="dxa"/>
            <w:vAlign w:val="bottom"/>
            <w:gridSpan w:val="2"/>
            <w:shd w:val="clear" w:color="auto" w:fill="C0FFFF"/>
          </w:tcPr>
          <w:p>
            <w:pPr>
              <w:ind w:left="240"/>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0FFFF"/>
          </w:tcPr>
          <w:p>
            <w:pPr>
              <w:jc w:val="right"/>
              <w:ind w:right="220"/>
              <w:spacing w:after="0"/>
              <w:rPr>
                <w:sz w:val="20"/>
                <w:szCs w:val="20"/>
                <w:color w:val="auto"/>
              </w:rPr>
            </w:pPr>
            <w:r>
              <w:rPr>
                <w:rFonts w:ascii="Arial" w:cs="Arial" w:eastAsia="Arial" w:hAnsi="Arial"/>
                <w:sz w:val="15"/>
                <w:szCs w:val="15"/>
                <w:color w:val="auto"/>
              </w:rPr>
              <w:t>5.47</w:t>
            </w:r>
          </w:p>
        </w:tc>
        <w:tc>
          <w:tcPr>
            <w:tcW w:w="16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680,041</w:t>
            </w:r>
          </w:p>
        </w:tc>
        <w:tc>
          <w:tcPr>
            <w:tcW w:w="200" w:type="dxa"/>
            <w:vAlign w:val="bottom"/>
            <w:gridSpan w:val="2"/>
            <w:shd w:val="clear" w:color="auto" w:fill="C0FFFF"/>
          </w:tcPr>
          <w:p>
            <w:pPr>
              <w:ind w:left="12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13,551,219</w:t>
            </w:r>
          </w:p>
        </w:tc>
        <w:tc>
          <w:tcPr>
            <w:tcW w:w="120" w:type="dxa"/>
            <w:vAlign w:val="bottom"/>
            <w:shd w:val="clear" w:color="auto" w:fill="C0FFFF"/>
          </w:tcPr>
          <w:p>
            <w:pPr>
              <w:spacing w:after="0"/>
              <w:rPr>
                <w:sz w:val="15"/>
                <w:szCs w:val="15"/>
                <w:color w:val="auto"/>
              </w:rPr>
            </w:pPr>
          </w:p>
        </w:tc>
      </w:tr>
      <w:tr>
        <w:trPr>
          <w:trHeight w:val="23"/>
        </w:trPr>
        <w:tc>
          <w:tcPr>
            <w:tcW w:w="4040" w:type="dxa"/>
            <w:vAlign w:val="bottom"/>
            <w:shd w:val="clear" w:color="auto" w:fill="C0FFFF"/>
          </w:tcPr>
          <w:p>
            <w:pPr>
              <w:spacing w:after="0" w:line="20" w:lineRule="exact"/>
              <w:rPr>
                <w:sz w:val="1"/>
                <w:szCs w:val="1"/>
                <w:color w:val="auto"/>
              </w:rPr>
            </w:pPr>
          </w:p>
        </w:tc>
        <w:tc>
          <w:tcPr>
            <w:tcW w:w="660" w:type="dxa"/>
            <w:vAlign w:val="bottom"/>
            <w:shd w:val="clear" w:color="auto" w:fill="C0FF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82"/>
        </w:trPr>
        <w:tc>
          <w:tcPr>
            <w:tcW w:w="4040" w:type="dxa"/>
            <w:vAlign w:val="bottom"/>
          </w:tcPr>
          <w:p>
            <w:pPr>
              <w:ind w:left="120"/>
              <w:spacing w:after="0"/>
              <w:rPr>
                <w:sz w:val="20"/>
                <w:szCs w:val="20"/>
                <w:color w:val="auto"/>
              </w:rPr>
            </w:pPr>
            <w:r>
              <w:rPr>
                <w:rFonts w:ascii="Arial" w:cs="Arial" w:eastAsia="Arial" w:hAnsi="Arial"/>
                <w:sz w:val="15"/>
                <w:szCs w:val="15"/>
                <w:b w:val="1"/>
                <w:bCs w:val="1"/>
                <w:color w:val="auto"/>
              </w:rPr>
              <w:t>Total</w:t>
            </w:r>
          </w:p>
        </w:tc>
        <w:tc>
          <w:tcPr>
            <w:tcW w:w="6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934,435</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620" w:type="dxa"/>
            <w:vAlign w:val="bottom"/>
            <w:gridSpan w:val="3"/>
          </w:tcPr>
          <w:p>
            <w:pPr>
              <w:jc w:val="right"/>
              <w:ind w:right="220"/>
              <w:spacing w:after="0"/>
              <w:rPr>
                <w:sz w:val="20"/>
                <w:szCs w:val="20"/>
                <w:color w:val="auto"/>
              </w:rPr>
            </w:pPr>
            <w:r>
              <w:rPr>
                <w:rFonts w:ascii="Arial" w:cs="Arial" w:eastAsia="Arial" w:hAnsi="Arial"/>
                <w:sz w:val="15"/>
                <w:szCs w:val="15"/>
                <w:color w:val="auto"/>
              </w:rPr>
              <w:t>5.45</w:t>
            </w:r>
          </w:p>
        </w:tc>
        <w:tc>
          <w:tcPr>
            <w:tcW w:w="1600" w:type="dxa"/>
            <w:vAlign w:val="bottom"/>
            <w:gridSpan w:val="2"/>
          </w:tcPr>
          <w:p>
            <w:pPr>
              <w:jc w:val="right"/>
              <w:ind w:right="100"/>
              <w:spacing w:after="0"/>
              <w:rPr>
                <w:sz w:val="20"/>
                <w:szCs w:val="20"/>
                <w:color w:val="auto"/>
              </w:rPr>
            </w:pPr>
            <w:r>
              <w:rPr>
                <w:rFonts w:ascii="Arial" w:cs="Arial" w:eastAsia="Arial" w:hAnsi="Arial"/>
                <w:sz w:val="15"/>
                <w:szCs w:val="15"/>
                <w:color w:val="auto"/>
              </w:rPr>
              <w:t>933,751</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13,551,219</w:t>
            </w:r>
          </w:p>
        </w:tc>
        <w:tc>
          <w:tcPr>
            <w:tcW w:w="120" w:type="dxa"/>
            <w:vAlign w:val="bottom"/>
          </w:tcPr>
          <w:p>
            <w:pPr>
              <w:spacing w:after="0"/>
              <w:rPr>
                <w:sz w:val="15"/>
                <w:szCs w:val="15"/>
                <w:color w:val="auto"/>
              </w:rPr>
            </w:pPr>
          </w:p>
        </w:tc>
      </w:tr>
      <w:tr>
        <w:trPr>
          <w:trHeight w:val="23"/>
        </w:trPr>
        <w:tc>
          <w:tcPr>
            <w:tcW w:w="4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21971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97100" cy="6985"/>
                    </a:xfrm>
                    <a:prstGeom prst="rect">
                      <a:avLst/>
                    </a:prstGeom>
                    <a:noFill/>
                  </pic:spPr>
                </pic:pic>
              </a:graphicData>
            </a:graphic>
          </wp:anchor>
        </w:drawing>
      </w:r>
    </w:p>
    <w:p>
      <w:pPr>
        <w:spacing w:after="0" w:line="389" w:lineRule="exact"/>
        <w:rPr>
          <w:sz w:val="20"/>
          <w:szCs w:val="20"/>
          <w:color w:val="auto"/>
        </w:rPr>
      </w:pPr>
    </w:p>
    <w:p>
      <w:pPr>
        <w:ind w:left="269" w:right="160" w:hanging="269"/>
        <w:spacing w:after="0" w:line="256" w:lineRule="auto"/>
        <w:tabs>
          <w:tab w:leader="none" w:pos="269"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spacing w:after="0" w:line="1" w:lineRule="exact"/>
        <w:rPr>
          <w:rFonts w:ascii="Arial" w:cs="Arial" w:eastAsia="Arial" w:hAnsi="Arial"/>
          <w:sz w:val="15"/>
          <w:szCs w:val="15"/>
          <w:color w:val="auto"/>
        </w:rPr>
      </w:pPr>
    </w:p>
    <w:p>
      <w:pPr>
        <w:ind w:left="269" w:right="40" w:hanging="269"/>
        <w:spacing w:after="0" w:line="256" w:lineRule="auto"/>
        <w:tabs>
          <w:tab w:leader="none" w:pos="269" w:val="left"/>
        </w:tabs>
        <w:numPr>
          <w:ilvl w:val="0"/>
          <w:numId w:val="15"/>
        </w:numPr>
        <w:rPr>
          <w:rFonts w:ascii="Arial" w:cs="Arial" w:eastAsia="Arial" w:hAnsi="Arial"/>
          <w:sz w:val="15"/>
          <w:szCs w:val="15"/>
          <w:color w:val="auto"/>
        </w:rPr>
      </w:pPr>
      <w:r>
        <w:rPr>
          <w:rFonts w:ascii="Arial" w:cs="Arial" w:eastAsia="Arial" w:hAnsi="Arial"/>
          <w:sz w:val="15"/>
          <w:szCs w:val="15"/>
          <w:color w:val="auto"/>
        </w:rPr>
        <w:t>On March 2, 2011, we announced the further extension of our $50 million share repurchase program of our outstanding common stock until March 31, 2012.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8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454" w:right="21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color w:val="auto"/>
        </w:rPr>
        <w:t>Item 6. Exhibits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is a list of exhibits filed as a part of the quarterly report on Form 10-Q:</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240" w:type="dxa"/>
            <w:vAlign w:val="bottom"/>
          </w:tcPr>
          <w:p>
            <w:pPr>
              <w:spacing w:after="0"/>
              <w:rPr>
                <w:sz w:val="17"/>
                <w:szCs w:val="17"/>
                <w:color w:val="auto"/>
              </w:rPr>
            </w:pPr>
          </w:p>
        </w:tc>
        <w:tc>
          <w:tcPr>
            <w:tcW w:w="10060" w:type="dxa"/>
            <w:vAlign w:val="bottom"/>
            <w:tcBorders>
              <w:bottom w:val="single" w:sz="8" w:color="auto"/>
            </w:tcBorders>
          </w:tcPr>
          <w:p>
            <w:pPr>
              <w:ind w:left="4660"/>
              <w:spacing w:after="0"/>
              <w:rPr>
                <w:sz w:val="20"/>
                <w:szCs w:val="20"/>
                <w:color w:val="auto"/>
              </w:rPr>
            </w:pPr>
            <w:r>
              <w:rPr>
                <w:rFonts w:ascii="Arial" w:cs="Arial" w:eastAsia="Arial" w:hAnsi="Arial"/>
                <w:sz w:val="15"/>
                <w:szCs w:val="15"/>
                <w:b w:val="1"/>
                <w:bCs w:val="1"/>
                <w:color w:val="auto"/>
              </w:rPr>
              <w:t>Description</w:t>
            </w:r>
          </w:p>
        </w:tc>
      </w:tr>
      <w:tr>
        <w:trPr>
          <w:trHeight w:val="352"/>
        </w:trPr>
        <w:tc>
          <w:tcPr>
            <w:tcW w:w="1140" w:type="dxa"/>
            <w:vAlign w:val="bottom"/>
          </w:tcPr>
          <w:p>
            <w:pPr>
              <w:spacing w:after="0"/>
              <w:rPr>
                <w:sz w:val="20"/>
                <w:szCs w:val="20"/>
                <w:color w:val="auto"/>
              </w:rPr>
            </w:pPr>
            <w:r>
              <w:rPr>
                <w:rFonts w:ascii="Arial" w:cs="Arial" w:eastAsia="Arial" w:hAnsi="Arial"/>
                <w:sz w:val="15"/>
                <w:szCs w:val="15"/>
                <w:color w:val="auto"/>
              </w:rPr>
              <w:t>2.1</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4"/>
              </w:rPr>
              <w:t>Agreement and Plan of Merger dated April 3, 2000 between Build-A-Bear Workshop, L.L.C. and the Registrant (incorporated by reference from Exhibit 2.1 to our</w:t>
            </w:r>
          </w:p>
        </w:tc>
      </w:tr>
      <w:tr>
        <w:trPr>
          <w:trHeight w:val="191"/>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Registration Statement on Form S-1, filed on August 12, 2004, Registration No. 333-118142)</w:t>
            </w:r>
          </w:p>
        </w:tc>
      </w:tr>
      <w:tr>
        <w:trPr>
          <w:trHeight w:val="354"/>
        </w:trPr>
        <w:tc>
          <w:tcPr>
            <w:tcW w:w="1140" w:type="dxa"/>
            <w:vAlign w:val="bottom"/>
          </w:tcPr>
          <w:p>
            <w:pPr>
              <w:spacing w:after="0"/>
              <w:rPr>
                <w:sz w:val="20"/>
                <w:szCs w:val="20"/>
                <w:color w:val="auto"/>
              </w:rPr>
            </w:pPr>
            <w:r>
              <w:rPr>
                <w:rFonts w:ascii="Arial" w:cs="Arial" w:eastAsia="Arial" w:hAnsi="Arial"/>
                <w:sz w:val="15"/>
                <w:szCs w:val="15"/>
                <w:color w:val="auto"/>
              </w:rPr>
              <w:t>3.1</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5"/>
              </w:rPr>
              <w:t>Third Amended and Restated Certificate of Incorporation (incorporated by reference from Exhibit 3.1 of our Current Report on Form 8-K, filed on November 11,</w:t>
            </w:r>
          </w:p>
        </w:tc>
      </w:tr>
      <w:tr>
        <w:trPr>
          <w:trHeight w:val="191"/>
        </w:trPr>
        <w:tc>
          <w:tcPr>
            <w:tcW w:w="1140" w:type="dxa"/>
            <w:vAlign w:val="bottom"/>
          </w:tcPr>
          <w:p>
            <w:pPr>
              <w:spacing w:after="0"/>
              <w:rPr>
                <w:sz w:val="16"/>
                <w:szCs w:val="16"/>
                <w:color w:val="auto"/>
              </w:rPr>
            </w:pPr>
          </w:p>
        </w:tc>
        <w:tc>
          <w:tcPr>
            <w:tcW w:w="10300" w:type="dxa"/>
            <w:vAlign w:val="bottom"/>
            <w:gridSpan w:val="2"/>
          </w:tcPr>
          <w:p>
            <w:pPr>
              <w:ind w:left="240"/>
              <w:spacing w:after="0"/>
              <w:rPr>
                <w:sz w:val="20"/>
                <w:szCs w:val="20"/>
                <w:color w:val="auto"/>
              </w:rPr>
            </w:pPr>
            <w:r>
              <w:rPr>
                <w:rFonts w:ascii="Arial" w:cs="Arial" w:eastAsia="Arial" w:hAnsi="Arial"/>
                <w:sz w:val="15"/>
                <w:szCs w:val="15"/>
                <w:color w:val="auto"/>
              </w:rPr>
              <w:t>2004)</w:t>
            </w:r>
          </w:p>
        </w:tc>
      </w:tr>
      <w:tr>
        <w:trPr>
          <w:trHeight w:val="354"/>
        </w:trPr>
        <w:tc>
          <w:tcPr>
            <w:tcW w:w="1140" w:type="dxa"/>
            <w:vAlign w:val="bottom"/>
          </w:tcPr>
          <w:p>
            <w:pPr>
              <w:spacing w:after="0"/>
              <w:rPr>
                <w:sz w:val="20"/>
                <w:szCs w:val="20"/>
                <w:color w:val="auto"/>
              </w:rPr>
            </w:pPr>
            <w:r>
              <w:rPr>
                <w:rFonts w:ascii="Arial" w:cs="Arial" w:eastAsia="Arial" w:hAnsi="Arial"/>
                <w:sz w:val="15"/>
                <w:szCs w:val="15"/>
                <w:color w:val="auto"/>
              </w:rPr>
              <w:t>3.2</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3"/>
              </w:rPr>
              <w:t>Amended and Restated Bylaws (incorporated by reference from Exhibit 3.4 to our Registration Statement on Form S-1, filed on August 12, 2004, Registration No.</w:t>
            </w:r>
          </w:p>
        </w:tc>
      </w:tr>
      <w:tr>
        <w:trPr>
          <w:trHeight w:val="191"/>
        </w:trPr>
        <w:tc>
          <w:tcPr>
            <w:tcW w:w="1140" w:type="dxa"/>
            <w:vAlign w:val="bottom"/>
          </w:tcPr>
          <w:p>
            <w:pPr>
              <w:spacing w:after="0"/>
              <w:rPr>
                <w:sz w:val="16"/>
                <w:szCs w:val="16"/>
                <w:color w:val="auto"/>
              </w:rPr>
            </w:pPr>
          </w:p>
        </w:tc>
        <w:tc>
          <w:tcPr>
            <w:tcW w:w="10300" w:type="dxa"/>
            <w:vAlign w:val="bottom"/>
            <w:gridSpan w:val="2"/>
          </w:tcPr>
          <w:p>
            <w:pPr>
              <w:ind w:left="240"/>
              <w:spacing w:after="0"/>
              <w:rPr>
                <w:sz w:val="20"/>
                <w:szCs w:val="20"/>
                <w:color w:val="auto"/>
              </w:rPr>
            </w:pPr>
            <w:r>
              <w:rPr>
                <w:rFonts w:ascii="Arial" w:cs="Arial" w:eastAsia="Arial" w:hAnsi="Arial"/>
                <w:sz w:val="15"/>
                <w:szCs w:val="15"/>
                <w:color w:val="auto"/>
              </w:rPr>
              <w:t>333-118142)</w:t>
            </w:r>
          </w:p>
        </w:tc>
      </w:tr>
      <w:tr>
        <w:trPr>
          <w:trHeight w:val="354"/>
        </w:trPr>
        <w:tc>
          <w:tcPr>
            <w:tcW w:w="1140" w:type="dxa"/>
            <w:vAlign w:val="bottom"/>
          </w:tcPr>
          <w:p>
            <w:pPr>
              <w:spacing w:after="0"/>
              <w:rPr>
                <w:sz w:val="20"/>
                <w:szCs w:val="20"/>
                <w:color w:val="auto"/>
              </w:rPr>
            </w:pPr>
            <w:r>
              <w:rPr>
                <w:rFonts w:ascii="Arial" w:cs="Arial" w:eastAsia="Arial" w:hAnsi="Arial"/>
                <w:sz w:val="15"/>
                <w:szCs w:val="15"/>
                <w:color w:val="auto"/>
              </w:rPr>
              <w:t>4.1</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3"/>
              </w:rPr>
              <w:t>Specimen Stock Certificate (incorporated by reference from Exhibit 4.1 to Amendment No. 3 to our Registration Statement on Form S-1, filed on October 1, 2004,</w:t>
            </w:r>
          </w:p>
        </w:tc>
      </w:tr>
      <w:tr>
        <w:trPr>
          <w:trHeight w:val="191"/>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Registration No. 333-118142)</w:t>
            </w:r>
          </w:p>
        </w:tc>
      </w:tr>
      <w:tr>
        <w:trPr>
          <w:trHeight w:val="354"/>
        </w:trPr>
        <w:tc>
          <w:tcPr>
            <w:tcW w:w="1140" w:type="dxa"/>
            <w:vAlign w:val="bottom"/>
          </w:tcPr>
          <w:p>
            <w:pPr>
              <w:spacing w:after="0"/>
              <w:rPr>
                <w:sz w:val="20"/>
                <w:szCs w:val="20"/>
                <w:color w:val="auto"/>
              </w:rPr>
            </w:pPr>
            <w:r>
              <w:rPr>
                <w:rFonts w:ascii="Arial" w:cs="Arial" w:eastAsia="Arial" w:hAnsi="Arial"/>
                <w:sz w:val="15"/>
                <w:szCs w:val="15"/>
                <w:color w:val="auto"/>
              </w:rPr>
              <w:t>4.2</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1"/>
              </w:rPr>
              <w:t>Stock Purchase Agreement by and among the Registrant, Catterton Partners IV, L.P., Catterton Partners IV Offshore, L.P. and Catterton Partners IV Special Purpose,</w:t>
            </w:r>
          </w:p>
        </w:tc>
      </w:tr>
      <w:tr>
        <w:trPr>
          <w:trHeight w:val="182"/>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4"/>
              </w:rPr>
              <w:t>L.P. and the Purchasers named therein dated as of April 3, 2000 (incorporated by reference from Exhibit 4.2 to our Registration Statement on Form S-1, filed on</w:t>
            </w:r>
          </w:p>
        </w:tc>
      </w:tr>
      <w:tr>
        <w:trPr>
          <w:trHeight w:val="191"/>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August 12, 2004, Registration No. 333-118142)</w:t>
            </w:r>
          </w:p>
        </w:tc>
      </w:tr>
      <w:tr>
        <w:trPr>
          <w:trHeight w:val="354"/>
        </w:trPr>
        <w:tc>
          <w:tcPr>
            <w:tcW w:w="1140" w:type="dxa"/>
            <w:vAlign w:val="bottom"/>
          </w:tcPr>
          <w:p>
            <w:pPr>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2"/>
              </w:rPr>
              <w:t>Stock Purchase Agreement by and among the Registrant and the other Purchasers named therein dated as of September 21, 2001 (incorporated by reference from</w:t>
            </w:r>
          </w:p>
        </w:tc>
      </w:tr>
      <w:tr>
        <w:trPr>
          <w:trHeight w:val="191"/>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Exhibit 4.3 to our Registration Statement on Form S-1, filed on August 12, 2004, Registration No. 333-118142)</w:t>
            </w:r>
          </w:p>
        </w:tc>
      </w:tr>
      <w:tr>
        <w:trPr>
          <w:trHeight w:val="354"/>
        </w:trPr>
        <w:tc>
          <w:tcPr>
            <w:tcW w:w="1140" w:type="dxa"/>
            <w:vAlign w:val="bottom"/>
          </w:tcPr>
          <w:p>
            <w:pPr>
              <w:spacing w:after="0"/>
              <w:rPr>
                <w:sz w:val="20"/>
                <w:szCs w:val="20"/>
                <w:color w:val="auto"/>
              </w:rPr>
            </w:pPr>
            <w:r>
              <w:rPr>
                <w:rFonts w:ascii="Arial" w:cs="Arial" w:eastAsia="Arial" w:hAnsi="Arial"/>
                <w:sz w:val="15"/>
                <w:szCs w:val="15"/>
                <w:color w:val="auto"/>
              </w:rPr>
              <w:t>4.4</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1"/>
              </w:rPr>
              <w:t>Amended and Restated Registration Rights Agreement, dated September 21, 2001 by and among Registrant and certain stockholders named therein (incorporated by</w:t>
            </w:r>
          </w:p>
        </w:tc>
      </w:tr>
      <w:tr>
        <w:trPr>
          <w:trHeight w:val="191"/>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reference from Exhibit 4.5 to our Registration Statement on Form S-1, filed on August 12, 2004, Registration No. 333-118142)</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31.1</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Rule 13a-14(a)/15d-14(a) certification (pursuant to Section 302 of the Sarbanes-Oxley Act of 2002, executed by the Chief Executive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31.2</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w w:val="98"/>
              </w:rPr>
              <w:t>Rule 13a-14(a)/15d-14(a) certification (pursuant to Section 302 of the Sarbanes-Oxley Act of 2002, executed by the Chief Operations and Financial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32.1</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Section 1350 Certification (pursuant to Section 906 of the Sarbanes-Oxley Act of 2002, executed by the Chief Executive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32.2</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Section 1350 Certification (pursuant to Section 906 of the Sarbanes-Oxley Act of 2002, executed by the Chief Operations and Financial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101.INS</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XBRL Instance</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101.SCH</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XBRL Extension Schema</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101.CAL</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XBRL Extension Calculation</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101.DEF</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XBRL Extension Definition</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101.LAB</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XBRL Extension Label</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101.PRE</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5"/>
                <w:szCs w:val="15"/>
                <w:color w:val="auto"/>
              </w:rPr>
              <w:t>XBRL Extension Presentation</w:t>
            </w:r>
          </w:p>
        </w:tc>
      </w:tr>
      <w:tr>
        <w:trPr>
          <w:trHeight w:val="488"/>
        </w:trPr>
        <w:tc>
          <w:tcPr>
            <w:tcW w:w="1140" w:type="dxa"/>
            <w:vAlign w:val="bottom"/>
          </w:tcPr>
          <w:p>
            <w:pPr>
              <w:spacing w:after="0"/>
              <w:rPr>
                <w:sz w:val="24"/>
                <w:szCs w:val="24"/>
                <w:color w:val="auto"/>
              </w:rPr>
            </w:pPr>
          </w:p>
        </w:tc>
        <w:tc>
          <w:tcPr>
            <w:tcW w:w="10300" w:type="dxa"/>
            <w:vAlign w:val="bottom"/>
            <w:gridSpan w:val="2"/>
          </w:tcPr>
          <w:p>
            <w:pPr>
              <w:jc w:val="right"/>
              <w:ind w:right="5584"/>
              <w:spacing w:after="0"/>
              <w:rPr>
                <w:sz w:val="20"/>
                <w:szCs w:val="20"/>
                <w:color w:val="auto"/>
              </w:rPr>
            </w:pPr>
            <w:r>
              <w:rPr>
                <w:rFonts w:ascii="Arial" w:cs="Arial" w:eastAsia="Arial" w:hAnsi="Arial"/>
                <w:sz w:val="15"/>
                <w:szCs w:val="15"/>
                <w:color w:val="auto"/>
              </w:rPr>
              <w:t>22</w:t>
            </w:r>
          </w:p>
        </w:tc>
      </w:tr>
      <w:tr>
        <w:trPr>
          <w:trHeight w:val="99"/>
        </w:trPr>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23" w:name="page24"/>
    <w:bookmarkEnd w:id="23"/>
    <w:p>
      <w:pPr>
        <w:jc w:val="center"/>
        <w:ind w:right="-399"/>
        <w:spacing w:after="0"/>
        <w:rPr>
          <w:sz w:val="20"/>
          <w:szCs w:val="20"/>
          <w:color w:val="auto"/>
        </w:rPr>
      </w:pPr>
      <w:r>
        <w:rPr>
          <w:rFonts w:ascii="Arial" w:cs="Arial" w:eastAsia="Arial" w:hAnsi="Arial"/>
          <w:sz w:val="15"/>
          <w:szCs w:val="15"/>
          <w:b w:val="1"/>
          <w:bCs w:val="1"/>
          <w:color w:val="auto"/>
        </w:rPr>
        <w:t>SIGNATURES</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10, 2011</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BUILD-A-BEAR WORKSHOP, INC.</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(Registrant)</w:t>
      </w:r>
    </w:p>
    <w:p>
      <w:pPr>
        <w:spacing w:after="0" w:line="181"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19685</wp:posOffset>
            </wp:positionV>
            <wp:extent cx="254317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3175" cy="14605"/>
                    </a:xfrm>
                    <a:prstGeom prst="rect">
                      <a:avLst/>
                    </a:prstGeom>
                    <a:noFill/>
                  </pic:spPr>
                </pic:pic>
              </a:graphicData>
            </a:graphic>
          </wp:anchor>
        </w:drawing>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Maxine Clark</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Chairman of the Board and Chief Executive Bear</w:t>
      </w:r>
    </w:p>
    <w:p>
      <w:pPr>
        <w:spacing w:after="0" w:line="181"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19685</wp:posOffset>
            </wp:positionV>
            <wp:extent cx="254317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3175" cy="14605"/>
                    </a:xfrm>
                    <a:prstGeom prst="rect">
                      <a:avLst/>
                    </a:prstGeom>
                    <a:noFill/>
                  </pic:spPr>
                </pic:pic>
              </a:graphicData>
            </a:graphic>
          </wp:anchor>
        </w:drawing>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Tina Klocke</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Operations and Financial Bear, Treasurer and Secretary</w:t>
      </w: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431" w:right="639" w:bottom="1440" w:gutter="0" w:footer="0" w:header="0"/>
        </w:sectPr>
      </w:pPr>
    </w:p>
    <w:bookmarkStart w:id="24" w:name="page25"/>
    <w:bookmarkEnd w:id="24"/>
    <w:p>
      <w:pPr>
        <w:jc w:val="right"/>
        <w:spacing w:after="0"/>
        <w:rPr>
          <w:sz w:val="20"/>
          <w:szCs w:val="20"/>
          <w:color w:val="auto"/>
        </w:rPr>
      </w:pPr>
      <w:r>
        <w:rPr>
          <w:rFonts w:ascii="Arial" w:cs="Arial" w:eastAsia="Arial" w:hAnsi="Arial"/>
          <w:sz w:val="15"/>
          <w:szCs w:val="15"/>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SECURITIES EXCHANGE ACT OF 1934</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I, Maxine Clark, certify that:</w:t>
      </w:r>
    </w:p>
    <w:p>
      <w:pPr>
        <w:spacing w:after="0" w:line="236" w:lineRule="exact"/>
        <w:rPr>
          <w:sz w:val="20"/>
          <w:szCs w:val="20"/>
          <w:color w:val="auto"/>
        </w:rPr>
      </w:pPr>
    </w:p>
    <w:p>
      <w:pPr>
        <w:ind w:left="760" w:hanging="406"/>
        <w:spacing w:after="0"/>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Build-A-Bear Workshop, Inc.;</w:t>
      </w:r>
    </w:p>
    <w:p>
      <w:pPr>
        <w:spacing w:after="0" w:line="235" w:lineRule="exact"/>
        <w:rPr>
          <w:rFonts w:ascii="Arial" w:cs="Arial" w:eastAsia="Arial" w:hAnsi="Arial"/>
          <w:sz w:val="15"/>
          <w:szCs w:val="15"/>
          <w:color w:val="auto"/>
        </w:rPr>
      </w:pPr>
    </w:p>
    <w:p>
      <w:pPr>
        <w:ind w:left="760" w:right="160" w:hanging="406"/>
        <w:spacing w:after="0" w:line="277" w:lineRule="auto"/>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left="760" w:right="40" w:hanging="406"/>
        <w:spacing w:after="0" w:line="277" w:lineRule="auto"/>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5"/>
          <w:szCs w:val="15"/>
          <w:color w:val="auto"/>
        </w:rPr>
      </w:pPr>
    </w:p>
    <w:p>
      <w:pPr>
        <w:ind w:left="760" w:right="300" w:hanging="406"/>
        <w:spacing w:after="0" w:line="314"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4"/>
          <w:szCs w:val="14"/>
          <w:color w:val="auto"/>
        </w:rPr>
      </w:pPr>
    </w:p>
    <w:p>
      <w:pPr>
        <w:ind w:left="1220" w:right="40" w:hanging="401"/>
        <w:spacing w:after="0" w:line="265" w:lineRule="auto"/>
        <w:tabs>
          <w:tab w:leader="none" w:pos="12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5"/>
          <w:szCs w:val="15"/>
          <w:color w:val="auto"/>
        </w:rPr>
      </w:pPr>
    </w:p>
    <w:p>
      <w:pPr>
        <w:ind w:left="1220" w:right="440" w:hanging="401"/>
        <w:spacing w:after="0" w:line="265" w:lineRule="auto"/>
        <w:tabs>
          <w:tab w:leader="none" w:pos="12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5"/>
          <w:szCs w:val="15"/>
          <w:color w:val="auto"/>
        </w:rPr>
      </w:pPr>
    </w:p>
    <w:p>
      <w:pPr>
        <w:ind w:left="1220" w:right="200" w:hanging="401"/>
        <w:spacing w:after="0" w:line="277" w:lineRule="auto"/>
        <w:tabs>
          <w:tab w:leader="none" w:pos="12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1220" w:right="180" w:hanging="401"/>
        <w:spacing w:after="0" w:line="265" w:lineRule="auto"/>
        <w:tabs>
          <w:tab w:leader="none" w:pos="12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5"/>
          <w:szCs w:val="15"/>
          <w:color w:val="auto"/>
        </w:rPr>
      </w:pPr>
    </w:p>
    <w:p>
      <w:pPr>
        <w:ind w:left="760" w:right="140" w:hanging="406"/>
        <w:spacing w:after="0" w:line="277" w:lineRule="auto"/>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5"/>
          <w:szCs w:val="15"/>
          <w:color w:val="auto"/>
        </w:rPr>
      </w:pPr>
    </w:p>
    <w:p>
      <w:pPr>
        <w:ind w:left="1220" w:right="20" w:hanging="401"/>
        <w:spacing w:after="0" w:line="277" w:lineRule="auto"/>
        <w:tabs>
          <w:tab w:leader="none" w:pos="12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5"/>
          <w:szCs w:val="15"/>
          <w:color w:val="auto"/>
        </w:rPr>
      </w:pPr>
    </w:p>
    <w:p>
      <w:pPr>
        <w:ind w:left="1220" w:hanging="401"/>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12700</wp:posOffset>
            </wp:positionV>
            <wp:extent cx="261493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14930" cy="14605"/>
                    </a:xfrm>
                    <a:prstGeom prst="rect">
                      <a:avLst/>
                    </a:prstGeom>
                    <a:noFill/>
                  </pic:spPr>
                </pic:pic>
              </a:graphicData>
            </a:graphic>
          </wp:anchor>
        </w:drawing>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Maxine Clark</w:t>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Chairman of the Board and Chief Executive Bear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Build-A-Bear Workshop, Inc.</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(Principal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10, 2011</w:t>
      </w:r>
    </w:p>
    <w:p>
      <w:pPr>
        <w:sectPr>
          <w:pgSz w:w="11900" w:h="16838" w:orient="portrait"/>
          <w:cols w:equalWidth="0" w:num="1">
            <w:col w:w="11440"/>
          </w:cols>
          <w:pgMar w:left="240" w:top="125" w:right="219" w:bottom="1440" w:gutter="0" w:footer="0" w:header="0"/>
        </w:sectPr>
      </w:pPr>
    </w:p>
    <w:bookmarkStart w:id="25" w:name="page26"/>
    <w:bookmarkEnd w:id="25"/>
    <w:p>
      <w:pPr>
        <w:jc w:val="right"/>
        <w:spacing w:after="0"/>
        <w:rPr>
          <w:sz w:val="20"/>
          <w:szCs w:val="20"/>
          <w:color w:val="auto"/>
        </w:rPr>
      </w:pPr>
      <w:r>
        <w:rPr>
          <w:rFonts w:ascii="Arial" w:cs="Arial" w:eastAsia="Arial" w:hAnsi="Arial"/>
          <w:sz w:val="15"/>
          <w:szCs w:val="15"/>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SECURITIES EXCHANGE ACT OF 1934</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I, Tina Klocke, certify that:</w:t>
      </w:r>
    </w:p>
    <w:p>
      <w:pPr>
        <w:spacing w:after="0" w:line="236" w:lineRule="exact"/>
        <w:rPr>
          <w:sz w:val="20"/>
          <w:szCs w:val="20"/>
          <w:color w:val="auto"/>
        </w:rPr>
      </w:pPr>
    </w:p>
    <w:p>
      <w:pPr>
        <w:ind w:left="760" w:hanging="406"/>
        <w:spacing w:after="0"/>
        <w:tabs>
          <w:tab w:leader="none" w:pos="7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Build-A-Bear Workshop, Inc.;</w:t>
      </w:r>
    </w:p>
    <w:p>
      <w:pPr>
        <w:spacing w:after="0" w:line="235" w:lineRule="exact"/>
        <w:rPr>
          <w:rFonts w:ascii="Arial" w:cs="Arial" w:eastAsia="Arial" w:hAnsi="Arial"/>
          <w:sz w:val="15"/>
          <w:szCs w:val="15"/>
          <w:color w:val="auto"/>
        </w:rPr>
      </w:pPr>
    </w:p>
    <w:p>
      <w:pPr>
        <w:ind w:left="760" w:right="160" w:hanging="406"/>
        <w:spacing w:after="0" w:line="277" w:lineRule="auto"/>
        <w:tabs>
          <w:tab w:leader="none" w:pos="7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left="760" w:right="40" w:hanging="406"/>
        <w:spacing w:after="0" w:line="277" w:lineRule="auto"/>
        <w:tabs>
          <w:tab w:leader="none" w:pos="7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5"/>
          <w:szCs w:val="15"/>
          <w:color w:val="auto"/>
        </w:rPr>
      </w:pPr>
    </w:p>
    <w:p>
      <w:pPr>
        <w:ind w:left="760" w:right="300" w:hanging="406"/>
        <w:spacing w:after="0" w:line="314" w:lineRule="auto"/>
        <w:tabs>
          <w:tab w:leader="none" w:pos="7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4"/>
          <w:szCs w:val="14"/>
          <w:color w:val="auto"/>
        </w:rPr>
      </w:pPr>
    </w:p>
    <w:p>
      <w:pPr>
        <w:ind w:left="1220" w:right="40" w:hanging="401"/>
        <w:spacing w:after="0" w:line="265" w:lineRule="auto"/>
        <w:tabs>
          <w:tab w:leader="none" w:pos="1220" w:val="left"/>
        </w:tabs>
        <w:numPr>
          <w:ilvl w:val="2"/>
          <w:numId w:val="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5"/>
          <w:szCs w:val="15"/>
          <w:color w:val="auto"/>
        </w:rPr>
      </w:pPr>
    </w:p>
    <w:p>
      <w:pPr>
        <w:ind w:left="1220" w:right="440" w:hanging="401"/>
        <w:spacing w:after="0" w:line="265" w:lineRule="auto"/>
        <w:tabs>
          <w:tab w:leader="none" w:pos="1220" w:val="left"/>
        </w:tabs>
        <w:numPr>
          <w:ilvl w:val="2"/>
          <w:numId w:val="1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5"/>
          <w:szCs w:val="15"/>
          <w:color w:val="auto"/>
        </w:rPr>
      </w:pPr>
    </w:p>
    <w:p>
      <w:pPr>
        <w:ind w:left="1220" w:right="200" w:hanging="401"/>
        <w:spacing w:after="0" w:line="277" w:lineRule="auto"/>
        <w:tabs>
          <w:tab w:leader="none" w:pos="1220" w:val="left"/>
        </w:tabs>
        <w:numPr>
          <w:ilvl w:val="2"/>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1220" w:right="180" w:hanging="401"/>
        <w:spacing w:after="0" w:line="265" w:lineRule="auto"/>
        <w:tabs>
          <w:tab w:leader="none" w:pos="1220" w:val="left"/>
        </w:tabs>
        <w:numPr>
          <w:ilvl w:val="2"/>
          <w:numId w:val="1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5"/>
          <w:szCs w:val="15"/>
          <w:color w:val="auto"/>
        </w:rPr>
      </w:pPr>
    </w:p>
    <w:p>
      <w:pPr>
        <w:ind w:left="640" w:right="20" w:hanging="343"/>
        <w:spacing w:after="0" w:line="277" w:lineRule="auto"/>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5"/>
          <w:szCs w:val="15"/>
          <w:color w:val="auto"/>
        </w:rPr>
      </w:pPr>
    </w:p>
    <w:p>
      <w:pPr>
        <w:ind w:left="1220" w:right="20" w:hanging="401"/>
        <w:spacing w:after="0" w:line="277" w:lineRule="auto"/>
        <w:tabs>
          <w:tab w:leader="none" w:pos="1220" w:val="left"/>
        </w:tabs>
        <w:numPr>
          <w:ilvl w:val="2"/>
          <w:numId w:val="1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5"/>
          <w:szCs w:val="15"/>
          <w:color w:val="auto"/>
        </w:rPr>
      </w:pPr>
    </w:p>
    <w:p>
      <w:pPr>
        <w:ind w:left="1220" w:hanging="401"/>
        <w:spacing w:after="0"/>
        <w:tabs>
          <w:tab w:leader="none" w:pos="1220" w:val="left"/>
        </w:tabs>
        <w:numPr>
          <w:ilvl w:val="2"/>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12700</wp:posOffset>
            </wp:positionV>
            <wp:extent cx="261493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14930" cy="14605"/>
                    </a:xfrm>
                    <a:prstGeom prst="rect">
                      <a:avLst/>
                    </a:prstGeom>
                    <a:noFill/>
                  </pic:spPr>
                </pic:pic>
              </a:graphicData>
            </a:graphic>
          </wp:anchor>
        </w:drawing>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Tina Klocke</w:t>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Chief Operations and Financial Bear, Treasurer and Secretary</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Build-A-Bear Workshop, Inc.</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(Principal Financial Officer)</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10, 2011</w:t>
      </w:r>
    </w:p>
    <w:p>
      <w:pPr>
        <w:sectPr>
          <w:pgSz w:w="11900" w:h="16838" w:orient="portrait"/>
          <w:cols w:equalWidth="0" w:num="1">
            <w:col w:w="11440"/>
          </w:cols>
          <w:pgMar w:left="240" w:top="125" w:right="219" w:bottom="1440" w:gutter="0" w:footer="0" w:header="0"/>
        </w:sectPr>
      </w:pPr>
    </w:p>
    <w:bookmarkStart w:id="26" w:name="page27"/>
    <w:bookmarkEnd w:id="26"/>
    <w:p>
      <w:pPr>
        <w:jc w:val="right"/>
        <w:spacing w:after="0"/>
        <w:rPr>
          <w:sz w:val="20"/>
          <w:szCs w:val="20"/>
          <w:color w:val="auto"/>
        </w:rPr>
      </w:pPr>
      <w:r>
        <w:rPr>
          <w:rFonts w:ascii="Arial" w:cs="Arial" w:eastAsia="Arial" w:hAnsi="Arial"/>
          <w:sz w:val="15"/>
          <w:szCs w:val="15"/>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7" w:lineRule="exact"/>
        <w:rPr>
          <w:sz w:val="20"/>
          <w:szCs w:val="20"/>
          <w:color w:val="auto"/>
        </w:rPr>
      </w:pPr>
    </w:p>
    <w:p>
      <w:pPr>
        <w:ind w:right="80" w:firstLine="408"/>
        <w:spacing w:after="0" w:line="292" w:lineRule="auto"/>
        <w:rPr>
          <w:sz w:val="20"/>
          <w:szCs w:val="20"/>
          <w:color w:val="auto"/>
        </w:rPr>
      </w:pPr>
      <w:r>
        <w:rPr>
          <w:rFonts w:ascii="Arial" w:cs="Arial" w:eastAsia="Arial" w:hAnsi="Arial"/>
          <w:sz w:val="14"/>
          <w:szCs w:val="14"/>
          <w:color w:val="auto"/>
        </w:rPr>
        <w:t>In connection with the quarterly report of Build-A-Bear Workshop, Inc. (the “Company”) on Form 10-Q for the period ended October 1, 2011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184" w:lineRule="exact"/>
        <w:rPr>
          <w:sz w:val="20"/>
          <w:szCs w:val="20"/>
          <w:color w:val="auto"/>
        </w:rPr>
      </w:pPr>
    </w:p>
    <w:p>
      <w:pPr>
        <w:ind w:left="620" w:hanging="221"/>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35" w:lineRule="exact"/>
        <w:rPr>
          <w:rFonts w:ascii="Arial" w:cs="Arial" w:eastAsia="Arial" w:hAnsi="Arial"/>
          <w:sz w:val="15"/>
          <w:szCs w:val="15"/>
          <w:color w:val="auto"/>
        </w:rPr>
      </w:pPr>
    </w:p>
    <w:p>
      <w:pPr>
        <w:ind w:left="620" w:hanging="221"/>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12700</wp:posOffset>
            </wp:positionV>
            <wp:extent cx="311912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9120" cy="14605"/>
                    </a:xfrm>
                    <a:prstGeom prst="rect">
                      <a:avLst/>
                    </a:prstGeom>
                    <a:noFill/>
                  </pic:spPr>
                </pic:pic>
              </a:graphicData>
            </a:graphic>
          </wp:anchor>
        </w:drawing>
      </w:r>
    </w:p>
    <w:p>
      <w:pPr>
        <w:spacing w:after="0" w:line="12"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Maxine Clark</w:t>
      </w:r>
    </w:p>
    <w:p>
      <w:pPr>
        <w:spacing w:after="0" w:line="18" w:lineRule="exact"/>
        <w:rPr>
          <w:sz w:val="20"/>
          <w:szCs w:val="20"/>
          <w:color w:val="auto"/>
        </w:rPr>
      </w:pPr>
    </w:p>
    <w:p>
      <w:pPr>
        <w:ind w:left="6520"/>
        <w:spacing w:after="0"/>
        <w:rPr>
          <w:sz w:val="20"/>
          <w:szCs w:val="20"/>
          <w:color w:val="auto"/>
        </w:rPr>
      </w:pPr>
      <w:r>
        <w:rPr>
          <w:rFonts w:ascii="Arial" w:cs="Arial" w:eastAsia="Arial" w:hAnsi="Arial"/>
          <w:sz w:val="15"/>
          <w:szCs w:val="15"/>
          <w:i w:val="1"/>
          <w:iCs w:val="1"/>
          <w:color w:val="auto"/>
        </w:rPr>
        <w:t>Chairman of the Board and Chief Executive Bear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5"/>
          <w:szCs w:val="15"/>
          <w:i w:val="1"/>
          <w:iCs w:val="1"/>
          <w:color w:val="auto"/>
        </w:rPr>
        <w:t>Build-A-Bear Workshop, Inc.</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10, 2011</w:t>
      </w:r>
    </w:p>
    <w:p>
      <w:pPr>
        <w:sectPr>
          <w:pgSz w:w="11900" w:h="16838" w:orient="portrait"/>
          <w:cols w:equalWidth="0" w:num="1">
            <w:col w:w="11440"/>
          </w:cols>
          <w:pgMar w:left="240" w:top="125" w:right="219" w:bottom="1440" w:gutter="0" w:footer="0" w:header="0"/>
        </w:sectPr>
      </w:pPr>
    </w:p>
    <w:bookmarkStart w:id="27" w:name="page28"/>
    <w:bookmarkEnd w:id="27"/>
    <w:p>
      <w:pPr>
        <w:jc w:val="right"/>
        <w:spacing w:after="0"/>
        <w:rPr>
          <w:sz w:val="20"/>
          <w:szCs w:val="20"/>
          <w:color w:val="auto"/>
        </w:rPr>
      </w:pPr>
      <w:r>
        <w:rPr>
          <w:rFonts w:ascii="Arial" w:cs="Arial" w:eastAsia="Arial" w:hAnsi="Arial"/>
          <w:sz w:val="15"/>
          <w:szCs w:val="15"/>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7" w:lineRule="exact"/>
        <w:rPr>
          <w:sz w:val="20"/>
          <w:szCs w:val="20"/>
          <w:color w:val="auto"/>
        </w:rPr>
      </w:pPr>
    </w:p>
    <w:p>
      <w:pPr>
        <w:ind w:right="180" w:firstLine="408"/>
        <w:spacing w:after="0" w:line="324" w:lineRule="auto"/>
        <w:rPr>
          <w:sz w:val="20"/>
          <w:szCs w:val="20"/>
          <w:color w:val="auto"/>
        </w:rPr>
      </w:pPr>
      <w:r>
        <w:rPr>
          <w:rFonts w:ascii="Arial" w:cs="Arial" w:eastAsia="Arial" w:hAnsi="Arial"/>
          <w:sz w:val="13"/>
          <w:szCs w:val="13"/>
          <w:color w:val="auto"/>
        </w:rPr>
        <w:t>In connection with the quarterly report of Build-A-Bear Workshop, Inc. (the “Company”) on Form 10-Q for the period ended October 1, 2011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166" w:lineRule="exact"/>
        <w:rPr>
          <w:sz w:val="20"/>
          <w:szCs w:val="20"/>
          <w:color w:val="auto"/>
        </w:rPr>
      </w:pPr>
    </w:p>
    <w:p>
      <w:pPr>
        <w:ind w:left="620" w:hanging="221"/>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35" w:lineRule="exact"/>
        <w:rPr>
          <w:rFonts w:ascii="Arial" w:cs="Arial" w:eastAsia="Arial" w:hAnsi="Arial"/>
          <w:sz w:val="15"/>
          <w:szCs w:val="15"/>
          <w:color w:val="auto"/>
        </w:rPr>
      </w:pPr>
    </w:p>
    <w:p>
      <w:pPr>
        <w:ind w:left="620" w:hanging="221"/>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12700</wp:posOffset>
            </wp:positionV>
            <wp:extent cx="327025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70250" cy="14605"/>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Tina Klocke</w:t>
      </w:r>
    </w:p>
    <w:p>
      <w:pPr>
        <w:spacing w:after="0" w:line="18" w:lineRule="exact"/>
        <w:rPr>
          <w:sz w:val="20"/>
          <w:szCs w:val="20"/>
          <w:color w:val="auto"/>
        </w:rPr>
      </w:pPr>
    </w:p>
    <w:p>
      <w:pPr>
        <w:ind w:left="6280"/>
        <w:spacing w:after="0"/>
        <w:rPr>
          <w:sz w:val="20"/>
          <w:szCs w:val="20"/>
          <w:color w:val="auto"/>
        </w:rPr>
      </w:pPr>
      <w:r>
        <w:rPr>
          <w:rFonts w:ascii="Arial" w:cs="Arial" w:eastAsia="Arial" w:hAnsi="Arial"/>
          <w:sz w:val="15"/>
          <w:szCs w:val="15"/>
          <w:i w:val="1"/>
          <w:iCs w:val="1"/>
          <w:color w:val="auto"/>
        </w:rPr>
        <w:t>Chief Operations and Financial Bear, Treasurer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5"/>
          <w:szCs w:val="15"/>
          <w:i w:val="1"/>
          <w:iCs w:val="1"/>
          <w:color w:val="auto"/>
        </w:rPr>
        <w:t>Secretary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5"/>
          <w:szCs w:val="15"/>
          <w:i w:val="1"/>
          <w:iCs w:val="1"/>
          <w:color w:val="auto"/>
        </w:rPr>
        <w:t>Build-A-Bear Workshop, Inc.</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10, 2011</w:t>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
    <w:nsid w:val="7C83E45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2019-12-10T20:00:15Z</dcterms:created>
  <dcterms:modified xsi:type="dcterms:W3CDTF">2019-12-10T20:00:15Z</dcterms:modified>
</cp:coreProperties>
</file>