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125730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40" w:hanging="432"/>
        <w:spacing w:after="0" w:line="200" w:lineRule="auto"/>
        <w:tabs>
          <w:tab w:leader="none" w:pos="440"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For the fiscal year ended January 31, 2026</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0"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440" w:type="dxa"/>
        <w:tblCellMar>
          <w:top w:w="0" w:type="dxa"/>
          <w:left w:w="0" w:type="dxa"/>
          <w:bottom w:w="0" w:type="dxa"/>
          <w:right w:w="0" w:type="dxa"/>
        </w:tblCellMar>
      </w:tblPr>
      <w:tr>
        <w:trPr>
          <w:trHeight w:val="142"/>
        </w:trPr>
        <w:tc>
          <w:tcPr>
            <w:tcW w:w="1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20" w:type="dxa"/>
            <w:vAlign w:val="bottom"/>
          </w:tcPr>
          <w:p>
            <w:pPr>
              <w:spacing w:after="0"/>
              <w:rPr>
                <w:sz w:val="12"/>
                <w:szCs w:val="12"/>
                <w:color w:val="auto"/>
              </w:rPr>
            </w:pPr>
          </w:p>
        </w:tc>
        <w:tc>
          <w:tcPr>
            <w:tcW w:w="39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to</w:t>
            </w:r>
          </w:p>
        </w:tc>
      </w:tr>
      <w:tr>
        <w:trPr>
          <w:trHeight w:val="308"/>
        </w:trPr>
        <w:tc>
          <w:tcPr>
            <w:tcW w:w="19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360" w:type="dxa"/>
            <w:vAlign w:val="bottom"/>
          </w:tcPr>
          <w:p>
            <w:pPr>
              <w:ind w:left="1140"/>
              <w:spacing w:after="0"/>
              <w:rPr>
                <w:sz w:val="20"/>
                <w:szCs w:val="20"/>
                <w:color w:val="auto"/>
              </w:rPr>
            </w:pPr>
            <w:r>
              <w:rPr>
                <w:rFonts w:ascii="Times New Roman" w:cs="Times New Roman" w:eastAsia="Times New Roman" w:hAnsi="Times New Roman"/>
                <w:sz w:val="14"/>
                <w:szCs w:val="14"/>
                <w:b w:val="1"/>
                <w:bCs w:val="1"/>
                <w:color w:val="auto"/>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BUILD-A-BEAR WORKSHOP,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jc w:val="center"/>
              <w:ind w:left="174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60" w:type="dxa"/>
            <w:vAlign w:val="bottom"/>
          </w:tcPr>
          <w:p>
            <w:pPr>
              <w:jc w:val="right"/>
              <w:ind w:right="2388"/>
              <w:spacing w:after="0"/>
              <w:rPr>
                <w:sz w:val="20"/>
                <w:szCs w:val="20"/>
                <w:color w:val="auto"/>
              </w:rPr>
            </w:pPr>
            <w:r>
              <w:rPr>
                <w:rFonts w:ascii="Times New Roman" w:cs="Times New Roman" w:eastAsia="Times New Roman" w:hAnsi="Times New Roman"/>
                <w:sz w:val="14"/>
                <w:szCs w:val="14"/>
                <w:b w:val="1"/>
                <w:bCs w:val="1"/>
                <w:color w:val="auto"/>
              </w:rPr>
              <w:t>43-1883836</w:t>
            </w:r>
          </w:p>
        </w:tc>
        <w:tc>
          <w:tcPr>
            <w:tcW w:w="0" w:type="dxa"/>
            <w:vAlign w:val="bottom"/>
          </w:tcPr>
          <w:p>
            <w:pPr>
              <w:spacing w:after="0"/>
              <w:rPr>
                <w:sz w:val="1"/>
                <w:szCs w:val="1"/>
                <w:color w:val="auto"/>
              </w:rPr>
            </w:pPr>
          </w:p>
        </w:tc>
      </w:tr>
      <w:tr>
        <w:trPr>
          <w:trHeight w:val="149"/>
        </w:trPr>
        <w:tc>
          <w:tcPr>
            <w:tcW w:w="3800" w:type="dxa"/>
            <w:vAlign w:val="bottom"/>
          </w:tcPr>
          <w:p>
            <w:pPr>
              <w:jc w:val="center"/>
              <w:ind w:left="176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(State or Other Jurisdiction of</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68"/>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(I.R.S. Employer</w:t>
            </w:r>
          </w:p>
        </w:tc>
        <w:tc>
          <w:tcPr>
            <w:tcW w:w="0" w:type="dxa"/>
            <w:vAlign w:val="bottom"/>
          </w:tcPr>
          <w:p>
            <w:pPr>
              <w:spacing w:after="0"/>
              <w:rPr>
                <w:sz w:val="1"/>
                <w:szCs w:val="1"/>
                <w:color w:val="auto"/>
              </w:rPr>
            </w:pPr>
          </w:p>
        </w:tc>
      </w:tr>
      <w:tr>
        <w:trPr>
          <w:trHeight w:val="192"/>
        </w:trPr>
        <w:tc>
          <w:tcPr>
            <w:tcW w:w="3800" w:type="dxa"/>
            <w:vAlign w:val="bottom"/>
          </w:tcPr>
          <w:p>
            <w:pPr>
              <w:jc w:val="center"/>
              <w:ind w:left="1748"/>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8"/>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p>
        </w:tc>
        <w:tc>
          <w:tcPr>
            <w:tcW w:w="0" w:type="dxa"/>
            <w:vAlign w:val="bottom"/>
          </w:tcPr>
          <w:p>
            <w:pPr>
              <w:spacing w:after="0"/>
              <w:rPr>
                <w:sz w:val="1"/>
                <w:szCs w:val="1"/>
                <w:color w:val="auto"/>
              </w:rPr>
            </w:pPr>
          </w:p>
        </w:tc>
      </w:tr>
      <w:tr>
        <w:trPr>
          <w:trHeight w:val="255"/>
        </w:trPr>
        <w:tc>
          <w:tcPr>
            <w:tcW w:w="3800" w:type="dxa"/>
            <w:vAlign w:val="bottom"/>
          </w:tcPr>
          <w:p>
            <w:pPr>
              <w:jc w:val="center"/>
              <w:ind w:left="1768"/>
              <w:spacing w:after="0"/>
              <w:rPr>
                <w:sz w:val="20"/>
                <w:szCs w:val="20"/>
                <w:color w:val="auto"/>
              </w:rPr>
            </w:pPr>
            <w:r>
              <w:rPr>
                <w:rFonts w:ascii="Times New Roman" w:cs="Times New Roman" w:eastAsia="Times New Roman" w:hAnsi="Times New Roman"/>
                <w:sz w:val="14"/>
                <w:szCs w:val="14"/>
                <w:b w:val="1"/>
                <w:bCs w:val="1"/>
                <w:color w:val="auto"/>
              </w:rPr>
              <w:t>415 South 18th St.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760" w:type="dxa"/>
            <w:vAlign w:val="bottom"/>
            <w:vMerge w:val="restart"/>
          </w:tcPr>
          <w:p>
            <w:pPr>
              <w:jc w:val="right"/>
              <w:ind w:right="2548"/>
              <w:spacing w:after="0"/>
              <w:rPr>
                <w:sz w:val="20"/>
                <w:szCs w:val="20"/>
                <w:color w:val="auto"/>
              </w:rPr>
            </w:pPr>
            <w:r>
              <w:rPr>
                <w:rFonts w:ascii="Times New Roman" w:cs="Times New Roman" w:eastAsia="Times New Roman" w:hAnsi="Times New Roman"/>
                <w:sz w:val="14"/>
                <w:szCs w:val="14"/>
                <w:b w:val="1"/>
                <w:bCs w:val="1"/>
                <w:color w:val="auto"/>
              </w:rPr>
              <w:t>63103</w:t>
            </w:r>
          </w:p>
        </w:tc>
        <w:tc>
          <w:tcPr>
            <w:tcW w:w="0" w:type="dxa"/>
            <w:vAlign w:val="bottom"/>
          </w:tcPr>
          <w:p>
            <w:pPr>
              <w:spacing w:after="0"/>
              <w:rPr>
                <w:sz w:val="1"/>
                <w:szCs w:val="1"/>
                <w:color w:val="auto"/>
              </w:rPr>
            </w:pPr>
          </w:p>
        </w:tc>
      </w:tr>
      <w:tr>
        <w:trPr>
          <w:trHeight w:val="147"/>
        </w:trPr>
        <w:tc>
          <w:tcPr>
            <w:tcW w:w="3800" w:type="dxa"/>
            <w:vAlign w:val="bottom"/>
          </w:tcPr>
          <w:p>
            <w:pPr>
              <w:jc w:val="center"/>
              <w:ind w:left="1768"/>
              <w:spacing w:after="0" w:line="147" w:lineRule="exact"/>
              <w:rPr>
                <w:sz w:val="20"/>
                <w:szCs w:val="20"/>
                <w:color w:val="auto"/>
              </w:rPr>
            </w:pPr>
            <w:r>
              <w:rPr>
                <w:rFonts w:ascii="Times New Roman" w:cs="Times New Roman" w:eastAsia="Times New Roman" w:hAnsi="Times New Roman"/>
                <w:sz w:val="14"/>
                <w:szCs w:val="14"/>
                <w:b w:val="1"/>
                <w:bCs w:val="1"/>
                <w:color w:val="auto"/>
              </w:rPr>
              <w:t>St. Louis, Missouri</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7480" w:type="dxa"/>
            <w:vAlign w:val="bottom"/>
            <w:gridSpan w:val="8"/>
          </w:tcPr>
          <w:p>
            <w:pPr>
              <w:jc w:val="center"/>
              <w:ind w:right="1860"/>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w:t>
            </w:r>
          </w:p>
        </w:tc>
        <w:tc>
          <w:tcPr>
            <w:tcW w:w="3760" w:type="dxa"/>
            <w:vAlign w:val="bottom"/>
          </w:tcPr>
          <w:p>
            <w:pPr>
              <w:jc w:val="center"/>
              <w:ind w:right="1788"/>
              <w:spacing w:after="0"/>
              <w:rPr>
                <w:sz w:val="20"/>
                <w:szCs w:val="20"/>
                <w:color w:val="auto"/>
              </w:rPr>
            </w:pPr>
            <w:r>
              <w:rPr>
                <w:rFonts w:ascii="Times New Roman" w:cs="Times New Roman" w:eastAsia="Times New Roman" w:hAnsi="Times New Roman"/>
                <w:sz w:val="14"/>
                <w:szCs w:val="14"/>
                <w:b w:val="1"/>
                <w:bCs w:val="1"/>
                <w:i w:val="1"/>
                <w:iCs w:val="1"/>
                <w:color w:val="auto"/>
              </w:rPr>
              <w:t>(Zip Code)</w:t>
            </w:r>
          </w:p>
        </w:tc>
        <w:tc>
          <w:tcPr>
            <w:tcW w:w="0" w:type="dxa"/>
            <w:vAlign w:val="bottom"/>
          </w:tcPr>
          <w:p>
            <w:pPr>
              <w:spacing w:after="0"/>
              <w:rPr>
                <w:sz w:val="1"/>
                <w:szCs w:val="1"/>
                <w:color w:val="auto"/>
              </w:rPr>
            </w:pPr>
          </w:p>
        </w:tc>
      </w:tr>
      <w:tr>
        <w:trPr>
          <w:trHeight w:val="253"/>
        </w:trPr>
        <w:tc>
          <w:tcPr>
            <w:tcW w:w="3800" w:type="dxa"/>
            <w:vAlign w:val="bottom"/>
          </w:tcPr>
          <w:p>
            <w:pPr>
              <w:spacing w:after="0"/>
              <w:rPr>
                <w:sz w:val="22"/>
                <w:szCs w:val="22"/>
                <w:color w:val="auto"/>
              </w:rPr>
            </w:pPr>
          </w:p>
        </w:tc>
        <w:tc>
          <w:tcPr>
            <w:tcW w:w="240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b w:val="1"/>
                <w:bCs w:val="1"/>
                <w:color w:val="auto"/>
              </w:rPr>
              <w:t>(314) 423-8000</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800" w:type="dxa"/>
            <w:vAlign w:val="bottom"/>
          </w:tcPr>
          <w:p>
            <w:pPr>
              <w:spacing w:after="0"/>
              <w:rPr>
                <w:sz w:val="16"/>
                <w:szCs w:val="16"/>
                <w:color w:val="auto"/>
              </w:rPr>
            </w:pPr>
          </w:p>
        </w:tc>
        <w:tc>
          <w:tcPr>
            <w:tcW w:w="368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3800" w:type="dxa"/>
            <w:vAlign w:val="bottom"/>
          </w:tcPr>
          <w:p>
            <w:pPr>
              <w:spacing w:after="0"/>
              <w:rPr>
                <w:sz w:val="24"/>
                <w:szCs w:val="24"/>
                <w:color w:val="auto"/>
              </w:rPr>
            </w:pPr>
          </w:p>
        </w:tc>
        <w:tc>
          <w:tcPr>
            <w:tcW w:w="368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80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800" w:type="dxa"/>
            <w:vAlign w:val="bottom"/>
            <w:tcBorders>
              <w:top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7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BBW</w:t>
            </w:r>
          </w:p>
        </w:tc>
        <w:tc>
          <w:tcPr>
            <w:tcW w:w="560" w:type="dxa"/>
            <w:vAlign w:val="bottom"/>
            <w:gridSpan w:val="2"/>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76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c>
          <w:tcPr>
            <w:tcW w:w="0" w:type="dxa"/>
            <w:vAlign w:val="bottom"/>
          </w:tcPr>
          <w:p>
            <w:pPr>
              <w:spacing w:after="0"/>
              <w:rPr>
                <w:sz w:val="1"/>
                <w:szCs w:val="1"/>
                <w:color w:val="auto"/>
              </w:rPr>
            </w:pP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290830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160"/>
          </w:cols>
          <w:pgMar w:left="320" w:top="121" w:right="41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63" w:lineRule="exact"/>
        <w:rPr>
          <w:sz w:val="20"/>
          <w:szCs w:val="20"/>
          <w:color w:val="auto"/>
        </w:rPr>
      </w:pPr>
    </w:p>
    <w:p>
      <w:pPr>
        <w:sectPr>
          <w:pgSz w:w="11900" w:h="16838" w:orient="portrait"/>
          <w:cols w:equalWidth="0" w:num="3">
            <w:col w:w="6760" w:space="140"/>
            <w:col w:w="420" w:space="180"/>
            <w:col w:w="3660"/>
          </w:cols>
          <w:pgMar w:left="320" w:top="121" w:right="41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81" w:lineRule="exact"/>
        <w:rPr>
          <w:sz w:val="20"/>
          <w:szCs w:val="20"/>
          <w:color w:val="auto"/>
        </w:rPr>
      </w:pPr>
    </w:p>
    <w:p>
      <w:pPr>
        <w:sectPr>
          <w:pgSz w:w="11900" w:h="16838" w:orient="portrait"/>
          <w:cols w:equalWidth="0" w:num="3">
            <w:col w:w="6900" w:space="140"/>
            <w:col w:w="400" w:space="180"/>
            <w:col w:w="3540"/>
          </w:cols>
          <w:pgMar w:left="320" w:top="121" w:right="419" w:bottom="1440" w:gutter="0" w:footer="0" w:header="0"/>
          <w:type w:val="continuous"/>
        </w:sectPr>
      </w:pPr>
    </w:p>
    <w:p>
      <w:pPr>
        <w:ind w:right="1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1" w:lineRule="exact"/>
        <w:rPr>
          <w:sz w:val="20"/>
          <w:szCs w:val="20"/>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0"/>
          <w:szCs w:val="20"/>
          <w:color w:val="auto"/>
        </w:rPr>
      </w:pPr>
    </w:p>
    <w:p>
      <w:pPr>
        <w:spacing w:after="0" w:line="161" w:lineRule="exact"/>
        <w:tabs>
          <w:tab w:leader="none" w:pos="2240" w:val="left"/>
          <w:tab w:leader="none" w:pos="4500" w:val="left"/>
          <w:tab w:leader="none" w:pos="6740" w:val="left"/>
          <w:tab w:leader="none" w:pos="89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1" w:lineRule="exact"/>
        <w:rPr>
          <w:sz w:val="20"/>
          <w:szCs w:val="20"/>
          <w:color w:val="auto"/>
        </w:rPr>
      </w:pPr>
    </w:p>
    <w:p>
      <w:pPr>
        <w:ind w:right="4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to not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1" w:lineRule="exact"/>
        <w:rPr>
          <w:sz w:val="20"/>
          <w:szCs w:val="20"/>
          <w:color w:val="auto"/>
        </w:rPr>
      </w:pPr>
    </w:p>
    <w:p>
      <w:pPr>
        <w:ind w:right="1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01" w:lineRule="exact"/>
        <w:rPr>
          <w:sz w:val="20"/>
          <w:szCs w:val="20"/>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0"/>
          <w:szCs w:val="20"/>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83" w:lineRule="exact"/>
        <w:rPr>
          <w:sz w:val="20"/>
          <w:szCs w:val="20"/>
          <w:color w:val="auto"/>
        </w:rPr>
      </w:pPr>
    </w:p>
    <w:p>
      <w:pPr>
        <w:spacing w:after="0" w:line="161" w:lineRule="exact"/>
        <w:tabs>
          <w:tab w:leader="none" w:pos="60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Yes</w:t>
      </w:r>
      <w:r>
        <w:rPr>
          <w:rFonts w:ascii="MS PGothic" w:cs="MS PGothic" w:eastAsia="MS PGothic" w:hAnsi="MS PGothic"/>
          <w:sz w:val="14"/>
          <w:szCs w:val="14"/>
          <w:color w:val="auto"/>
        </w:rPr>
        <w:t xml:space="preserve">  ☒ </w:t>
      </w:r>
      <w:r>
        <w:rPr>
          <w:rFonts w:ascii="Times New Roman" w:cs="Times New Roman" w:eastAsia="Times New Roman" w:hAnsi="Times New Roman"/>
          <w:sz w:val="14"/>
          <w:szCs w:val="14"/>
          <w:color w:val="auto"/>
        </w:rPr>
        <w:t>No</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There is no non-voting common equity. The aggregate market value of the common stock held by non-affiliates (based upon the closing price of $49.36 for the shares on the New York Stock Exchange on August 2, 2025) was $649.5 million as of August 2, 2025, the last business day of the registrant’s most recently completed second fiscal quarter.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April 14, 2026, there were 12,580,479 issued and outstanding shares of the registrant’s common stock.</w:t>
      </w:r>
    </w:p>
    <w:p>
      <w:pPr>
        <w:spacing w:after="0" w:line="13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Proxy Statement for its June 12, 2025, Annual Meeting of Stockholders are incorporated by reference into Part III of this Annual Report on Form 10-K where indicated. The Registrant’s definitive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606"/>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60" w:type="dxa"/>
            <w:vAlign w:val="bottom"/>
            <w:gridSpan w:val="1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8"/>
        </w:trPr>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60" w:type="dxa"/>
            <w:vAlign w:val="bottom"/>
            <w:gridSpan w:val="1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6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EE"/>
                <w:w w:val="88"/>
              </w:rPr>
              <w:t>4</w:t>
            </w:r>
          </w:p>
        </w:tc>
        <w:tc>
          <w:tcPr>
            <w:tcW w:w="240" w:type="dxa"/>
            <w:vAlign w:val="bottom"/>
          </w:tcPr>
          <w:p>
            <w:pPr>
              <w:spacing w:after="0"/>
              <w:rPr>
                <w:sz w:val="24"/>
                <w:szCs w:val="24"/>
                <w:color w:val="auto"/>
              </w:rPr>
            </w:pPr>
          </w:p>
        </w:tc>
      </w:tr>
      <w:tr>
        <w:trPr>
          <w:trHeight w:val="196"/>
        </w:trPr>
        <w:tc>
          <w:tcPr>
            <w:tcW w:w="6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0"/>
          </w:tcPr>
          <w:p>
            <w:pPr>
              <w:jc w:val="center"/>
              <w:ind w:right="5060"/>
              <w:spacing w:after="0" w:line="19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460" w:type="dxa"/>
            <w:vAlign w:val="bottom"/>
            <w:tcBorders>
              <w:top w:val="single" w:sz="8" w:color="0000EE"/>
            </w:tcBorders>
          </w:tcPr>
          <w:p>
            <w:pPr>
              <w:spacing w:after="0"/>
              <w:rPr>
                <w:sz w:val="17"/>
                <w:szCs w:val="17"/>
                <w:color w:val="auto"/>
              </w:rPr>
            </w:pPr>
          </w:p>
        </w:tc>
        <w:tc>
          <w:tcPr>
            <w:tcW w:w="5100" w:type="dxa"/>
            <w:vAlign w:val="bottom"/>
            <w:gridSpan w:val="8"/>
          </w:tcPr>
          <w:p>
            <w:pPr>
              <w:spacing w:after="0"/>
              <w:rPr>
                <w:sz w:val="17"/>
                <w:szCs w:val="17"/>
                <w:color w:val="auto"/>
              </w:rPr>
            </w:pPr>
          </w:p>
        </w:tc>
        <w:tc>
          <w:tcPr>
            <w:tcW w:w="3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EE"/>
                <w:w w:val="88"/>
              </w:rPr>
              <w:t>5</w:t>
            </w:r>
          </w:p>
        </w:tc>
        <w:tc>
          <w:tcPr>
            <w:tcW w:w="2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06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EE"/>
              </w:rPr>
              <w:t>Risk Factors</w:t>
            </w:r>
          </w:p>
        </w:tc>
        <w:tc>
          <w:tcPr>
            <w:tcW w:w="32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0000EE"/>
                <w:w w:val="88"/>
              </w:rPr>
              <w:t>9</w:t>
            </w:r>
          </w:p>
        </w:tc>
        <w:tc>
          <w:tcPr>
            <w:tcW w:w="2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100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21</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gridSpan w:val="7"/>
          </w:tcPr>
          <w:p>
            <w:pPr>
              <w:spacing w:after="0"/>
              <w:rPr>
                <w:sz w:val="17"/>
                <w:szCs w:val="17"/>
                <w:color w:val="auto"/>
              </w:rPr>
            </w:pPr>
          </w:p>
        </w:tc>
        <w:tc>
          <w:tcPr>
            <w:tcW w:w="7960" w:type="dxa"/>
            <w:vAlign w:val="bottom"/>
            <w:gridSpan w:val="17"/>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21</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280" w:type="dxa"/>
            <w:vAlign w:val="bottom"/>
            <w:gridSpan w:val="3"/>
          </w:tcPr>
          <w:p>
            <w:pPr>
              <w:spacing w:after="0"/>
              <w:rPr>
                <w:sz w:val="17"/>
                <w:szCs w:val="17"/>
                <w:color w:val="auto"/>
              </w:rPr>
            </w:pPr>
          </w:p>
        </w:tc>
        <w:tc>
          <w:tcPr>
            <w:tcW w:w="8980" w:type="dxa"/>
            <w:vAlign w:val="bottom"/>
            <w:gridSpan w:val="24"/>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23</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5"/>
              </w:rPr>
              <w:t>Legal Proceedings</w:t>
            </w:r>
          </w:p>
        </w:tc>
        <w:tc>
          <w:tcPr>
            <w:tcW w:w="8680" w:type="dxa"/>
            <w:vAlign w:val="bottom"/>
            <w:gridSpan w:val="23"/>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23</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23</w:t>
            </w:r>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gridSpan w:val="10"/>
          </w:tcPr>
          <w:p>
            <w:pPr>
              <w:jc w:val="center"/>
              <w:ind w:right="5080"/>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Part II</w:t>
            </w: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920" w:type="dxa"/>
            <w:vAlign w:val="bottom"/>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23</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gridSpan w:val="25"/>
          </w:tcPr>
          <w:p>
            <w:pPr>
              <w:spacing w:after="0"/>
              <w:rPr>
                <w:sz w:val="17"/>
                <w:szCs w:val="17"/>
                <w:color w:val="auto"/>
              </w:rPr>
            </w:pPr>
          </w:p>
        </w:tc>
        <w:tc>
          <w:tcPr>
            <w:tcW w:w="1920" w:type="dxa"/>
            <w:vAlign w:val="bottom"/>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25</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540" w:type="dxa"/>
            <w:vAlign w:val="bottom"/>
            <w:gridSpan w:val="4"/>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26</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106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7A. </w:t>
            </w:r>
            <w:r>
              <w:rPr>
                <w:rFonts w:ascii="Times New Roman" w:cs="Times New Roman" w:eastAsia="Times New Roman" w:hAnsi="Times New Roman"/>
                <w:sz w:val="18"/>
                <w:szCs w:val="18"/>
                <w:color w:val="0000EE"/>
              </w:rPr>
              <w:t>Quantitative and Qualitative Disclosures About Market Risk</w:t>
            </w: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36</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gridSpan w:val="2"/>
          </w:tcPr>
          <w:p>
            <w:pPr>
              <w:spacing w:after="0"/>
              <w:rPr>
                <w:sz w:val="17"/>
                <w:szCs w:val="17"/>
                <w:color w:val="auto"/>
              </w:rPr>
            </w:pPr>
          </w:p>
        </w:tc>
        <w:tc>
          <w:tcPr>
            <w:tcW w:w="5640" w:type="dxa"/>
            <w:vAlign w:val="bottom"/>
            <w:gridSpan w:val="12"/>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36</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520" w:type="dxa"/>
            <w:vAlign w:val="bottom"/>
            <w:gridSpan w:val="3"/>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36</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1068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auto"/>
              </w:rPr>
              <w:t xml:space="preserve">Item 9A. </w:t>
            </w:r>
            <w:r>
              <w:rPr>
                <w:rFonts w:ascii="Times New Roman" w:cs="Times New Roman" w:eastAsia="Times New Roman" w:hAnsi="Times New Roman"/>
                <w:sz w:val="18"/>
                <w:szCs w:val="18"/>
                <w:color w:val="0000EE"/>
              </w:rPr>
              <w:t>Controls and Procedures</w:t>
            </w: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37</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460" w:type="dxa"/>
            <w:vAlign w:val="bottom"/>
            <w:gridSpan w:val="4"/>
          </w:tcPr>
          <w:p>
            <w:pPr>
              <w:spacing w:after="0"/>
              <w:rPr>
                <w:sz w:val="17"/>
                <w:szCs w:val="17"/>
                <w:color w:val="auto"/>
              </w:rPr>
            </w:pPr>
          </w:p>
        </w:tc>
        <w:tc>
          <w:tcPr>
            <w:tcW w:w="8220" w:type="dxa"/>
            <w:vAlign w:val="bottom"/>
            <w:gridSpan w:val="19"/>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39</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100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39</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bottom w:val="single" w:sz="8" w:color="0000EE"/>
            </w:tcBorders>
            <w:gridSpan w:val="6"/>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50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900" w:type="dxa"/>
            <w:vAlign w:val="bottom"/>
            <w:gridSpan w:val="13"/>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39</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900" w:type="dxa"/>
            <w:vAlign w:val="bottom"/>
            <w:gridSpan w:val="13"/>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40</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700" w:type="dxa"/>
            <w:vAlign w:val="bottom"/>
            <w:gridSpan w:val="2"/>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40</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700" w:type="dxa"/>
            <w:vAlign w:val="bottom"/>
            <w:gridSpan w:val="2"/>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40</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600" w:type="dxa"/>
            <w:vAlign w:val="bottom"/>
            <w:gridSpan w:val="5"/>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40</w:t>
            </w:r>
          </w:p>
        </w:tc>
      </w:tr>
      <w:tr>
        <w:trPr>
          <w:trHeight w:val="196"/>
        </w:trPr>
        <w:tc>
          <w:tcPr>
            <w:tcW w:w="6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40" w:type="dxa"/>
            <w:vAlign w:val="bottom"/>
            <w:gridSpan w:val="12"/>
          </w:tcPr>
          <w:p>
            <w:pPr>
              <w:jc w:val="center"/>
              <w:ind w:right="5020"/>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Part IV</w:t>
            </w:r>
          </w:p>
        </w:tc>
        <w:tc>
          <w:tcPr>
            <w:tcW w:w="2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80" w:type="dxa"/>
            <w:vAlign w:val="bottom"/>
            <w:tcBorders>
              <w:top w:val="single" w:sz="8" w:color="0000EE"/>
            </w:tcBorders>
            <w:gridSpan w:val="4"/>
          </w:tcPr>
          <w:p>
            <w:pPr>
              <w:spacing w:after="0"/>
              <w:rPr>
                <w:sz w:val="17"/>
                <w:szCs w:val="17"/>
                <w:color w:val="auto"/>
              </w:rPr>
            </w:pPr>
          </w:p>
        </w:tc>
        <w:tc>
          <w:tcPr>
            <w:tcW w:w="5040" w:type="dxa"/>
            <w:vAlign w:val="bottom"/>
            <w:gridSpan w:val="7"/>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41</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6840" w:type="dxa"/>
            <w:vAlign w:val="bottom"/>
            <w:gridSpan w:val="1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gridSpan w:val="6"/>
          </w:tcPr>
          <w:p>
            <w:pPr>
              <w:spacing w:after="0"/>
              <w:rPr>
                <w:sz w:val="17"/>
                <w:szCs w:val="17"/>
                <w:color w:val="auto"/>
              </w:rPr>
            </w:pPr>
          </w:p>
        </w:tc>
        <w:tc>
          <w:tcPr>
            <w:tcW w:w="6840" w:type="dxa"/>
            <w:vAlign w:val="bottom"/>
            <w:gridSpan w:val="15"/>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71</w:t>
            </w: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8440" w:type="dxa"/>
            <w:vAlign w:val="bottom"/>
            <w:gridSpan w:val="21"/>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41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Exhibit Index</w:t>
            </w:r>
          </w:p>
        </w:tc>
        <w:tc>
          <w:tcPr>
            <w:tcW w:w="9680" w:type="dxa"/>
            <w:vAlign w:val="bottom"/>
            <w:gridSpan w:val="30"/>
          </w:tcPr>
          <w:p>
            <w:pPr>
              <w:spacing w:after="0"/>
              <w:rPr>
                <w:sz w:val="24"/>
                <w:szCs w:val="24"/>
                <w:color w:val="auto"/>
              </w:rPr>
            </w:pP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9"/>
              </w:rPr>
              <w:t>68</w:t>
            </w: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80" w:type="dxa"/>
            <w:vAlign w:val="bottom"/>
            <w:gridSpan w:val="30"/>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r>
      <w:tr>
        <w:trPr>
          <w:trHeight w:val="196"/>
        </w:trPr>
        <w:tc>
          <w:tcPr>
            <w:tcW w:w="10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9680" w:type="dxa"/>
            <w:vAlign w:val="bottom"/>
            <w:gridSpan w:val="30"/>
          </w:tcPr>
          <w:p>
            <w:pPr>
              <w:spacing w:after="0"/>
              <w:rPr>
                <w:sz w:val="17"/>
                <w:szCs w:val="17"/>
                <w:color w:val="auto"/>
              </w:rPr>
            </w:pPr>
          </w:p>
        </w:tc>
        <w:tc>
          <w:tcPr>
            <w:tcW w:w="56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72</w:t>
            </w:r>
          </w:p>
        </w:tc>
      </w:tr>
      <w:tr>
        <w:trPr>
          <w:trHeight w:val="453"/>
        </w:trPr>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320" w:type="dxa"/>
            <w:vAlign w:val="bottom"/>
            <w:gridSpan w:val="26"/>
          </w:tcPr>
          <w:p>
            <w:pPr>
              <w:jc w:val="center"/>
              <w:ind w:left="4310"/>
              <w:spacing w:after="0"/>
              <w:rPr>
                <w:sz w:val="20"/>
                <w:szCs w:val="20"/>
                <w:color w:val="auto"/>
              </w:rPr>
            </w:pPr>
            <w:r>
              <w:rPr>
                <w:rFonts w:ascii="Times New Roman" w:cs="Times New Roman" w:eastAsia="Times New Roman" w:hAnsi="Times New Roman"/>
                <w:sz w:val="18"/>
                <w:szCs w:val="18"/>
                <w:color w:val="auto"/>
                <w:w w:val="88"/>
              </w:rPr>
              <w:t>3</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“will,” “could,” “target,” “project,” “contemplate,”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87" w:lineRule="exact"/>
        <w:rPr>
          <w:sz w:val="20"/>
          <w:szCs w:val="20"/>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and the sufficiency of our cash generated from operations and borrowings under our credit facility;</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strategies and future strategic expansion initiatives;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rate of store relocations, openings and closures; and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costs related to store relocations, openings and closures.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 and may not contain all of the material factors that are important to you.</w:t>
      </w:r>
    </w:p>
    <w:p>
      <w:pPr>
        <w:spacing w:after="0" w:line="179"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10-K to the “Company,” “we,” “us,” and “our” refer to Build-A-Bear Workshop, Inc. and, where appropriate, its subsidiaries.</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discussion contains references to fiscal 2025, fiscal 2024 and fiscal 2023, which represent our fiscal years ending January 31, 2026, February 1, 2025 and February 3, 2024,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20" w:firstLine="486"/>
        <w:spacing w:after="0" w:line="220" w:lineRule="exact"/>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for children.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has evolved to become a leading global "retailtainment" brand on a mission to add a little more heart to life. At Build-A-Bear, guests are invited to create personalized furry friends through a unique stuffing, dressing, accessorizing and naming process, accentuated by a memorable Heart Ceremony that creates moments of connection for people of all ages. Over the years,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has grown into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generational phenomenon, positioned at the intersection of pop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culture trends. Beyond its signature retail experience, our brand also offers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stuffed plush, gifting, partnerships with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licensed and collectible characters, and original storytelling through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Entertainment, LLC.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Bear’s current brand platform and message, “The Stuff You Love,” crosses ages and cultures while celebrating nearly 30 years of helping people mark life’s meaningful moments.</w:t>
      </w:r>
    </w:p>
    <w:p>
      <w:pPr>
        <w:spacing w:after="0" w:line="200" w:lineRule="exact"/>
        <w:rPr>
          <w:sz w:val="20"/>
          <w:szCs w:val="20"/>
          <w:color w:val="auto"/>
        </w:rPr>
      </w:pPr>
    </w:p>
    <w:p>
      <w:pPr>
        <w:spacing w:after="0" w:line="205"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The Build-A-Bear brand has high consumer awareness and positive affinity, and we leverage our brand strength to expand the footprint of our retail experience locations through a range of store sizes, formats, and locations, including tourist destinations. In addition to growing our corporately-managed store footprint, we are also growing through partner-operated and franchise locations, particularly for our international expansion. Our ongoing digital transformation, which touches our e-commerce business, consumer loyalty program, and digital content, has led to omnichannel growth over the past several years. Build-A-Bear's pop-culture appeal plays a key role in expanding our total addressable market beyond children to teens and adults with sports licensing, collectible and gifting offerings, as well as to categories beyond plush.</w:t>
      </w:r>
    </w:p>
    <w:p>
      <w:pPr>
        <w:spacing w:after="0" w:line="187"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As of January 31, 2026, the Company had 662 global locations through a combination of its corporately-managed, partner-operated, and franchise models. This reflects 375 corporately-managed locations, including 333 stores in the United States (“U.S.”) and Canada and 42 stores in the United Kingdom (“U.K.”) and the Republic of Ireland, 178 partner-operated locations in which we sell our products on a wholesale basis to other companies that then, in turn, execute our retail experience, and 109 franchise locations operating internationally, all under the Build-A-Bear Workshop brand. In addition to these stores, we sell products on our company-owned e-commerce sites and third-party marketplace sites, our franchisees sell products through sites that they manage as well as other third-party marketplace sites. Additionally, other parties sell our products on their sites under wholesale agreements. For the 2025 fiscal year, the Company had net new unit growth of 64 experience locations, comprised of seven corporately managed locations, 40 partner-operated locations, and 17 international franchise locations.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Geographic Areas</w:t>
      </w:r>
    </w:p>
    <w:p>
      <w:pPr>
        <w:spacing w:after="0" w:line="229"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Our 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by geographic area.</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Operations</w:t>
      </w:r>
    </w:p>
    <w:p>
      <w:pPr>
        <w:spacing w:after="0" w:line="229" w:lineRule="exact"/>
        <w:rPr>
          <w:sz w:val="20"/>
          <w:szCs w:val="20"/>
          <w:color w:val="auto"/>
        </w:rPr>
      </w:pPr>
    </w:p>
    <w:p>
      <w:pPr>
        <w:jc w:val="both"/>
        <w:ind w:left="20" w:firstLine="486"/>
        <w:spacing w:after="0" w:line="252"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corporately-operated experience locations that feature a unique combination of interactivity and product in which guests can “make their own” furry friends by participating in the stuffing, dressing, accessorizing and naming of their own teddy bears and other stuffed animals along with the now-famous Heart Ceremony that helps to make the experience memorable by bringing the furry friend to "life." Our retail footprint also comprises both domestic and international partner-operated and franchise locations that extend our unique combination of experience and product beyond our corporately-operated locations. We also operate buildabear.com that serves as an information and communications tool to plan a store visit as well as an e-commerce platform that focuses on gift-giving, collectible merchandise and licensed products that appeal to consumers that have an affinity for characters from a range of entertainment, sports, art, and gaming properties. Our engaging digital purchasing experiences include our online “Bear-Builder” and an age-gated adult-focused “Bear Cave” microsite. Our retail stores also act as “mini distribution centers” that provide efficient omnichannel support for our digital demand. While the primary consumer target for our retail stores is families with children,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40" w:firstLine="486"/>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Strategies</w:t>
      </w:r>
    </w:p>
    <w:p>
      <w:pPr>
        <w:spacing w:after="0" w:line="229" w:lineRule="exact"/>
        <w:rPr>
          <w:sz w:val="20"/>
          <w:szCs w:val="20"/>
          <w:color w:val="auto"/>
        </w:rPr>
      </w:pPr>
    </w:p>
    <w:p>
      <w:pPr>
        <w:jc w:val="both"/>
        <w:ind w:left="40" w:firstLine="486"/>
        <w:spacing w:after="0" w:line="258" w:lineRule="auto"/>
        <w:rPr>
          <w:sz w:val="20"/>
          <w:szCs w:val="20"/>
          <w:color w:val="auto"/>
        </w:rPr>
      </w:pPr>
      <w:r>
        <w:rPr>
          <w:rFonts w:ascii="Times New Roman" w:cs="Times New Roman" w:eastAsia="Times New Roman" w:hAnsi="Times New Roman"/>
          <w:sz w:val="18"/>
          <w:szCs w:val="18"/>
          <w:color w:val="auto"/>
        </w:rPr>
        <w:t>Our operating strategies have enabled us to build a strong foundation while continuing to invest in the brand’s iconic status, diversifying and growing the business by reaching more consumers, in more places, with more products, for more occasions. Upon that foundation, we have evolved to focus on scaling our company through a four-pillar strategic framework, supported by four platform areas. These four pillars are intended to leverage the strength of the brand to drive incremental revenue, with pillars one and two continuing to activate proven strategies, with an expectation that they will help fund the expansion into the newer revenue streams represented by pillars three and four.</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four pillars are as follows:</w:t>
      </w:r>
    </w:p>
    <w:p>
      <w:pPr>
        <w:spacing w:after="0" w:line="225" w:lineRule="exact"/>
        <w:rPr>
          <w:sz w:val="20"/>
          <w:szCs w:val="20"/>
          <w:color w:val="auto"/>
        </w:rPr>
      </w:pPr>
    </w:p>
    <w:p>
      <w:pPr>
        <w:jc w:val="both"/>
        <w:ind w:left="540" w:hanging="330"/>
        <w:spacing w:after="0" w:line="244" w:lineRule="auto"/>
        <w:tabs>
          <w:tab w:leader="none" w:pos="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Pillar One is Organic Growth.</w:t>
      </w:r>
      <w:r>
        <w:rPr>
          <w:rFonts w:ascii="Times New Roman" w:cs="Times New Roman" w:eastAsia="Times New Roman" w:hAnsi="Times New Roman"/>
          <w:sz w:val="18"/>
          <w:szCs w:val="18"/>
          <w:color w:val="auto"/>
        </w:rPr>
        <w:t xml:space="preserve"> While we expect to add new and faster-growing revenue streams over time, we must also continue to drive our core business. We plan to do this by optimizing our omnichannel model via deeper integration, greater visibility, and more meaningful engagement with guests to improve lifetime value. Our physical experience locations remain critical in building the strength of the Build-A-Bear brand with our core kid consumer. At the same time, our e-commerce business remains our single largest store, serving as a key information destination and a highly complementary channel that extends our reach beyond the core by over-indexing with teen and adult gifting and collectible consumers.</w:t>
      </w:r>
    </w:p>
    <w:p>
      <w:pPr>
        <w:spacing w:after="0" w:line="197" w:lineRule="exact"/>
        <w:rPr>
          <w:rFonts w:ascii="Times New Roman" w:cs="Times New Roman" w:eastAsia="Times New Roman" w:hAnsi="Times New Roman"/>
          <w:sz w:val="22"/>
          <w:szCs w:val="22"/>
          <w:color w:val="auto"/>
        </w:rPr>
      </w:pPr>
    </w:p>
    <w:p>
      <w:pPr>
        <w:jc w:val="both"/>
        <w:ind w:left="540" w:hanging="330"/>
        <w:spacing w:after="0" w:line="243" w:lineRule="auto"/>
        <w:tabs>
          <w:tab w:leader="none" w:pos="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Pillar Two is Location Expansion.</w:t>
      </w:r>
      <w:r>
        <w:rPr>
          <w:rFonts w:ascii="Times New Roman" w:cs="Times New Roman" w:eastAsia="Times New Roman" w:hAnsi="Times New Roman"/>
          <w:sz w:val="18"/>
          <w:szCs w:val="18"/>
          <w:color w:val="auto"/>
        </w:rPr>
        <w:t xml:space="preserve"> We expect to continue growing our experiential location footprint across all three retail business models, including corporately operated, partner-operated, and franchise, with a particular focus on international growth through our asset-light partner-operated approach. We expect to continue opening across global locations, in a broad range of formats, from smaller shop-in-shops to larger, tourist-destination locations.</w:t>
      </w:r>
    </w:p>
    <w:p>
      <w:pPr>
        <w:spacing w:after="0" w:line="195" w:lineRule="exact"/>
        <w:rPr>
          <w:rFonts w:ascii="Times New Roman" w:cs="Times New Roman" w:eastAsia="Times New Roman" w:hAnsi="Times New Roman"/>
          <w:sz w:val="22"/>
          <w:szCs w:val="22"/>
          <w:color w:val="auto"/>
        </w:rPr>
      </w:pPr>
    </w:p>
    <w:p>
      <w:pPr>
        <w:jc w:val="both"/>
        <w:ind w:left="540" w:hanging="330"/>
        <w:spacing w:after="0" w:line="246" w:lineRule="auto"/>
        <w:tabs>
          <w:tab w:leader="none" w:pos="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Pillar Three is Wholesale and Outbound Brand Licensing</w:t>
      </w:r>
      <w:r>
        <w:rPr>
          <w:rFonts w:ascii="Times New Roman" w:cs="Times New Roman" w:eastAsia="Times New Roman" w:hAnsi="Times New Roman"/>
          <w:sz w:val="18"/>
          <w:szCs w:val="18"/>
          <w:color w:val="auto"/>
        </w:rPr>
        <w:t>. We are enhancing our capabilities, from systems to sourcing to replenishment, to be able to seamlessly sell branded pre-stuffed products based on a variety of form factors, to traditional wholesale customers beyond our experience locations. This effort is not only designed to drive incremental revenue but also to extend the brand presence to tens of thousands of new points of sale. We also intend to leverage our nearly 30 years of multi-generational brand equity to access substantial whitespace and enter adjacent non-plush categories through outbound licensing relationships, again, to bring Build-A-Bear-branded items to more places. Importantly, we view these additional spaces as complementary to our Workshops, with the intention of ultimately serving as a mechanism for awareness and trial, driving more traffic to our stores for the full Build-A-Bear experience.</w:t>
      </w:r>
    </w:p>
    <w:p>
      <w:pPr>
        <w:spacing w:after="0" w:line="195" w:lineRule="exact"/>
        <w:rPr>
          <w:rFonts w:ascii="Times New Roman" w:cs="Times New Roman" w:eastAsia="Times New Roman" w:hAnsi="Times New Roman"/>
          <w:sz w:val="22"/>
          <w:szCs w:val="22"/>
          <w:color w:val="auto"/>
        </w:rPr>
      </w:pPr>
    </w:p>
    <w:p>
      <w:pPr>
        <w:jc w:val="both"/>
        <w:ind w:left="540" w:hanging="330"/>
        <w:spacing w:after="0" w:line="244" w:lineRule="auto"/>
        <w:tabs>
          <w:tab w:leader="none" w:pos="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Pillar Four is Gifting and Personalization</w:t>
      </w:r>
      <w:r>
        <w:rPr>
          <w:rFonts w:ascii="Times New Roman" w:cs="Times New Roman" w:eastAsia="Times New Roman" w:hAnsi="Times New Roman"/>
          <w:sz w:val="18"/>
          <w:szCs w:val="18"/>
          <w:color w:val="auto"/>
        </w:rPr>
        <w:t>. This pillar is designed to gain more share of the growing multi-billion-dollar gifting and personalization markets. Build-A-Bear offers beloved gifts that creates memories for both the gift-giver and recipient across multiple age groups and occasions. With over one-third of our revenue currently driven by birthdays, we have already proven that the brand is associated with gifting occasions but believe there is a robust opportunity to expand into gifts for more of life’s special moments, with our powerful brand and personalization options serving as an important competitive point of difference.</w:t>
      </w:r>
    </w:p>
    <w:p>
      <w:pPr>
        <w:spacing w:after="0" w:line="197" w:lineRule="exact"/>
        <w:rPr>
          <w:sz w:val="20"/>
          <w:szCs w:val="20"/>
          <w:color w:val="auto"/>
        </w:rPr>
      </w:pPr>
    </w:p>
    <w:p>
      <w:pPr>
        <w:ind w:left="40" w:firstLine="486"/>
        <w:spacing w:after="0" w:line="282" w:lineRule="auto"/>
        <w:rPr>
          <w:sz w:val="20"/>
          <w:szCs w:val="20"/>
          <w:color w:val="auto"/>
        </w:rPr>
      </w:pPr>
      <w:r>
        <w:rPr>
          <w:rFonts w:ascii="Times New Roman" w:cs="Times New Roman" w:eastAsia="Times New Roman" w:hAnsi="Times New Roman"/>
          <w:sz w:val="18"/>
          <w:szCs w:val="18"/>
          <w:color w:val="auto"/>
        </w:rPr>
        <w:t>These four pillars are enabled by our continued focus on four platform areas that span each of the pillars and support their continued growth. The four platforms are as follows:</w:t>
      </w:r>
    </w:p>
    <w:p>
      <w:pPr>
        <w:spacing w:after="0" w:line="162" w:lineRule="exact"/>
        <w:rPr>
          <w:sz w:val="20"/>
          <w:szCs w:val="20"/>
          <w:color w:val="auto"/>
        </w:rPr>
      </w:pPr>
    </w:p>
    <w:p>
      <w:pPr>
        <w:jc w:val="both"/>
        <w:ind w:left="540" w:hanging="330"/>
        <w:spacing w:after="0" w:line="239" w:lineRule="auto"/>
        <w:tabs>
          <w:tab w:leader="none" w:pos="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Platform One is Enhance Brand.</w:t>
      </w:r>
      <w:r>
        <w:rPr>
          <w:rFonts w:ascii="Times New Roman" w:cs="Times New Roman" w:eastAsia="Times New Roman" w:hAnsi="Times New Roman"/>
          <w:sz w:val="18"/>
          <w:szCs w:val="18"/>
          <w:color w:val="auto"/>
        </w:rPr>
        <w:t xml:space="preserve"> Building our brand is core to our long-term growth, as it is the cornerstone of our ability to bring the unique and memorable Build-A-Bear experience to more guests around the world. We leverage innovative, brand-aligned marketing strategies to reach and engage our guests to enhance their affinity with and trust of Build-A-Bear.</w:t>
      </w:r>
    </w:p>
    <w:p>
      <w:pPr>
        <w:spacing w:after="0" w:line="199" w:lineRule="exact"/>
        <w:rPr>
          <w:rFonts w:ascii="Times New Roman" w:cs="Times New Roman" w:eastAsia="Times New Roman" w:hAnsi="Times New Roman"/>
          <w:sz w:val="22"/>
          <w:szCs w:val="22"/>
          <w:color w:val="auto"/>
        </w:rPr>
      </w:pPr>
    </w:p>
    <w:p>
      <w:pPr>
        <w:jc w:val="both"/>
        <w:ind w:left="540" w:hanging="330"/>
        <w:spacing w:after="0" w:line="243" w:lineRule="auto"/>
        <w:tabs>
          <w:tab w:leader="none" w:pos="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Platform Two is Leverage Content.</w:t>
      </w:r>
      <w:r>
        <w:rPr>
          <w:rFonts w:ascii="Times New Roman" w:cs="Times New Roman" w:eastAsia="Times New Roman" w:hAnsi="Times New Roman"/>
          <w:sz w:val="18"/>
          <w:szCs w:val="18"/>
          <w:color w:val="auto"/>
        </w:rPr>
        <w:t xml:space="preserve"> We drive elevated consumer engagement with Build-A-Bear through the strategic integration of product and experience across several different content strategies, including: stories that we tell through the launches of seasonal collections; owned Intellectual Property that can evolve from a screen-based character into plush; and partnerships with licensed brands for whom we can create unique “make-your-own” plush interpretations of their beloved characters.</w:t>
      </w:r>
    </w:p>
    <w:p>
      <w:pPr>
        <w:spacing w:after="0" w:line="195" w:lineRule="exact"/>
        <w:rPr>
          <w:rFonts w:ascii="Times New Roman" w:cs="Times New Roman" w:eastAsia="Times New Roman" w:hAnsi="Times New Roman"/>
          <w:sz w:val="22"/>
          <w:szCs w:val="22"/>
          <w:color w:val="auto"/>
        </w:rPr>
      </w:pPr>
    </w:p>
    <w:p>
      <w:pPr>
        <w:ind w:left="540" w:right="20" w:hanging="330"/>
        <w:spacing w:after="0" w:line="234" w:lineRule="auto"/>
        <w:tabs>
          <w:tab w:leader="none" w:pos="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Platform Three is Evolve Technology.</w:t>
      </w:r>
      <w:r>
        <w:rPr>
          <w:rFonts w:ascii="Times New Roman" w:cs="Times New Roman" w:eastAsia="Times New Roman" w:hAnsi="Times New Roman"/>
          <w:sz w:val="18"/>
          <w:szCs w:val="18"/>
          <w:color w:val="auto"/>
        </w:rPr>
        <w:t xml:space="preserve"> We strategically evolve our technological infrastructure as needed to support our future growth and make data-driven decisions that allow us to scale more effectively.</w:t>
      </w:r>
    </w:p>
    <w:p>
      <w:pPr>
        <w:spacing w:after="0" w:line="199" w:lineRule="exact"/>
        <w:rPr>
          <w:rFonts w:ascii="Times New Roman" w:cs="Times New Roman" w:eastAsia="Times New Roman" w:hAnsi="Times New Roman"/>
          <w:sz w:val="22"/>
          <w:szCs w:val="22"/>
          <w:color w:val="auto"/>
        </w:rPr>
      </w:pPr>
    </w:p>
    <w:p>
      <w:pPr>
        <w:ind w:left="540" w:right="20" w:hanging="330"/>
        <w:spacing w:after="0" w:line="234" w:lineRule="auto"/>
        <w:tabs>
          <w:tab w:leader="none" w:pos="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Platform Four is Elevate Organization.</w:t>
      </w:r>
      <w:r>
        <w:rPr>
          <w:rFonts w:ascii="Times New Roman" w:cs="Times New Roman" w:eastAsia="Times New Roman" w:hAnsi="Times New Roman"/>
          <w:sz w:val="18"/>
          <w:szCs w:val="18"/>
          <w:color w:val="auto"/>
        </w:rPr>
        <w:t xml:space="preserve"> We elevate our workforce to support the capabilities required for growth both through the development of current talent and the strategic addition of new team members to our organization.</w:t>
      </w:r>
    </w:p>
    <w:p>
      <w:pPr>
        <w:sectPr>
          <w:pgSz w:w="11900" w:h="16838" w:orient="portrait"/>
          <w:cols w:equalWidth="0" w:num="1">
            <w:col w:w="11280"/>
          </w:cols>
          <w:pgMar w:left="280" w:top="121" w:right="339" w:bottom="1440" w:gutter="0" w:footer="0" w:header="0"/>
        </w:sectPr>
      </w:pP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Merchandise Sourcing and Inventory Management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stores and e-commerce sites offer an extensive and coordinated selection of merchandise, including a wide range of different styles of plush products to be stuffed, pre-stuffed plush products, sounds and scents that can be added to the stuffed animals and a broad variety of clothing, shoes and accessories, as well as other brand appropriate toy and novelty items, sourced from multiple vendors primarily in China and Vietnam. Our plush products and clothing are produced from high quality, man-made materials or natural fibers, and the stuffing is made of a high-grade polyester fiber.</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committed to complying with governmental safety requirements specific to each product category and country where there are Build-A-Bear Workshop locations. Specifically, we believe all of the toy products sold in our stores and through our e-commerce sites meet Consumer Product Safety Commission (CPSC) requirements including the Consumer Product Safety Improvement Act (CPSIA) for children’s products. We also believe we comply with American Society for Testing and Materials (ASTM-F963), European Toy Safety Standards (EN71), China National Toy Standards (GB6675/GB5296.5), China Compulsory Certification (CCC), Australian/New Zealand Standard (AS/NZS 8124), Canadian Consumer Product Safety Act Toys Regulation (CCPSA), Chile Standard on Safety of Toys NCh 3251 and India Safety of Toys (IS:9873). Our products are tested through independent third-party testing labs for compliance with toy safety standards. Packaging and labels for each product indicate the age grading for the product and any special warnings in accordance with guidelines established by the CPSC or other applicable authority. We require our supplier factories to be compliant with the International Council of Toy Industries (ICTI) Ethical Toy Program certification or with other comparable third-party social compliance programs. The ICTI Ethical Toy Program process is a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the average time from product conception to the arrival in stores has been approximately 12 months, including approximately 90 to 150 days from the beginning of production to in-store delivery. Through an ongoing analysis of selling trends, we regularly update our product assortment by increasing quantities of productive styles and eliminating less productive styles. Our relationships with our vendors generally are on a purchase order basis without contractual obligation to provide adequate supply or acceptable pricing on a long-term basis.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31, 2026, our inventory balance was $82.2 million, an increase of $12.4 million compared to February 1, 2025 driven by higher tariffs and inventory levels required to support expected increased sales activity. We are comfortable with the composition and level of our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Logistics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own a 350,000 square-foot distribution center in Groveport, Ohio (near Columbus), that services the majority of our stores in the U.S. and Canada. We also contract with a third-party warehouse in southern California to service our West Coast stores. The contract has a one-year term and is renewable. In Europe, we contract with a third-party distribution center in Selby, England under an agreement guaranteed through January 2026, which is currently continuing because neither party has terminated the agreement, to fulfill our store and e-commerce fulfillment needs. This agreement contains clauses that allow for termination if certain performance criteria are not met. In Asia, we contract for office space and a third-party distribution center in Shanghai, China, with the office space contract ending in August 2026 and the distribution center contract ending in April 2026, with both contracts expected to be renewed before their respective expiration dates.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Transportation from the warehouses to stores is managed by several third-party logistics providers. In the U.S.,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every other week or once a week on a regular schedule, which allows us to consolidate shipments in order to reduce distribution and shipping costs. Back-up supplies, such as stuffing for the plush animals, are often stored in limited amounts at regional pool points.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During fiscal 2020, we introduced "Buy Online, Ship From Store" and "Buy Online, Pick Up In Store" for orders placed in the U.S. and "Click and Collect" for orders placed in the U.K. These ongoing programs allow our brick-and-mortar locations to operate essentially as mini distribution centers allowing us to leverage the geographic proximity of stores, available inventory and labor to fulfill digital demand.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227"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As of January 31, 2026, we had approximately 1,200 full-time and 4,300 part-time employees in the U.S., Canada, China, the UK, and the Republic of Ireland. The number of part-time employees at all locations fluctuates depending on our seasonal needs. We believe our relationship with our employees is positive. Recently, unions have attempted to organize our employees at a small number of corporately-managed stores in the U.S. with employees at one location voting to unionize in December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Culture</w:t>
      </w:r>
    </w:p>
    <w:p>
      <w:pPr>
        <w:spacing w:after="0" w:line="227"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Our mission statement is to "add a little more heart to life." This tenet guides both the experience that we provide our guests and the way we treat our fellow associates, vendors and partners. Every day, we work to create a unique and fun environment that values and promotes teamwork and individual contributions. In accordance with our company values, our culture goals include collaboration, fostering a learning culture, and looking for new possibilities to help us strive for breakthrough results.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27" w:lineRule="exact"/>
        <w:rPr>
          <w:sz w:val="20"/>
          <w:szCs w:val="20"/>
          <w:color w:val="auto"/>
        </w:rPr>
      </w:pPr>
    </w:p>
    <w:p>
      <w:pPr>
        <w:jc w:val="both"/>
        <w:ind w:left="20" w:firstLine="486"/>
        <w:spacing w:after="0" w:line="254" w:lineRule="auto"/>
        <w:rPr>
          <w:sz w:val="20"/>
          <w:szCs w:val="20"/>
          <w:color w:val="auto"/>
        </w:rPr>
      </w:pPr>
      <w:r>
        <w:rPr>
          <w:rFonts w:ascii="Times New Roman" w:cs="Times New Roman" w:eastAsia="Times New Roman" w:hAnsi="Times New Roman"/>
          <w:sz w:val="18"/>
          <w:szCs w:val="18"/>
          <w:color w:val="auto"/>
        </w:rPr>
        <w:t>We encourage our teams to acknowledge success, recognize individual and team contributions, and to have fun along the way. It is important for our associates to feel that they are a part of a bigger mission to spread joy around the world because, as our founder Maxine Clark said, "a teddy bear hug is understood in every language." We pride ourselves on cultivating engaging connections with associates such as regular Global Bearquarters Meetings, Experience First Fun (monthly in-person events), philanthropic team-building events via our Foundation and periodically scheduled events that facilitate direct access to our leadership team.</w:t>
      </w:r>
    </w:p>
    <w:p>
      <w:pPr>
        <w:spacing w:after="0" w:line="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 Oversight</w:t>
      </w:r>
    </w:p>
    <w:p>
      <w:pPr>
        <w:spacing w:after="0" w:line="207"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Our recruitment is all about finding the perfect fit for each position. We seek out individuals who will thrive and contribute to our special Bear family. Our Build-A-Bear HR teams scout for the best talent to fill a wide variety of roles and functions. They rely on various avenues to support their efforts, including internal job placements and promotions, career websites, social media, internships, and temporary hiring services, as well as guests who have a desire to join our team. We have set a minimum age of 18 to work in our stores, Bearhouse, and Bearquarters. We ensure the right fit by providing each of our managers access to digital surveys completed by candidates, as well as interview guides to ensure rigorous interviews are completed. Reference checks and psychological tests are also utilized to help ensure that candidates values align with our mission and vision.</w:t>
      </w:r>
    </w:p>
    <w:p>
      <w:pPr>
        <w:spacing w:after="0" w:line="187"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Once hired, our field talent development strategy focuses on the entire employee lifecycle. We provide comprehensive training programs that are tailored to different roles and responsibilities, both when employees join the Company and on an ongoing basis. We strive to nurture organizational capabilities through associate development, programs, and processes that help Build-A-Bear achieve its vision. Learning never stops at our Company as we are committed to the development of our people and take a promote-from-within approach. We help our associates develop their skills and build their confidence to be the best versions of themselves.</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Compensation Philosophy, Benefits, and Wellness</w:t>
      </w:r>
    </w:p>
    <w:p>
      <w:pPr>
        <w:spacing w:after="0" w:line="227"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Our approach to compensation focuses on consistency, performance, and fairness across our offices, distribution centers, and stores world-wide. We have conducted compensation risk assessments to evaluate our pay practices and policies to help identify if there are high-risk compensation plans and assist us in better understanding which plans may pose moderate risks. Results of the assessments are shared with the Compensation and Human Capital Committee of our Board of Directors to inform its review of the Company's base salary and bonus initiatives, incentive bonus framework, as well as executive and director compensations assessments.</w:t>
      </w:r>
    </w:p>
    <w:p>
      <w:pPr>
        <w:spacing w:after="0" w:line="183"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We continuously strive to make Build-A-Bear a fun place and make it a point to care about the health, well-being, and long-term financial security of our associates and their families. We achieve this with our comprehensive health coverage and other important employee benefits including paid time off, savings and retirement benefits, and life and disability insurance. We also provide an online corporate perquisites program, a scholarship program, as well as employee assistance programs, most notably the Beverly Fund, administered through Build-A-Bear Foundation, which was created to honor one of our associates who lost their battle with cancer.</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Giving Back: Philanthropy and Social Impact</w:t>
      </w:r>
    </w:p>
    <w:p>
      <w:pPr>
        <w:spacing w:after="0" w:line="227"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The act of giving – providing support and caring for one another – is one of our core values and has been a pillar of our brand throughout our history. Our giving program comes to life through the work of Build-A-Bear Foundation and the generous acts of our associates and guests. Founded in 2004, the Build-A-Bear Foundation is the charitable arm of our Company. Its mission is to add a little more to life by sharing hugs, inspiring creativity, and supporting those in need. We partner with many organizations to share books, bears and amazing experiences across the globe.</w:t>
      </w:r>
    </w:p>
    <w:p>
      <w:pPr>
        <w:spacing w:after="0" w:line="180" w:lineRule="exact"/>
        <w:rPr>
          <w:sz w:val="20"/>
          <w:szCs w:val="20"/>
          <w:color w:val="auto"/>
        </w:rPr>
      </w:pPr>
    </w:p>
    <w:p>
      <w:pPr>
        <w:jc w:val="both"/>
        <w:ind w:left="20" w:firstLine="486"/>
        <w:spacing w:after="0" w:line="266" w:lineRule="auto"/>
        <w:rPr>
          <w:sz w:val="20"/>
          <w:szCs w:val="20"/>
          <w:color w:val="auto"/>
        </w:rPr>
      </w:pPr>
      <w:r>
        <w:rPr>
          <w:rFonts w:ascii="Times New Roman" w:cs="Times New Roman" w:eastAsia="Times New Roman" w:hAnsi="Times New Roman"/>
          <w:sz w:val="18"/>
          <w:szCs w:val="18"/>
          <w:color w:val="auto"/>
        </w:rPr>
        <w:t>Our giving strategy is driven by three impactful programs: The Build-A-Bear Foundation Literacy Programs, the Hearts’ ‘n’ ‘Hugs Fund and charitable partnerships that cultivate community strength and impact by funding remarkable organizations that empower people to overcome serious challenges and meet the diverse needs in our communities.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As our company has diversified and evolved, we view our competition through a number of categories. For our retail stores, we view the Build-A-Bear Workshop store experience as a distinctive combination of entertainment and retail with limited direct competition. 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sectPr>
          <w:pgSz w:w="11900" w:h="16838" w:orient="portrait"/>
          <w:cols w:equalWidth="0" w:num="1">
            <w:col w:w="11260"/>
          </w:cols>
          <w:pgMar w:left="300" w:top="121" w:right="339" w:bottom="0" w:gutter="0" w:footer="0" w:header="0"/>
        </w:sectPr>
      </w:pPr>
    </w:p>
    <w:bookmarkStart w:id="8" w:name="page9"/>
    <w:bookmarkEnd w:id="8"/>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Since our signature products, teddy bears and other stuffed animals, are included in the toy category, we compete indirectly with a number of companies that sell plush products or premium children’s toys, including, but not limited to, Ty, Jellycat, Jazwares, Hasbro, Pop Mart, Mattel and Lego. We also compete with toy retailers including online and mass merchandisers such as Amazon and Target.</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because approximately one-third of our business is associated with birthdays and/or parties and as our gift-giving and affinity business has grown, our competition has also expanded to include gift-giving and collectibles businesses as well as companies that compete for family leisure time and entertainment dollars such as movie theaters, amusement parks, arcades, and party 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Trademarks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do not expire until the years 2032 and 2033.</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developed licensing and strategic relationships with leading retail and cultural organizations. We plan to continue to collaborate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Sanrio, Disney, BBC, Pokémon, NBCUniversal, Warner Bros., Lucasfilm, ViacomCBS, Nintendo and major professional sports leagues along with other culturally relevant brands.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Information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the reporting and information requirements of the Securities Exchange Act of 1934, as amended (the “Exchange Act”). As a result, we file periodic reports and other information with the Securities and Exchange Commission (the “SEC”). We make these filings available free of charge in the Investor Relations section of our corporate website, the URL of which is http://ir.buildabear.com, as soon as reasonably practical after we electronically file such material with, or furnish it to, the SEC. You may also request copies of these materials without charge by writing to our Investor Relations department at Build-A-Bear Workshop, Inc. World Headquarters, 415 South 18th Street, St. Louis, MO 63103. The SEC maintains a website, http://www.sec.gov, that contains our annual, quarterly and current reports and other information we file electronically with the SEC. Information on our website is not incorporated by reference into, and does not constitute a part of, this Annual Report on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 Additional risks not currently known to us or that we presently deem immaterial may also impair our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AND INDUSTRY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inflation, levels of employment, salaries and wage rates, consumer confidence and consumer perception of economic conditions. A slowdown in the North American or European economies or in the economies of the countries in which our franchisees and third-party retail partners operate or uncertainty as to the economic outlook could reduce discretionary spending or cause a shift in consumer discretionary spending to other products. For example, the potential adverse effects of inflation, or geopolitical conflicts could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our financial condition which may affect our ability to access capital resources under our credit agreement. The amount available for borrowing could be restricted under our agreement if the amount of assets used to calculate the borrowing base (specified percentages of eligible credit card receivables, eligible inventory, and, under certain circumstances, eligible foreign in-transit inventory and, in the discretion of the agent, eligible receivables) decreases.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Inflation had an adverse effect on our business operations in fiscal 2025, predominately through rising store labor costs. Although we took actions to mitigate these pressures, such as strategic price increases on highly sought-after products, there can be no assurance that we will be able continue these actions or that they will be successful in the future. We expect the inflationary pressures experienced in fiscal 2025 to continue in fiscal 2026.</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continue to monitor the impact of inflation and tariffs on our business operations on an ongoing basis and may need to adjust our prices further to mitigate the impacts of changes to the inflation rate during 2026 or in future years. These select price increases could have a negative impact on demand for our products.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Weakened economic conditions, lowered employment levels or recessions in any of our major markets may also significantly impair consumer spending and reduce purchases of our products. Economic conditions may also be negatively impacted by terrorist attacks, wars, geopolitical shifts, and other conflicts, such as the Russia-Ukraine crisis, current geopolitical environment arising from events in the Middle East that has heightened geopolitical tensions in the region, as well as natural disasters, increases in commodity prices or labor costs, or the prospect of such events. Recent hostilities between the United States, Israel and Iran and others have caused significant disruption in the normal flow of oil, refined petroleum products and related commodities, with consequent price rises of oil as well as other non-petroleum products and associated economic volatility. Although the length and impact of the ongoing conflicts and geopolitical turmoil are highly unpredictable, they could lead to market disruptions, including significant volatility in commodity prices, credit and capital markets, as well as supply chain interruptions, changes in consumer purchasing behavior and increased cyber-attacks against U.S. companies. Additionally, any resulting sanctions could adversely affect the global economy and financial markets. A weakened economic and business climate, as well as consumer uncertainty created by such a climate, could harm our revenues and profitability.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success and profitability depend not only on consumer demand for our products, but also on our ability to produce and sell those products at costs which allow us to make a profit. Inflation, tariffs, rising petroleum and material prices, increased transportation and shipping costs, increased labor costs in the markets in which our products are manufactured and sold, or other factors all may increase the costs we incur to produce and transport our products, which in turn may reduce our margins, reduce our profitability, and harm our business, in particular if we are unable to further adjust prices beyond what we were able to do in fiscal 2025, as discussed above.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Political developments, including in trade relations, in particular as to the impact of the significant tariffs on products sourced from countries from which we import is expected to have an impact on our business, mainly our cost of goods and profit margin.</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to trade policy or the breakdown of trade relations with the United States in a country in which we have significant operations, or sales, or from which we source raw materials, supplies, or through which such raw materials or supplies are delivered could adversely affect our business, financial condition, and results of operations. As a company that sources a substantial portion of our inventory from China and Vietnam, tariffs generally increase our cost of goods sold, which could adversely affect our profit margins.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Global trade policy continues to evolve and the ultimate impact of recent developments with respect to U.S. tariffs is unclear. On February 20, 2026, the U.S. Supreme Court issued a ruling striking down certain tariffs previously imposed under the International Emergency Economic Powers Act ("IEEPA").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These and future changes in tariffs, trade policies, trade actions, or retaliatory trade measures in response, have resulted and may continue to result in additional inventory costs or supply chain disruptions, higher product prices, potentially reducing consumer demand and impacting our sales volume volatility, which could adversely impact our future sales volume, business, financial condition, and results of operations, materially or in ways that we cannot predict. Additionally, the increased costs could force us to seek alternative suppliers, which may result in supply chain disruptions and further cost increases.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Any increased trade barriers or restrictions on global trade imposed by the United States, or further retaliatory trade measures or currency controls taken by other countries in response, could further adversely affect our business, financial condition, and results of operations. We are actively monitoring the situation and exploring strategies to mitigate these risks, including negotiating with suppliers, adjusting our pricing strategies, and seeking refunds. However, there can be no assurance that these measures will fully offset the negative impact of the tariffs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Consumer interests can change rapidly, and our success depends on the ongoing effectiveness of our marketing and online initiatives to build consumer affinity for our brand and drive consumer demand for our products and services.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access to leading entertainment relationships resulting in licensing relationships in a profitable manner and future marketing and advertising efforts that we undertake, including our ability to:</w:t>
      </w:r>
    </w:p>
    <w:p>
      <w:pPr>
        <w:spacing w:after="0" w:line="180" w:lineRule="exact"/>
        <w:rPr>
          <w:sz w:val="20"/>
          <w:szCs w:val="20"/>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greater awareness and affinity of our brand, interactive shopping experience and products;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consumer awareness into store and e-commerce site visits and product purchases;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optimal level of marketing spend and most efficient marketing channels;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the right geographic areas in which to market;</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appropriate creative message and media mix for marketing programs locally, nationally and internationally; and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marketing costs (including creative and media) to maintain acceptable operating margins and return on marketing investment.</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planned marketing expenditures may not increase total sales or generate sufficient product and brand awareness, which could also have a material adverse effect on our financial condition and profitability. Additionally, we have shifted a number of our marketing programs to digital outlets, which may not continue to be as effective as our more traditional, historical programs.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upon the shopping malls and tourist locations in which our stores are located to attract guests. Continued or further volatility in retail consumer traffic could adversely affect our financial performance and profitability.</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invest in integrated marketing efforts and believe we are more of a destination location than many other retailers, we rely to a great extent on consumer traffic in the malls and tourist locations in which we are located. We rely on the ability of the malls’ anchor tenants, generally large department stores, and on the continuing popularity of malls and tourist locations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While we have had significant growth in our e-commerce sales compared to pre-pandemic levels and continue with initiatives intended to develop and strengthen our online business, most of our sales are generated from our physical store locations. Consumer traffic may also be reduced due to factors such as the economy, civil unrest, actual or threatened acts of terrorism, or other crime in shopping locations, the impact of weather or natural disasters or a decline in consumer confidence resulting from international conflicts or war. A decrease in consumer traffic could have an adverse effect on our financial condition and profitability.</w:t>
      </w:r>
    </w:p>
    <w:p>
      <w:pPr>
        <w:sectPr>
          <w:pgSz w:w="11900" w:h="16838" w:orient="portrait"/>
          <w:cols w:equalWidth="0" w:num="1">
            <w:col w:w="11240"/>
          </w:cols>
          <w:pgMar w:left="320" w:top="121" w:right="339" w:bottom="879"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79"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be adversely impacted at any time by various significant competitive threats.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environment characterized by low barriers to entry. We compete against a diverse group of competitors. Because we have a significant number of mall-based locations, we see our competition primarily as other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be certain that they will not compete directly with us in the future.</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Many of our competitors have longer operating histories, significantly greater financial, marketing and other resources, and greater name recognition. We cannot be certain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retail sector has experienced an immense increase in sales initiated online and using mobile applications, as well as online sales for both in-store or curbside pick-up. Online and multi-channel retailers continue to focus on delivery services, with consumers increasingly seeking faster, guaranteed delivery times and low-cost or free shipping. Our ability to be competitive on delivery times and delivery costs depends on many factors, and our failure to successfully manage these factors and offer competitive delivery options could negatively impact the demand for our products and our profit margins.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or regional health pandemics or epidemics could negatively impact our business,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extent to which a pandemic may impact our operational and financial performance remains uncertain and will depend on many factors outside of our control, including the timing, extent, trajectory and duration of the pandemic, the emergence of new variants, the development, availability, distribution and effectiveness of vaccines and treatments, the imposition of protective public safety measures, and the impact of the pandemic on the global economy and demand for our products. Additional future impacts may include, but are not limited to, material adverse effects on demand for our products and interactive experience, supply chain operations disruptions, our ability to execute strategic plans and to predict future performance, and our financial performance and profitability.</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the extent a pandemic adversely affects our business, operations, financial condition and operating results, it may also heighten many of the other risks described in this “Risk Factors” section, such as those relating to retail consumer traffic, general global economic conditions, and demand for our interactive retail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profitability could be adversely affected by fluctuations in petroleum product prices.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plush products and stuffing. Volatility in petroleum prices can be due to many external factors that are beyond our control including political, environmental, and economic factors such as hostilities or other conflicts in oil producing areas (including the Russia-Ukraine conflict, military actions in Iran and the current geopolitical environment arising from events in the Middle East, including the hostilities between the United States, Israel and Iran and others), limitations and/or disruptions in refining and pipeline capacity, and worldwide demand for petroleum. We cannot predict the price of crude oil or resulting petroleum products in the future. We may be unable to pass along to our guests the increased costs resulting from higher petroleum prices. Therefore, any such increase could have an adverse impact on our business and profitability. In addition, as discussed above under “</w:t>
      </w:r>
      <w:r>
        <w:rPr>
          <w:rFonts w:ascii="Times New Roman" w:cs="Times New Roman" w:eastAsia="Times New Roman" w:hAnsi="Times New Roman"/>
          <w:sz w:val="18"/>
          <w:szCs w:val="18"/>
          <w:i w:val="1"/>
          <w:iCs w:val="1"/>
          <w:color w:val="auto"/>
        </w:rPr>
        <w:t>Any uncertainty or decline in general global economic conditions, caused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inflation, rising interest rates, geo-political conflicts, or other external factors, could lead to disproportionately reduced discretionary consumer spending and a corresponding reduction in demand for our products and have an adverse effect on our liquidity and profitability</w:t>
      </w:r>
      <w:r>
        <w:rPr>
          <w:rFonts w:ascii="Times New Roman" w:cs="Times New Roman" w:eastAsia="Times New Roman" w:hAnsi="Times New Roman"/>
          <w:sz w:val="18"/>
          <w:szCs w:val="18"/>
          <w:color w:val="auto"/>
        </w:rPr>
        <w:t>”, these matters could affect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activities beyond the price of petroleum products.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use of artificial intelligence technologies presents operational, reputational, data security and legal risks that could adversely affect our business and financial performance, and any failure to effectively leverage artificial technologies in our business could negatively impact our customer engagement and competitive position.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Like many businesses, we incorporate, and expect to continue to incorporate, machine learning and other forms of artificial intelligence (“AI”) into various aspects of our business, including digital marketing, customer engagement, merchandising, finance and other operational and administrative activities. Ongoing technological advancements may allow us to expand the use of AI, including generative AI, into these and other key operational and/or administrative aspects of our business.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our reliance on AI increases, our operations may become more dependent on the accuracy, reliability, security and alignment of these technologies with our business objectives and controls. The use of AI systems, particularly autonomous or agentic AI (systems are designed to reason, plan, and take actions to achieve defined objectives with reduced or no human intervention), by malicious actors may increase our exposure to cybersecurity threats and may inadvertently expose sensitive or confidential business information or personal information if our systems are not properly configured, monitored or secured. Furthermore, any AI technologies we adopt will be reliant on third party service providers, who may have access to our confidential information, intellectual property and personal data of our customers, employees or business partners. We may have limited ability to monitor or control their operations, data handling practices, security measures or compliance with applicable laws and contractual requirements. Failures or vulnerabilities in such third party systems, including those supporting autonomous or agentic AI capabilities, could have cascading effects across our operations. Any failure by such third parties to adequately protect our data, comply with applicable privacy, security or intellectual property laws or deliver reliable and effective AI solutions could result in operational disruptions, regulatory investigations, litigation, reputational harm, loss of competitive advantage and significant costs.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our competitors or other third parties may adopt AI technologies more rapidly or deploy them more effectively than we do, which could reduce our ability to compete successfully and adversely affect our results of operations. AI driven tools could produce outputs that are or are alleged to be deficient, inaccurate, or biased, which could negatively impact our business, financial condition, and results of operations. The rapid evolution of AI, including potential government regulation of AI, may require significant investments by us to develop, test and maintain our implementations of AI. Those investments may be significant and there can be no assurances that such investments will yield anticipated operational efficiencies, revenue growth, cost savings or other benefits.</w:t>
      </w:r>
    </w:p>
    <w:p>
      <w:pPr>
        <w:sectPr>
          <w:pgSz w:w="11900" w:h="16838" w:orient="portrait"/>
          <w:cols w:equalWidth="0" w:num="1">
            <w:col w:w="11240"/>
          </w:cols>
          <w:pgMar w:left="320" w:top="121" w:right="339" w:bottom="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our success depends in large part upon our ability to continue to attract new and repeat guests with our interactive shopping experience, and our ability to anticipate, gauge and respond in a timely manner to changing consumer preferences, such as online buying, and fashion trends including through licensed relationships. We cannot be certain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In addition, negative commentary regarding our company or the products we sell may be posted on social media sites and other platforms at any time and may negatively impact our reputation or business.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the popularity and consumer demand for brands of licensors such as Sanrio, Disney, BBC, Pokémon, NBCUniversal, Warner Bros., Lucasfilm, ViacomCBS and Nintendo. If we are not able to meet our contractual commitments or are unable to maintain licensing agreements with key brands, our business may be adversely affected. There can be no certainty that our access to licensed brands will continue to be successful or enable us to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 thereby adversely affecting our financial condition and profitability.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renew, renegotiate or replace our store leases or enter into leases for new stores on favorable terms, or if we violate any of the terms of our current leases, our revenue and profitability could be harmed.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lease all of our corporately-managed store locations in the U.S., U.K., Canada and the Republic of Ireland. Most of our store leases contain provisions for base rent plus percentage rent based on sales in excess of an agreed-upon minimum annual sales level. Some store leases only include a provision for a percentage of a store's total sales, instead of a fixed base rent amount. A number of our leases include a termination provision that applies if we do not meet certain sales levels during a specified period, typically in the third to fourth year and the sixth to seventh year of the lease, which may be at either the landlord’s option or ours. Although we have largely shifted our leases in North America to shorter term leases to provide flexibility in aligning stores with market trends, this strategy has risk if we renew leases at a time when commercial rental rates are higher than the rate we could have secured with a longer-term lease. Furthermore, some of our leases contain various restrictions relating to change of control of our company. Our leases also subject us to risks relating to compliance with changing shopping location rules and the exercise of discretion by our landlords on various matters within these locations. We may not be able to maintain or obtain favorable locations within these desirable shopping locations. The terms of new leases may not be as favorable, which could cause an increase in store expenses negatively impacting overall profitability. If we execute termination rights, we may incur expenses and charges associated with those closures that could negatively impact our profitability.</w:t>
      </w:r>
    </w:p>
    <w:p>
      <w:pPr>
        <w:spacing w:after="0" w:line="19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Additionally, several landlords dominate the ownership of prime malls, particularly in the U.S.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leases in the U.K. and the Republic of Ireland also typically contain provisions requiring rent reviews every five years in which the base rent that we pay is adjusted to current market rates. These rent reviews generally require that base rents can be changed "upwards only" but cannot be reduced if market conditions have deteriorated. We may be required to pay base rents that are significantly higher than we have projected. As a result of these and other factors, we may not be able to operate our European store locations profitably. If we cannot do so, our results of operations and financial condition could be harmed, and we may be required to record significant additional impairment charges.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successfully execute our omnichannel and brand expansion strategy and the cost of our investments in e-commerce and digital transformation may materially adversely affect our financial condition and profitability.</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retail industry continues to evolve rapidly and consumers continue to embrace digital shopping. As a result, the portion of total consumer expenditures with retailers occurring through digital platforms is increasing, and the pace of this increase could continue to accelerate.</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strategy, which includes investments in e-commerce platforms, digital technology, and other consumer initiatives, may not adequately or effectively allow us to continue to grow our e-commerce business, increase sales, or grow our position in the specialty retail and gifting and collectibles markets such as adult to adult gifting (e.g., gift boxes), adult driven affinity (e.g., The Bear Cave), and occasion gifting (e.g., graduation, Valentine's Day). The success of our strategy will depend on our ability to continue building and delivering a seamless omnichannel shopping experience for consumers. With an increasing allocation of capital expenditures focused on digital initiatives, our failure to successfully execute on individual components of this initiative may adversely affect our financial performance. In addition, a greater concentration of e-commerce sales could result in a reduction in the amount of traffic in our brick-and-mortar locations and materially adversely affect our financial performance.</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Furthermore, the cost of certain investments in e-commerce and digital technology may adversely impact our financial performance in the short term and failure to realize the benefits of these investments may adversely impact our financial performance over the longer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technology and digital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operations are subject to numerous technology-related risks, including risks related to the failure of the computer systems that operate our point of sale and inventory systems, websites, mobile sites and their related support systems. We engage key third-party business partners to support various functions of our business, including, but not limited to, information technology, web hosting and cloud-based services. We, and those third-party businesses that support us, are also subject to risks related to computer viruses, telecommunications failures, and other disruptions. Also, we may require additional capital in the future to sustain or grow our technological infrastructure and digital commerce capabilities.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occur, it could have a material adverse effect on our business. Further, as our online sales have increased and have become critical to our growth, the risk of any interruption of our information technology system capabilities is heightened.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evolve our store locations over time to align with market trends, successfully diversify our store formats and business models in accordance with our strategic goals or otherwise effectively manage our overall portfolio of stores which could adversely affect our ability to grow and could significantly harm our profitability.</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future results will largely depend on our ability to optimize and maintain store productivity and profitability by strategically evolving our real estate portfolio to align with market trends while selectively opening new locations and systematically refreshing our store base. For example, our real estate development initiatives include a focus on tourist locations due to changing consumer preferences and declining traditional mall traffic, and we cannot be certain that this strategy will be successful. Our ability to manage our portfolio of stores in future years, in desirable locations, and to operate stores profitably, particularly in multi-store markets, are key factors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in the fiscal year 2025, we operated 25 stores located within other retailers’ stores and 178 stores through our partner-operated model while our franchise partners operated 109 stores. We have less corporate influence over these stores outside of our corporately-managed locations, and they are therefore subject to the operational risks of these companies, including, but not limited to, ineffective store operations, labor disputes, and negative publicity, all of which could negatively impact the sales and operating performance in these other locations.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operation of our stores is dependent on our ability to distribute merchandise to locations throughout the U.S., Canada, and Europe in a timely manner. We own a 350,000-square-foot distribution center in Groveport, Ohio, and rely on this warehouse to receive, store, and distribute merchandise for the majority of our North American locations and to our third-party retail partners. To operate this distribution center, our ability to meet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in the western U.S. and Europe. For example, as noted above, in Europe, we contract with a third-party distribution center in Selby, England under an agreement that ended in January 2026, but which is currently continuing because neither party terminated the agreement. Any significant interruption in the operation of the distribution centers due to natural disasters or severe weather, events such as fire, accidents, power outages, system failures, public health issues such as pandemics or other health risks, or other unforeseen causes could damage a significant portion of our inventory. These factors may also impair our ability to adequately stock our stores and fulfill e-commerce orders and could decrease our sales and increase our costs associated with our supply chain.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do not own or operate any factories that produce our plush products, clothing, shoes or accessories. In fiscal 2025 we purchased 75% of our merchandise from five vendors, compared to 69% in fiscal 2024. These vendors in turn contract for the production of merchandise with multiple manufacturing facilities. Prior to 2020, over 90% of merchandise received annually was produced in China. However, our efforts to diversify our supply chain reduced China sourcing to 51% of merchandise received as production shifted primarily to Vietnam, which provided 44% of our merchandise in fiscal 2025.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or long-term disruption to our inventory flow or quality of the inventory as we transition our orders to new vendors or factories which could, in turn, disrupt our store operations and have an adverse effect on our business, financial condition and results of operations. Such disruptions may result from public health issues such as a pandemic, weather related events, natural disasters, trade restrictions, tariffs, changes in local laws, work stoppages or slowdowns, shipping capacity constraints, supply or shipping interruptions, geopolitical issues or other factors beyond our control.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merchandise is manufactured by foreign manufacturers,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purchase the most of our merchandise directly from manufacturers in foreign countries, primarily in China and Vietnam. In addition to the risks associated with tariffs discussed in "</w:t>
      </w:r>
      <w:r>
        <w:rPr>
          <w:rFonts w:ascii="Times New Roman" w:cs="Times New Roman" w:eastAsia="Times New Roman" w:hAnsi="Times New Roman"/>
          <w:sz w:val="18"/>
          <w:szCs w:val="18"/>
          <w:i w:val="1"/>
          <w:iCs w:val="1"/>
          <w:color w:val="auto"/>
        </w:rPr>
        <w:t>Political developments, including in trade relations, in particular as to the impact of the significant tariffs on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sourced from countries from which we import is expected to have an impact on our business, mainly our cost of goods and profit margin </w:t>
      </w:r>
      <w:r>
        <w:rPr>
          <w:rFonts w:ascii="Times New Roman" w:cs="Times New Roman" w:eastAsia="Times New Roman" w:hAnsi="Times New Roman"/>
          <w:sz w:val="18"/>
          <w:szCs w:val="18"/>
          <w:color w:val="auto"/>
        </w:rPr>
        <w:t>" above, any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causing a disruption of imports, including the imposition of, increase in amount of or uncertainty regarding import restrictions, taxes or fees, labor strikes or lockouts or pandemics, could adversely affect our business. For example, our vendors in China and Vietnam were temporarily closed for periods of time in 2020, 2021 and 2022 as a result of the COVID pandemic, ceasing production of inventory and supplies. The flow of merchandise from our vendors could also be adversely affected by financial or political instability in any of the countries where the materials or goods we purchase are manufactured, if the instability affects the production or export of merchandise from those countries. We are subject to trade restrictions in the form of tariffs or quotas, or both, applicable to the products we sell and to raw material imported to manufacture those products. Such tariffs or quotas are subject to change.</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and Vietnamese dong, could increase the cost of products we purchase from our vendors. The pricing of our products in our stores may also be affected by changes in foreign currency rates and require us to make adjustments that would impact our revenue and profit in various markets. We purchase all inventory in U.S. dollars, and our foreign subsidiaries buy their inventory from us in their functional currency, which exposes us to currency risk when their functional currencies fluctuate relative to the U.S. Dollar. Our business may be adversely impacted by ongoing uncertainty, fluctuations in currency exchange rates, changes in trade policies, or changes in labor, immigration, tax, data privacy or other laws. Any of these effects, among others, could materially and adversely affect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operate our international corporately-managed locations profitably.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our U.S. locations, we currently operate stores in the U.K., Canada, and the Republic of Ireland. Our future success in international markets may be impacted by differences in consumer demand, regulatory and cultural differences, economic conditions, public health issues such as pandemics, changes in foreign government policies and regulations, changes in trading status, compliance with U.S. laws affecting operations outside the U.S., such as the Foreign Corrupt Practices Act, as well as other risks that we may not anticipate. Brand awareness and affinity in international markets may be lower than in the U.S. and we may face higher labor and rent costs, as well as different holiday schedules. Although we have realized benefits from our operations in the U.K. and Ireland, we may be unable to continue to do so on a consistent basis.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For example, we may purchase products in U.S. dollars but sell them to consumers or to our foreign subsidiaries in local currencies, which exposes us to foreign exchange risk, as described in “</w:t>
      </w:r>
      <w:r>
        <w:rPr>
          <w:rFonts w:ascii="Times New Roman" w:cs="Times New Roman" w:eastAsia="Times New Roman" w:hAnsi="Times New Roman"/>
          <w:sz w:val="18"/>
          <w:szCs w:val="18"/>
          <w:i w:val="1"/>
          <w:iCs w:val="1"/>
          <w:color w:val="auto"/>
        </w:rPr>
        <w:t>Our merchandise is manufactured by foreign manufacturers and we transact business in various foreign countries, and the availability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of our products, as well as our product pricing, may be negatively affected by risks associated with international manufacturing and trade and foreign currency fluctuations</w:t>
      </w:r>
      <w:r>
        <w:rPr>
          <w:rFonts w:ascii="Times New Roman" w:cs="Times New Roman" w:eastAsia="Times New Roman" w:hAnsi="Times New Roman"/>
          <w:sz w:val="18"/>
          <w:szCs w:val="18"/>
          <w:color w:val="auto"/>
        </w:rPr>
        <w:t>” above. In addition, we could experience restrictions on the transfer of funds to and from foreign countries, including potentially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negative tax consequences.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effectively manage our international partner-operated locations, attract new partners or if the laws relating to our international partners change, our growth and profitability could be adversely affected, and we could be exposed to additional liability.</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January 31, 2026, there were 109 Build-A-Bear Workshop international franchise locations and 178 international, partner-operated locations. We cannot ensure that our international partners will be successful in identifying and securing desirable locations or in operating their stores. International markets frequently have different demographic characteristics, competitive conditions, consumer tastes and discretionary spending patterns than our corporately-managed markets, which may impact the performance of these stores. Additionally, our international partners may experience financing, merchandising and distribution expenses and challenges that are different from those we encounter in our corporately-managed markets. The operations and results of our international partners could be negatively impacted by the economic, public health (such as a pandemic), or political factors in the countries in which they operate or foreign currency fluctuations. These challenges, as well as others, could have a material adverse effect on their business and, in turn, negatively impact our own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franchising business depends upon our ability to attract and maintain qualified franchisees with sufficient financial resources to develop and grow their operations and upon the ability of those franchisees to successfully develop and operate their franchise locations.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If franchisees perform below expectations, we may transfer those agreements to other parties, take over the operations directly or discontinue the franchise agreement. Furthermore, the interests of franchisees might sometimes conflict with our interests. For example, whereas franchisees are concerned with their individual business objectives, we are responsible for ensuring the success of the Build-A-Bear brand and all of our stores. In addition, we have terminated our franchise agreement covering China resulting in the closure of 12 of 14 stores in the country. This resulted in a total of 109 total franchise locations at the end of the fiscal year.</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key growth initiative for our business is the global expansion of our unique experience locations through international, third-party-operated locations. At the end of fiscal 2025, we had opened more than 30 international locations, and additional locations are expected to be opened in 2026 and beyond. The success of this strategy is dependent on our partners operating locations in a manner consistent with our standards and requirements, hiring and training qualified personnel, and operating the stores profitably so as to continue the relationship. We do not have direct control over our business partners and may not have visibility into their practices.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laws of the various foreign countries in which our partners operate as well as compliance with U.S. laws affecting operations outside the U.S., such as the Foreign Corrupt Practices Act, govern our relationships with our partners. These laws, and any new laws that may be enacted, may detrimentally affect the rights and obligations between us and our franchisees and could expose us to additional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TECHNOLOGY AND INTELLECTUAL PROPERTY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Information technology is a critically important part of our business operations. We depend on information systems to process transactions, manage inventory, operate our websites, manage consumer databases,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code anomalies, phishing, smishing, artificial intelligence deepfakes, computer viruses, other malware attacks, ransomware attacks, “Acts of God,” human error or other causes. The nature and scope of threats from artificial intelligence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particular, represents a new, unpredictable frontier.</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business involves the storage and transmission of consumers’ personal information, such as personal preferences and credit card information. We invest in industry-standard security technology to protect our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consumers and sales, and could have negative consequences to us, our employees, and those with whom we do business. In addition, our workforce's combination of remote work, hybrid, and flexible work schedules opens us up for cyber-security threats and potential breaches as a result of increased employee usage of networks other than company-managed.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from whom we collect information which may include information regarding their children, and we intend for our websites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the parents of children and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 For example, the EU General Data Protection Regulation - 2016/679 (“EU GDPR”) and related guidance together with the UK General Data Protection Regulation ("UK GDPR," collectively with the EU GDPR, the "GDPR"), and the California Consumer Privacy Act 2018, as amended by the California Privacy Rights Act 2020 (collectively "CCPA"), greatly increase the jurisdictional reach of EU and California law, respectively, and adds a broad array of requirements related to personal data, including individual notice and opt-out preferences and the public disclosure of significant data breaches. Additionally, violations of GDPR can result in fines calculated as a percentage of a company’s annual revenue and CCPA provides civil penalty violations, as well as a private right of action for data breaches. Other governments have enacted or are expected to enact similar data protection laws and are considering data localization laws that require data to stay within their borders. All of these evolving compliance and operational requirements impose significant costs and regulatory risks that are likely to increase over time.</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determination that there have been violations of laws relating to our practices under communications-based laws could also expose us to significant damage awards, fines and other penalties that could, individually or in the aggregate, materially harm our business. In particular, because of our marketing and other promotional texts, emails and other communications we send to our users, communications laws that provide a specified monetary damage award or fine for each violation (such as those described below) could result in particularly large awards or fines. For example, the Federal Communications Commission amended certain of its regulations under the Telephone Consumer Protection Act, or TCPA, in 2012 and 2013 in a manner that has increased our exposure to liability for certain types of telephonic communication with customers, including but not limited to text messages to mobile phones. Under the TCPA, plaintiffs seek actual monetary loss or statutory damages of $500 per violation, whichever is greater, and courts could treble the damage award for willful or knowing violations. Given the varied number of communications we send to our users, a determination that there have been violations of the TCPA, or other communications-based statutes, has exposed us to significant damage awards that could, individually or in the aggregate, materially harm our business. In 2021, a putative class action lawsuit was filed against us asserting claims under the TCPA which was ultimately dismissed after we reached a settlement with the plaintiff and an insurance carrier.</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Other parties have asserted and may assert in the future, trademark, patent, copyright or other intellectual property rights that are important to our business. We cannot be certain that others will not seek to block the use of or seek monetary damages or other remedies for the prior use of our brand names or other intellectual property or the sale of our products or services as a violation of their trademark, patent or other proprietary rights. Defending such claims, even claims without merit, have been time-consuming, and could result in costly settlements, litigation or restrictions on our business and damage our reputation.</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was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600"/>
        <w:spacing w:after="0" w:line="268" w:lineRule="auto"/>
        <w:rPr>
          <w:sz w:val="20"/>
          <w:szCs w:val="20"/>
          <w:color w:val="auto"/>
        </w:rPr>
      </w:pPr>
      <w:r>
        <w:rPr>
          <w:rFonts w:ascii="Times New Roman" w:cs="Times New Roman" w:eastAsia="Times New Roman" w:hAnsi="Times New Roman"/>
          <w:sz w:val="18"/>
          <w:szCs w:val="18"/>
          <w:b w:val="1"/>
          <w:bCs w:val="1"/>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Although we require our manufacturers to meet governmental safety standards, including food safety regulations for certain locations, and our product specifications as well as submitting our products for testing, we cannot fully control the materials used by, or the workmanship of,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ten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such indemnification may not fully protect us financially and, whether or not it does, our brand reputation may be negatively impacted.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suffer negative publicity or be sued if the manufacturers of our merchandise violate labor laws or engage in practices that consumers believe are unethical.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U.S., we could in turn experience negative publicity, reputational harm, increased compliance and operating costs or be sued.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suffer negative publicity or a decrease in sales or profitability if the products from other companies that we sell in our stores do not meet our quality standards or fail to achieve our sales expectations.</w:t>
      </w:r>
    </w:p>
    <w:p>
      <w:pPr>
        <w:spacing w:after="0" w:line="159" w:lineRule="exact"/>
        <w:rPr>
          <w:sz w:val="20"/>
          <w:szCs w:val="20"/>
          <w:color w:val="auto"/>
        </w:rPr>
      </w:pPr>
    </w:p>
    <w:p>
      <w:pPr>
        <w:jc w:val="both"/>
        <w:ind w:right="20" w:firstLine="486"/>
        <w:spacing w:after="0" w:line="289" w:lineRule="auto"/>
        <w:rPr>
          <w:sz w:val="20"/>
          <w:szCs w:val="20"/>
          <w:color w:val="auto"/>
        </w:rPr>
      </w:pPr>
      <w:r>
        <w:rPr>
          <w:rFonts w:ascii="Times New Roman" w:cs="Times New Roman" w:eastAsia="Times New Roman" w:hAnsi="Times New Roman"/>
          <w:sz w:val="17"/>
          <w:szCs w:val="17"/>
          <w:color w:val="auto"/>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suffer negative publicity and damage to our reputation if we do not continue to evolve environmental, social, and governance initiatives in a timely manner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strength and appeal of our brand may be affected by how we address certain environmental, social and governance ("ESG") matters, which require coordination across our Company. We face risks related to climate change, resource availability, and increasing public and regulatory focus on environmental sustainability topics such as emissions, packaging and waste. We may also face pressure to expand ESG-related disclosures, establish goals or commitments, or take actions to meet evolving stakeholder expectations, which could result in increased costs, operational complexity or execution risk. If we choose to expand our disclosures, the metrics we publish—whether based on internally developed standards or external frameworks—may affect our reputation, and any failure to accurately track, report or achieve stated objectives could adversely affect our business, financial condition and results of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may be subject to existing or future laws and regulations requiring disclosures related to sustainability matters, including climate-related risks, greenhouse gas emissions, human capital, or other ESG topics. Compliance with such requirements, if applicable to us, may require enhancements to systems, controls, processes and governance and could require significant time and financial resources. Failure to comply with applicable requirements could result in investigations, penalties, enforcement actions or reputational harm.</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publicly report ESG-related information, we may also be subject to increased scrutiny or criticism, including from stakeholders with differing views on ESG matters. Such scrutiny, including adverse publicity or legislative or regulatory actions, could negatively impact our reputation, brand value,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Fluctuations in our quarterly results of operations could cause the price of our common stock to substantially decline.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62" w:lineRule="exact"/>
        <w:rPr>
          <w:sz w:val="20"/>
          <w:szCs w:val="20"/>
          <w:color w:val="auto"/>
        </w:rPr>
      </w:pPr>
    </w:p>
    <w:p>
      <w:pPr>
        <w:ind w:left="820" w:hanging="326"/>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and trade and other foreign policy matters, or increases in the cost of petroleum due to global conflicts, all of which may impact pricing;</w:t>
      </w:r>
    </w:p>
    <w:p>
      <w:pPr>
        <w:spacing w:after="0" w:line="16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foreign exchange rates;</w:t>
      </w:r>
    </w:p>
    <w:p>
      <w:pPr>
        <w:spacing w:after="0" w:line="233"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profitability of our stores;</w:t>
      </w:r>
    </w:p>
    <w:p>
      <w:pPr>
        <w:spacing w:after="0" w:line="251"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total revenues;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and consumer spending patterns;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frequency of our marketing initiatives;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shopping patterns;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store closures, relocations and openings and related expenses;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inventory management;</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w:t>
      </w:r>
    </w:p>
    <w:p>
      <w:pPr>
        <w:spacing w:after="0" w:line="279"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introduction and expansion of merchandise offerings including those associated with major motion pictures, and our ability to predict which motion pictures will drive product sales;</w:t>
      </w:r>
    </w:p>
    <w:p>
      <w:pPr>
        <w:spacing w:after="0" w:line="18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mall anchors and co-tenants;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and natural disasters;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such as pandemics, and associated impacts on store openings and store operations;</w:t>
      </w:r>
    </w:p>
    <w:p>
      <w:pPr>
        <w:spacing w:after="0" w:line="27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frequency of national media appearances and other public relations events; and</w:t>
      </w:r>
    </w:p>
    <w:p>
      <w:pPr>
        <w:spacing w:after="0" w:line="279" w:lineRule="exact"/>
        <w:rPr>
          <w:rFonts w:ascii="Times New Roman" w:cs="Times New Roman" w:eastAsia="Times New Roman" w:hAnsi="Times New Roman"/>
          <w:sz w:val="18"/>
          <w:szCs w:val="18"/>
          <w:color w:val="auto"/>
        </w:rPr>
      </w:pPr>
    </w:p>
    <w:p>
      <w:pPr>
        <w:ind w:left="820" w:hanging="326"/>
        <w:spacing w:after="0" w:line="287"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53rd week in our fiscal year, which occurs approximately every six years, (e.g., the last of which occurred in fiscal 2023) and can affect comparability between periods that do not include the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week.</w:t>
      </w:r>
    </w:p>
    <w:p>
      <w:pPr>
        <w:spacing w:after="0" w:line="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future quarterly results fluctuate significantly or fail to meet the expectations of the investment community, then the market price of our common stock could decline substantially.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Fluctuations in our operating results could reduce our cash flow, or trigger restrictions under our credit agreement, cause us to be unable to repurchase shares at all, at the times or in the amounts we desire, cause the results of our share repurchase program may not be as beneficial as we would like, or cause us to discontinue our quarterly dividend program.</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have repurchased shares under plans authorized by our Board of Directors, most recently a $100 million program adopted in September 2024. Such programs generally do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any share repurchase program may not be as beneficial as expected. Additionally, cash flow decreases could cause us to discontinue the Board of Director-approved quarterly dividend program or reduce the dividend relative to prior periods. Our credit agreement restricts our ability to repurchase shares and issue dividends when certain liquidity conditions exist.</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has been and may continue to be volatile.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During fiscal 2025, the trading price of our common stock fluctuated between $32.55 and $75.85 per share. 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retail industry, and announcements of significant transactions (including mergers or acquisitions, divestitures, joint ventures, stock repurchases, dividends, or other strategic initiatives) by us or other similar companies. In addition, the equity markets have experienced price and volume fluctuations that affect the stock price of companies in ways that have been unrelated to an individual company’s operating performance. The price of our common stock may continue to be volatile based on factors specific to our company and industry as well as factors related to the equity markets overall. Moreover, we believe that such volatility has attracted the interest of activist shareholders in the past and may continue to do so. Responding to activist shareholders can be costly and time-consuming, and the perceived uncertainties as to our future direction resulting from responding to activist strategies could itself then further affect the market price and volatility of our common stock.</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Our basic corporate documents and Delaware law contain provisions that might enable our management to resist a takeover. These provisions:</w:t>
      </w:r>
    </w:p>
    <w:p>
      <w:pPr>
        <w:spacing w:after="0" w:line="225" w:lineRule="exact"/>
        <w:rPr>
          <w:sz w:val="20"/>
          <w:szCs w:val="20"/>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various types of business combinations with significant stockholders;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classified board of directors;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right of stockholders to remove directors or change the size of the board of directors;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right of stockholders to fill vacancies on the board of directors;</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right of stockholders to act by written consent and to call a special meeting of stockholders or propose other actions;</w:t>
      </w:r>
    </w:p>
    <w:p>
      <w:pPr>
        <w:spacing w:after="0" w:line="252"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higher percentage of stockholders than would otherwise be required to amend, alter, change or repeal our bylaws and certain provisions of our certificate of incorporation; and</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200" w:lineRule="exact"/>
        <w:rPr>
          <w:sz w:val="20"/>
          <w:szCs w:val="20"/>
          <w:color w:val="auto"/>
        </w:rPr>
      </w:pPr>
    </w:p>
    <w:p>
      <w:pPr>
        <w:spacing w:after="0" w:line="394" w:lineRule="exact"/>
        <w:rPr>
          <w:sz w:val="20"/>
          <w:szCs w:val="20"/>
          <w:color w:val="auto"/>
        </w:rPr>
      </w:pPr>
    </w:p>
    <w:p>
      <w:pPr>
        <w:ind w:left="500" w:hanging="330"/>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discourage, delay or prevent a change in the control of our company or a change in our management, even if such change may be in the best interests of our stockholders;</w:t>
      </w:r>
    </w:p>
    <w:p>
      <w:pPr>
        <w:spacing w:after="0" w:line="16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voting power of holders of common stock; and</w:t>
      </w:r>
    </w:p>
    <w:p>
      <w:pPr>
        <w:spacing w:after="0" w:line="252"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price that investors might be willing to pay in the future for shares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operate successfully if we lose key personnel, are unable to hire qualified additional personnel, or experience turnover of our management team.</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upon the quality of key personnel and associates throughout our organization and our ability to attract and retain these qualified key employees. The loss of any of our executive officers or other key senior management team could harm our business, in particular if we have not planned for their succession. For example, within the last year, two of our executive officers announced their retirement or intention to retire, including our currently president and chief executive officer following a multi-year planned succession process. While in each case we planned for, and executed, an orderly transition, we may not be able to do so in the future. The failure to successfully transition and assimilate key management, the effectiveness of our leaders, and any further transitions could adversely affect our business, financial condition, and results of operations. In addition, our success also depends substantially on the contributions and abilities of our retail store employees, or associates, upon whom we rely on to give our customers a superior interactive in-store retail experience and elevate our brand. Accordingly, our performance depends on our ability to recruit and retain high-quality store management personnel and other associates to work in and manage our corporately-managed stores, both domestically and internationally.</w:t>
      </w:r>
    </w:p>
    <w:p>
      <w:pPr>
        <w:spacing w:after="0" w:line="19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loss of these key employees, change in management for strategic purposes, our inability to attract and retain other qualified key employees or a labor shortage that reduces the pool of qualified candidates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our business is largely based on a vertical retail model, labor-related matters, ranging from union formation to labor disputes, may adversely affect our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in the past and could in the future face a variety of labor-related matters and disputes, including but not limited to general discrimination, privacy, wage and hour, Employee Retirement Income Security Act, disability claims, union organization and unfair labor practice charges. These matters and claims can raise complex factual and legal issues, potentially creating additional risks and uncertainties that could result in litigation or regulatory proceedings being brought against us by various federal and state agencies that regulate our business, including the U.S. Equal Employment Opportunity Commission and the U.S. National Labor Relations Board (NLRB).</w:t>
      </w:r>
    </w:p>
    <w:p>
      <w:pPr>
        <w:sectPr>
          <w:pgSz w:w="11900" w:h="16838" w:orient="portrait"/>
          <w:cols w:equalWidth="0" w:num="1">
            <w:col w:w="11240"/>
          </w:cols>
          <w:pgMar w:left="320" w:top="121" w:right="339" w:bottom="163" w:gutter="0" w:footer="0" w:header="0"/>
        </w:sectPr>
      </w:pPr>
    </w:p>
    <w:bookmarkStart w:id="22" w:name="page23"/>
    <w:bookmarkEnd w:id="22"/>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recent increase in workers exercising their right to form or join a union, both generally and in the retail industry, in conjunction with the late 2023 NLRB issuance of a number of decisions making it easier for employees to organize (or any additional labor law or regulatory changes to that effect), could disrupt our ability to efficiently operate our retail locations and adversely affect our business.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Recently, unions have attempted to organize our employees at a small number of corporately-managed stores in the U.S. with employees at one location voting to unionize in December 2025.</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Because there can be no assurance that employees at other locations will not elect to be represented by labor unions in the future, the extent to which a significant portion of our employee base would choose to unionize, or attempt to unionize, could negatively impact our overall labor and other related store operations cost. Additionally, our management and team members may be required to redirect time to respond to union activities, which could be distracting to our operations. Future union activities, including organizing efforts, slow-downs, strikes, or work stoppages could negatively impact our business and results of operations and consumer sentiment.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be unsuccessful in acquiring businesses or engaging in other strategic transactions, which may negatively affect our financial condition and profitability.</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spacing w:after="0" w:line="39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aim to foster and preserve the confidence of customers, employees, shareholders, and other stakeholders regarding our technology and data practices. Our commitments to digital trust, aligned with our core values of service, excellence, integrity, and individual respect, form the basis of our cybersecurity approach.</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acknowledge the critical nature of evaluating, pinpointing, and addressing the significant risks posed by cybersecurity threats. Our organization has established a comprehensive set of processes, technologies, and mechanisms to support the identification, evaluation, and management of these risks. Central to our cybersecurity strategy is the mitigation of threats, ensuring the robustness and reliability of our system infrastructures. We utilize the guidelines provided by the National Institute of Standards and Technology (NIST) Cybersecurity Framework to shape our cybersecurity initiatives and comply with the Payment Card Industry Data Security Standards where necessary.</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is intricately integrated into our broader enterprise risk management strategy. Our aim is to effectively identify, prioritize, and manage risks under robust governance, ensuring a secure and resilient organizational environment.</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daily operational responsibility for our cybersecurity initiatives falls to our dedicated cybersecurity team, headed by the Chief Technology Officer (CTO). This team collaborates with external partners to forge and execute our data security and cybersecurity plans, including risk assessments, monitoring activities, and training for our employees. We are committed to continually investing in the enhancement of our capabilities to identify, protect against, and detect security threats.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employ a suite of tools and services that support the continuous surveillance and reduction of cyber risks. Our internal teams undertake regular audits and penetration testing throughout the year. External third-party experts are enlisted annually to assess our cybersecurity maturity and conduct risk evaluations, besides offering specialized knowledge on various cybersecurity matters. Our security operations center operates 24/7 to identify, lessen, and react to cyber threats promptly. Defined protocols are in place to manage and mitigate any detected cybersecurity incidents swiftly, with regular reviews of our policies and procedures to ensure compliance with evolving regulatory standards and the dynamic threat landscape.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Incident Response Team (IRT) at our company is a specialized, multidisciplinary group empowered to act swiftly and effectively in managing and communicating cybersecurity incidents. The IRT operates under a comprehensive incident response plan, detailing the procedures for preparing, detecting, responding to, and recovering from cyber incidents. This includes triage, severity assessment, escalation, containment, investigation, and remediation processes, in addition to meeting legal requirements and minimizing damage to the brand and reputation. Regular tabletop exercises are conducted to simulate cyber incidents, enhancing our response strategies, plans, and technology.</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company ensures that all new hires and existing employees undergo data security and privacy training annually, with additional specialized training for certain roles. Periodic campaigns and simulated phishing tests are also conducted to maintain awareness and vigilance against potential risks.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Vendor security is maintained using programs that evaluate the risk associated with service providers and business partners, focusing on the nature of data accessed or retained. This risk-based approach guides our due diligence and security assessments for selected vendors, ensuring that our contracts reflect the necessary security commitments.</w:t>
      </w:r>
    </w:p>
    <w:p>
      <w:pPr>
        <w:spacing w:after="0" w:line="16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Through the date of filing this Annual Report, cybersecurity threats, including as a result of any previous cybersecurity incidents, have not materially affected our Company, including our business strategy, results of operations, or financial condition. We have not encountered any significant incidents in the past fiscal year. However, we are aware of the ongoing threats that could, if materialized, have a significant impact on our business operations, strategies, or financial condition. Despite our rigorous cybersecurity efforts, we recognize that no system is infallible, and thus we cannot guarantee complete efficacy in preempting or mitigating all potential cyber threats. We continuously evaluate and disclose how identified cybersecurity risks, including those from past incidents, could materially influence our operational, strategic, or financial landscapes.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Our commitment to establishing a secure digital realm is underpinned by the structured governance and management of our data security and privacy policies and strategies. Our Board of Directors, which has primary responsibility for overseeing risk management, has delegated risk management oversight responsibility for information systems, information security, data privacy and cybersecurity to the Audit Committee, a member of which has extensive technology experience, including in the area of cybersecurity. The Audit Committee engages in regular, at least quarterly, discussions on these topics, informed by reports from our IT Security Team led by the CTO. Specific topics may include updates to the Company’s approach to cybersecurity risk management; recent developments; key initiatives; the threat landscape; trends; and the results of certain assessments and testing. Periodically, the Audit Committee also receives presentations on cybersecurity matters from third-party cybersecurity experts. The Board of Directors receives reports from the Audit Committee chair on these and other risk-related matters as deemed necessary.</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cybersecurity initiatives are led by our CTO and our Director of Security, who hold a Bachelor of Science, Management Information Systems and a Master of Science, Computer and Information Systems Security and Information Assurance. In addition, our CTO and our Director of Security have Computer Hacking Forensics Investigator and Certified Ethical Hacker certifications. Both, under the CTO’s leadership, have extensive experience in managing information security, crafting cybersecurity strategies, and spearheading initiatives to counter evolving cyber threats.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Security and Technology Risk Leadership Committee, led by our CTO, oversees our cybersecurity initiatives, and comprises technology leaders and members of various departments across the company. Similarly, our Privacy, Data Governance, and Artificial Intelligence Committee, under the guidance of our Chief Privacy Officer, oversees our privacy and data governance strategies.</w:t>
      </w: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lease all our store locations. As of January 31, 2026, we operated 375 retail stores located primarily in major malls throughout the U.S., Canada, the U.K., and Ireland in our DTC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Non-Store Properties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own a warehouse and distribution center in Groveport, Ohio, which is utilized primarily by our DTC segment. The facility is approximately 350,000 square feet and includes our North American e-commerce fulfillment center. We lease 51,600 square feet in a building that we use as our corporate headquarters in downtown St. Louis, Missouri with a lease of eleven years commencing in June 2020. This lease was modified in March 2024 to increase the square footage of our corporate headquarters to approximately 58,000 square feet without changing the term length. We also lease an approximately 1,870 square foot storage space in St. Louis, Missouri with the lease commencing in July 2023 and continuing through July 2028. In the U.K., we lease approximately 6,500 square feet for our regional headquarters in Slough, England under a lease that commenced in March 2016 with a term of 10 years. The lease was extended recently through March 2031. We also contract with a third-party warehouse in southern California to service our West Coast stores. The contract has a one-year term and is renewable. In Europe, we contract with a third-party distribution center in Selby, England under an agreement that ended in January 2026. This agreement contained clauses that allow for termination if certain performance criteria were not met. We are now operating under a month-to-month arrangement with both parties working towards signing a new agreement. In Asia, we contract for office space and a third-party distribution center in Shanghai, China, with the office space contract ending in August 2026 and the distribution center contract ending in April 2026.</w:t>
      </w:r>
    </w:p>
    <w:p>
      <w:pPr>
        <w:spacing w:after="0" w:line="18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ordinary routine litigation typical for companies engaged in our line of business, including actions seeking to enforce our intellectual property rights or to determine the validity and scope of the proprietary rights of others. Information with respect to certain legal proceedings is set forth in Note 10 "Commitments and Contingencies" to the Consolidated Financial Statements (included in Part IV of this form 10-K) and is incorporated herein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3" w:lineRule="exact"/>
        <w:rPr>
          <w:sz w:val="20"/>
          <w:szCs w:val="20"/>
          <w:color w:val="auto"/>
        </w:rPr>
      </w:pPr>
    </w:p>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“BBW.” Our common stock commenced trading on the NYSE on October 28, 2004.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14, 2026, the number of holders of record of the Company’s common stock totaled approximately 1,664.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fiscal 2023, our Board of Directors declared a special cash dividend of $1.50 per share that was paid on April 6, 2023, to all stockholders of record as of March 23, 2023.</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fiscal 2024, our Board of Directors approved a new quarterly dividend program to evolve its strategic use of capital and declared an initial quarterly dividend of $0.20 per share which was paid on April 11, 2024. The Company also paid quarterly dividends of $0.20 per share to recorded shareholders on July 11, 2024, October 10, 2024, and January 9, 2025.</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fiscal 2025, our Board of Directors declared a quarterly dividend of $0.22 per share on the issued and outstanding common stock representing an increase of 10%, which was paid on April 10, 2025. The Company also paid quarterly dividends of $0.22 per share to recorded shareholders on July 10, 2025, October 9, 2025, and January 8, 2026.</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Additionally, on March 11, 2026, the Board of Directors declared a quarterly cash dividend of $0.23 per share of issued and outstanding common stock, representing an increase of 4.5%. The dividend was paid on April 9, 2026, to all stockholders of record as of March 26,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Refer to Part III, Item 12, for information related to our equity compensation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 Maximum Number (or</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 Total Number of</w:t>
            </w:r>
          </w:p>
        </w:tc>
        <w:tc>
          <w:tcPr>
            <w:tcW w:w="120" w:type="dxa"/>
            <w:vAlign w:val="bottom"/>
          </w:tcPr>
          <w:p>
            <w:pPr>
              <w:spacing w:after="0"/>
              <w:rPr>
                <w:sz w:val="18"/>
                <w:szCs w:val="18"/>
                <w:color w:val="auto"/>
              </w:rPr>
            </w:pPr>
          </w:p>
        </w:tc>
        <w:tc>
          <w:tcPr>
            <w:tcW w:w="2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Approximate Dollar Value)</w:t>
            </w:r>
          </w:p>
        </w:tc>
        <w:tc>
          <w:tcPr>
            <w:tcW w:w="0" w:type="dxa"/>
            <w:vAlign w:val="bottom"/>
          </w:tcPr>
          <w:p>
            <w:pPr>
              <w:spacing w:after="0"/>
              <w:rPr>
                <w:sz w:val="1"/>
                <w:szCs w:val="1"/>
                <w:color w:val="auto"/>
              </w:rPr>
            </w:pPr>
          </w:p>
        </w:tc>
      </w:tr>
      <w:tr>
        <w:trPr>
          <w:trHeight w:val="225"/>
        </w:trPr>
        <w:tc>
          <w:tcPr>
            <w:tcW w:w="362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 Total Number</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Shares (or Units) that</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(b) Average Price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16"/>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Units) Purchased</w:t>
            </w: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 Per Share (or</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230"/>
        </w:trPr>
        <w:tc>
          <w:tcPr>
            <w:tcW w:w="3620" w:type="dxa"/>
            <w:vAlign w:val="bottom"/>
            <w:vMerge w:val="continue"/>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(1)</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2"/>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Unit) </w:t>
            </w:r>
            <w:r>
              <w:rPr>
                <w:rFonts w:ascii="Times New Roman" w:cs="Times New Roman" w:eastAsia="Times New Roman" w:hAnsi="Times New Roman"/>
                <w:sz w:val="26"/>
                <w:szCs w:val="26"/>
                <w:b w:val="1"/>
                <w:bCs w:val="1"/>
                <w:color w:val="auto"/>
                <w:vertAlign w:val="superscript"/>
              </w:rPr>
              <w:t>(2)</w:t>
            </w:r>
          </w:p>
        </w:tc>
        <w:tc>
          <w:tcPr>
            <w:tcW w:w="22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right="31"/>
              <w:spacing w:after="0" w:line="230" w:lineRule="exact"/>
              <w:rPr>
                <w:sz w:val="20"/>
                <w:szCs w:val="20"/>
                <w:color w:val="auto"/>
              </w:rPr>
            </w:pPr>
            <w:r>
              <w:rPr>
                <w:rFonts w:ascii="Times New Roman" w:cs="Times New Roman" w:eastAsia="Times New Roman" w:hAnsi="Times New Roman"/>
                <w:sz w:val="16"/>
                <w:szCs w:val="16"/>
                <w:b w:val="1"/>
                <w:bCs w:val="1"/>
                <w:color w:val="auto"/>
              </w:rPr>
              <w:t xml:space="preserve">Programs </w:t>
            </w:r>
            <w:r>
              <w:rPr>
                <w:rFonts w:ascii="Times New Roman" w:cs="Times New Roman" w:eastAsia="Times New Roman" w:hAnsi="Times New Roman"/>
                <w:sz w:val="26"/>
                <w:szCs w:val="26"/>
                <w:b w:val="1"/>
                <w:bCs w:val="1"/>
                <w:color w:val="auto"/>
                <w:vertAlign w:val="superscript"/>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 2, 2025 - Nov 29, 2025</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35,987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49.91</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70,010,542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Nov 30, 2025 - Jan 3, 2026</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62,832</w:t>
            </w: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55.84</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66,502,014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 4, 2026 - Jan 31, 2026</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74,085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64.95</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61,690,556</w:t>
            </w:r>
          </w:p>
        </w:tc>
        <w:tc>
          <w:tcPr>
            <w:tcW w:w="0" w:type="dxa"/>
            <w:vAlign w:val="bottom"/>
          </w:tcPr>
          <w:p>
            <w:pPr>
              <w:spacing w:after="0"/>
              <w:rPr>
                <w:sz w:val="1"/>
                <w:szCs w:val="1"/>
                <w:color w:val="auto"/>
              </w:rPr>
            </w:pPr>
          </w:p>
        </w:tc>
      </w:tr>
      <w:tr>
        <w:trPr>
          <w:trHeight w:val="20"/>
        </w:trPr>
        <w:tc>
          <w:tcPr>
            <w:tcW w:w="362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172,904</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58.51</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61,690,556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500" w:hanging="330"/>
        <w:spacing w:after="0" w:line="257"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if any. Our equity incentive plans provide that the value of shares delivered to us to pay the withholding tax obligations is calculated at the closing trading price of our common stock on the date the relevant transactions occur.</w:t>
      </w:r>
    </w:p>
    <w:p>
      <w:pPr>
        <w:spacing w:after="0" w:line="1"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commissions.</w:t>
      </w:r>
    </w:p>
    <w:p>
      <w:pPr>
        <w:spacing w:after="0" w:line="17" w:lineRule="exact"/>
        <w:rPr>
          <w:rFonts w:ascii="Times New Roman" w:cs="Times New Roman" w:eastAsia="Times New Roman" w:hAnsi="Times New Roman"/>
          <w:sz w:val="18"/>
          <w:szCs w:val="18"/>
          <w:color w:val="auto"/>
        </w:rPr>
      </w:pPr>
    </w:p>
    <w:p>
      <w:pPr>
        <w:jc w:val="both"/>
        <w:ind w:left="500" w:hanging="330"/>
        <w:spacing w:after="0" w:line="258"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2022, the Board of Directors adopted the August 2022 Stock Repurchase program that authorized the repurchase of up to $50 million of our common stock. On September 11, 2024, we announced that our Board of Directors terminated an existing stock repurchase program and authorized a new share repurchase program of up to $100 million. This program authorizes the Company to repurchase shares through September 30, 2028, and does not require the Company to repurchase any specific number of shares, and may be modified, suspended or terminated at any time without prior notice. Shares repurchased under the program will be subsequently retired.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order to show a Comparative Stock Performance, Build-A-Bear has shown a five-year comparative investment of $100 into Build-A-Bear, the Russell 2000 Index, and the Russell 2000 Consumer Discretionary Index. The Company has determined that based on their current size, the Russell 2000 information would be more comparable than the S&amp;P 500. It should be noted that as Build-A-Bear has a floating fiscal year end occurring on the last Saturday in January or first Saturday in February, the information utilized as the year end information will be on the close the day prior the listed date. Any dividends that are paid by the Company will be assumed to be reinvested at the next day opening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128270</wp:posOffset>
            </wp:positionV>
            <wp:extent cx="6686550" cy="3154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8655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Cumulative Total Return</w:t>
            </w:r>
          </w:p>
        </w:tc>
        <w:tc>
          <w:tcPr>
            <w:tcW w:w="100" w:type="dxa"/>
            <w:vAlign w:val="bottom"/>
          </w:tcPr>
          <w:p>
            <w:pPr>
              <w:spacing w:after="0"/>
              <w:rPr>
                <w:sz w:val="20"/>
                <w:szCs w:val="20"/>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January 30,</w:t>
            </w:r>
          </w:p>
        </w:tc>
        <w:tc>
          <w:tcPr>
            <w:tcW w:w="100" w:type="dxa"/>
            <w:vAlign w:val="bottom"/>
          </w:tcPr>
          <w:p>
            <w:pPr>
              <w:spacing w:after="0"/>
              <w:rPr>
                <w:sz w:val="20"/>
                <w:szCs w:val="20"/>
                <w:color w:val="auto"/>
              </w:rPr>
            </w:pPr>
          </w:p>
        </w:tc>
        <w:tc>
          <w:tcPr>
            <w:tcW w:w="12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January 29,</w:t>
            </w:r>
          </w:p>
        </w:tc>
        <w:tc>
          <w:tcPr>
            <w:tcW w:w="120" w:type="dxa"/>
            <w:vAlign w:val="bottom"/>
          </w:tcPr>
          <w:p>
            <w:pPr>
              <w:spacing w:after="0"/>
              <w:rPr>
                <w:sz w:val="20"/>
                <w:szCs w:val="20"/>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20"/>
                <w:szCs w:val="20"/>
                <w:color w:val="auto"/>
              </w:rPr>
            </w:pP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February 3,</w:t>
            </w:r>
          </w:p>
        </w:tc>
        <w:tc>
          <w:tcPr>
            <w:tcW w:w="100" w:type="dxa"/>
            <w:vAlign w:val="bottom"/>
          </w:tcPr>
          <w:p>
            <w:pPr>
              <w:spacing w:after="0"/>
              <w:rPr>
                <w:sz w:val="20"/>
                <w:szCs w:val="20"/>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Pr>
          <w:p>
            <w:pPr>
              <w:spacing w:after="0"/>
              <w:rPr>
                <w:sz w:val="20"/>
                <w:szCs w:val="20"/>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07"/>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 - A - Bear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2"/>
              </w:rPr>
              <w:t>100.00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906.10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Russell 2000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110.32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2000 Consumer Discretionary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sales of unregistered securities during the past three years.</w:t>
      </w:r>
    </w:p>
    <w:p>
      <w:pPr>
        <w:spacing w:after="0" w:line="200" w:lineRule="exact"/>
        <w:rPr>
          <w:sz w:val="20"/>
          <w:szCs w:val="20"/>
          <w:color w:val="auto"/>
        </w:rPr>
      </w:pPr>
    </w:p>
    <w:p>
      <w:pPr>
        <w:spacing w:after="0" w:line="237" w:lineRule="exact"/>
        <w:rPr>
          <w:sz w:val="20"/>
          <w:szCs w:val="20"/>
          <w:color w:val="auto"/>
        </w:rPr>
      </w:pPr>
    </w:p>
    <w:p>
      <w:pPr>
        <w:jc w:val="center"/>
        <w:ind w:right="916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486"/>
        <w:spacing w:after="0" w:line="220" w:lineRule="exact"/>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for children.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has evolved to become a leading global "retailtainment" brand on a mission to add a little more heart to life. At Build-A-Bear, guests are invited to create personalized furry friends through a unique stuffing, dressing, accessorizing and naming process, accentuated by a memorable Heart Ceremony that creates moments of connection for people of all ages. Over the years,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has grown into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generational phenomenon, positioned at the intersection of pop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culture trends. Beyond its signature retail experience, our brand also offers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stuffed plush, gifting, partnerships with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licensed and collectible characters, and original storytelling through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Entertainment, LLC.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Bear’s current brand platform and message, “The Stuff You Love,” crosses ages and cultures while celebrating nearly 30 years of helping people mark life’s meaningful moments.</w:t>
      </w:r>
    </w:p>
    <w:p>
      <w:pPr>
        <w:spacing w:after="0" w:line="200" w:lineRule="exact"/>
        <w:rPr>
          <w:sz w:val="20"/>
          <w:szCs w:val="20"/>
          <w:color w:val="auto"/>
        </w:rPr>
      </w:pPr>
    </w:p>
    <w:p>
      <w:pPr>
        <w:spacing w:after="0" w:line="2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Build-A-Bear brand has high consumer awareness and positive affinity, and we leverage our brand strength to expand the footprint of our retail experience locations through a range of store sizes, formats, and locations, including tourist destinations. In addition to growing our corporately-managed store footprint, we are also growing through partner-operated and franchise locations, particularly for our international expansion. Our ongoing digital transformation, which touches our e-commerce business, consumer loyalty program, and digital content, has led to omnichannel growth over the past several years. Build-A-Bear's pop-culture appeal plays a key role in expanding our total addressable market beyond children to teens and adults with sports licensing, collectible and gifting offerings, as well as to categories beyond plush.</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January 31, 2026, the Company had 662 global locations through a combination of its corporately-managed, partner-operated, and franchise models. This reflects 375 corporately-managed locations, including 333 stores in the United States (“U.S.”) and Canada and 42 stores in the United Kingdom (“U.K.”) and the Republic of Ireland, 178 partner-operated locations in which we sell our products on a wholesale basis to other companies that then, in turn, execute our retail experience, and 109 franchise locations operating internationally, all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 For the 2025 fiscal year, the Company had net new unit growth of 64 experience locations, comprised of seven corporately managed locations, 40 partner-operated locations, and 17 international franchise locations.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62" w:lineRule="exact"/>
        <w:rPr>
          <w:sz w:val="20"/>
          <w:szCs w:val="20"/>
          <w:color w:val="auto"/>
        </w:rPr>
      </w:pP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to Consumer (“DTC”) – Corporately-managed retail stores located in the U.S., Canada, the U.K., Ireland, and two e-commerce sites;</w:t>
      </w:r>
    </w:p>
    <w:p>
      <w:pPr>
        <w:spacing w:after="0" w:line="36" w:lineRule="exact"/>
        <w:rPr>
          <w:rFonts w:ascii="Times New Roman" w:cs="Times New Roman" w:eastAsia="Times New Roman" w:hAnsi="Times New Roman"/>
          <w:sz w:val="18"/>
          <w:szCs w:val="18"/>
          <w:color w:val="auto"/>
        </w:rPr>
      </w:pPr>
    </w:p>
    <w:p>
      <w:pPr>
        <w:ind w:left="500" w:hanging="330"/>
        <w:spacing w:after="0" w:line="261"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 Transactions with other businesses, mainly comprised of wholesale product sales and licensing our intellectual property, including entertainment properties, for third-party use; and</w:t>
      </w:r>
    </w:p>
    <w:p>
      <w:pPr>
        <w:ind w:left="500" w:hanging="330"/>
        <w:spacing w:after="0"/>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franchising – Royalties as well as product and fixture sales from other international operations under franchise agreements.</w:t>
      </w:r>
    </w:p>
    <w:p>
      <w:pPr>
        <w:spacing w:after="0" w:line="23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fiscal 2025, 2024 and 2023 are presented in Note 15 — Segment Information to our consolidated financial statements included elsewhere in this Annual Report on Form 10-K.</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year-over-year results discussed below are impacted by fiscal 2025 and fiscal 2024 being 52-week periods compared to fiscal 2023 which had an additional week because it was a 53-week period.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consolidated net income was $52.2 million in fiscal 2025 compared to net income of $51.8 million in fiscal 2024 and $52.8 million in fiscal 2023. We believe that we have a concept that has broad demographic appeal which, for North American stores open for the entire year, averaged net retail sales per store of $1.2 million in fiscal 2025, 2024 and 2023.</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ended fiscal 2025 with no borrowings under our credit agreement and with $26.8 million in cash, cash equivalents and restricted cash after investing $25.5 million in capital projects throughout the year. In fiscal 2025 the company utilized $27.5 million in cash to repurchase 508,945 shares under the share repurchase program that was authorized by the Board of Directors on September 11, 2024 (the “September 2024 Stock Repurchase Program”). The September 2024 Stock Repurchase Program terminated the August 2022 Stock Repurchase Program and authorized a new share repurchase program of up to $100 million. From the end of fiscal 2025 through April 14, 2026, the Company utilized $10.7 million to repurchase 231,153 shares under the stock buyback program, leaving $51.0 million available under the September 2024 Stock Repurchase Program.</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12, 2025, our Board of Directors approved a quarterly dividend program of $0.22 per share representing an increase of 10%, to evolve its strategic use of capital. During fiscal 2025, the company declared and paid quarterly dividends totaling $ 11.5 million to shareholders. Additionally, on March 11, 2026, the Board of Directors declared a quarterly cash dividend of $0.23 per share of issued and outstanding common stock, representing an increase of 4.5%. The dividend will be paid on April 9, 2026, to all stockholders of record as of March 26,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Events and Trends Regarding Tariffs and International Trade</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Global trade policy continues to evolve and the ultimate impact of recent developments with respect to U.S. tariffs is unclear. On February 20, 2026, the U.S. Supreme Court issued a ruling striking down certain tariffs previously imposed under the International Emergency Economic Powers Act ("IEEPA"). The ultimate availability, timing, and amount of any potential refunds of such tariffs remain uncertain and are subject to further legal, regulatory, and administrative developments.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the Company's business. The Company continues to monitor and evaluate these developments and assess their potential impact on its business, financial condition, and results of operations.</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we import the vast majority of our products from vendors outside the U.S., we face uncertainty and risks related to tariffs and other trade policies that could negatively impact our Company. Tariffs and other non-tariff trade practices can adversely affect our business in multiple ways including increased costs of our products. While we have taken steps in recent years to diversify our supply chain and reduce China sourcing by shifting primarily to Vietnam, we remain subject to substantial potential exposure to tariffs. Specifically, the latest tariffs implemented by the U.S. would have significant impact on our cost structure and product margins. Additionally, the uncertainty about trade policy, tariff rates, and other changes in practices affecting international trade, including whether such tariffs or other measures will be withdrawn, or modified in the future, makes it difficult for us to operate optimally. Depending on the level and longevity of the tariff disruption, we will continue to adjust our pricing while monitoring the impact of inflation and consumer confidence, on both a micro and macro basis.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retail sales, commercial revenue and international franchising: </w:t>
      </w:r>
      <w:r>
        <w:rPr>
          <w:rFonts w:ascii="Times New Roman" w:cs="Times New Roman" w:eastAsia="Times New Roman" w:hAnsi="Times New Roman"/>
          <w:sz w:val="18"/>
          <w:szCs w:val="18"/>
          <w:color w:val="auto"/>
        </w:rPr>
        <w:t>See Note 3 — "Revenue" to the consolidated financial statements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information.</w:t>
      </w:r>
    </w:p>
    <w:p>
      <w:pPr>
        <w:spacing w:after="0" w:line="16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use net retail sales per square foot as a performance measure for our business. The following table details net retail sales per square foot for stores open throughout the fiscal year for the periods presented: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Fiscal year ended</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6320" w:type="dxa"/>
            <w:vAlign w:val="bottom"/>
          </w:tcPr>
          <w:p>
            <w:pPr>
              <w:spacing w:after="0"/>
              <w:rPr>
                <w:sz w:val="17"/>
                <w:szCs w:val="17"/>
                <w:color w:val="auto"/>
              </w:rPr>
            </w:pPr>
          </w:p>
        </w:tc>
        <w:tc>
          <w:tcPr>
            <w:tcW w:w="168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8"/>
              </w:rPr>
              <w:t>January 31,</w:t>
            </w:r>
          </w:p>
        </w:tc>
        <w:tc>
          <w:tcPr>
            <w:tcW w:w="1680" w:type="dxa"/>
            <w:vAlign w:val="bottom"/>
            <w:gridSpan w:val="2"/>
          </w:tcPr>
          <w:p>
            <w:pPr>
              <w:jc w:val="center"/>
              <w:ind w:right="220"/>
              <w:spacing w:after="0" w:line="205" w:lineRule="exact"/>
              <w:rPr>
                <w:sz w:val="20"/>
                <w:szCs w:val="20"/>
                <w:color w:val="auto"/>
              </w:rPr>
            </w:pPr>
            <w:r>
              <w:rPr>
                <w:rFonts w:ascii="Times New Roman" w:cs="Times New Roman" w:eastAsia="Times New Roman" w:hAnsi="Times New Roman"/>
                <w:sz w:val="18"/>
                <w:szCs w:val="18"/>
                <w:color w:val="auto"/>
                <w:w w:val="98"/>
              </w:rPr>
              <w:t>February 1,</w:t>
            </w:r>
          </w:p>
        </w:tc>
        <w:tc>
          <w:tcPr>
            <w:tcW w:w="14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February 3,</w:t>
            </w:r>
          </w:p>
        </w:tc>
        <w:tc>
          <w:tcPr>
            <w:tcW w:w="100" w:type="dxa"/>
            <w:vAlign w:val="bottom"/>
          </w:tcPr>
          <w:p>
            <w:pPr>
              <w:spacing w:after="0"/>
              <w:rPr>
                <w:sz w:val="17"/>
                <w:szCs w:val="17"/>
                <w:color w:val="auto"/>
              </w:rPr>
            </w:pPr>
          </w:p>
        </w:tc>
      </w:tr>
      <w:tr>
        <w:trPr>
          <w:trHeight w:val="234"/>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retail sales per square foot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6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North America </w:t>
            </w:r>
            <w:r>
              <w:rPr>
                <w:rFonts w:ascii="Times New Roman" w:cs="Times New Roman" w:eastAsia="Times New Roman" w:hAnsi="Times New Roman"/>
                <w:sz w:val="24"/>
                <w:szCs w:val="24"/>
                <w:color w:val="auto"/>
                <w:vertAlign w:val="superscript"/>
              </w:rPr>
              <w:t>(1)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$518</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$492</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$495</w:t>
            </w:r>
          </w:p>
        </w:tc>
        <w:tc>
          <w:tcPr>
            <w:tcW w:w="100" w:type="dxa"/>
            <w:vAlign w:val="bottom"/>
            <w:shd w:val="clear" w:color="auto" w:fill="CCEEFF"/>
          </w:tcPr>
          <w:p>
            <w:pPr>
              <w:spacing w:after="0"/>
              <w:rPr>
                <w:sz w:val="18"/>
                <w:szCs w:val="18"/>
                <w:color w:val="auto"/>
              </w:rPr>
            </w:pPr>
          </w:p>
        </w:tc>
      </w:tr>
      <w:tr>
        <w:trPr>
          <w:trHeight w:val="39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United Kingdom </w:t>
            </w:r>
            <w:r>
              <w:rPr>
                <w:rFonts w:ascii="Times New Roman" w:cs="Times New Roman" w:eastAsia="Times New Roman" w:hAnsi="Times New Roman"/>
                <w:sz w:val="29"/>
                <w:szCs w:val="29"/>
                <w:color w:val="auto"/>
                <w:vertAlign w:val="superscript"/>
              </w:rPr>
              <w:t>(2)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£735</w:t>
            </w:r>
          </w:p>
        </w:tc>
        <w:tc>
          <w:tcPr>
            <w:tcW w:w="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£729</w:t>
            </w:r>
          </w:p>
        </w:tc>
        <w:tc>
          <w:tcPr>
            <w:tcW w:w="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£629</w:t>
            </w:r>
          </w:p>
        </w:tc>
        <w:tc>
          <w:tcPr>
            <w:tcW w:w="100" w:type="dxa"/>
            <w:vAlign w:val="bottom"/>
          </w:tcPr>
          <w:p>
            <w:pPr>
              <w:spacing w:after="0"/>
              <w:rPr>
                <w:sz w:val="24"/>
                <w:szCs w:val="24"/>
                <w:color w:val="auto"/>
              </w:rPr>
            </w:pPr>
          </w:p>
        </w:tc>
      </w:tr>
    </w:tbl>
    <w:p>
      <w:pPr>
        <w:spacing w:after="0" w:line="20" w:lineRule="exact"/>
        <w:rPr>
          <w:sz w:val="20"/>
          <w:szCs w:val="20"/>
          <w:color w:val="auto"/>
        </w:rPr>
      </w:pPr>
    </w:p>
    <w:p>
      <w:pPr>
        <w:ind w:left="340" w:hanging="332"/>
        <w:spacing w:after="0" w:line="195"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retail sales per square foot in North America represents net retail sales from stores open throughout the entire period in North America, excluding e-commerce sales, divided by the total leased square footage of such stores.</w:t>
      </w:r>
    </w:p>
    <w:p>
      <w:pPr>
        <w:spacing w:after="0" w:line="1" w:lineRule="exact"/>
        <w:rPr>
          <w:rFonts w:ascii="Times New Roman" w:cs="Times New Roman" w:eastAsia="Times New Roman" w:hAnsi="Times New Roman"/>
          <w:sz w:val="30"/>
          <w:szCs w:val="30"/>
          <w:color w:val="auto"/>
          <w:vertAlign w:val="superscript"/>
        </w:rPr>
      </w:pPr>
    </w:p>
    <w:p>
      <w:pPr>
        <w:ind w:left="340" w:hanging="332"/>
        <w:spacing w:after="0" w:line="187" w:lineRule="auto"/>
        <w:tabs>
          <w:tab w:leader="none" w:pos="34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retail sales per square foot in the U.K. represents net retail sales from stores open throughout the entire period in the U.K., excluding e-commerce sales, divided by the total selling square footage of such stores.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21" w:right="339" w:bottom="0" w:gutter="0" w:footer="0" w:header="0"/>
          <w:type w:val="continuous"/>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merchandise sold: </w:t>
      </w:r>
      <w:r>
        <w:rPr>
          <w:rFonts w:ascii="Times New Roman" w:cs="Times New Roman" w:eastAsia="Times New Roman" w:hAnsi="Times New Roman"/>
          <w:sz w:val="18"/>
          <w:szCs w:val="18"/>
          <w:color w:val="auto"/>
        </w:rPr>
        <w:t>Cost of merchandise sold is driven primarily by our retail segment. Cost of merchandise sold – retail includes the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merchandise, including royalties paid to licensors of third party branded merchandise, tariff costs, store occupancy cost, including store depreciation and store asset impairment charges (if not disclosed separately due to materiality) (See Note 6 — "Property and Equipment, net" to the consolidated financial statements for additional accounting information regarding store asset impairment), cost of warehousing and distribution, packaging, stuffing, damages and shortages, and shipping and handling costs incurred in shipment to customers. Retail gross profit is defined as net retail sales less the cost of merchandise sold - retail. For the commercial segment, cost of merchandise includes the cost of merchandise sold to third-party retailers on a wholesale basis for sale within their stores. For the franchise segment, cost of merchandise includes the sale of furniture, fixtures, and supplies to our franchise partners.</w:t>
      </w:r>
    </w:p>
    <w:p>
      <w:pPr>
        <w:spacing w:after="0" w:line="18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(“SGA”): </w:t>
      </w:r>
      <w:r>
        <w:rPr>
          <w:rFonts w:ascii="Times New Roman" w:cs="Times New Roman" w:eastAsia="Times New Roman" w:hAnsi="Times New Roman"/>
          <w:sz w:val="18"/>
          <w:szCs w:val="18"/>
          <w:color w:val="auto"/>
        </w:rPr>
        <w:t>These expenses include store payroll and benefits, advertising, credit card fees, store supplies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normal store pre-opening and 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and the amortization of other assets. Certain store expenses such as credit card fees historically have increased or decreased proportionately with net retail sales. In addition, bad debt expenses and recoveries and accounts receivable related charges are recorded in SGA.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Corporately-Managed Locations: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Build-A-Bear Workshop stores in the U.S. and Canada (collectively, North America) and the U.K. and Ireland (collectively, Europe)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last three fiscal years is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February 1, 2025</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February 3, 2024</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280" w:type="dxa"/>
            <w:vAlign w:val="bottom"/>
          </w:tcPr>
          <w:p>
            <w:pPr>
              <w:spacing w:after="0"/>
              <w:rPr>
                <w:sz w:val="17"/>
                <w:szCs w:val="17"/>
                <w:color w:val="auto"/>
              </w:rPr>
            </w:pPr>
          </w:p>
        </w:tc>
        <w:tc>
          <w:tcPr>
            <w:tcW w:w="104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North</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North</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North</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2280" w:type="dxa"/>
            <w:vAlign w:val="bottom"/>
          </w:tcPr>
          <w:p>
            <w:pPr>
              <w:spacing w:after="0"/>
              <w:rPr>
                <w:sz w:val="18"/>
                <w:szCs w:val="18"/>
                <w:color w:val="auto"/>
              </w:rPr>
            </w:pPr>
          </w:p>
        </w:tc>
        <w:tc>
          <w:tcPr>
            <w:tcW w:w="104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Europe</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America</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of period</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Opened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7"/>
                <w:szCs w:val="17"/>
                <w:color w:val="auto"/>
              </w:rPr>
            </w:pPr>
          </w:p>
        </w:tc>
        <w:tc>
          <w:tcPr>
            <w:tcW w:w="10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Converted</w:t>
            </w:r>
          </w:p>
        </w:tc>
        <w:tc>
          <w:tcPr>
            <w:tcW w:w="10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Closed</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10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w:t>
            </w: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 of period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fiscal 2025, our retail business model continued to evolve to address changing shopping patterns by diversifying our locations, formats and geographies. We are updating our store portfolio with our Discovery format, which represented 54% of our store base as of January 31, 2026. During fiscal 2025, we executed five planned net new store openings in North America, with seven being opened under the Discovery format. Temporary locations generally have lease terms of two to eighteen months. These specific sites are designed to capitalize on short-term opportunities. In the future, we expect to close certain stores in accordance with natural lease events as an ongoing part of our real estate management and day-to-day operational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Partner-Operated Locations: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partner-operated locations opened and closed for the periods presented below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8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Opened</w:t>
            </w:r>
          </w:p>
        </w:tc>
        <w:tc>
          <w:tcPr>
            <w:tcW w:w="4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w:t>
            </w:r>
          </w:p>
        </w:tc>
        <w:tc>
          <w:tcPr>
            <w:tcW w:w="4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8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8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28</w:t>
            </w: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5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Through our partner-operated model, there were 178 stores in operation at the end of fiscal year 2025 with relationships that included Carnival Cruise Line, Great Wolf Lodge Resorts, Landry's, and Girl Scouts of the USA. The partner-operated model is capital light for us, with the partner company building out and operating the workshops including providing the real estate location and covering the cost of labor and inventory, which is purchased on a wholesale basis. These locations are heavily-weighted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Locations: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first franchise location was opened in November 2003. All franchise locations generally have similar signage, store layout and merchandise assortments as our corporately-managed stores. As of January 31, 2026, we had seven master franchise agreements, which typically grant franchise rights for a particular country or group of countries, covering an aggregate of twelve countries.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number of international, franchise locations opened and closed for the periods presented below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Opened</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Closed</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80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As of January 31, 2026, the distribution of franchise locations among these countries was as follows:</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Australia </w:t>
            </w:r>
            <w:r>
              <w:rPr>
                <w:rFonts w:ascii="Times New Roman" w:cs="Times New Roman" w:eastAsia="Times New Roman" w:hAnsi="Times New Roman"/>
                <w:sz w:val="25"/>
                <w:szCs w:val="25"/>
                <w:color w:val="auto"/>
                <w:vertAlign w:val="superscript"/>
              </w:rPr>
              <w:t>(1)</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China </w:t>
            </w:r>
            <w:r>
              <w:rPr>
                <w:rFonts w:ascii="Times New Roman" w:cs="Times New Roman" w:eastAsia="Times New Roman" w:hAnsi="Times New Roman"/>
                <w:sz w:val="25"/>
                <w:szCs w:val="25"/>
                <w:color w:val="auto"/>
                <w:vertAlign w:val="superscript"/>
              </w:rPr>
              <w:t>(2)</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Gulf States </w:t>
            </w:r>
            <w:r>
              <w:rPr>
                <w:rFonts w:ascii="Times New Roman" w:cs="Times New Roman" w:eastAsia="Times New Roman" w:hAnsi="Times New Roman"/>
                <w:sz w:val="25"/>
                <w:szCs w:val="25"/>
                <w:color w:val="auto"/>
                <w:vertAlign w:val="superscript"/>
              </w:rPr>
              <w:t>(3)</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Chile</w:t>
            </w:r>
          </w:p>
        </w:tc>
        <w:tc>
          <w:tcPr>
            <w:tcW w:w="14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460" w:hanging="250"/>
        <w:spacing w:after="0"/>
        <w:tabs>
          <w:tab w:leader="none" w:pos="46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Australia master franchise agreement includes New Zealand where one store is currently open.</w:t>
      </w:r>
    </w:p>
    <w:p>
      <w:pPr>
        <w:spacing w:after="0" w:line="1" w:lineRule="exact"/>
        <w:rPr>
          <w:rFonts w:ascii="Times New Roman" w:cs="Times New Roman" w:eastAsia="Times New Roman" w:hAnsi="Times New Roman"/>
          <w:sz w:val="30"/>
          <w:szCs w:val="30"/>
          <w:color w:val="auto"/>
          <w:vertAlign w:val="superscript"/>
        </w:rPr>
      </w:pPr>
    </w:p>
    <w:p>
      <w:pPr>
        <w:ind w:left="460" w:hanging="250"/>
        <w:spacing w:after="0" w:line="194" w:lineRule="auto"/>
        <w:tabs>
          <w:tab w:leader="none" w:pos="4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China master franchise agreement includes Hong Kong where two stores are currently open.</w:t>
      </w:r>
    </w:p>
    <w:p>
      <w:pPr>
        <w:spacing w:after="0" w:line="2" w:lineRule="exact"/>
        <w:rPr>
          <w:rFonts w:ascii="Times New Roman" w:cs="Times New Roman" w:eastAsia="Times New Roman" w:hAnsi="Times New Roman"/>
          <w:sz w:val="23"/>
          <w:szCs w:val="23"/>
          <w:color w:val="auto"/>
          <w:vertAlign w:val="superscript"/>
        </w:rPr>
      </w:pPr>
    </w:p>
    <w:p>
      <w:pPr>
        <w:ind w:left="460" w:right="20" w:hanging="250"/>
        <w:spacing w:after="0" w:line="187" w:lineRule="auto"/>
        <w:tabs>
          <w:tab w:leader="none" w:pos="46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Gulf States master franchise agreement includes Kuwait, Qatar and the United Arab Emirates which all have stores as well as Bahrain and Oman where no stores are currently open.</w:t>
      </w:r>
    </w:p>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2025 Overview</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performance continues to reflect the success of our strategy which has allowed us to put the building blocks in place to develop a powerful platform to support our initiatives to deliver consistent profitable growth. We believe our elevated omnichannel business model, which includes a highly profitable e-commerce and experiential retail store base, complimented by diversified revenue streams and disciplined expense and balance sheet management, puts us in a solid position for continued future success. We delivered a full year pre-tax profit of $67.2 million, which was the highest in our company’s 28-year history. In response to a variety of external pressures including tariffs, changes in consumer shopping habits resulting in the rapid rise of the digital economy and shifting mall traffic patterns, we remained focused on accelerating and expanding our key initiatives by investing in and executing plans to improve operations and profitability. We believe that the majority of our positive performance was driven by the disciplined execution of our strategic initiatives, including leveraging our financial management to invest in growth initiatives, to contribute to an increase in total revenue of $33.4 million in fiscal 2025. We ended the year with cash and cash equivalents of $26.8 million with no outstanding borrowings on our credit facility. During fiscal 2025, the Company returned $39.0 million to shareholders through $27.5 million in share repurchases and $11.5 million in dividends.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statement of operations data expressed as a percentage of total revenues, except where otherwise indicated. Percentages may not total due to immaterial rounding: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1"/>
        </w:trPr>
        <w:tc>
          <w:tcPr>
            <w:tcW w:w="6200" w:type="dxa"/>
            <w:vAlign w:val="bottom"/>
          </w:tcPr>
          <w:p>
            <w:pPr>
              <w:spacing w:after="0"/>
              <w:rPr>
                <w:sz w:val="17"/>
                <w:szCs w:val="17"/>
                <w:color w:val="auto"/>
              </w:rPr>
            </w:pPr>
          </w:p>
        </w:tc>
        <w:tc>
          <w:tcPr>
            <w:tcW w:w="1720" w:type="dxa"/>
            <w:vAlign w:val="bottom"/>
            <w:gridSpan w:val="2"/>
          </w:tcPr>
          <w:p>
            <w:pPr>
              <w:jc w:val="right"/>
              <w:ind w:right="450"/>
              <w:spacing w:after="0" w:line="201"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720" w:type="dxa"/>
            <w:vAlign w:val="bottom"/>
            <w:gridSpan w:val="2"/>
          </w:tcPr>
          <w:p>
            <w:pPr>
              <w:jc w:val="center"/>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440" w:type="dxa"/>
            <w:vAlign w:val="bottom"/>
          </w:tcPr>
          <w:p>
            <w:pPr>
              <w:jc w:val="right"/>
              <w:ind w:right="170"/>
              <w:spacing w:after="0" w:line="201"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60" w:type="dxa"/>
            <w:vAlign w:val="bottom"/>
          </w:tcPr>
          <w:p>
            <w:pPr>
              <w:spacing w:after="0"/>
              <w:rPr>
                <w:sz w:val="17"/>
                <w:szCs w:val="17"/>
                <w:color w:val="auto"/>
              </w:rPr>
            </w:pPr>
          </w:p>
        </w:tc>
      </w:tr>
      <w:tr>
        <w:trPr>
          <w:trHeight w:val="238"/>
        </w:trPr>
        <w:tc>
          <w:tcPr>
            <w:tcW w:w="620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10"/>
        </w:trPr>
        <w:tc>
          <w:tcPr>
            <w:tcW w:w="6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retail sales</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91.7%</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92.8%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revenue</w:t>
            </w:r>
          </w:p>
        </w:tc>
        <w:tc>
          <w:tcPr>
            <w:tcW w:w="1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7.3</w:t>
            </w:r>
          </w:p>
        </w:tc>
        <w:tc>
          <w:tcPr>
            <w:tcW w:w="1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6.3</w:t>
            </w:r>
          </w:p>
        </w:tc>
        <w:tc>
          <w:tcPr>
            <w:tcW w:w="1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1.0</w:t>
            </w: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0.9</w:t>
            </w: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620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revenues</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6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retail </w:t>
            </w:r>
            <w:r>
              <w:rPr>
                <w:rFonts w:ascii="Times New Roman" w:cs="Times New Roman" w:eastAsia="Times New Roman" w:hAnsi="Times New Roman"/>
                <w:sz w:val="25"/>
                <w:szCs w:val="25"/>
                <w:color w:val="auto"/>
                <w:vertAlign w:val="superscript"/>
              </w:rPr>
              <w:t>(1)</w:t>
            </w: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43.9</w:t>
            </w: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45.0</w:t>
            </w: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620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Cost of merchandise sold - commercial </w:t>
            </w:r>
            <w:r>
              <w:rPr>
                <w:rFonts w:ascii="Times New Roman" w:cs="Times New Roman" w:eastAsia="Times New Roman" w:hAnsi="Times New Roman"/>
                <w:sz w:val="25"/>
                <w:szCs w:val="25"/>
                <w:color w:val="auto"/>
                <w:vertAlign w:val="superscript"/>
              </w:rPr>
              <w:t>(1)</w:t>
            </w:r>
          </w:p>
        </w:tc>
        <w:tc>
          <w:tcPr>
            <w:tcW w:w="1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44.4</w:t>
            </w:r>
          </w:p>
        </w:tc>
        <w:tc>
          <w:tcPr>
            <w:tcW w:w="1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42.8</w:t>
            </w:r>
          </w:p>
        </w:tc>
        <w:tc>
          <w:tcPr>
            <w:tcW w:w="1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47.6</w:t>
            </w:r>
          </w:p>
        </w:tc>
      </w:tr>
      <w:tr>
        <w:trPr>
          <w:trHeight w:val="229"/>
        </w:trPr>
        <w:tc>
          <w:tcPr>
            <w:tcW w:w="6200" w:type="dxa"/>
            <w:vAlign w:val="bottom"/>
          </w:tcPr>
          <w:p>
            <w:pPr>
              <w:ind w:left="340"/>
              <w:spacing w:after="0" w:line="230" w:lineRule="exact"/>
              <w:rPr>
                <w:sz w:val="20"/>
                <w:szCs w:val="20"/>
                <w:color w:val="auto"/>
              </w:rPr>
            </w:pPr>
            <w:r>
              <w:rPr>
                <w:rFonts w:ascii="Times New Roman" w:cs="Times New Roman" w:eastAsia="Times New Roman" w:hAnsi="Times New Roman"/>
                <w:sz w:val="16"/>
                <w:szCs w:val="16"/>
                <w:color w:val="auto"/>
              </w:rPr>
              <w:t xml:space="preserve">Cost of merchandise sold - international franchising </w:t>
            </w:r>
            <w:r>
              <w:rPr>
                <w:rFonts w:ascii="Times New Roman" w:cs="Times New Roman" w:eastAsia="Times New Roman" w:hAnsi="Times New Roman"/>
                <w:sz w:val="26"/>
                <w:szCs w:val="26"/>
                <w:color w:val="auto"/>
                <w:vertAlign w:val="superscript"/>
              </w:rPr>
              <w:t>(1)</w:t>
            </w: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73.6</w:t>
            </w: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69.2</w:t>
            </w: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62.1</w:t>
            </w:r>
          </w:p>
        </w:tc>
      </w:tr>
      <w:tr>
        <w:trPr>
          <w:trHeight w:val="210"/>
        </w:trPr>
        <w:tc>
          <w:tcPr>
            <w:tcW w:w="620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43.3</w:t>
            </w:r>
          </w:p>
        </w:tc>
        <w:tc>
          <w:tcPr>
            <w:tcW w:w="17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41.5</w:t>
            </w:r>
          </w:p>
        </w:tc>
        <w:tc>
          <w:tcPr>
            <w:tcW w:w="16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10"/>
        </w:trPr>
        <w:tc>
          <w:tcPr>
            <w:tcW w:w="620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top w:val="single" w:sz="8" w:color="CCEEFF"/>
            </w:tcBorders>
            <w:shd w:val="clear" w:color="auto" w:fill="CCEEFF"/>
          </w:tcPr>
          <w:p>
            <w:pPr>
              <w:spacing w:after="0"/>
              <w:rPr>
                <w:sz w:val="18"/>
                <w:szCs w:val="18"/>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17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20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62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bl>
    <w:p>
      <w:pPr>
        <w:spacing w:after="0" w:line="198" w:lineRule="exact"/>
        <w:rPr>
          <w:sz w:val="20"/>
          <w:szCs w:val="20"/>
          <w:color w:val="auto"/>
        </w:rPr>
      </w:pPr>
    </w:p>
    <w:p>
      <w:pPr>
        <w:ind w:left="440" w:hanging="432"/>
        <w:spacing w:after="0" w:line="195" w:lineRule="auto"/>
        <w:tabs>
          <w:tab w:leader="none" w:pos="4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spacing w:after="0" w:line="1" w:lineRule="exact"/>
        <w:rPr>
          <w:rFonts w:ascii="Times New Roman" w:cs="Times New Roman" w:eastAsia="Times New Roman" w:hAnsi="Times New Roman"/>
          <w:sz w:val="30"/>
          <w:szCs w:val="30"/>
          <w:color w:val="auto"/>
          <w:vertAlign w:val="superscript"/>
        </w:rPr>
      </w:pPr>
    </w:p>
    <w:p>
      <w:pPr>
        <w:ind w:left="440" w:hanging="432"/>
        <w:spacing w:after="0" w:line="187" w:lineRule="auto"/>
        <w:tabs>
          <w:tab w:leader="none" w:pos="44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Ended January 31, 2026 Compared to Fiscal Year Ended February 1, 2025</w:t>
      </w:r>
    </w:p>
    <w:p>
      <w:pPr>
        <w:spacing w:after="0" w:line="227"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Net retail sales were $486.0 million for fiscal 2025, compared to $460.3 million for fiscal 2024, an increase of $25.7 million or 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prior year. The components of this increase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0" w:type="dxa"/>
            <w:vAlign w:val="bottom"/>
          </w:tcPr>
          <w:p>
            <w:pPr>
              <w:spacing w:after="0"/>
              <w:rPr>
                <w:sz w:val="1"/>
                <w:szCs w:val="1"/>
                <w:color w:val="auto"/>
              </w:rPr>
            </w:pPr>
          </w:p>
        </w:tc>
      </w:tr>
      <w:tr>
        <w:trPr>
          <w:trHeight w:val="209"/>
        </w:trPr>
        <w:tc>
          <w:tcPr>
            <w:tcW w:w="38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(dollars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from:</w:t>
            </w:r>
          </w:p>
        </w:tc>
        <w:tc>
          <w:tcPr>
            <w:tcW w:w="5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Existing stores</w:t>
            </w:r>
          </w:p>
        </w:tc>
        <w:tc>
          <w:tcPr>
            <w:tcW w:w="6500" w:type="dxa"/>
            <w:vAlign w:val="bottom"/>
            <w:gridSpan w:val="2"/>
          </w:tcPr>
          <w:p>
            <w:pPr>
              <w:ind w:left="58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stores</w:t>
            </w:r>
          </w:p>
        </w:tc>
        <w:tc>
          <w:tcPr>
            <w:tcW w:w="5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5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 closures</w:t>
            </w:r>
          </w:p>
        </w:tc>
        <w:tc>
          <w:tcPr>
            <w:tcW w:w="5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Gift card discounts</w:t>
            </w:r>
          </w:p>
        </w:tc>
        <w:tc>
          <w:tcPr>
            <w:tcW w:w="5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5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880" w:type="dxa"/>
            <w:vAlign w:val="bottom"/>
            <w:vMerge w:val="restart"/>
          </w:tcPr>
          <w:p>
            <w:pPr>
              <w:jc w:val="right"/>
              <w:ind w:right="3870"/>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58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retail revenue increase was primarily the result of an increase in sales from corporately-operated retail locations through growth in the number of transactions, as our traffic outpaced national retail traffic data, and the opening of a net seven new corporately-managed locations in the fiscal year. The increased sales were partially offset by a decrease in web demand for the year.</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Commercial revenue was $38.8 million for fiscal 2025 compared to $31.4 million for fiscal 2024, an increase of $7.4 million or 23.5%, primarily due to increased sales volume from our wholesale accounts through our partner-operated retail model.</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from international franchising was $5.1 million for fiscal 2025 compared to $4.7 million for fiscal 2024. This $0.4 million or 8.5% increase was primarily due to having more stores in operation in 2025 compared to the same period in 2024 and the timing of product shipments.</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Retail gross margin</w:t>
      </w:r>
      <w:r>
        <w:rPr>
          <w:rFonts w:ascii="Times New Roman" w:cs="Times New Roman" w:eastAsia="Times New Roman" w:hAnsi="Times New Roman"/>
          <w:sz w:val="18"/>
          <w:szCs w:val="18"/>
          <w:color w:val="auto"/>
        </w:rPr>
        <w:t>. Retail gross margin was $272.8 million in fiscal 2025 compared to $253.1 million in fiscal 2024, an increase of $19.7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7.8%. As a percentage of net retail sales, retail gross margin increased to 56.1% for fiscal 2025 from 55.0% for fiscal 2024, or 110 basis points as a percentage of net retail sales. The increase in gross margin was the result of lower merchandise and freight costs partially offset by higher occupancy and tariff and related costs, net of mitigating actions.</w:t>
      </w:r>
    </w:p>
    <w:p>
      <w:pPr>
        <w:spacing w:after="0" w:line="18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were $229.2 million or 43.3% of consolidated revenue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2025 as compared to $206.2 million or 41.5% of consolidated revenue for fiscal 2024. The increase in overall expense was driven by higher store-level wages due to minimum wage increases, higher corporate payroll and other costs and general inflationary pressures.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For fiscal 2025, we had $0.8 million of interest income compared to $0.9 million of interest income in fiscal 2024.</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was $15.0 million in fiscal 2025 compared to $15.4 million in fiscal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effective rate of 22.3% differed from the statutory rate of 21% primarily due to state income tax expense partially offset by the benefit of the foreign-derived intangible income (FDII) deduction and discrete benefits related to settlement of prior period positions. The 2024 effective rate of 22.9% differed from the statutory rate of 21% primarily due to state income tax expense partially offset by the benefit of the FDII deduction.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Fiscal Year Ended February 1, 2025 Compared to Fiscal Year Ended February 3, 2024</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Fiscal 2024 has a 52-week fiscal compared to fiscal 2023 which was impacted by an additional week as it was a 53-week period.</w:t>
      </w:r>
    </w:p>
    <w:p>
      <w:pPr>
        <w:spacing w:after="0" w:line="223"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Net retail sales were $ 460.3 million for fiscal 2024, compared to $ 456.2 million for fiscal 2023, an increase of $ 4.2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0.9%, compared to the prior year. The components of this increase are as follows: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53rd week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Store 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E-commerce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Gift card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Gift card breakage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stores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53"/>
        <w:spacing w:after="0"/>
        <w:rPr>
          <w:sz w:val="20"/>
          <w:szCs w:val="20"/>
          <w:color w:val="auto"/>
        </w:rPr>
      </w:pPr>
      <w:r>
        <w:rPr>
          <w:rFonts w:ascii="Times New Roman" w:cs="Times New Roman" w:eastAsia="Times New Roman" w:hAnsi="Times New Roman"/>
          <w:sz w:val="18"/>
          <w:szCs w:val="18"/>
          <w:b w:val="1"/>
          <w:bCs w:val="1"/>
          <w:color w:val="auto"/>
        </w:rPr>
        <w:t>Fiscal year ended</w:t>
      </w:r>
    </w:p>
    <w:p>
      <w:pPr>
        <w:spacing w:after="0" w:line="31"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u w:val="single" w:color="auto"/>
          <w:color w:val="auto"/>
        </w:rPr>
        <w:t>February 1, 2025</w:t>
      </w:r>
    </w:p>
    <w:p>
      <w:pPr>
        <w:spacing w:after="0" w:line="23" w:lineRule="exact"/>
        <w:rPr>
          <w:sz w:val="20"/>
          <w:szCs w:val="20"/>
          <w:color w:val="auto"/>
        </w:rPr>
      </w:pPr>
    </w:p>
    <w:p>
      <w:pPr>
        <w:ind w:left="13"/>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20" w:lineRule="exact"/>
        <w:rPr>
          <w:sz w:val="20"/>
          <w:szCs w:val="20"/>
          <w:color w:val="auto"/>
        </w:rPr>
      </w:pPr>
    </w:p>
    <w:p>
      <w:pPr>
        <w:ind w:left="1133" w:hanging="1133"/>
        <w:spacing w:after="0"/>
        <w:tabs>
          <w:tab w:leader="none" w:pos="11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w:t>
      </w:r>
    </w:p>
    <w:p>
      <w:pPr>
        <w:spacing w:after="0" w:line="27" w:lineRule="exact"/>
        <w:rPr>
          <w:rFonts w:ascii="Times New Roman" w:cs="Times New Roman" w:eastAsia="Times New Roman" w:hAnsi="Times New Roman"/>
          <w:sz w:val="18"/>
          <w:szCs w:val="18"/>
          <w:color w:val="auto"/>
        </w:rPr>
      </w:pPr>
    </w:p>
    <w:p>
      <w:pPr>
        <w:ind w:left="11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w:t>
      </w:r>
    </w:p>
    <w:p>
      <w:pPr>
        <w:spacing w:after="0" w:line="9" w:lineRule="exact"/>
        <w:rPr>
          <w:rFonts w:ascii="Times New Roman" w:cs="Times New Roman" w:eastAsia="Times New Roman" w:hAnsi="Times New Roman"/>
          <w:sz w:val="18"/>
          <w:szCs w:val="18"/>
          <w:color w:val="auto"/>
        </w:rPr>
      </w:pPr>
    </w:p>
    <w:p>
      <w:pPr>
        <w:ind w:left="12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w:t>
      </w:r>
    </w:p>
    <w:p>
      <w:pPr>
        <w:spacing w:after="0" w:line="9" w:lineRule="exact"/>
        <w:rPr>
          <w:rFonts w:ascii="Times New Roman" w:cs="Times New Roman" w:eastAsia="Times New Roman" w:hAnsi="Times New Roman"/>
          <w:sz w:val="18"/>
          <w:szCs w:val="18"/>
          <w:color w:val="auto"/>
        </w:rPr>
      </w:pPr>
    </w:p>
    <w:p>
      <w:pPr>
        <w:ind w:left="11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w:t>
      </w:r>
    </w:p>
    <w:p>
      <w:pPr>
        <w:spacing w:after="0" w:line="9" w:lineRule="exact"/>
        <w:rPr>
          <w:rFonts w:ascii="Times New Roman" w:cs="Times New Roman" w:eastAsia="Times New Roman" w:hAnsi="Times New Roman"/>
          <w:sz w:val="18"/>
          <w:szCs w:val="18"/>
          <w:color w:val="auto"/>
        </w:rPr>
      </w:pPr>
    </w:p>
    <w:p>
      <w:pPr>
        <w:ind w:left="11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9" w:lineRule="exact"/>
        <w:rPr>
          <w:rFonts w:ascii="Times New Roman" w:cs="Times New Roman" w:eastAsia="Times New Roman" w:hAnsi="Times New Roman"/>
          <w:sz w:val="18"/>
          <w:szCs w:val="18"/>
          <w:color w:val="auto"/>
        </w:rPr>
      </w:pPr>
    </w:p>
    <w:p>
      <w:pPr>
        <w:ind w:left="12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9" w:lineRule="exact"/>
        <w:rPr>
          <w:rFonts w:ascii="Times New Roman" w:cs="Times New Roman" w:eastAsia="Times New Roman" w:hAnsi="Times New Roman"/>
          <w:sz w:val="18"/>
          <w:szCs w:val="18"/>
          <w:color w:val="auto"/>
        </w:rPr>
      </w:pPr>
    </w:p>
    <w:p>
      <w:pPr>
        <w:ind w:left="12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w:t>
      </w:r>
    </w:p>
    <w:p>
      <w:pPr>
        <w:spacing w:after="0" w:line="9" w:lineRule="exact"/>
        <w:rPr>
          <w:rFonts w:ascii="Times New Roman" w:cs="Times New Roman" w:eastAsia="Times New Roman" w:hAnsi="Times New Roman"/>
          <w:sz w:val="18"/>
          <w:szCs w:val="18"/>
          <w:color w:val="auto"/>
        </w:rPr>
      </w:pPr>
    </w:p>
    <w:p>
      <w:pPr>
        <w:ind w:left="12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w:t>
      </w:r>
    </w:p>
    <w:p>
      <w:pPr>
        <w:spacing w:after="0" w:line="9" w:lineRule="exact"/>
        <w:rPr>
          <w:rFonts w:ascii="Times New Roman" w:cs="Times New Roman" w:eastAsia="Times New Roman" w:hAnsi="Times New Roman"/>
          <w:sz w:val="18"/>
          <w:szCs w:val="18"/>
          <w:color w:val="auto"/>
        </w:rPr>
      </w:pPr>
    </w:p>
    <w:p>
      <w:pPr>
        <w:ind w:left="12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w:t>
      </w:r>
    </w:p>
    <w:p>
      <w:pPr>
        <w:spacing w:after="0" w:line="31" w:lineRule="exact"/>
        <w:rPr>
          <w:sz w:val="20"/>
          <w:szCs w:val="20"/>
          <w:color w:val="auto"/>
        </w:rPr>
      </w:pPr>
    </w:p>
    <w:p>
      <w:pPr>
        <w:ind w:left="1213" w:hanging="1213"/>
        <w:spacing w:after="0"/>
        <w:tabs>
          <w:tab w:leader="none" w:pos="12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16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7" w:space="720"/>
            <w:col w:w="1553"/>
          </w:cols>
          <w:pgMar w:left="320" w:top="121" w:right="339" w:bottom="0" w:gutter="0" w:footer="0" w:header="0"/>
          <w:type w:val="continuous"/>
        </w:sectPr>
      </w:pPr>
    </w:p>
    <w:p>
      <w:pPr>
        <w:spacing w:after="0" w:line="6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retail revenue increase was primarily the result of an increase in sales from corporately-operated retail locations through growth in the number of transactions, as our traffic outpaced national retail traffic data, and the opening of a net nine new corporately-managed locations in the fiscal year. The increased sales were partially offset by impact of the 53rd week in 2023 and a decrease in web demand for the year.</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Commercial revenue was $31.4 million for fiscal 2024 compared to $25.4 million for fiscal 2023, an increase of $6.0 million or 23.5%, primarily due to increased sales volume from our commercial accounts through our partner-operated model.</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from international franchising was $4.7 million for fiscal 2024 compared to $4.5 million for fiscal 2023. This $0.2 million or 3.4% increase was primarily due to having more stores in operation in 2024 compared to the same period in 2023.</w:t>
      </w:r>
    </w:p>
    <w:p>
      <w:pPr>
        <w:spacing w:after="0" w:line="1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Retail gross margin</w:t>
      </w:r>
      <w:r>
        <w:rPr>
          <w:rFonts w:ascii="Times New Roman" w:cs="Times New Roman" w:eastAsia="Times New Roman" w:hAnsi="Times New Roman"/>
          <w:sz w:val="18"/>
          <w:szCs w:val="18"/>
          <w:color w:val="auto"/>
        </w:rPr>
        <w:t>. Retail gross margin was $253.1 million in fiscal 2024 compared to $249.3 million in fiscal 2023, an increase of $3.8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As a percentage of net retail sales, retail gross margin increased to 55.0% for fiscal 2024 from 54.7% for fiscal 2023, or 30 basis points as a percentage of net retail sales. The increase in gross margin was the result of lower merchandise and freight costs partially offset by higher occupancy expenses.</w:t>
      </w:r>
    </w:p>
    <w:p>
      <w:pPr>
        <w:spacing w:after="0" w:line="18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Selling, general and administrative expenses were $206.2 million or 41.5% of consolidated revenue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2024 as compared to $199.0 million or 40.9% of consolidated revenue for fiscal 2023. The increase in overall expense was driven by higher store-level wages due to minimum wage increases and higher outside services. These higher expenses were partially offset by decreased advertising expense.</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w:t>
      </w:r>
      <w:r>
        <w:rPr>
          <w:rFonts w:ascii="Times New Roman" w:cs="Times New Roman" w:eastAsia="Times New Roman" w:hAnsi="Times New Roman"/>
          <w:sz w:val="18"/>
          <w:szCs w:val="18"/>
          <w:color w:val="auto"/>
        </w:rPr>
        <w:t>For fiscal 2024, we had $0.9 million of interest income compared to $0.9 million of interest income in fiscal 2023.</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provision for income taxes was $15.4 million in fiscal 2024 compared to $13.5 million in fiscal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effective rate of 22.9% differed from the statutory rate of 21% primarily due to state income tax expense partially offset by the benefit of the foreign-derived intangible income (FDII) deduction. The 2023 effective rate of 20.4% differed from the statutory rate of 21% primarily due to the reversal of the valuation allowance in the U.K. partially offset by state income tax expense.</w:t>
      </w:r>
    </w:p>
    <w:p>
      <w:pPr>
        <w:sectPr>
          <w:pgSz w:w="11900" w:h="16838" w:orient="portrait"/>
          <w:cols w:equalWidth="0" w:num="1">
            <w:col w:w="11240"/>
          </w:cols>
          <w:pgMar w:left="320" w:top="121" w:right="339" w:bottom="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 - Earnings before Interest, Taxes, Depreciation, and Amortization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4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00" w:type="dxa"/>
            <w:vAlign w:val="bottom"/>
          </w:tcPr>
          <w:p>
            <w:pPr>
              <w:spacing w:after="0"/>
              <w:rPr>
                <w:sz w:val="18"/>
                <w:szCs w:val="18"/>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18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67,227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67,141</w:t>
            </w:r>
          </w:p>
        </w:tc>
        <w:tc>
          <w:tcPr>
            <w:tcW w:w="5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66,329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14,952</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14,772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13,657</w:t>
            </w:r>
          </w:p>
        </w:tc>
      </w:tr>
      <w:tr>
        <w:trPr>
          <w:trHeight w:val="20"/>
        </w:trPr>
        <w:tc>
          <w:tcPr>
            <w:tcW w:w="54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c>
          <w:tcPr>
            <w:tcW w:w="18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81,378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81,052</w:t>
            </w:r>
          </w:p>
        </w:tc>
        <w:tc>
          <w:tcPr>
            <w:tcW w:w="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79,057</w:t>
            </w:r>
          </w:p>
        </w:tc>
      </w:tr>
      <w:tr>
        <w:trPr>
          <w:trHeight w:val="414"/>
        </w:trPr>
        <w:tc>
          <w:tcPr>
            <w:tcW w:w="72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EBITDA for fiscal 2025 was $81.4 million, compared to $81.1 million for fiscal 2024</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and $79.1</w:t>
            </w:r>
          </w:p>
        </w:tc>
        <w:tc>
          <w:tcPr>
            <w:tcW w:w="19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million in fiscal 2023.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The increase</w:t>
            </w:r>
          </w:p>
        </w:tc>
      </w:tr>
    </w:tbl>
    <w:p>
      <w:pPr>
        <w:spacing w:after="0"/>
        <w:rPr>
          <w:sz w:val="20"/>
          <w:szCs w:val="20"/>
          <w:color w:val="auto"/>
        </w:rPr>
      </w:pPr>
      <w:r>
        <w:rPr>
          <w:rFonts w:ascii="Times New Roman" w:cs="Times New Roman" w:eastAsia="Times New Roman" w:hAnsi="Times New Roman"/>
          <w:sz w:val="18"/>
          <w:szCs w:val="18"/>
          <w:color w:val="auto"/>
        </w:rPr>
        <w:t>of $0.3 million in fiscal 2025 and $2.0 million in fiscal 2024 were driven by retail and commercial margins partially offset by higher SGA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cash requirements are primarily for the opening, remodeling or reformatting of stores, installation and upgrades of information systems and working capital. Over the past several years, we have met these requirements through cash generated from operations. A summary of cash provided by or used in our operating, investing and financing activities are shown in the following table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520"/>
              <w:spacing w:after="0" w:line="201"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7"/>
                <w:szCs w:val="17"/>
                <w:color w:val="auto"/>
              </w:rPr>
            </w:pPr>
          </w:p>
        </w:tc>
        <w:tc>
          <w:tcPr>
            <w:tcW w:w="1460" w:type="dxa"/>
            <w:vAlign w:val="bottom"/>
            <w:gridSpan w:val="2"/>
          </w:tcPr>
          <w:p>
            <w:pPr>
              <w:jc w:val="right"/>
              <w:ind w:right="480"/>
              <w:spacing w:after="0" w:line="201"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60" w:type="dxa"/>
            <w:vAlign w:val="bottom"/>
          </w:tcPr>
          <w:p>
            <w:pPr>
              <w:spacing w:after="0"/>
              <w:rPr>
                <w:sz w:val="17"/>
                <w:szCs w:val="17"/>
                <w:color w:val="auto"/>
              </w:rPr>
            </w:pPr>
          </w:p>
        </w:tc>
        <w:tc>
          <w:tcPr>
            <w:tcW w:w="1300" w:type="dxa"/>
            <w:vAlign w:val="bottom"/>
          </w:tcPr>
          <w:p>
            <w:pPr>
              <w:jc w:val="right"/>
              <w:ind w:right="190"/>
              <w:spacing w:after="0" w:line="201"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00" w:type="dxa"/>
            <w:vAlign w:val="bottom"/>
          </w:tcPr>
          <w:p>
            <w:pPr>
              <w:spacing w:after="0"/>
              <w:rPr>
                <w:sz w:val="17"/>
                <w:szCs w:val="17"/>
                <w:color w:val="auto"/>
              </w:rPr>
            </w:pPr>
          </w:p>
        </w:tc>
      </w:tr>
      <w:tr>
        <w:trPr>
          <w:trHeight w:val="238"/>
        </w:trPr>
        <w:tc>
          <w:tcPr>
            <w:tcW w:w="51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64,310</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(25,545)</w:t>
            </w: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(19,317)</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(18,295)</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(40,709)</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(44,159)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(43,901)</w:t>
            </w: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51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provided  by  operating</w:t>
            </w: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activities  were</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$65.1  million,  $47.1</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million  and  $64.3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  in  fiscal</w:t>
            </w:r>
          </w:p>
        </w:tc>
      </w:tr>
    </w:tbl>
    <w:p>
      <w:pPr>
        <w:jc w:val="both"/>
        <w:spacing w:after="0" w:line="252" w:lineRule="auto"/>
        <w:rPr>
          <w:sz w:val="20"/>
          <w:szCs w:val="20"/>
          <w:color w:val="auto"/>
        </w:rPr>
      </w:pPr>
      <w:r>
        <w:rPr>
          <w:rFonts w:ascii="Times New Roman" w:cs="Times New Roman" w:eastAsia="Times New Roman" w:hAnsi="Times New Roman"/>
          <w:sz w:val="18"/>
          <w:szCs w:val="18"/>
          <w:color w:val="auto"/>
        </w:rPr>
        <w:t>years 2025, 2024 and 2023, respectively. Cash flows from operating activities increased in fiscal 2025 as compared to fiscal 2024 primarily due to higher net income along with lower prepaid and other assets and an increase in accounts payable and accrued expenses. These increases were partially offset by higher cash used for inventory purchases as a result of additional tariff costs and accelerated purchases of core products as part of the Company's tariff-mitigation plans. Cash flows from operating activities decreased in fiscal 2024 as compared to fiscal 2023 primarily driven by increased cash spent on inventory purchases in the second half of fiscal 2024 in anticipation of the uncertainty in cost due to potential tariffs, higher accounts receivable resulting from higher commercial revenue and decreased payables and accrued expenses.</w:t>
      </w:r>
    </w:p>
    <w:p>
      <w:pPr>
        <w:spacing w:after="0" w:line="18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Cash flows used in investing activities were $25.5 million, $19.3 million and $18.3 million in fiscal years 2025,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increases in cash used in investing activities when comparing fiscal 2025 to fiscal 2024 and fiscal 2024 to fiscal 2023 were primarily driven by an increased spending on capital expenditures related to information technology projects and new store openings.</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Financing activities used cash of $40.7 million in fiscal 2025, $44.2 million in fiscal 2024 and $43.9 million in fiscal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used in financing activities in fiscal 2025 decreased when compared to fiscal 2024 driven by a decrease in the amount utilized to repurchase shares compared to the prior year. Cash used in financing activities in fiscal 2024 increased slightly when compared to fiscal 2023 due to increased stock repurchases offset by lower dividends.</w:t>
      </w:r>
    </w:p>
    <w:p>
      <w:pPr>
        <w:spacing w:after="0" w:line="180"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 As of January 31, 2026, we had a cash balance of $26.8 million, of which $20.8 million was domiciled within the U.S,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$25.5 million in capital projects throughout the year.</w:t>
      </w:r>
    </w:p>
    <w:p>
      <w:pPr>
        <w:spacing w:after="0" w:line="16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98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a new revolving credit and security agreement with PNC Bank, as agent, executed on December 31, 2025, that provides for a secured revolving loan in aggregate principal of up to $ 40.0 million, subject to a borrowing base formula. As of January 31, 2026, borrowings under the agreement would bear interest at (a) a base rate determined under the agreement, or (b) the borrower's option, at a rate based on SOFR, plus in either case a margin based on average undrawn availability as determined in accordance with the agreement. As of February 1, 2025, we had a borrowing base of $25.0 million. As of January 31, 2026, we have a borrowing base of $40.0 million and had no outstanding borrowings.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fiscal 2025 the company utilized $27.5 million in cash to repurchase 508,945 shares under the share repurchase program that was authorized by the Board of Directors on September 11, 2024 (the “September 2024 Stock Repurchase Program”). The September 2024 Stock Repurchase Program terminated the August 2022 Stock Repurchase Program and authorized a new share repurchase program of up to $100 million. From the end of fiscal 2025 through April 14, 2026, the Company utilized $10.7 million to repurchase 231,153 shares under the stock buyback program, leaving $51.0 million available under the September 2024 Stock Repurchase Program.</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fiscal 2025, the Company declared a quarterly dividend of $0.22 per share, representing an increase of 10% from the year before, during the first, second, third and fourth quarters, totaling $2.9 million, $2.9 million, $2.9 million and $2.8 million respectively. Additionally, on March 11, 2026, the Board of Directors declared a quarterly cash dividend of $0.23 per share of issued and outstanding common stock, representing an increase of 4.5%. The dividend will be paid on April 9, 2026, to all stockholders of record as of March 26, 2026.</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restricted cash of $0.4 million as of January 31, 2026 February 1, 2025 and February 3, 2024.</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Most of our retail stores are located within shopping malls and all are operated under leases classified as operating leases. Our leases in North America tend to be shorter term leases to provide flexibility in aligning stores with market trends. During fiscal 2025, lease extensions began to have longer terms as we have secured longer deals with more favorable terms.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five or ten years and generally contain a provision whereby every third or fifth year we have the opportunity to exit the lease (the ‘break clause’).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monthly or quarterly and paid in advance.</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Capital spending in fiscal 2025 totaled $25.5 million and was primarily used to support our ongoing digital initiatives, and current and future new store openings.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Additional information is provided in the notes to our consolidated financial statements. As of January 31, 2026, we had contractual obligations totaling approximately $128.6 million, of which $28.9 million are due in the next 12 months. We believe our operating cash flows are sufficient to meet our material cash requirements for at least the next 12 months.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no off-balance sheet arrangements as of January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impact of inflation on the Company's business operations was seen throughout fiscal 2023 and 2024. Inflation continued to adversely affect our business in fiscal 2025, mainly through rising store labor costs and higher input costs. We implemented certain mitigating actions such as further cost reductions and process efficiencies, in addition to selective strategic price adjustments. We anticipate inflationary pressures to persist throughout 2026 and beyond, driven by wage growth, tariff and tariff-related costs that extend beyond inventory purchases to broader supply chain and other operational areas. On February 20, 2026, the United States Supreme Court issued a ruling striking down certain tariffs previously imposed under the International Emergency Economic Powers Act ("IEEPA").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the Company's business. These and future changes in tariffs, trade policies, trade actions, or retaliatory trade measures in response, have resulted and may continue to result in additional costs and pricing pressures, supply chain disruptions, volatile or unpredictable customer spending patterns, and increased economic or geopolitical risks, which could adversely impact our future sales, business, financial condition, and results of operations, materially or in ways that we cannot predict. We continue to monitor the impact of inflation on our business operations and may need to adjust pricing strategies as needed to offset cost increases during fiscal 2026 and beyond. Fluctuations in general price inflation could negatively affect our financial results by adversely impacting material availability, shipping and warehousing expenses, and other operational overhead. Inflationary pressures may be compounded by elevated transportation costs linked to geopolitical environment arising from events in the Middle East. We cannot provide an estimate or range of impact that such inflation may have on our future results of operations. However, failure to recover increased costs through pricing adjustments or a decline in consumer spending could negatively affect our business, results of operations, financial condition, and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accounting policies are more fully described in Note 2 - "Summary of Significant Accounting Policies" to our consolidated financial statements, which appear elsewhere in this Annual Report on Form 10-K. We have identified the following critical accounting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accordance with ASC 360-10-35, we assess the potential impairment of long-lived assets, which include property, plant and equipment and operating lease right-of-use assets (subsequent to the adoption of ASC 842, Leases) when events or changes in circumstances indicate that the carrying value may not be recoverable. Management's judgments regarding the existence of impairment indicators are based on market conditions and financial performance.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operating lease right-of-use assets, we determine the fair value of the lease right-of-use assets by comparing the contractual rent payments to estimated market rental rates. Fair value is calculated as the present value of estimated future cash flows for each asset group.</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purposes of evaluating store assets for impairment, we have determined that each store location is an asset group, inclusive of the right-of-use asset attributable to each store.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quarterly, using rolling twelve-month results (i.e., full fiscal year). We consider a historical and/or projected negative cash flow trend for a store location to be an indicator that the carrying value of that asset group may not be recoverable. Impairment charges related to this assessment are typically included in Store asset impairment as a component of income (loss) before income taxes in the DTC segment. See Note 4 - "Leases" and Note 6 - "Property and Equipment, net" to our consolidated financial statements for further discussion.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2025, the Company's impairment analysis identified no indicators of impairment for long-lived assets. During fiscal 2024, the Company's analysis identified indicators of impairment at two retail locations and the Company recorded immaterial impairment charges for long-lived assets in the Company's DTC segment.</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general economic trends, public health issues (such as a pandemic), and thus could be significantly different than historical results. The assumptions used in future calculations of fair value may change significantly which could result in further impairment charges in future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ind w:firstLine="486"/>
        <w:spacing w:after="0" w:line="241" w:lineRule="auto"/>
        <w:rPr>
          <w:sz w:val="20"/>
          <w:szCs w:val="20"/>
          <w:color w:val="auto"/>
        </w:rPr>
      </w:pPr>
      <w:r>
        <w:rPr>
          <w:rFonts w:ascii="Times New Roman" w:cs="Times New Roman" w:eastAsia="Times New Roman" w:hAnsi="Times New Roman"/>
          <w:sz w:val="18"/>
          <w:szCs w:val="18"/>
          <w:color w:val="auto"/>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customer’s redemption pattern using an estimated breakage rate based on historical experience. Following the reopening of the stores after the pandemic, the Company experienced lower redemptions of its gift cards for all periods of outstanding activated cards compared to historical redemption patterns observed prior to fiscal year 2020, which impacted the gift card breakage rate. Management believes that the redemption behavior observed during the pandemic was not indicative of long-term customer behavior and accordingly adjusted the historical redemption data used to calculate the breakage rate. In more recent periods, gift card redemption patterns have generally returned to levels consistent with pre-2020 experience.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fiscal 2025 would have resulted in a change in breakage revenue of $1.3 million.</w:t>
      </w:r>
    </w:p>
    <w:p>
      <w:pPr>
        <w:spacing w:after="0" w:line="192"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our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our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A hypothetical 1% change in redemption patterns our loyalty program would result in a change in deferred revenue of approximately $0.1 million.</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regard to the consolidated balance sheet, contract liabilities for gift cards are classified as gift cards and customer deposits, and contract liabilities related to the loyalty program are classified as deferred revenue and other.</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3 - "Revenue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at inception. The right-of-use assets and liabilities are recognized at the commencement date based on the present value of lease payments using a discounted cash flow analysis, considering lease terms and our incremental borrowing rate,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majority of our leases do not provide an implicit rate and therefore, we estimate the incremental borrowing discount rate on a periodic basis.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1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evaluate the sustained profitability and three years of cumulative income in each jurisdiction and consider the Company’s ability to carry back its tax losses or credits for refunds, the availability of tax planning strategies, reversals of existing taxable temporary differences and projections of future taxable income. As we had incurred a cumulative book loss in the U.K. over the three-year period ended February 2, 2019, we evaluated the realizability of our UK deferred tax assets and, accordingly, in the fourth quarter of fiscal 2018, the Company recorded a $3.7 million valuation allowance on its U.K. deferred tax assets. In the fourth quarter of fiscal 2023, the Company recorded a benefit of $5.1 million for the reversal of the valuation allowance on deferred tax assets expected to be realized in the U.K. The positive evidence considered in our assessment of the realizability of the deferred tax assets included the generation of significant positive cumulative income in the U.K. for the three-year period ending with fiscal 2023, the implementation of tax planning strategies, and projections of future taxable income. The Company maintains a valuation allowance in fiscal year 2024 and 2025 in certain other foreign jurisdictions. Changes in the valuation allowance in fiscal 2025 are primarily related to return-to-provision true-ups and functional currency fluctuations.</w:t>
      </w:r>
    </w:p>
    <w:p>
      <w:pPr>
        <w:spacing w:after="0" w:line="19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January 31, 2026 and February 1, 2025.</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July 2025, One Big Beautiful Bill Act (H.R.1) was signed into law in the U.S., which contained a broad range of tax reform provisions affecting businesses. The effects of the legislation, which were immaterial, are reflected in the accompanying consolidated financial statements for the period ended January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 "Summary of Significant Accounting Policies" for additional information.</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conduct business globally in many different jurisdictions with currencies other than U.S. dollars. Our results could be negatively impacted by changes or fluctuations in currency exchange rates since we report our consolidated financial results in U.S. dollars.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purchase all inventory in U.S. dollars, and our foreign subsidiaries buy their inventory from us in their functional currency, which exposes us to currency risk when their functional currencies fluctuate relative to the U.S. dollar. Decreases in the value of the U.S. dollar against foreign currencies, particularly the Chinese renminbi and Vietnamese dong, could increase the cost of products we purchase from our vendors. Moreover, as our international sales are primarily denominated in the British pound, Canadian dollar and Euro, the pricing of our products in our stores may also be affected by changes in foreign currency rates. This could require us to make adjustments that would impact our revenue and profit in various markets.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Assets and liabilities of our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To date, foreign currency transaction gains and losses have not been material to our financial statements, and we have not had a formal hedging program with respect to foreign currency. A hypothetical 10% decrease in current foreign currency exchange rates would not have a material effect on our financial position or results of operations or cash flows.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a detailed discussion of material risk factors that have the potential to cause our actual results to differ materially from our expectations, refer to “</w:t>
      </w:r>
      <w:r>
        <w:rPr>
          <w:rFonts w:ascii="Times New Roman" w:cs="Times New Roman" w:eastAsia="Times New Roman" w:hAnsi="Times New Roman"/>
          <w:sz w:val="18"/>
          <w:szCs w:val="18"/>
          <w:u w:val="single" w:color="auto"/>
          <w:color w:val="auto"/>
        </w:rPr>
        <w:t>ITEM 1A. RISK FACTORS</w:t>
      </w:r>
      <w:r>
        <w:rPr>
          <w:rFonts w:ascii="Times New Roman" w:cs="Times New Roman" w:eastAsia="Times New Roman" w:hAnsi="Times New Roman"/>
          <w:sz w:val="18"/>
          <w:szCs w:val="18"/>
          <w:color w:val="auto"/>
        </w:rPr>
        <w:t>,” included in this Annual Report on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financial statements and schedules are listed under Item 15(a)(1) and filed as part of this Annual Report on Form 10-K.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January 31, 2026, the end of the period covered by this Annual Report.</w:t>
      </w:r>
    </w:p>
    <w:p>
      <w:pPr>
        <w:spacing w:after="0" w:line="192"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January 31, 2026.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audited the Company’s Consolidated Financial Statements included in this Annual Report on Form 10-K and the effectiveness of the Company’s internal control over financial reporting as of January 31, 2026 and has issued an attestation report expressing an unqualified opinion on the effectiveness of the Company’s internal control over financial reporting, as stated in their report located below.</w:t>
      </w:r>
    </w:p>
    <w:p>
      <w:pPr>
        <w:spacing w:after="0" w:line="180" w:lineRule="exact"/>
        <w:rPr>
          <w:sz w:val="20"/>
          <w:szCs w:val="20"/>
          <w:color w:val="auto"/>
        </w:rPr>
      </w:pPr>
    </w:p>
    <w:p>
      <w:pPr>
        <w:jc w:val="both"/>
        <w:ind w:firstLine="532"/>
        <w:spacing w:after="0" w:line="266" w:lineRule="auto"/>
        <w:rPr>
          <w:sz w:val="20"/>
          <w:szCs w:val="20"/>
          <w:color w:val="auto"/>
        </w:rPr>
      </w:pPr>
      <w:r>
        <w:rPr>
          <w:rFonts w:ascii="Times New Roman" w:cs="Times New Roman" w:eastAsia="Times New Roman" w:hAnsi="Times New Roman"/>
          <w:sz w:val="18"/>
          <w:szCs w:val="18"/>
          <w:color w:val="auto"/>
        </w:rPr>
        <w:t>In making its evaluation, our management used the criteria set forth by the Committee of Sponsoring Organizations of the Treadway Commission in Internal Control-Integrated Framework (2013 framework). Based upon this evaluation, our management has concluded that our internal control over financial reporting as of January 31, 2026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President and Chief 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During fiscal 2025, there were no changes that materially affected the Company's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Build-A-Bear Workshop,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audited Build-A-Bear Workshop, Inc. and subsidiaries’ internal control over financial reporting as of January 31, 2026, based on criteria established in Internal Control—Integrated Framework issued by the Committee of Sponsoring Organizations of the Treadway Commission (2013 framework) (the COSO criteria). In our opinion, Build-A-Bear Workshop, Inc. and subsidiaries (the Company) maintained, in all material respects, effective internal control over financial reporting as of January 31, 2026, based on the COSO criteria.</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31, 2026 and February 1, 2025, the related consolidated statements of operations and comprehensive income, stockholders’ equity and cash flows for each of the three years in the period ended January 31, 2026, and the related notes and financial statement schedule listed in the Index at Item 15(a)(2) and our report dated April 16,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Trading Plans of Directors and Executive Officers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executive officers adopted or terminated a Rule 10b5-1 trading arrangement or a non-Rule 10b5-1 trading arrangement during the Company’s fiscal quarter ended January 31, 2026, as such terms are defined under Item 408(a) or Regulations S-K.</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Information concerning directors, appearing in the sections titled “Directors,” “The Board of Directors and its Committees,” and “Committee Charters, Corporate Governance Guidelines, Business Conduct Policy and Code of Ethics” in our Proxy Statement (the “Proxy Statement”) to be filed with the SEC pursuant to Regulation 14A in connection with our Annual Meeting of Stockholders scheduled to be held on June 11, 2026, is incorporated by reference in response to this Item 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Conduct Policy</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adopted insider trading policies and procedures applicable to our directors, officers, and employees, that we believe are reasonably designed to promote compliance with insider trading laws, rules, and regulations, and the listing standards of the New York Stock Exchange. Our insider trading policy prohibits our directors, officers and employees and related persons from trading in securities of the Company while in possession of material, non-public information. The policy also prohibits trading in securities of another company (such as a customer, supplier, business partners, competitors or others within whom we have contractual relationships or may be negotiating transactions) when an individual is aware of material non-public information about that company. The policy requires that certain designated individuals and roles of the Company only transact in Company securities during an open window period. Our policy also provides that it is the Company’s policy not to engage in transactions in its securities while aware of material non-public information relating to the Company or our securities. A copy of the Company’s insider trading policy has been filed as Exhibit 19.1 to this Annual Report on Form 10-K.</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information appearing in the section titled “Committee Charters, Corporate Governance Guidelines, Business Conduct Policy and Code of Ethics” in the Proxy Statement is incorporated by reference in response to this Item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Key Employees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Sharon Price John</w:t>
      </w:r>
      <w:r>
        <w:rPr>
          <w:rFonts w:ascii="Times New Roman" w:cs="Times New Roman" w:eastAsia="Times New Roman" w:hAnsi="Times New Roman"/>
          <w:sz w:val="18"/>
          <w:szCs w:val="18"/>
          <w:color w:val="auto"/>
        </w:rPr>
        <w:t>, 62, was appointed to the Board of Directors on June 3, 2013, in connection with her employment as Chief Executive Officer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Bear of the Company. Effective March 2016, she now holds the title of President and Chief Executive Officer. From January 2010 through May 2013, Ms. John served as President of Stride Rite Children’s Group LLC, a division of Wolverine Worldwide,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Until February 2025, Ms. John served on the Board of Directors of Jack in the Box Inc., a publicly traded restaurant company. On March 12, 2026, the Board of Directors of the Company announced that as part of a multi-year planned succession process, Sharon Price John intends to retire from her role effective June 11, 2026, the date of the Company’s Annual Shareholders’ Meeting upon which she will be succeeded by Chris Hurt, the Company’s tenured Chief Operations and Experience Officer.</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David Henderson</w:t>
      </w:r>
      <w:r>
        <w:rPr>
          <w:rFonts w:ascii="Times New Roman" w:cs="Times New Roman" w:eastAsia="Times New Roman" w:hAnsi="Times New Roman"/>
          <w:sz w:val="18"/>
          <w:szCs w:val="18"/>
          <w:color w:val="auto"/>
        </w:rPr>
        <w:t>, 54, joined Build-A-Bear Workshop in September 2024 as Chief Revenue Officer. Prior to joining the Company, Mr. Henderson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Chief Commercial Officer of Melissa &amp; Doug, LLC, a manufacturer of children's toys, from May 2020 to June 2024. From September 2017 to March 2019, he was President and General Manager-Global of Baby Gear at Newell Brands, a manufacturer, marketer and distributor of consumer and commercial products. Prior to that, he was at Hasbro, a multinational toy manufacturing and entertainment holding company, for over 19 years, ultimately holding the office of Senior Vice President Consumer Products/Licensing North America</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Yevgeny Fundler</w:t>
      </w:r>
      <w:r>
        <w:rPr>
          <w:rFonts w:ascii="Times New Roman" w:cs="Times New Roman" w:eastAsia="Times New Roman" w:hAnsi="Times New Roman"/>
          <w:sz w:val="18"/>
          <w:szCs w:val="18"/>
          <w:i w:val="1"/>
          <w:iCs w:val="1"/>
          <w:color w:val="auto"/>
        </w:rPr>
        <w:t>, 56</w:t>
      </w:r>
      <w:r>
        <w:rPr>
          <w:rFonts w:ascii="Times New Roman" w:cs="Times New Roman" w:eastAsia="Times New Roman" w:hAnsi="Times New Roman"/>
          <w:sz w:val="18"/>
          <w:szCs w:val="18"/>
          <w:color w:val="auto"/>
        </w:rPr>
        <w:t>, joined Build-A-Bear Workshop as Chief Legal Officer and Secretary in August 2025. Prior to joining the Company, Mr. Fundler 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law departments of publicly traded companies Benson Hill, Inc. and American Railcar Industries, Inc. He also served as General Counsel of WestPoint Home LLC, a company in the business of manufacturing, licensing, and distributing various home textile products and brands with an international manufacturing base in Bahrain and a multinational sourcing operation. Prior to WestPoint Home’s engagement, Mr. Fundler served as Assistant General Counsel of Icahn Enterprises L.P., a diversified holding company engaged in investment, energy, automotive, food packing, metals, real estate, and home fashion. Mr. Fundler earned his Bachelor of Arts in International Business from San Diego State University and his Juris Doctor from University of California College of the Law, San Francisco.</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J. Christopher Hurt</w:t>
      </w:r>
      <w:r>
        <w:rPr>
          <w:rFonts w:ascii="Times New Roman" w:cs="Times New Roman" w:eastAsia="Times New Roman" w:hAnsi="Times New Roman"/>
          <w:sz w:val="18"/>
          <w:szCs w:val="18"/>
          <w:i w:val="1"/>
          <w:iCs w:val="1"/>
          <w:color w:val="auto"/>
        </w:rPr>
        <w:t>, 60</w:t>
      </w:r>
      <w:r>
        <w:rPr>
          <w:rFonts w:ascii="Times New Roman" w:cs="Times New Roman" w:eastAsia="Times New Roman" w:hAnsi="Times New Roman"/>
          <w:sz w:val="18"/>
          <w:szCs w:val="18"/>
          <w:color w:val="auto"/>
        </w:rPr>
        <w:t>, is anticipated to become a Class II Director effective as of the date of the 2026 Annual meeting following an appointment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on March 10, 2026 in connection with his employment as Chief Executive Officer of the Company. Mr. Hurt joined the Company in 2015 as Chief Operations Officer, and, from June 2020 until June 11, 2026, served as Chief Operations and Experience Officer. Much of his tenure with the</w:t>
      </w:r>
    </w:p>
    <w:p>
      <w:pPr>
        <w:sectPr>
          <w:pgSz w:w="11900" w:h="16838" w:orient="portrait"/>
          <w:cols w:equalWidth="0" w:num="1">
            <w:col w:w="11240"/>
          </w:cols>
          <w:pgMar w:left="320" w:top="121" w:right="339" w:bottom="0" w:gutter="0" w:footer="0" w:header="0"/>
        </w:sectPr>
      </w:pPr>
    </w:p>
    <w:bookmarkStart w:id="44" w:name="page45"/>
    <w:bookmarkEnd w:id="44"/>
    <w:p>
      <w:pPr>
        <w:jc w:val="both"/>
        <w:spacing w:after="0" w:line="255" w:lineRule="auto"/>
        <w:rPr>
          <w:sz w:val="20"/>
          <w:szCs w:val="20"/>
          <w:color w:val="auto"/>
        </w:rPr>
      </w:pPr>
      <w:r>
        <w:rPr>
          <w:rFonts w:ascii="Times New Roman" w:cs="Times New Roman" w:eastAsia="Times New Roman" w:hAnsi="Times New Roman"/>
          <w:sz w:val="18"/>
          <w:szCs w:val="18"/>
          <w:color w:val="auto"/>
        </w:rPr>
        <w:t>Company has focused on restructuring the organization’s largest business unit, the global retail management and operations team, including guest experience, real estate, build-out, and logistics. Since 2024, Mr. Hurt has shifted his operational and consumer-insight expertise to redefine the brand, merchandising, marketing and licensing areas of the Company’s business where he has further expanded consumer segments and categories through product expansion and engaging brand initiatives. Prior to joining the Company, Mr. Hurt was at American Eagle Outfitters, Inc. from 2002 to 2015 in various senior leadership roles of increasing responsibility, including Senior Vice President of North America, Vice President/General Manager of the Factory stores, Zone Vice President and Regional Director. Prior to that, Mr. Hurt held positions of increasing responsibility at Polo Ralph Lauren after starting his career at The Procter &amp; Gamble Company.</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Voin Todorovic</w:t>
      </w:r>
      <w:r>
        <w:rPr>
          <w:rFonts w:ascii="Times New Roman" w:cs="Times New Roman" w:eastAsia="Times New Roman" w:hAnsi="Times New Roman"/>
          <w:sz w:val="18"/>
          <w:szCs w:val="18"/>
          <w:color w:val="auto"/>
        </w:rPr>
        <w:t>, 51, joined Build-A-Bear Workshop in September 2014 as Chief Financial Officer. Prior to joining the Company, Mr. Todorovic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employed at Wolverine Worldwide, Inc., a leading global footwear and apparel company, where since September 2013 Mr. Todorovic served as the head of finance and operations for its Lifestyle Group, which includes a portfolio of iconic brands such as Sperry Top-Sider®, Hush Puppies®, Keds®, and Stride Rite®. From 2011 to 2013 Mr. Todorovic was Vice President—Finance and Administration of the Stride Rite Children’s Group business, operating in wholesale, direct to consumer and international franchising, and from 2010 to 2011 Mr. Todorovic was Vice President of the Performance + Lifestyle Group. Prior to his tenure at Wolverine World Wide he held positions of increasing responsibility at Collective Brands, Inc. and Payless ShoeSource.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4"/>
          </w:tcPr>
          <w:p>
            <w:pPr>
              <w:ind w:left="41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4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w:t>
            </w:r>
          </w:p>
        </w:tc>
        <w:tc>
          <w:tcPr>
            <w:tcW w:w="14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r>
      <w:tr>
        <w:trPr>
          <w:trHeight w:val="216"/>
        </w:trPr>
        <w:tc>
          <w:tcPr>
            <w:tcW w:w="4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future issuance under</w:t>
            </w: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 of securities to</w:t>
            </w:r>
          </w:p>
        </w:tc>
        <w:tc>
          <w:tcPr>
            <w:tcW w:w="14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 issued upon exercise</w:t>
            </w: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4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496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40" w:type="dxa"/>
            <w:vAlign w:val="bottom"/>
          </w:tcPr>
          <w:p>
            <w:pPr>
              <w:spacing w:after="0"/>
              <w:rPr>
                <w:sz w:val="18"/>
                <w:szCs w:val="18"/>
                <w:color w:val="auto"/>
              </w:rPr>
            </w:pPr>
          </w:p>
        </w:tc>
        <w:tc>
          <w:tcPr>
            <w:tcW w:w="1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c>
          <w:tcPr>
            <w:tcW w:w="100" w:type="dxa"/>
            <w:vAlign w:val="bottom"/>
          </w:tcPr>
          <w:p>
            <w:pPr>
              <w:spacing w:after="0"/>
              <w:rPr>
                <w:sz w:val="20"/>
                <w:szCs w:val="20"/>
                <w:color w:val="auto"/>
              </w:rPr>
            </w:pPr>
          </w:p>
        </w:tc>
      </w:tr>
      <w:tr>
        <w:trPr>
          <w:trHeight w:val="22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12 - "Stock Incentive Plans" to the consolidated financial statements for additional information regarding our equity compensation plans.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 titled “Related Party Transactions” in the Proxy Statement is incorporated herein by reference in response to this Item 13.</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102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20" w:type="dxa"/>
            <w:vAlign w:val="bottom"/>
            <w:gridSpan w:val="8"/>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0020" w:type="dxa"/>
            <w:vAlign w:val="bottom"/>
            <w:gridSpan w:val="13"/>
          </w:tcPr>
          <w:p>
            <w:pPr>
              <w:ind w:left="280"/>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i w:val="1"/>
                <w:iCs w:val="1"/>
                <w:color w:val="auto"/>
              </w:rPr>
              <w:t>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10020" w:type="dxa"/>
            <w:vAlign w:val="bottom"/>
            <w:gridSpan w:val="13"/>
          </w:tcPr>
          <w:p>
            <w:pPr>
              <w:ind w:left="280"/>
              <w:spacing w:after="0"/>
              <w:rPr>
                <w:sz w:val="20"/>
                <w:szCs w:val="20"/>
                <w:color w:val="auto"/>
              </w:rPr>
            </w:pPr>
            <w:r>
              <w:rPr>
                <w:rFonts w:ascii="Times New Roman" w:cs="Times New Roman" w:eastAsia="Times New Roman" w:hAnsi="Times New Roman"/>
                <w:sz w:val="18"/>
                <w:szCs w:val="18"/>
                <w:color w:val="auto"/>
              </w:rPr>
              <w:t>The financial statements and schedules set forth below are filed on the indicated pages as part of this Annual Report on Form 10-K.</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42)</w:t>
            </w:r>
          </w:p>
        </w:tc>
        <w:tc>
          <w:tcPr>
            <w:tcW w:w="4740" w:type="dxa"/>
            <w:vAlign w:val="bottom"/>
            <w:gridSpan w:val="6"/>
            <w:vMerge w:val="restart"/>
          </w:tcPr>
          <w:p>
            <w:pPr>
              <w:spacing w:after="0"/>
              <w:rPr>
                <w:sz w:val="24"/>
                <w:szCs w:val="24"/>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5500" w:type="dxa"/>
            <w:vAlign w:val="bottom"/>
            <w:gridSpan w:val="8"/>
            <w:vMerge w:val="continue"/>
          </w:tcPr>
          <w:p>
            <w:pPr>
              <w:spacing w:after="0"/>
              <w:rPr>
                <w:sz w:val="14"/>
                <w:szCs w:val="14"/>
                <w:color w:val="auto"/>
              </w:rPr>
            </w:pPr>
          </w:p>
        </w:tc>
        <w:tc>
          <w:tcPr>
            <w:tcW w:w="4740" w:type="dxa"/>
            <w:vAlign w:val="bottom"/>
            <w:gridSpan w:val="6"/>
            <w:vMerge w:val="continue"/>
          </w:tcPr>
          <w:p>
            <w:pPr>
              <w:spacing w:after="0"/>
              <w:rPr>
                <w:sz w:val="14"/>
                <w:szCs w:val="14"/>
                <w:color w:val="auto"/>
              </w:rPr>
            </w:pPr>
          </w:p>
        </w:tc>
        <w:tc>
          <w:tcPr>
            <w:tcW w:w="1000" w:type="dxa"/>
            <w:vAlign w:val="bottom"/>
            <w:gridSpan w:val="3"/>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9"/>
              </w:rPr>
              <w:t>42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Consolidated Balance Sheets as of January 31, 2026 and </w:t>
            </w:r>
            <w:r>
              <w:rPr>
                <w:rFonts w:ascii="Times New Roman" w:cs="Times New Roman" w:eastAsia="Times New Roman" w:hAnsi="Times New Roman"/>
                <w:sz w:val="18"/>
                <w:szCs w:val="18"/>
                <w:color w:val="0000EE"/>
                <w:highlight w:val="white"/>
              </w:rPr>
              <w:t>February 1, 2025</w:t>
            </w:r>
          </w:p>
        </w:tc>
        <w:tc>
          <w:tcPr>
            <w:tcW w:w="4740" w:type="dxa"/>
            <w:vAlign w:val="bottom"/>
            <w:gridSpan w:val="6"/>
          </w:tcPr>
          <w:p>
            <w:pPr>
              <w:spacing w:after="0"/>
              <w:rPr>
                <w:sz w:val="17"/>
                <w:szCs w:val="17"/>
                <w:color w:val="auto"/>
              </w:rPr>
            </w:pPr>
          </w:p>
        </w:tc>
        <w:tc>
          <w:tcPr>
            <w:tcW w:w="10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for the fiscal years ended January 31,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February 1, 2025. and</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February 3, 2024</w:t>
            </w:r>
          </w:p>
        </w:tc>
        <w:tc>
          <w:tcPr>
            <w:tcW w:w="656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Borders>
              <w:top w:val="single" w:sz="8" w:color="0000EE"/>
            </w:tcBorders>
            <w:gridSpan w:val="3"/>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fiscal years ended January 31, 2026, February 1, 2025, and February 3, 2024</w:t>
            </w:r>
          </w:p>
        </w:tc>
        <w:tc>
          <w:tcPr>
            <w:tcW w:w="10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46</w:t>
            </w:r>
          </w:p>
        </w:tc>
        <w:tc>
          <w:tcPr>
            <w:tcW w:w="0" w:type="dxa"/>
            <w:vAlign w:val="bottom"/>
          </w:tcPr>
          <w:p>
            <w:pPr>
              <w:spacing w:after="0"/>
              <w:rPr>
                <w:sz w:val="1"/>
                <w:szCs w:val="1"/>
                <w:color w:val="auto"/>
              </w:rPr>
            </w:pPr>
          </w:p>
        </w:tc>
      </w:tr>
      <w:tr>
        <w:trPr>
          <w:trHeight w:val="20"/>
        </w:trPr>
        <w:tc>
          <w:tcPr>
            <w:tcW w:w="31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January 31, 2026, February 1, 2025, and February 3, 2024</w:t>
            </w:r>
          </w:p>
        </w:tc>
        <w:tc>
          <w:tcPr>
            <w:tcW w:w="600" w:type="dxa"/>
            <w:vAlign w:val="bottom"/>
            <w:gridSpan w:val="2"/>
          </w:tcPr>
          <w:p>
            <w:pPr>
              <w:spacing w:after="0"/>
              <w:rPr>
                <w:sz w:val="17"/>
                <w:szCs w:val="17"/>
                <w:color w:val="auto"/>
              </w:rPr>
            </w:pPr>
          </w:p>
        </w:tc>
        <w:tc>
          <w:tcPr>
            <w:tcW w:w="10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47</w:t>
            </w:r>
          </w:p>
        </w:tc>
        <w:tc>
          <w:tcPr>
            <w:tcW w:w="0" w:type="dxa"/>
            <w:vAlign w:val="bottom"/>
          </w:tcPr>
          <w:p>
            <w:pPr>
              <w:spacing w:after="0"/>
              <w:rPr>
                <w:sz w:val="1"/>
                <w:szCs w:val="1"/>
                <w:color w:val="auto"/>
              </w:rPr>
            </w:pPr>
          </w:p>
        </w:tc>
      </w:tr>
      <w:tr>
        <w:trPr>
          <w:trHeight w:val="20"/>
        </w:trPr>
        <w:tc>
          <w:tcPr>
            <w:tcW w:w="31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40" w:type="dxa"/>
            <w:vAlign w:val="bottom"/>
            <w:gridSpan w:val="6"/>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800" w:type="dxa"/>
            <w:vAlign w:val="bottom"/>
            <w:gridSpan w:val="7"/>
          </w:tcPr>
          <w:p>
            <w:pPr>
              <w:spacing w:after="0"/>
              <w:rPr>
                <w:sz w:val="17"/>
                <w:szCs w:val="17"/>
                <w:color w:val="auto"/>
              </w:rPr>
            </w:pPr>
          </w:p>
        </w:tc>
        <w:tc>
          <w:tcPr>
            <w:tcW w:w="1280" w:type="dxa"/>
            <w:vAlign w:val="bottom"/>
            <w:gridSpan w:val="3"/>
          </w:tcPr>
          <w:p>
            <w:pPr>
              <w:spacing w:after="0"/>
              <w:rPr>
                <w:sz w:val="17"/>
                <w:szCs w:val="17"/>
                <w:color w:val="auto"/>
              </w:rPr>
            </w:pPr>
          </w:p>
        </w:tc>
        <w:tc>
          <w:tcPr>
            <w:tcW w:w="10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48</w:t>
            </w:r>
          </w:p>
        </w:tc>
        <w:tc>
          <w:tcPr>
            <w:tcW w:w="0" w:type="dxa"/>
            <w:vAlign w:val="bottom"/>
          </w:tcPr>
          <w:p>
            <w:pPr>
              <w:spacing w:after="0"/>
              <w:rPr>
                <w:sz w:val="1"/>
                <w:szCs w:val="1"/>
                <w:color w:val="auto"/>
              </w:rPr>
            </w:pPr>
          </w:p>
        </w:tc>
      </w:tr>
      <w:tr>
        <w:trPr>
          <w:trHeight w:val="20"/>
        </w:trPr>
        <w:tc>
          <w:tcPr>
            <w:tcW w:w="31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Schedule II - Valuation and Qualifying Accounts</w:t>
            </w:r>
          </w:p>
        </w:tc>
        <w:tc>
          <w:tcPr>
            <w:tcW w:w="10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67</w:t>
            </w:r>
          </w:p>
        </w:tc>
        <w:tc>
          <w:tcPr>
            <w:tcW w:w="0" w:type="dxa"/>
            <w:vAlign w:val="bottom"/>
          </w:tcPr>
          <w:p>
            <w:pPr>
              <w:spacing w:after="0"/>
              <w:rPr>
                <w:sz w:val="1"/>
                <w:szCs w:val="1"/>
                <w:color w:val="auto"/>
              </w:rPr>
            </w:pPr>
          </w:p>
        </w:tc>
      </w:tr>
      <w:tr>
        <w:trPr>
          <w:trHeight w:val="453"/>
        </w:trPr>
        <w:tc>
          <w:tcPr>
            <w:tcW w:w="3520" w:type="dxa"/>
            <w:vAlign w:val="bottom"/>
            <w:tcBorders>
              <w:top w:val="single" w:sz="8" w:color="0000EE"/>
            </w:tcBorders>
            <w:gridSpan w:val="5"/>
          </w:tcPr>
          <w:p>
            <w:pPr>
              <w:spacing w:after="0"/>
              <w:rPr>
                <w:sz w:val="24"/>
                <w:szCs w:val="24"/>
                <w:color w:val="auto"/>
              </w:rPr>
            </w:pPr>
          </w:p>
        </w:tc>
        <w:tc>
          <w:tcPr>
            <w:tcW w:w="4500" w:type="dxa"/>
            <w:vAlign w:val="bottom"/>
            <w:gridSpan w:val="4"/>
          </w:tcPr>
          <w:p>
            <w:pPr>
              <w:jc w:val="right"/>
              <w:ind w:right="230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-1319530</wp:posOffset>
            </wp:positionV>
            <wp:extent cx="222885" cy="128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885" cy="12827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Shareholders and the Board of Directors of Build-A-Bear Workshop,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Build-A-Bear Workshop, Inc. and subsidiaries (the Company) as of January 31, 2026 and February 1, 2025, the related consolidated statements of operations and comprehensive income, stockholders' equity and cash flows for each of the three years in the period ended January 31, 2026,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January 31, 2026 and February 1, 2025, and the results of its operations and its cash flows for each of the three years in the period ended January 31, 2026, in conformity with U.S. generally accepted accounting principles.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January 31, 2026, based on criteria established in Internal Control—Integrated Framework issued by the Committee of Sponsoring Organizations of the Treadway Commission (2013 framework), and our report dated April 16,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89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gift card breakage</w:t>
            </w:r>
          </w:p>
        </w:tc>
      </w:tr>
      <w:tr>
        <w:trPr>
          <w:trHeight w:val="414"/>
        </w:trPr>
        <w:tc>
          <w:tcPr>
            <w:tcW w:w="2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described in Note 3, for the Company’s gift cards, revenue is deferred for single transactions until redemption.</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breakage revenue related to unredeemed gift cards is recorded in proportion to the customer’s redemption</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pattern using an estimated breakage rate based on historical experience. For the year ended January 31, 2026, net</w:t>
            </w:r>
          </w:p>
        </w:tc>
      </w:tr>
      <w:tr>
        <w:trPr>
          <w:trHeight w:val="234"/>
        </w:trPr>
        <w:tc>
          <w:tcPr>
            <w:tcW w:w="2320" w:type="dxa"/>
            <w:vAlign w:val="bottom"/>
          </w:tcPr>
          <w:p>
            <w:pPr>
              <w:spacing w:after="0"/>
              <w:rPr>
                <w:sz w:val="20"/>
                <w:szCs w:val="20"/>
                <w:color w:val="auto"/>
              </w:rPr>
            </w:pP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retail sales included gift card breakage revenue of $6.2 million.</w:t>
            </w:r>
          </w:p>
        </w:tc>
      </w:tr>
      <w:tr>
        <w:trPr>
          <w:trHeight w:val="432"/>
        </w:trPr>
        <w:tc>
          <w:tcPr>
            <w:tcW w:w="232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42</w:t>
            </w:r>
          </w:p>
        </w:tc>
      </w:tr>
      <w:tr>
        <w:trPr>
          <w:trHeight w:val="115"/>
        </w:trPr>
        <w:tc>
          <w:tcPr>
            <w:tcW w:w="232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64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Auditing the Company’s breakage revenue related to unredeemed gift cards was complex and judgmental due to the</w:t>
            </w: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complexity of the model and the subjectivity related to the judgments that are made by the Company to estimate the</w:t>
            </w: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breakage rate.  Further, given the magnitude of the Company’s gift card liability, changes in breakage rates have a</w:t>
            </w:r>
          </w:p>
        </w:tc>
      </w:tr>
      <w:tr>
        <w:trPr>
          <w:trHeight w:val="234"/>
        </w:trPr>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significant impact on the amount of breakage revenue recognized.</w:t>
            </w:r>
          </w:p>
        </w:tc>
      </w:tr>
      <w:tr>
        <w:trPr>
          <w:trHeight w:val="412"/>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w:t>
            </w:r>
          </w:p>
        </w:tc>
      </w:tr>
      <w:tr>
        <w:trPr>
          <w:trHeight w:val="218"/>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Our Audit</w:t>
            </w: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management’s determination of gift card breakage revenue, including the model and data inputs used in the model,</w:t>
            </w:r>
          </w:p>
        </w:tc>
      </w:tr>
      <w:tr>
        <w:trPr>
          <w:trHeight w:val="234"/>
        </w:trPr>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well as significant underlying assumptions selected by management in establishing the breakage rates.</w:t>
            </w:r>
          </w:p>
        </w:tc>
      </w:tr>
      <w:tr>
        <w:trPr>
          <w:trHeight w:val="414"/>
        </w:trPr>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 performed audit procedures that included, among others, evaluating the methodologies, assessing the judgments</w:t>
            </w: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testing the completeness and accuracy of the historical data used by the Company in its determination of the</w:t>
            </w:r>
          </w:p>
        </w:tc>
      </w:tr>
      <w:tr>
        <w:trPr>
          <w:trHeight w:val="216"/>
        </w:trPr>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breakage rate. In addition, we performed sensitivity analyses over the breakage rate to evaluate the impact changes</w:t>
            </w:r>
          </w:p>
        </w:tc>
      </w:tr>
      <w:tr>
        <w:trPr>
          <w:trHeight w:val="234"/>
        </w:trPr>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breakage rates had on breakage revenue recorded.</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(Dollars in thousands, except share data)</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February 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27,758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69,775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126,298</w:t>
            </w: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Operating lease right-of-use asset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assets, net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90,200</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70,926</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59,761</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7,596</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6,101</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345,453</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289,956</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-162560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108"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16,538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26,841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15,791</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79,394</w:t>
            </w:r>
          </w:p>
        </w:tc>
      </w:tr>
      <w:tr>
        <w:trPr>
          <w:trHeight w:val="210"/>
        </w:trPr>
        <w:tc>
          <w:tcPr>
            <w:tcW w:w="80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r>
      <w:tr>
        <w:trPr>
          <w:trHeight w:val="216"/>
        </w:trPr>
        <w:tc>
          <w:tcPr>
            <w:tcW w:w="8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 or outstanding at January</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31, 2026 and February 1, 2025</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 outstanding: 12,808,954 and</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13,257,131 shares, respectively</w:t>
            </w: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61,987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(10,760)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(12,554)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89,516</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345,453</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289,956</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88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40" w:type="dxa"/>
            <w:vAlign w:val="bottom"/>
            <w:gridSpan w:val="5"/>
          </w:tcPr>
          <w:p>
            <w:pPr>
              <w:jc w:val="center"/>
              <w:ind w:left="187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80" w:type="dxa"/>
            <w:vAlign w:val="bottom"/>
          </w:tcPr>
          <w:p>
            <w:pPr>
              <w:spacing w:after="0"/>
              <w:rPr>
                <w:sz w:val="16"/>
                <w:szCs w:val="16"/>
                <w:color w:val="auto"/>
              </w:rPr>
            </w:pPr>
          </w:p>
        </w:tc>
        <w:tc>
          <w:tcPr>
            <w:tcW w:w="140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retail sales</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485,956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460,325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456,163</w:t>
            </w:r>
          </w:p>
        </w:tc>
      </w:tr>
      <w:tr>
        <w:trPr>
          <w:trHeight w:val="216"/>
        </w:trPr>
        <w:tc>
          <w:tcPr>
            <w:tcW w:w="4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 revenue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38,750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25,413</w:t>
            </w:r>
          </w:p>
        </w:tc>
      </w:tr>
      <w:tr>
        <w:trPr>
          <w:trHeight w:val="216"/>
        </w:trPr>
        <w:tc>
          <w:tcPr>
            <w:tcW w:w="4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5,126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4,538</w:t>
            </w: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revenues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529,832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496,404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486,114</w:t>
            </w:r>
          </w:p>
        </w:tc>
      </w:tr>
      <w:tr>
        <w:trPr>
          <w:trHeight w:val="209"/>
        </w:trPr>
        <w:tc>
          <w:tcPr>
            <w:tcW w:w="12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213,229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207,200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206,815</w:t>
            </w:r>
          </w:p>
        </w:tc>
      </w:tr>
      <w:tr>
        <w:trPr>
          <w:trHeight w:val="216"/>
        </w:trPr>
        <w:tc>
          <w:tcPr>
            <w:tcW w:w="4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17,199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12,091</w:t>
            </w:r>
          </w:p>
        </w:tc>
      </w:tr>
      <w:tr>
        <w:trPr>
          <w:trHeight w:val="216"/>
        </w:trPr>
        <w:tc>
          <w:tcPr>
            <w:tcW w:w="4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3,775</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2,816</w:t>
            </w:r>
          </w:p>
        </w:tc>
      </w:tr>
      <w:tr>
        <w:trPr>
          <w:trHeight w:val="216"/>
        </w:trPr>
        <w:tc>
          <w:tcPr>
            <w:tcW w:w="4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234,203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223,886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221,722</w:t>
            </w:r>
          </w:p>
        </w:tc>
      </w:tr>
      <w:tr>
        <w:trPr>
          <w:trHeight w:val="20"/>
        </w:trPr>
        <w:tc>
          <w:tcPr>
            <w:tcW w:w="12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295,629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272,518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264,392</w:t>
            </w:r>
          </w:p>
        </w:tc>
      </w:tr>
      <w:tr>
        <w:trPr>
          <w:trHeight w:val="216"/>
        </w:trPr>
        <w:tc>
          <w:tcPr>
            <w:tcW w:w="4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229,203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206,238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198,992</w:t>
            </w:r>
          </w:p>
        </w:tc>
      </w:tr>
      <w:tr>
        <w:trPr>
          <w:trHeight w:val="216"/>
        </w:trPr>
        <w:tc>
          <w:tcPr>
            <w:tcW w:w="4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67,227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66,329</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15,024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15,356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13,524</w:t>
            </w: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income</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51,785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52,805</w:t>
            </w:r>
          </w:p>
        </w:tc>
      </w:tr>
      <w:tr>
        <w:trPr>
          <w:trHeight w:val="196"/>
        </w:trPr>
        <w:tc>
          <w:tcPr>
            <w:tcW w:w="128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21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128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53,997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51,313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52,997</w:t>
            </w: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14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3.99</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3.65</w:t>
            </w: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13,045,394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13,578,587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14,342,931</w:t>
            </w:r>
          </w:p>
        </w:tc>
      </w:tr>
      <w:tr>
        <w:trPr>
          <w:trHeight w:val="234"/>
        </w:trPr>
        <w:tc>
          <w:tcPr>
            <w:tcW w:w="4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13,083,436</w:t>
            </w: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13,621,075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14,471,875</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5500" w:type="dxa"/>
            <w:vAlign w:val="bottom"/>
            <w:gridSpan w:val="10"/>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420" w:type="dxa"/>
            <w:vAlign w:val="bottom"/>
            <w:gridSpan w:val="11"/>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74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112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6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stock</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28, 2023</w:t>
            </w:r>
          </w:p>
        </w:tc>
        <w:tc>
          <w:tcPr>
            <w:tcW w:w="224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(12,274)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118,332</w:t>
            </w: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2,894</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2,899</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in lieu of tax withholdings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repurchase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(4,179)</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(20,500)</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(22,014)</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52,805</w:t>
            </w:r>
          </w:p>
        </w:tc>
      </w:tr>
      <w:tr>
        <w:trPr>
          <w:trHeight w:val="230"/>
        </w:trPr>
        <w:tc>
          <w:tcPr>
            <w:tcW w:w="1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February 3, 2024</w:t>
            </w:r>
          </w:p>
        </w:tc>
        <w:tc>
          <w:tcPr>
            <w:tcW w:w="142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75,272</w:t>
            </w:r>
          </w:p>
        </w:tc>
        <w:tc>
          <w:tcPr>
            <w:tcW w:w="2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129,662</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withheld in lieu of tax withholdings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(2,090)</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(31,266)</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(10,957)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(10,957)</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(472)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51,785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51,785</w:t>
            </w:r>
          </w:p>
        </w:tc>
      </w:tr>
      <w:tr>
        <w:trPr>
          <w:trHeight w:val="230"/>
        </w:trPr>
        <w:tc>
          <w:tcPr>
            <w:tcW w:w="128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February 1, 2025</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139,082</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under employee stock plans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5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shares issued under employee stock plan</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withheld in lieu of tax withholdings</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(1,267)</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(27,735)</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(11,533)</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(11,533)</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1,794</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52,203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52,203</w:t>
            </w:r>
          </w:p>
        </w:tc>
      </w:tr>
      <w:tr>
        <w:trPr>
          <w:trHeight w:val="230"/>
        </w:trPr>
        <w:tc>
          <w:tcPr>
            <w:tcW w:w="12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January 31, 2026</w:t>
            </w:r>
          </w:p>
        </w:tc>
        <w:tc>
          <w:tcPr>
            <w:tcW w:w="142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155,028</w:t>
            </w: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500" w:type="dxa"/>
            <w:vAlign w:val="bottom"/>
            <w:gridSpan w:val="10"/>
          </w:tcPr>
          <w:p>
            <w:pPr>
              <w:jc w:val="center"/>
              <w:ind w:right="581"/>
              <w:spacing w:after="0"/>
              <w:rPr>
                <w:sz w:val="20"/>
                <w:szCs w:val="20"/>
                <w:color w:val="auto"/>
              </w:rPr>
            </w:pPr>
            <w:r>
              <w:rPr>
                <w:rFonts w:ascii="Times New Roman" w:cs="Times New Roman" w:eastAsia="Times New Roman" w:hAnsi="Times New Roman"/>
                <w:sz w:val="18"/>
                <w:szCs w:val="18"/>
                <w:color w:val="auto"/>
                <w:w w:val="99"/>
              </w:rPr>
              <w:t>See accompanying notes to consolidated financial statements.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5220" w:type="dxa"/>
            <w:vAlign w:val="bottom"/>
            <w:gridSpan w:val="3"/>
          </w:tcPr>
          <w:p>
            <w:pPr>
              <w:jc w:val="center"/>
              <w:ind w:left="337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12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right"/>
              <w:ind w:right="520"/>
              <w:spacing w:after="0" w:line="188"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80" w:type="dxa"/>
            <w:vAlign w:val="bottom"/>
          </w:tcPr>
          <w:p>
            <w:pPr>
              <w:spacing w:after="0"/>
              <w:rPr>
                <w:sz w:val="16"/>
                <w:szCs w:val="16"/>
                <w:color w:val="auto"/>
              </w:rPr>
            </w:pPr>
          </w:p>
        </w:tc>
        <w:tc>
          <w:tcPr>
            <w:tcW w:w="140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52,203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51,785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52,805</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14,952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13,657</w:t>
            </w: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2,930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2,089</w:t>
            </w: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(1,893)</w:t>
            </w: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Loss/(Gain) on disposal of property and equipment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film costs and advances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(1,913)</w:t>
            </w:r>
          </w:p>
        </w:tc>
      </w:tr>
      <w:tr>
        <w:trPr>
          <w:trHeight w:val="216"/>
        </w:trPr>
        <w:tc>
          <w:tcPr>
            <w:tcW w:w="6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(11,317)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7,102</w:t>
            </w: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(5,433)</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5,870</w:t>
            </w: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6,776</w:t>
            </w: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8,021</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(11,083)</w:t>
            </w: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(5,175)</w:t>
            </w: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(1,310)</w:t>
            </w: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(2,987)</w:t>
            </w:r>
          </w:p>
        </w:tc>
      </w:tr>
      <w:tr>
        <w:trPr>
          <w:trHeight w:val="210"/>
        </w:trPr>
        <w:tc>
          <w:tcPr>
            <w:tcW w:w="128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65,052</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64,310</w:t>
            </w:r>
          </w:p>
        </w:tc>
        <w:tc>
          <w:tcPr>
            <w:tcW w:w="100" w:type="dxa"/>
            <w:vAlign w:val="bottom"/>
          </w:tcPr>
          <w:p>
            <w:pPr>
              <w:spacing w:after="0"/>
              <w:rPr>
                <w:sz w:val="18"/>
                <w:szCs w:val="18"/>
                <w:color w:val="auto"/>
              </w:rPr>
            </w:pPr>
          </w:p>
        </w:tc>
      </w:tr>
      <w:tr>
        <w:trPr>
          <w:trHeight w:val="209"/>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(25,545)</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(18,295)</w:t>
            </w:r>
          </w:p>
        </w:tc>
      </w:tr>
      <w:tr>
        <w:trPr>
          <w:trHeight w:val="209"/>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Line of credit amendment fee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common stock for employee equity awards, net of tax</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(1,361)</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(27,735)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(20,500)</w:t>
            </w: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 on vested participating securities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(11,533)</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(22,062)</w:t>
            </w:r>
          </w:p>
        </w:tc>
      </w:tr>
      <w:tr>
        <w:trPr>
          <w:trHeight w:val="209"/>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27,758</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42,198</w:t>
            </w:r>
          </w:p>
        </w:tc>
      </w:tr>
      <w:tr>
        <w:trPr>
          <w:trHeight w:val="250"/>
        </w:trPr>
        <w:tc>
          <w:tcPr>
            <w:tcW w:w="6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7"/>
        </w:trPr>
        <w:tc>
          <w:tcPr>
            <w:tcW w:w="12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Reconciliation of cash, cash equivalents and restricted cash </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43,934</w:t>
            </w:r>
          </w:p>
        </w:tc>
      </w:tr>
      <w:tr>
        <w:trPr>
          <w:trHeight w:val="216"/>
        </w:trPr>
        <w:tc>
          <w:tcPr>
            <w:tcW w:w="6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09"/>
        </w:trPr>
        <w:tc>
          <w:tcPr>
            <w:tcW w:w="6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26,755</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4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17,364</w:t>
            </w:r>
          </w:p>
        </w:tc>
      </w:tr>
    </w:tbl>
    <w:p>
      <w:pPr>
        <w:spacing w:after="0" w:line="179" w:lineRule="exact"/>
        <w:rPr>
          <w:sz w:val="20"/>
          <w:szCs w:val="20"/>
          <w:color w:val="auto"/>
        </w:rPr>
      </w:pPr>
    </w:p>
    <w:p>
      <w:pPr>
        <w:ind w:left="3400" w:right="1860" w:hanging="3392"/>
        <w:spacing w:after="0" w:line="419" w:lineRule="auto"/>
        <w:tabs>
          <w:tab w:leader="none" w:pos="225"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See cash, cash equivalents and restricted cash in Note 2 - "Summary of Significant Accounting Policies" for further discussion. See accompanying notes to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Preparation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Build-A-Bear Workshop, Inc. and subsidiaries (collectively, the “Company”) was formed in 1997 as a mall-based, experiential specialty retailer for children. The Company has evolved to become a leading global "retailtainment" brand on a mission to add a little more heart to life. The Company sells its products through its 375 corporately-managed locations operated primarily in leased mall locations in the U.S., Canada, the Republic of Ireland, and the U.K. along with its e-commerce sites. As of the balance sheet date, operations in foreign countries where the Company does not have corporately-managed locations are through franchise agreements. The Company also sold product through its partner-operated model at 178 stores in which it sells its products on a wholesale basis to other companies that then in turn execute the Company's retail experience.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U.S. GAAP.</w:t>
      </w:r>
    </w:p>
    <w:p>
      <w:pPr>
        <w:spacing w:after="0" w:line="248"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each accounting topic that is addressed in its own note, the description of the accounting policy may be found in the related note. The Company’s other significant accounting policies applied in the preparation of the accompanying consolidated financial statements are as follows: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Build-A-Bear Workshop, Inc. and its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accounts are eliminated in consolidation.</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operates on a 52- or 53-week fiscal year ending on the Saturday closest to January 31. The periods presented in these financial statements are fiscal 2025 (52 weeks ended January 31, 2026), fiscal 2024 (52 weeks ended February 1, 2025) and fiscal 2023 (53 weeks ended February 3, 2024). References to years in these financial statements relate to fiscal years or year-ends rather than calendar years.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Cash and cash equivalents include cash, money market funds, and short-term highly liquid investments with an original maturity of three months or less held in both domestic and foreign financial institutions. In addition, the Company has a long-term deposit to satisfy contractual terms with the UK Customs Authority (unrelated to the matter discussed in Note 10 - Commitments and Contingencies). The Company also has deposits from franchisees under contractual agreements which are refundable. The long-term and franchisee deposits are considered restricted cash and disclosed within the supplemental disclosure within the consolidated statement of cash flows. Cash equivalents also include amounts due from third-party financial institutions for credit and debit card transactions. The carrying amount of cash and cash equivalents approximates fair value, given the short maturity of those instruments.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majority of the Company’s cash and cash equivalents exceed federal deposit insurance limits. The Company has not experienced any losses in such accounts and management believes that the Company is not exposed to any significant credit risk on cash, cash equivalents, and restricted cash.</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on an average-cost basis. Inventory includes supplies of $4.5 million and $3.5 million as of January 31, 2026 and February 1, 2025, respectively. A reserve for estimated shortage is accrued throughout the year based on detailed historical averages. The inventory reserve was $1.1 million as of January 31, 2026 and $1.2 million as of February 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Receivables are recorded at invoiced amounts and consist primarily of amounts due to the Company in relation to wholesale and corporate product sales, franchisee royalties and product sales, tenant allowances, certain amounts due from taxing authorities, receivables due from insurance providers, and licensing revenue. The Company assesses the collectability of all receivables on an ongoing basis by considering its historical credit loss experience, current economic conditions, and other relevant factors. At the beginning of fiscal 2023, the Company adopted ASU </w:t>
      </w:r>
      <w:r>
        <w:rPr>
          <w:rFonts w:ascii="Times New Roman" w:cs="Times New Roman" w:eastAsia="Times New Roman" w:hAnsi="Times New Roman"/>
          <w:sz w:val="18"/>
          <w:szCs w:val="18"/>
          <w:i w:val="1"/>
          <w:iCs w:val="1"/>
          <w:color w:val="auto"/>
        </w:rPr>
        <w:t>No. 2016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13,</w:t>
      </w:r>
      <w:r>
        <w:rPr>
          <w:rFonts w:ascii="Times New Roman" w:cs="Times New Roman" w:eastAsia="Times New Roman" w:hAnsi="Times New Roman"/>
          <w:sz w:val="18"/>
          <w:szCs w:val="18"/>
          <w:color w:val="auto"/>
        </w:rPr>
        <w:t xml:space="preserve"> “Financial Instruments - Credit Losses (Topic </w:t>
      </w:r>
      <w:r>
        <w:rPr>
          <w:rFonts w:ascii="Times New Roman" w:cs="Times New Roman" w:eastAsia="Times New Roman" w:hAnsi="Times New Roman"/>
          <w:sz w:val="18"/>
          <w:szCs w:val="18"/>
          <w:i w:val="1"/>
          <w:iCs w:val="1"/>
          <w:color w:val="auto"/>
        </w:rPr>
        <w:t>326</w:t>
      </w:r>
      <w:r>
        <w:rPr>
          <w:rFonts w:ascii="Times New Roman" w:cs="Times New Roman" w:eastAsia="Times New Roman" w:hAnsi="Times New Roman"/>
          <w:sz w:val="18"/>
          <w:szCs w:val="18"/>
          <w:color w:val="auto"/>
        </w:rPr>
        <w:t>):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ranging from one to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corporate offices, and storage locations. For leases with terms greater than 12 months, the Company records the related asset and obligation at the present value of lease payments over the term. Most retail store leases have an original term of five to ten-year base period and the term can be extended on a lease-by-lease basis with additional terms that are typically much shorter than the original lease term giving the Company lease optionality. The renewal options are not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Certain leases contain incentives, such as construction allowances from landlords and/or rent abatements subsequent to taking possession of the leased property. These incentives reduce the right-of-use asset related to the lease and are amortized through the right-of-use asset as reductions of expense over the lease term.</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leases typically contain rent escalations over the lease term and the Company recognizes expense for these leases on a straight-line basis over the lease term. The Company recognizes the related rental expense on a straight-line basis and records the difference between the recognized rental expense and amounts payable under the lease as part of the lease right-of-use asset. Some of the Company's leases include rent escalations based on inflation indexes and fair market value adjustments. Operating lease liabilities are calculated using the prevailing index or rate at lease commencement. Subsequent escalations in the index or rate and contingent rental payments are recognized as variable lease expenses. Certain leases contain contingent rental provisions that include a fixed base rent plus an additional percentage of the store’s sales in excess of stipulated amounts and certain leases may contain rental provisions that only include a provision for a percentage of a store's total sales, instead of a fixed base rent amount. Such rents based on a percentage of store's total sales are recorded as variable lease expenses.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Most of the Company’s leases do not provide a readily available implicit interest rate. Therefore, the Company estimates the incremental borrowing discount rate based on information available at lease commencement. The discount rates used are indicative of a synthetic credit rating based on quantitative and qualitative analysis and adjusted to estimate a secured credit rating. For non-U.S. locations, a risk-free rate yield based on the currency of the lease is used to adjust the estimate of the incremental borrowing rate.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Whenever facts and circumstances indicate that the carrying value of a long-lived asset (asset group) and right-of-use operating lease assets may not be recoverable, the carrying value of those assets is reviewed for potential impairment. If this review indicates that the carrying value of the asset (asset group) will not be recovered, as determined based on projected undiscounted cash flows related to the asset (asset group) over its remaining life, the carrying value of the asset (asset group) is reduced to its estimated fair value. The Company typically performs an annual assessment of its store assets in the DTC segment, based on operating performance and forecasts of future performance. For the purposes of evaluating store assets for impairment, the Company has determined that each store location is an asset group, inclusive of the right-of-use asset attributable to each store. In periods where the Company identifies indicators of impairment for its store fleet, the Company performs a recoverability test for these assets by comparing the estimated undiscounted future cash flows over the remaining useful life of the asset (asset group) to the carry value of the asset (asset group). The estimated undiscounted future cash flows involve expectations for future operations and projected cash flows, including estimates of revenue, operating expenses and market conditions. Based on this, the Company determines if certain stores had long-lived and right-of-use assets with carrying values that exceed their estimated undiscounted future cash flows for the remaining useful life of the respective assets.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An impairment charge is recognized to the extent the carrying value exceeded the fair value of the asset (asset group). The Company estimates fair values of these long-lived assets based on its discounted future cash flow analysis for the remaining useful life of the asset or its market rent assessment. An individual asset within an asset group is not impaired below its estimated fair value. Asset impairment charges are recorded within the cost of merchandise sold - retail expense within the Consolidated Statement of Operations and Comprehensive Income. The Company's analysis identified no indicators of impairment during fiscal 2025 for long-lived assets. The Company's analysis identified indicators of impairment at two retail locations and the Company incurred immaterial impairment charges during fiscal 2024 for long-lived assets in the Company's DTC segment.</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estimates, all of which are considered Level 3 inputs, used to calculate the fair value of the asset (asset group) include: the Company’s expectations for future operations and projected cash flows, including revenues, operating expenses including market rents, and market conditions. Changes in these estimates could have an impact on whether long-lived store assets should be further evaluated for impairment and could have a significant impact on the resulting impairment charge.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Other assets consist primarily of the non-current portion of prepaid income taxes and deferred costs related to franchise agreements, financing agreements, and capitalized film production costs. Deferred franchise costs are initial costs related to the Company’s franchise agreements that are deferred and amortized over the life of the respective franchise agreement. Deferred financing costs are the initial issuance costs and fees incurred in obtaining the Company's new credit agreement. The Company had no outstanding borrowings at the beginning of the facility or at of the date of the second amendment, therefore these costs and fees incurred for the original agreement and amendment were recorded as a deferred asset and the unamortized costs will be amortized over the length of the amended agreement. Film production costs include capitalizable direct costs, production overhead, interest and development costs and are stated at the lower of cost, less accumulated amortization, or fair value.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Production Costs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Costs of producing entertainment assets, which include direct costs, production overhead and development costs, are capitalized when incurred and are stated at the lower of cost, less accumulated amortization, or fair value. For film related costs, the Company expects assets to be monetized individually and are amortized using the individual film-forecast-computation method which amortizes such costs in the same ratio that current period actual revenue bears to the estimated remaining unrecognized total revenues (ultimate revenue). Ultimate revenue includes estimates over a period not to exceed ten years from the date of initial release of the film. Participation costs and residuals are accrued and expensed over the applicable product life cycle based upon the ratio of the current period's revenues to the estimated remaining total revenues for each production.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Costs of entertainment assets are subject to recoverability assessments, whenever events or changes in circumstances indicate that the fair value of the entertainment asset may be less than the unamortized cost, which for content predominantly monetized individually, involves comparing the estimated fair values with the unamortized cost. The fair value is determined based on a discounted cash flow analysis of the cash flows directly attributable to the entertainment assets. The discounted cash flow analysis includes cash flow estimates of ultimate revenue as well as a discount rate (a Level 3 fair value measurement). The discount rate used in the Company’s discounted cash flow model reflects the time value of money, expectations about variation in the amount or timing of the most likely cash flows, and the price market participants would seek for bearing the uncertainty inherent with the entertainment assets. The amount by which the unamortized costs of entertainment assets exceed their estimated fair values is written off. As of January 31, 2026 and February 1, 2025, the Company had net capitalized entertainment assets of $4.5 million and $4.2 million, respectively. The January 31, 2026 balance for entertainment assets is comprised of unamortized, released assets and several in-development entertainment projects.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main purpose of the Company's entertainment assets is to drive consumer engagement with its own intellectual property, similar to a marketing campaign. As such, the amortization of entertainment assets and any related impairment charges are recorded as advertising expenses with the Selling, general, and administrative line within the Consolidated Statement of Operations and Comprehensive Income and includes this expense in the financial information of the Commercial reportable segment presented in Note 15 - Segment Information. Additionally, as of January 31, 2026, the Company performed a recoverability assessment of the entertainment assets and determined there were no indicators of impairment. The Company recorded a total of $0.5 million in entertainment assets amortization in fiscal 2025 and a total of $1.1 million in fiscal 2024.</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3 — Revenue for additional accounting information.</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Merchandise Sold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Cost of merchandise sold - retail includes the cost of the merchandise, tariff costs, royalties paid to licensors of third-party branded merchandise; store occupancy cost, including store depreciation; cost of warehousing and distribution; packaging; stuffing; damages and shortages; and shipping and handling costs incurred in shipment to consumers. Cost of merchandise sold - commercial includes the cost of the merchandise, including royalties paid to licensors of third-party branded merchandise; cost of warehousing and distribution; packaging; stuffing; damages and shortages; and shipping and handling costs incurred in shipment to customers.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costs. It also includes depreciation and amortization of central office leasehold improvements, furniture, fixtures, and equipment. In addition, bad debt expenses and accounts receivable related charges are included. Further, it includes store preopening expenses which represent costs incurred prior to store openings, remodels and relocations including certain store set-up, labor and hiring costs, rental charges, payroll, government grants, marketing, travel and relocation costs and recoveries.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costs of advertising and marketing programs are charged to operations in the first period the program takes place. Advertising expense was $21.0 million, $21.0 million and $24.3 million for fiscal years 2025, 2024 and 2023,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assesses its total liability for uncertain tax positions on a quarterly basis. The Company recognizes estimated interest and penalties related to uncertain tax positions in income tax expense. See Note 8—Income Taxes for further discussion.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Per Share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Basic income per share is determined by dividing net income allocated to common stockholders by the weighted average number of common shares outstanding during the period. Diluted income per share reflects the potential dilution that could occur from outstanding restricted stock awards and if options to issue common stock were exercised. In periods in which the inclusion of such instruments is anti-dilutive, the effect of such securities is not given consideration.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share-based compensation plans covering certain management groups and its Board of Directors. The Company accounts for share-based payments utilizing the fair value recognition provisions of ASC 718 Compensation - Stock Compensation. The Company recognizes compensation cost for graded-vested equity awards on a straight-line basis over the requisite service period for the entire award and forfeitures as they occur. See Note 12 — "Stock Incentive Plans" for additional information.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Comprehensive income is comprised of net income and foreign currency translation adjustments.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For purposes of financial reporting, management has determined that the carrying value of financial instruments, including cash, cash equivalents and restricted cash, receivables, short term investments, accounts payable and accrued expenses, approximates fair value at January 31, 2026 and February 1, 2025.</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 Significant items subject to such estimates and assumptions include the calculation of revenue from gift card breakage, valuation of long-lived asset for asset impairments, income tax valuation allowances on deferred income tax assets, and the determination of deferred revenue under the Company’s customer loyalty program.</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Tax Policy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revenues in the consolidated statement of operations are net of sales taxes.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a gain of $1.8 million in fiscal 2025, and loss of $0.2 million and $0.1 million related to foreign currency in fiscal 2024 and 2023,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Adopted in the current year</w:t>
      </w:r>
    </w:p>
    <w:p>
      <w:pPr>
        <w:spacing w:after="0" w:line="2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ASU requires disaggregated information about a reporting entity’s effective tax rate reconciliation as well as additional information on income taxes paid. We adopted this ASU on a prospective basis effective February 2, 2025. Refer to Note 8- Income Taxes for the inclusion of new disclosures required.</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Pending adoption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The amendment requires a public business entity (PBE) to disclose, on an annual and interim basis, disaggregated information about certain income statement line items in a tabular format in the notes to the financial statements. The amendments are effective for fiscal years beginning after December 15, 2026, and interim periods within fiscal years beginning after December 15, 2027. Management is currently evaluating this ASU to determine its impact on the Company's disclosures.</w:t>
      </w:r>
    </w:p>
    <w:p>
      <w:pPr>
        <w:spacing w:after="0" w:line="18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The ASU simplifies the capitalization guidance by removing all references to prescriptive and sequential software development stages (referred to as “project stages”) throughout ASC 350-40. The ASU is effective for annual periods beginning after December 15, 2027, and interim periods within those fiscal years. Adoption of this ASU can be applied prospectively for reporting periods after its effective date; or follow a modified transition approach that is based on the status of the respective projects and whether software costs were capitalized before the date of adoption; or retrospectively to any or all prior periods presented in the consolidated financial statements. Early adoption is permitted. We are currently evaluating the provisions of this ASU and do not expect this ASU to have a material impact on our consolidated financial statements.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2025-11, Interim Reporting (Topic 270): Narrow-Scope Improvements. The ASU clarifies interim 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a prospective or a retrospective approach. Early adoption is permitted. We are currently evaluating the provisions of this ASU and do not expect this ASU to have a material impact on our consolidated financial statements.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2025-12, Codification Improvements. The ASU addresses thirty-three items, representing the changes to the Codification that (1) clarify, (2) correct errors, or (3) make minor improvements. Generally, the amendments in this Update are not intended to result in significant changes for most entities. The ASU is effective for interim reporting periods within annual reporting periods beginning after December 15, 2026. The adoption method of this ASU may vary, on an issue-by-issue basis. Early adoption is permitted. We are currently evaluating the provisions of this ASU and do not expect this ASU to have a material impact on our consolidated financial statements.</w:t>
      </w:r>
    </w:p>
    <w:p>
      <w:pPr>
        <w:sectPr>
          <w:pgSz w:w="11900" w:h="16838" w:orient="portrait"/>
          <w:cols w:equalWidth="0" w:num="1">
            <w:col w:w="11240"/>
          </w:cols>
          <w:pgMar w:left="320" w:top="121"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Nearly all of the Company’s revenue is derived from retail sales (including e-commerce sites) and is recognized when control of the merchandise is transferred to the customer. The Company accounts for revenue in accordance with Topic 606, Revenue from Contracts with Customers. The Company's disaggregated revenue is fully disclosed as net sales to external customers by reporting segment and by geographic area (See Note 15 — "Segment Information" for additional information). The Company's direct-to-consumer reporting segment represents nearly 92% of consolidated revenue. The majority of these sales transactions are single performance obligations that are recorded when control is transferred to the customer.</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description of principal activities from which the Company generates its revenue, by reportable segment.</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one-half of one percent due to the interactive nature of sales, where consumers customize their own stuffed animal. The Company has elected to exclude from revenue all collected sales, value-add and other taxes paid by its customers.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Company’s gift cards, revenue is deferred for single transactions until redemption including any related gift card discounts. Approximately 80% of gift cards issued have been redeemed within three years of issuance and over the last three years, approximately 65% of gift cards issued have been redeemed within the first twelve months. In addition, unredeemed gift cards or breakage revenue is recorded in proportion to the customer’s redemption pattern using an estimated breakage rate based on historical experience.</w:t>
      </w:r>
    </w:p>
    <w:p>
      <w:pPr>
        <w:spacing w:after="0" w:line="180" w:lineRule="exact"/>
        <w:rPr>
          <w:sz w:val="20"/>
          <w:szCs w:val="20"/>
          <w:color w:val="auto"/>
        </w:rPr>
      </w:pPr>
    </w:p>
    <w:p>
      <w:pPr>
        <w:jc w:val="both"/>
        <w:ind w:firstLine="486"/>
        <w:spacing w:after="0" w:line="226" w:lineRule="exact"/>
        <w:rPr>
          <w:sz w:val="20"/>
          <w:szCs w:val="20"/>
          <w:color w:val="auto"/>
        </w:rPr>
      </w:pPr>
      <w:r>
        <w:rPr>
          <w:rFonts w:ascii="Times New Roman" w:cs="Times New Roman" w:eastAsia="Times New Roman" w:hAnsi="Times New Roman"/>
          <w:sz w:val="18"/>
          <w:szCs w:val="18"/>
          <w:color w:val="auto"/>
        </w:rPr>
        <w:t>Following the reopening of stores after the pandemic, the Company experienced lower gift card redemption rates for all periods of outstanding activated gift cards compared to historical redemption patterns observed prior to fiscal year 2020, which impacted the gift card breakage rate. Management believes that the redemption behavior observed during the pandemic was not indicative of long-term customer behavior and accordingly adjusted the historical redemption data used to calculate the breakage rate. In more recent periods, gift card redemption patterns have generally returned to levels consistent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2020 experience.</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For the fiscal years ended January 31, 2026, February 1, 2025, and February 3, 2024, net retail sales included gift card breakage revenue of $6.2 million, $6.5 million and $6.3 million, respectively. In regard to the consolidated balance sheet, contract liabilities for gift cards are classified as gift cards and customer deposits.</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Loyalty program points expire if there is no qualifying account activity for a period of 12 months. The Company issues certifications daily for those loyalty program members who have earned 100 or more points in the previous day in North America and 50 points or more in the U.K. with certifications historically expiring in four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are mainly comprised of wholesale sales of merchandise, supplies and fixtures, licensing the Company’s intellectual properties for third-party use, and revenues generated from entertainment activities.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as licensee sales occur over the guarantee term until such time as royalties earned through licensee sales exceed the minimum guarantee. The Company classifies these guaranteed minimum contract liabilities as deferred revenue and other on the consolidated balance sheet. Entertainment revenue is generated through the sale of entertainment assets directly to customers or through licensing agreements.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merchandise, supplies and fixture sales. The Company’s obligations under the franchise agreement are ongoing and include operations and product development support and training, generally concentrated around new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and other on the consolidated balance sheet. Revenue from merchandise and fixture sales is recognized when control is transferred to the franchisee which generally occurs upon delivery to the customer.</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franchisees, and employee compensation. Accordingly, the Company’s policy is to capitalize the finder’s fee, an incremental cost, and expense all other costs as incurred. The Company amortizes these capitalized costs into expense in the same pattern as the development fee as described previously.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3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320" w:type="dxa"/>
            <w:vAlign w:val="bottom"/>
          </w:tcPr>
          <w:p>
            <w:pPr>
              <w:spacing w:after="0"/>
              <w:rPr>
                <w:sz w:val="19"/>
                <w:szCs w:val="19"/>
                <w:color w:val="auto"/>
              </w:rPr>
            </w:pP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00" w:type="dxa"/>
            <w:vAlign w:val="bottom"/>
          </w:tcPr>
          <w:p>
            <w:pPr>
              <w:spacing w:after="0"/>
              <w:rPr>
                <w:sz w:val="19"/>
                <w:szCs w:val="19"/>
                <w:color w:val="auto"/>
              </w:rPr>
            </w:pP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 (dollars in thousands)</w:t>
            </w: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expected credit losses</w:t>
            </w:r>
          </w:p>
        </w:tc>
        <w:tc>
          <w:tcPr>
            <w:tcW w:w="5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685</w:t>
            </w:r>
          </w:p>
        </w:tc>
        <w:tc>
          <w:tcPr>
            <w:tcW w:w="5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w:t>
            </w:r>
          </w:p>
        </w:tc>
      </w:tr>
      <w:tr>
        <w:trPr>
          <w:trHeight w:val="229"/>
        </w:trPr>
        <w:tc>
          <w:tcPr>
            <w:tcW w:w="632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 xml:space="preserve">Uncollectible accounts written off, net of recoveries </w:t>
            </w:r>
            <w:r>
              <w:rPr>
                <w:rFonts w:ascii="Times New Roman" w:cs="Times New Roman" w:eastAsia="Times New Roman" w:hAnsi="Times New Roman"/>
                <w:sz w:val="26"/>
                <w:szCs w:val="26"/>
                <w:color w:val="auto"/>
                <w:vertAlign w:val="superscript"/>
              </w:rPr>
              <w:t>(1)</w:t>
            </w:r>
          </w:p>
        </w:tc>
        <w:tc>
          <w:tcPr>
            <w:tcW w:w="5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(325)</w:t>
            </w: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r>
      <w:tr>
        <w:trPr>
          <w:trHeight w:val="228"/>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58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24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Other receivables allowance for doubtful accounts represent uncollectible accounts written off, recoveries and the impact of currency translation</w:t>
      </w:r>
    </w:p>
    <w:p>
      <w:pPr>
        <w:spacing w:after="0" w:line="122"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presents information related to the lease costs for operating leases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4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00" w:type="dxa"/>
            <w:vAlign w:val="bottom"/>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39,792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36,849</w:t>
            </w:r>
          </w:p>
        </w:tc>
      </w:tr>
      <w:tr>
        <w:trPr>
          <w:trHeight w:val="216"/>
        </w:trPr>
        <w:tc>
          <w:tcPr>
            <w:tcW w:w="49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10,782</w:t>
            </w: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lease costs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50,956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47,741</w:t>
            </w:r>
          </w:p>
        </w:tc>
      </w:tr>
      <w:tr>
        <w:trPr>
          <w:trHeight w:val="20"/>
        </w:trPr>
        <w:tc>
          <w:tcPr>
            <w:tcW w:w="4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Variable lease costs consist of leases with variable rent structures, which are intended to increase flexibility in an environment with expected high sales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volatility and provide a natural hedge against potential sales declines.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100" w:type="dxa"/>
            <w:vAlign w:val="bottom"/>
          </w:tcPr>
          <w:p>
            <w:pPr>
              <w:spacing w:after="0"/>
              <w:rPr>
                <w:sz w:val="18"/>
                <w:szCs w:val="18"/>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41,547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39,598</w:t>
            </w: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31, 2026, the weighted-average remaining operating lease term was 6.3 years and the weighted-average discount rate was 7.0% for operating leases recognized on the consolidated balance sheet.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immaterial impairment charges during fiscal 2025, fiscal 2024 and fiscal 2023 against its right-of-use operating lease assets in the Company's DTC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remaining years to the operating lease liabilities recorded on the balance sheet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38,905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26,822</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21,405</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17,149</w:t>
            </w: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40,062</w:t>
            </w:r>
          </w:p>
        </w:tc>
        <w:tc>
          <w:tcPr>
            <w:tcW w:w="100" w:type="dxa"/>
            <w:vAlign w:val="bottom"/>
          </w:tcPr>
          <w:p>
            <w:pPr>
              <w:spacing w:after="0"/>
              <w:rPr>
                <w:sz w:val="18"/>
                <w:szCs w:val="18"/>
                <w:color w:val="auto"/>
              </w:rPr>
            </w:pPr>
          </w:p>
        </w:tc>
      </w:tr>
      <w:tr>
        <w:trPr>
          <w:trHeight w:val="21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157,841</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(30,543)</w:t>
            </w:r>
          </w:p>
        </w:tc>
      </w:tr>
      <w:tr>
        <w:trPr>
          <w:trHeight w:val="209"/>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127,298</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(28,651)</w:t>
            </w: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7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had additional executed leases that had not yet commenced with operating lease liabilities totaling $5.7 million. These leases are expected to commence in the first and second quarters of fiscal 2026 with lease terms of three to ten years.</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February 1,</w:t>
            </w:r>
          </w:p>
        </w:tc>
      </w:tr>
      <w:tr>
        <w:trPr>
          <w:trHeight w:val="238"/>
        </w:trPr>
        <w:tc>
          <w:tcPr>
            <w:tcW w:w="43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3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422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2,570</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r>
      <w:tr>
        <w:trPr>
          <w:trHeight w:val="216"/>
        </w:trPr>
        <w:tc>
          <w:tcPr>
            <w:tcW w:w="4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(2)</w:t>
            </w: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1,248</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Prepaid royalties</w:t>
            </w:r>
          </w:p>
        </w:tc>
        <w:tc>
          <w:tcPr>
            <w:tcW w:w="2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gift card fees</w:t>
            </w:r>
          </w:p>
        </w:tc>
        <w:tc>
          <w:tcPr>
            <w:tcW w:w="2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4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(3)</w:t>
            </w:r>
          </w:p>
        </w:tc>
        <w:tc>
          <w:tcPr>
            <w:tcW w:w="276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18"/>
                <w:szCs w:val="18"/>
                <w:color w:val="auto"/>
              </w:rPr>
            </w:pPr>
          </w:p>
        </w:tc>
      </w:tr>
      <w:tr>
        <w:trPr>
          <w:trHeight w:val="23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9,603</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12,669</w:t>
            </w: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Prepaid occupancy consists of prepaid expenses related to non-lease components.</w:t>
      </w:r>
    </w:p>
    <w:p>
      <w:pPr>
        <w:spacing w:after="0" w:line="180" w:lineRule="auto"/>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Prepaid taxes consist primarily of prepaid federal and state income tax.</w:t>
      </w: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3</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Other consists primarily of prepaid expenses related to IT maintenance contracts and software as a service.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February 1,</w:t>
            </w:r>
          </w:p>
        </w:tc>
      </w:tr>
      <w:tr>
        <w:trPr>
          <w:trHeight w:val="238"/>
        </w:trPr>
        <w:tc>
          <w:tcPr>
            <w:tcW w:w="7100" w:type="dxa"/>
            <w:vAlign w:val="bottom"/>
          </w:tcPr>
          <w:p>
            <w:pPr>
              <w:spacing w:after="0"/>
              <w:rPr>
                <w:sz w:val="20"/>
                <w:szCs w:val="20"/>
                <w:color w:val="auto"/>
              </w:rPr>
            </w:pPr>
          </w:p>
        </w:tc>
        <w:tc>
          <w:tcPr>
            <w:tcW w:w="14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assets</w:t>
            </w:r>
          </w:p>
        </w:tc>
        <w:tc>
          <w:tcPr>
            <w:tcW w:w="146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4,222</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1,684</w:t>
            </w:r>
          </w:p>
        </w:tc>
      </w:tr>
      <w:tr>
        <w:trPr>
          <w:trHeight w:val="216"/>
        </w:trPr>
        <w:tc>
          <w:tcPr>
            <w:tcW w:w="71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(1)</w:t>
            </w:r>
          </w:p>
        </w:tc>
        <w:tc>
          <w:tcPr>
            <w:tcW w:w="14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ind w:right="12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6,101</w:t>
            </w:r>
          </w:p>
        </w:tc>
      </w:tr>
      <w:tr>
        <w:trPr>
          <w:trHeight w:val="20"/>
        </w:trPr>
        <w:tc>
          <w:tcPr>
            <w:tcW w:w="7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Other consists primarily of deferred financing costs related to the Company's credit facility.</w:t>
      </w:r>
    </w:p>
    <w:p>
      <w:pPr>
        <w:spacing w:after="0" w:line="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February 1,</w:t>
            </w:r>
          </w:p>
        </w:tc>
      </w:tr>
      <w:tr>
        <w:trPr>
          <w:trHeight w:val="238"/>
        </w:trPr>
        <w:tc>
          <w:tcPr>
            <w:tcW w:w="46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26,418</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104,809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2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33,796</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100" w:type="dxa"/>
            <w:vAlign w:val="bottom"/>
          </w:tcPr>
          <w:p>
            <w:pPr>
              <w:spacing w:after="0"/>
              <w:rPr>
                <w:sz w:val="18"/>
                <w:szCs w:val="18"/>
                <w:color w:val="auto"/>
              </w:rPr>
            </w:pPr>
          </w:p>
        </w:tc>
      </w:tr>
      <w:tr>
        <w:trPr>
          <w:trHeight w:val="20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238,819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179,058</w:t>
            </w:r>
          </w:p>
        </w:tc>
        <w:tc>
          <w:tcPr>
            <w:tcW w:w="100" w:type="dxa"/>
            <w:vAlign w:val="bottom"/>
          </w:tcPr>
          <w:p>
            <w:pPr>
              <w:spacing w:after="0"/>
              <w:rPr>
                <w:sz w:val="18"/>
                <w:szCs w:val="18"/>
                <w:color w:val="auto"/>
              </w:rPr>
            </w:pPr>
          </w:p>
        </w:tc>
      </w:tr>
      <w:tr>
        <w:trPr>
          <w:trHeight w:val="229"/>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2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70,926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59,761</w:t>
            </w: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fiscal 2025 and 2024, depreciation and amortization expense was $15.0 million and $14.8 million, respectively.</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recorded immaterial impairment charges during fiscal 2025 and 2024 for long-lived assets in the Company's DTC segment.</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February 1,</w:t>
            </w:r>
          </w:p>
        </w:tc>
      </w:tr>
      <w:tr>
        <w:trPr>
          <w:trHeight w:val="238"/>
        </w:trPr>
        <w:tc>
          <w:tcPr>
            <w:tcW w:w="7100" w:type="dxa"/>
            <w:vAlign w:val="bottom"/>
          </w:tcPr>
          <w:p>
            <w:pPr>
              <w:spacing w:after="0"/>
              <w:rPr>
                <w:sz w:val="20"/>
                <w:szCs w:val="20"/>
                <w:color w:val="auto"/>
              </w:rPr>
            </w:pPr>
          </w:p>
        </w:tc>
        <w:tc>
          <w:tcPr>
            <w:tcW w:w="14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1420" w:type="dxa"/>
            <w:vAlign w:val="bottom"/>
            <w:shd w:val="clear" w:color="auto" w:fill="CCEEFF"/>
          </w:tcPr>
          <w:p>
            <w:pPr>
              <w:jc w:val="right"/>
              <w:ind w:right="12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16,824</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13,268</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Sales tax and VAT payable</w:t>
            </w:r>
          </w:p>
        </w:tc>
        <w:tc>
          <w:tcPr>
            <w:tcW w:w="1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r>
      <w:tr>
        <w:trPr>
          <w:trHeight w:val="216"/>
        </w:trPr>
        <w:tc>
          <w:tcPr>
            <w:tcW w:w="7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1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71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14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jc w:val="right"/>
              <w:ind w:right="12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26,104</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16,209</w:t>
            </w:r>
          </w:p>
        </w:tc>
      </w:tr>
      <w:tr>
        <w:trPr>
          <w:trHeight w:val="20"/>
        </w:trPr>
        <w:tc>
          <w:tcPr>
            <w:tcW w:w="7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Accrued rent and related expenses consist of accrued costs associated with non-lease components.</w:t>
      </w: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Accrued expense - other consists of costs associated with legal accruals.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fiscal 2025 and 2024, defined contribution expense was $1.4 million and $1.4 million,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Company’s income before income taxes from domestic and foreign operations (which include the U.K., Canada, China, and Ireland), is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87"/>
        </w:trPr>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February 3,</w:t>
            </w:r>
          </w:p>
        </w:tc>
      </w:tr>
      <w:tr>
        <w:trPr>
          <w:trHeight w:val="238"/>
        </w:trPr>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65,761</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61,110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5,219</w:t>
            </w: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67,227</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66,329</w:t>
            </w:r>
          </w:p>
        </w:tc>
      </w:tr>
      <w:tr>
        <w:trPr>
          <w:trHeight w:val="413"/>
        </w:trPr>
        <w:tc>
          <w:tcPr>
            <w:tcW w:w="672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The components of the income tax expense (benefit) are as follows (in thousands):</w:t>
            </w: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20" w:type="dxa"/>
            <w:vAlign w:val="bottom"/>
          </w:tcPr>
          <w:p>
            <w:pPr>
              <w:spacing w:after="0"/>
              <w:rPr>
                <w:sz w:val="16"/>
                <w:szCs w:val="16"/>
                <w:color w:val="auto"/>
              </w:rPr>
            </w:pPr>
          </w:p>
        </w:tc>
        <w:tc>
          <w:tcPr>
            <w:tcW w:w="112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00" w:type="dxa"/>
            <w:vAlign w:val="bottom"/>
          </w:tcPr>
          <w:p>
            <w:pPr>
              <w:spacing w:after="0"/>
              <w:rPr>
                <w:sz w:val="16"/>
                <w:szCs w:val="16"/>
                <w:color w:val="auto"/>
              </w:rPr>
            </w:pPr>
          </w:p>
        </w:tc>
      </w:tr>
      <w:tr>
        <w:trPr>
          <w:trHeight w:val="238"/>
        </w:trPr>
        <w:tc>
          <w:tcPr>
            <w:tcW w:w="6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12,080</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3,205</w:t>
            </w: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w:t>
            </w: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15,024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13,524</w:t>
            </w:r>
          </w:p>
        </w:tc>
      </w:tr>
      <w:tr>
        <w:trPr>
          <w:trHeight w:val="20"/>
        </w:trPr>
        <w:tc>
          <w:tcPr>
            <w:tcW w:w="6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$15.0 million in fiscal 2025 compared to $15.4 million in fiscal 2024. The 2025 effective rate of 22.3% differed from the statutory rate of 21% primarily due to state income tax expense partially offset by the tax benefit of the foreign-derived intangible income (FDII) deduction and a favorable tax position affecting its U.K. net operating loss (NOL) from prior years. The 2024 effective rate of 22.9% differed from the statutory rate of 21% primarily due to state income tax expense partially offset by the benefit of the FDII deduction.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whether it is more likely than not that it will generate sufficient taxable income to realize its deferred income tax assets based on all available positive and negative evidence. Changes in the valuation allowance in fiscal 2025 are primarily related to return-to-provision true-ups and functional currency fluctuations.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year ended January 31, 2026, the Company adopted ASU 2023-09 on a prospective basis. Differences between the provision for income taxes at the U.S. federal statutory income tax rate and the provision in the consolidated statements of operations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704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8"/>
                <w:szCs w:val="18"/>
                <w:color w:val="auto"/>
              </w:rPr>
            </w:pPr>
          </w:p>
        </w:tc>
      </w:tr>
      <w:tr>
        <w:trPr>
          <w:trHeight w:val="20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0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State and local income taxes, net of federal tax benefit </w:t>
            </w:r>
            <w:r>
              <w:rPr>
                <w:rFonts w:ascii="Times New Roman" w:cs="Times New Roman" w:eastAsia="Times New Roman" w:hAnsi="Times New Roman"/>
                <w:sz w:val="25"/>
                <w:szCs w:val="25"/>
                <w:color w:val="auto"/>
                <w:vertAlign w:val="superscript"/>
              </w:rPr>
              <w:t>(1)</w:t>
            </w: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Prior Period Adjustments</w:t>
            </w: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w:t>
            </w: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(1,014)</w:t>
            </w: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compensation</w:t>
            </w: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Tax credit</w:t>
            </w:r>
          </w:p>
        </w:tc>
        <w:tc>
          <w:tcPr>
            <w:tcW w:w="1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64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70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r>
      <w:tr>
        <w:trPr>
          <w:trHeight w:val="20"/>
        </w:trPr>
        <w:tc>
          <w:tcPr>
            <w:tcW w:w="70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04"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During the year ended January 31, 2026, state taxes in California, Florida, Illinois, New York, and Texas comprised more than 50% of the tax effect 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this category.</w:t>
      </w:r>
    </w:p>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Differences between the provision for income taxes at the U.S. federal statutory income tax rates and the provision prior to the adoption of ASU 2023-09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187"/>
        </w:trPr>
        <w:tc>
          <w:tcPr>
            <w:tcW w:w="79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60" w:type="dxa"/>
            <w:vAlign w:val="bottom"/>
          </w:tcPr>
          <w:p>
            <w:pPr>
              <w:spacing w:after="0"/>
              <w:rPr>
                <w:sz w:val="16"/>
                <w:szCs w:val="16"/>
                <w:color w:val="auto"/>
              </w:rPr>
            </w:pPr>
          </w:p>
        </w:tc>
      </w:tr>
      <w:tr>
        <w:trPr>
          <w:trHeight w:val="238"/>
        </w:trPr>
        <w:tc>
          <w:tcPr>
            <w:tcW w:w="7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67,141</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66,329</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at statutory federal rate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13,929</w:t>
            </w:r>
          </w:p>
        </w:tc>
      </w:tr>
    </w:tbl>
    <w:p>
      <w:pPr>
        <w:sectPr>
          <w:pgSz w:w="11900" w:h="16891" w:orient="portrait"/>
          <w:cols w:equalWidth="0" w:num="1">
            <w:col w:w="11240"/>
          </w:cols>
          <w:pgMar w:left="320" w:top="121" w:right="339" w:bottom="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tax benefit</w:t>
            </w:r>
          </w:p>
        </w:tc>
        <w:tc>
          <w:tcPr>
            <w:tcW w:w="5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benefit</w:t>
            </w:r>
          </w:p>
        </w:tc>
        <w:tc>
          <w:tcPr>
            <w:tcW w:w="5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Non deductible executive compensation</w:t>
            </w:r>
          </w:p>
        </w:tc>
        <w:tc>
          <w:tcPr>
            <w:tcW w:w="5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lower foreign taxes</w:t>
            </w:r>
          </w:p>
        </w:tc>
        <w:tc>
          <w:tcPr>
            <w:tcW w:w="5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unrecognized tax positions</w:t>
            </w:r>
          </w:p>
        </w:tc>
        <w:tc>
          <w:tcPr>
            <w:tcW w:w="5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5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15,356</w:t>
            </w:r>
          </w:p>
        </w:tc>
        <w:tc>
          <w:tcPr>
            <w:tcW w:w="220" w:type="dxa"/>
            <w:vAlign w:val="bottom"/>
            <w:tcBorders>
              <w:lef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1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5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414"/>
        </w:trPr>
        <w:tc>
          <w:tcPr>
            <w:tcW w:w="7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taxes paid, net of refunds received, for the year ended January 31, 2026 are as follows: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792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16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58</w:t>
            </w: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9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18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Temporary differences that gave rise to deferred tax assets and liabilities are as follows (in thousands):</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320" w:type="dxa"/>
            <w:vAlign w:val="bottom"/>
          </w:tcPr>
          <w:p>
            <w:pPr>
              <w:spacing w:after="0"/>
              <w:rPr>
                <w:sz w:val="24"/>
                <w:szCs w:val="24"/>
                <w:color w:val="auto"/>
              </w:rPr>
            </w:pPr>
          </w:p>
        </w:tc>
        <w:tc>
          <w:tcPr>
            <w:tcW w:w="17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0" w:type="dxa"/>
            <w:vAlign w:val="bottom"/>
          </w:tcPr>
          <w:p>
            <w:pPr>
              <w:spacing w:after="0"/>
              <w:rPr>
                <w:sz w:val="1"/>
                <w:szCs w:val="1"/>
                <w:color w:val="auto"/>
              </w:rPr>
            </w:pPr>
          </w:p>
        </w:tc>
      </w:tr>
      <w:tr>
        <w:trPr>
          <w:trHeight w:val="238"/>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2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32,942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23,866</w:t>
            </w:r>
          </w:p>
        </w:tc>
        <w:tc>
          <w:tcPr>
            <w:tcW w:w="0" w:type="dxa"/>
            <w:vAlign w:val="bottom"/>
          </w:tcPr>
          <w:p>
            <w:pPr>
              <w:spacing w:after="0"/>
              <w:rPr>
                <w:sz w:val="1"/>
                <w:szCs w:val="1"/>
                <w:color w:val="auto"/>
              </w:rPr>
            </w:pPr>
          </w:p>
        </w:tc>
      </w:tr>
      <w:tr>
        <w:trPr>
          <w:trHeight w:val="216"/>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2,571</w:t>
            </w:r>
          </w:p>
        </w:tc>
        <w:tc>
          <w:tcPr>
            <w:tcW w:w="3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2,539</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2,113</w:t>
            </w:r>
          </w:p>
        </w:tc>
        <w:tc>
          <w:tcPr>
            <w:tcW w:w="3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compensation</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1,070</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739</w:t>
            </w:r>
          </w:p>
        </w:tc>
        <w:tc>
          <w:tcPr>
            <w:tcW w:w="32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write-offs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910</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1,597</w:t>
            </w:r>
          </w:p>
        </w:tc>
        <w:tc>
          <w:tcPr>
            <w:tcW w:w="32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976</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573</w:t>
            </w:r>
          </w:p>
        </w:tc>
        <w:tc>
          <w:tcPr>
            <w:tcW w:w="320" w:type="dxa"/>
            <w:vAlign w:val="bottom"/>
          </w:tcPr>
          <w:p>
            <w:pPr>
              <w:spacing w:after="0"/>
              <w:rPr>
                <w:sz w:val="18"/>
                <w:szCs w:val="18"/>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Carryforward of tax credits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261</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29"/>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(1,552)</w:t>
            </w:r>
          </w:p>
        </w:tc>
        <w:tc>
          <w:tcPr>
            <w:tcW w:w="320" w:type="dxa"/>
            <w:vAlign w:val="bottom"/>
          </w:tcPr>
          <w:p>
            <w:pPr>
              <w:spacing w:after="0"/>
              <w:rPr>
                <w:sz w:val="19"/>
                <w:szCs w:val="19"/>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(30,683)</w:t>
            </w:r>
          </w:p>
        </w:tc>
        <w:tc>
          <w:tcPr>
            <w:tcW w:w="32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(21,557)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(5,211)</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16"/>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expense</w:t>
            </w: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(1,254)</w:t>
            </w:r>
          </w:p>
        </w:tc>
        <w:tc>
          <w:tcPr>
            <w:tcW w:w="32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29"/>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7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3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January 31, 2026, the Company had gross NOL carryforwards of approximately $6.4 million, $5.3 million of which relate to the U.K. where NOLs have no expiration date, and $1.1 million of which relate to China where NOLs are carried forward for five years subsequent to the year in which the loss was incurred.</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continues to assert its investments in foreign subsidiaries are permanent in duration and it is not practical to estimate the income tax liability on the outside basis differences.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January 31, 2026, and February 1, 2025, the Company had no unrecognized tax benefits. As of February 3, 2024, the Company had total unrecognized tax benefits of $0.1 million, of which $0.1 million would favorably impact the Company’s provision for income taxes if recognized. In the fourth quarter of fiscal year 2024, the Company settled all unrecognized tax benefits of $0.1 million. The Company reviews its uncertain tax positions periodically and accrues interest and penalties accordingly. Accrued interest and penalties included within other liabilities in the consolidated balance sheets was $0.0 million for each of the years ended January 31, 2026, and February 1, 2025. The Company recognizes accrued interest and penalties related to unrecognized tax benefits as a component of the provision for income taxes within the consolidated statement of operations. For the years ended January 31, 2026, and February 1, 2025, the Company recognized an expense of $0.0 million and less than $0.1 million, respectively, for interest and penalties.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874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February 1,</w:t>
            </w:r>
          </w:p>
        </w:tc>
      </w:tr>
      <w:tr>
        <w:trPr>
          <w:trHeight w:val="238"/>
        </w:trPr>
        <w:tc>
          <w:tcPr>
            <w:tcW w:w="8740" w:type="dxa"/>
            <w:vAlign w:val="bottom"/>
            <w:gridSpan w:val="4"/>
          </w:tcPr>
          <w:p>
            <w:pPr>
              <w:ind w:left="78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Increases for prior year tax positions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5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0"/>
        </w:trPr>
        <w:tc>
          <w:tcPr>
            <w:tcW w:w="722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5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tax years remain open in the Company’s major taxing jurisdictions as of January 31,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(Federal)</w:t>
            </w:r>
          </w:p>
        </w:tc>
        <w:tc>
          <w:tcPr>
            <w:tcW w:w="758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2022 through 2025</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75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2022 through 2025</w:t>
            </w:r>
          </w:p>
        </w:tc>
      </w:tr>
    </w:tbl>
    <w:p>
      <w:pPr>
        <w:spacing w:after="0" w:line="200" w:lineRule="exact"/>
        <w:rPr>
          <w:sz w:val="20"/>
          <w:szCs w:val="20"/>
          <w:color w:val="auto"/>
        </w:rPr>
      </w:pPr>
    </w:p>
    <w:p>
      <w:pPr>
        <w:spacing w:after="0" w:line="218"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had a revolving credit and security agreement with PNC Bank, as agent, which was set to expire on December 17, 2026, and provided for a secured revolving loan in aggregate principal of up to $ 25.0 million, subject to a borrowing base formula.</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December 31, 2025, the Company entered into a Third Amendment to revolving credit and security agreement (the “Third Amendment”) with PNC Bank. The Third Amendment (i) increased the base borrowing amount under the facility from $25.0 million to $40.0 million (while retaining the accordion feature allowing such amount to increase up to $50.0 million); (ii) reduced the interest rates for borrowings under the facility; (iii) extended the maturity date of the Credit Agreement to December 31, 2030; and (iv) reduced the facility fee related to undrawn availability. The Third Amendment also updated various provisions regarding compliance with sanctions and anti-money laundering laws, international trade laws, and implemented certain other technical amendments.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amended, the new revolving credit and security agreement provides for a senior secured revolving loan in aggregate principal amount of up to $40.0 million (subject to a borrowing base formula), which may be increased with the consent of the lenders by an amount not to exceed $10.0 million, subject to the conditions set forth in the agreement (the “Increase Option”). The new revolving credit and security agreement continues to provide for swingline loans of up to $5.0 million and the issuance of standby or commercial letters of credit of up to $5.0 million.</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January 31, 2026, borrowings under the new agreement would bear interest by reference to, at the borrower’s option, either (a) a base rate determined under the agreement, or (b) at a rate based on SOFR reference rate, plus in either case a margin based on average undrawn availability as determined in accordance with the agreement, but the Third Amendment reduced such rates. The Third Amendment also reduced the facility fee percentage on undrawn commitments under the agreement from 0.25% to 0.20%.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new agreement continues to require the Company to comply with one financial covenant, specifically, that the Company maintain availability (as determined in accordance with the agreement) at all times equal to or greater than the greater of (a) 10.0% of the Loan Cap and (b) $1,875,000 (subject to increase upon exercise of the Increase Option). The Third Amendment increased the “Loan Cap” to the lesser of (1) $40.0 million less the outstanding amount of loans and letters of credit under the agreement and (2) the borrowing base from time to time under the agreement.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Third Amendment contains customary events of default, including without limitation events of default based on payment obligations, material inaccuracies of representations and warranties, covenant defaults, final judgments and orders, unenforceability of the Credit Agreement, material ERISA events, change in control, insolvency proceedings, and defaults under certain other obligations. An event of default may cause the applicable interest rate and fees to increase by 2% until such event of default has been cured, waived, or amended.</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Third Amendment contains typical negative covenants, including, among other things, that the Borrower will not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is in compliance with the new revolving credit and security agreement covenants. As of January 31, 2026, the Company had a borrowing base of $ 40.0 million. The Company had no outstanding borrowings as of January 31, 2026.</w:t>
      </w:r>
    </w:p>
    <w:p>
      <w:pPr>
        <w:spacing w:after="0" w:line="200" w:lineRule="exact"/>
        <w:rPr>
          <w:sz w:val="20"/>
          <w:szCs w:val="20"/>
          <w:color w:val="auto"/>
        </w:rPr>
      </w:pPr>
    </w:p>
    <w:p>
      <w:pPr>
        <w:spacing w:after="0" w:line="201" w:lineRule="exact"/>
        <w:rPr>
          <w:sz w:val="20"/>
          <w:szCs w:val="20"/>
          <w:color w:val="auto"/>
        </w:rPr>
      </w:pPr>
    </w:p>
    <w:p>
      <w:pPr>
        <w:ind w:right="8200" w:firstLine="8"/>
        <w:spacing w:after="0" w:line="503" w:lineRule="auto"/>
        <w:tabs>
          <w:tab w:leader="none" w:pos="48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January 31, 2026, the Company had a gross receivable balance of $4.7 million and a reserve of $3.8 million, leaving a net receivable of $0.9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computes both basic and diluted income per common share. The following table sets forth the computation of basic and diluted income per share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gridSpan w:val="2"/>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80" w:type="dxa"/>
            <w:vAlign w:val="bottom"/>
          </w:tcPr>
          <w:p>
            <w:pPr>
              <w:spacing w:after="0"/>
              <w:rPr>
                <w:sz w:val="16"/>
                <w:szCs w:val="16"/>
                <w:color w:val="auto"/>
              </w:rPr>
            </w:pPr>
          </w:p>
        </w:tc>
        <w:tc>
          <w:tcPr>
            <w:tcW w:w="184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00" w:type="dxa"/>
            <w:vAlign w:val="bottom"/>
          </w:tcPr>
          <w:p>
            <w:pPr>
              <w:spacing w:after="0"/>
              <w:rPr>
                <w:sz w:val="16"/>
                <w:szCs w:val="16"/>
                <w:color w:val="auto"/>
              </w:rPr>
            </w:pPr>
          </w:p>
        </w:tc>
      </w:tr>
      <w:tr>
        <w:trPr>
          <w:trHeight w:val="238"/>
        </w:trPr>
        <w:tc>
          <w:tcPr>
            <w:tcW w:w="4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52,203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51,785</w:t>
            </w: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52,805</w:t>
            </w:r>
          </w:p>
        </w:tc>
      </w:tr>
      <w:tr>
        <w:trPr>
          <w:trHeight w:val="20"/>
        </w:trPr>
        <w:tc>
          <w:tcPr>
            <w:tcW w:w="4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13,045,394</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13,578,587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14,342,931</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128,944</w:t>
            </w:r>
          </w:p>
        </w:tc>
        <w:tc>
          <w:tcPr>
            <w:tcW w:w="100" w:type="dxa"/>
            <w:vAlign w:val="bottom"/>
          </w:tcPr>
          <w:p>
            <w:pPr>
              <w:spacing w:after="0"/>
              <w:rPr>
                <w:sz w:val="18"/>
                <w:szCs w:val="18"/>
                <w:color w:val="auto"/>
              </w:rPr>
            </w:pPr>
          </w:p>
        </w:tc>
      </w:tr>
      <w:tr>
        <w:trPr>
          <w:trHeight w:val="24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13,083,436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13,621,075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14,471,875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4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income per common share</w:t>
            </w:r>
          </w:p>
        </w:tc>
        <w:tc>
          <w:tcPr>
            <w:tcW w:w="36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3.81</w:t>
            </w:r>
          </w:p>
        </w:tc>
        <w:tc>
          <w:tcPr>
            <w:tcW w:w="400" w:type="dxa"/>
            <w:vAlign w:val="bottom"/>
            <w:gridSpan w:val="2"/>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3.68</w:t>
            </w:r>
          </w:p>
        </w:tc>
      </w:tr>
      <w:tr>
        <w:trPr>
          <w:trHeight w:val="20"/>
        </w:trPr>
        <w:tc>
          <w:tcPr>
            <w:tcW w:w="4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income per common share</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3.99</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calculating diluted earnings per share for fiscal 2025, 2024 and 2023, there were 20,577, 21,828, and 23,324 shares of common stock, respectively, that were outstanding at the end of the period that were not included in the computation of diluted income per share due to their anti-dilutive effect under provisions of ASC 260-10.</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2017, the Company adopted the Build-A-Bear Workshop, Inc. 2017 Omnibus Incentive Plan (the "2017 Plan").</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“Annual Meeting”), the Company’s stockholders approved the Restated 2020 Incentive Plan. The Restated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2017 Plan that on or after April 14, 2020 may be forfeited, expire or be settled for cash.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years ended January 31, 2026, February 1, 2025 and February 3, 2024, Selling, general and administrative expense included stock-based compensation expense of $2.9 million, $2.2 million and $2.1 million, respectively. As of January 31, 2026, there was $5.0 million of total unrecognized compensation expense related to unvested stock awards which is expected to be recognized over a weighted-average period of 1.8 years. Future total shares available for options, non-vested stock and restricted stock grants were 750,030, 857,838 and 1,010,666 at the end of 2025, 2024 and 2023, respectively.</w:t>
      </w:r>
    </w:p>
    <w:p>
      <w:pPr>
        <w:spacing w:after="0" w:line="176" w:lineRule="exact"/>
        <w:rPr>
          <w:sz w:val="20"/>
          <w:szCs w:val="20"/>
          <w:color w:val="auto"/>
        </w:rPr>
      </w:pPr>
    </w:p>
    <w:p>
      <w:pPr>
        <w:ind w:left="980" w:hanging="486"/>
        <w:spacing w:after="0"/>
        <w:tabs>
          <w:tab w:leader="none" w:pos="98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is a summary of the balance and activity for the Plans related to stock options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84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7"/>
        </w:trPr>
        <w:tc>
          <w:tcPr>
            <w:tcW w:w="47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 Exercise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3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12,375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(12,375)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17.84</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expired</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February 1, 2025</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expired</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January 31, 2026</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 Exercisable as of:</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31, 2026</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stock options granted during fiscal 2025, 2024 or 2023. The expense recorded related to options granted was determined using the Black-Scholes option pricing model and the provisions of SAB 107 and 110, which allow the use of a simplified method to estimate the expected term of “plain vanilla” options.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options exercised in fiscal 2024 was $0.1 million and the total intrinsic value was $0.14 million. The Company generally issues new shares to satisfy option exercises.</w:t>
      </w:r>
    </w:p>
    <w:p>
      <w:pPr>
        <w:spacing w:after="0" w:line="158" w:lineRule="exact"/>
        <w:rPr>
          <w:sz w:val="20"/>
          <w:szCs w:val="20"/>
          <w:color w:val="auto"/>
        </w:rPr>
      </w:pPr>
    </w:p>
    <w:p>
      <w:pPr>
        <w:ind w:left="980" w:hanging="486"/>
        <w:spacing w:after="0"/>
        <w:tabs>
          <w:tab w:leader="none" w:pos="98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Restricted Stock</w:t>
      </w:r>
    </w:p>
    <w:p>
      <w:pPr>
        <w:spacing w:after="0" w:line="25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granted restricted stock awards that typically vest over a one to three-year period. Recipients of time-based restricted stock awards have the right to vote and receive dividends as to all unvested shares, however, the receipt of such dividends is contingent on such time-based awards vesting.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 time-based and performance-based restricted stock granted as compensation to employees and directors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5520" w:type="dxa"/>
            <w:vAlign w:val="bottom"/>
          </w:tcPr>
          <w:p>
            <w:pPr>
              <w:spacing w:after="0"/>
              <w:rPr>
                <w:sz w:val="20"/>
                <w:szCs w:val="20"/>
                <w:color w:val="auto"/>
              </w:rPr>
            </w:pPr>
          </w:p>
        </w:tc>
        <w:tc>
          <w:tcPr>
            <w:tcW w:w="294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4"/>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5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6"/>
                <w:szCs w:val="16"/>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Average Grant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220" w:type="dxa"/>
            <w:vAlign w:val="bottom"/>
          </w:tcPr>
          <w:p>
            <w:pPr>
              <w:spacing w:after="0"/>
              <w:rPr>
                <w:sz w:val="20"/>
                <w:szCs w:val="20"/>
                <w:color w:val="auto"/>
              </w:rPr>
            </w:pPr>
          </w:p>
        </w:tc>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100" w:type="dxa"/>
            <w:vAlign w:val="bottom"/>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February 3,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122,609</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18.02</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185,082</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17.37</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27.18</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64,619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27.61</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(81,561)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15.87</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for performance achievement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expired</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24.75</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r>
      <w:tr>
        <w:trPr>
          <w:trHeight w:val="20"/>
        </w:trPr>
        <w:tc>
          <w:tcPr>
            <w:tcW w:w="55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February 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25.21</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193,273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46.76</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47.57</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(59,386)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24.23</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for performance achievement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Canceled or expired</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35.91</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30.97</w:t>
            </w:r>
          </w:p>
        </w:tc>
      </w:tr>
      <w:tr>
        <w:trPr>
          <w:trHeight w:val="20"/>
        </w:trPr>
        <w:tc>
          <w:tcPr>
            <w:tcW w:w="55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January 31, 2026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73,588</w:t>
            </w:r>
          </w:p>
        </w:tc>
        <w:tc>
          <w:tcPr>
            <w:tcW w:w="14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37.97</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156,665</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w:t>
            </w:r>
          </w:p>
        </w:tc>
      </w:tr>
      <w:tr>
        <w:trPr>
          <w:trHeight w:val="20"/>
        </w:trPr>
        <w:tc>
          <w:tcPr>
            <w:tcW w:w="5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fiscal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awarded three-year performance-based restricted stock, established specific profitability and revenue objectives for fiscal 2025, 2026, and 2027, and assigned a weighting to each objective. Profitability is measured by the Company’s achievement of established cumulative consolidated EBITDA. Revenue will be measured by the Company's achievement of cumulative total revenue. The target number of shares awarded was 51,450 with a weighted average grant date fair value of $47.57 per share. If profitability and revenue exceed the threshold objectives, the performance-based restricted stock award has a payout opportunity ranging from 25% to 200% of the target number of shares.</w:t>
      </w:r>
    </w:p>
    <w:p>
      <w:pPr>
        <w:spacing w:after="0" w:line="18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In fiscal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awarded three-year performance-based restricted stock, established specific profitability and revenue objectives for fiscal 2024, 2025, and 2026, and assigned a weighting to each objective. Profitability is measured by the Company’s achievement of established compound annual growth for consolidated EBITDA. Revenue will be measured by the Company's achievement of revenue growth, by meeting established compound annual growth rate targets for cumulative total revenue. The target number of shares awarded was 64,619 with a weighted average grant date fair value of $27.61 per share. If profitability and revenue exceed the threshold objectives, the performance-based restricted stock award has a payout opportunity ranging from 25% to 200% of the target number of shares.</w:t>
      </w:r>
    </w:p>
    <w:p>
      <w:pPr>
        <w:spacing w:after="0" w:line="182"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In fiscal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Committee awarded three-year performance-based restricted stock, established specific profitability and revenue objectives for fiscal 2023, 2024, and 2025, and assigned a weighting to each objective. Profitability is measured by the Company’s achievement of established compound annual growth for consolidated EBITDA. Revenue will be measured by the Company's achievement of revenue growth, by meeting established compound annual growth rate targets for cumulative total revenue. The target number of shares awarded was 65,254 with a weighted average grant date fair value of $24.75 per share. If profitability and revenue exceed the threshold objectives, the performance-based restricted stock award has a payout opportunity ranging from 25% to 200% of the target number of shares.</w:t>
      </w:r>
    </w:p>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had recorded aggregate expense for the fiscal 2023, 2024, and 2025 three-year performance-based restricted stock awards of $1.5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vesting date fair value of shares that vested in fiscal 2025, 2024 and 2023 was $2.5 million, $2.2 million and $2.1 million, respectively.</w:t>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changes in outstanding shares of common stock for fiscal 2025 and fiscal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38"/>
        </w:trPr>
        <w:tc>
          <w:tcPr>
            <w:tcW w:w="9460" w:type="dxa"/>
            <w:vAlign w:val="bottom"/>
          </w:tcPr>
          <w:p>
            <w:pPr>
              <w:spacing w:after="0"/>
              <w:rPr>
                <w:sz w:val="20"/>
                <w:szCs w:val="20"/>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0"/>
        </w:trPr>
        <w:tc>
          <w:tcPr>
            <w:tcW w:w="94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as of February 3, 2024</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14,172,362</w:t>
            </w:r>
          </w:p>
        </w:tc>
      </w:tr>
      <w:tr>
        <w:trPr>
          <w:trHeight w:val="216"/>
        </w:trPr>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under employee stock plans, net of shares withheld in lieu of tax withholding</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105,773</w:t>
            </w:r>
          </w:p>
        </w:tc>
      </w:tr>
      <w:tr>
        <w:trPr>
          <w:trHeight w:val="216"/>
        </w:trPr>
        <w:tc>
          <w:tcPr>
            <w:tcW w:w="9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repurchase</w:t>
            </w: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(1,021,004)</w:t>
            </w:r>
          </w:p>
        </w:tc>
      </w:tr>
      <w:tr>
        <w:trPr>
          <w:trHeight w:val="210"/>
        </w:trPr>
        <w:tc>
          <w:tcPr>
            <w:tcW w:w="94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as of February 1, 2025</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13,257,131</w:t>
            </w:r>
          </w:p>
        </w:tc>
        <w:tc>
          <w:tcPr>
            <w:tcW w:w="100" w:type="dxa"/>
            <w:vAlign w:val="bottom"/>
            <w:tcBorders>
              <w:top w:val="single" w:sz="8" w:color="CCEEFF"/>
            </w:tcBorders>
          </w:tcPr>
          <w:p>
            <w:pPr>
              <w:spacing w:after="0"/>
              <w:rPr>
                <w:sz w:val="18"/>
                <w:szCs w:val="18"/>
                <w:color w:val="auto"/>
              </w:rPr>
            </w:pPr>
          </w:p>
        </w:tc>
      </w:tr>
      <w:tr>
        <w:trPr>
          <w:trHeight w:val="20"/>
        </w:trPr>
        <w:tc>
          <w:tcPr>
            <w:tcW w:w="94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46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Shares issued under employee stock plans, net of shares withheld in lieu of tax withholding</w:t>
            </w:r>
          </w:p>
        </w:tc>
        <w:tc>
          <w:tcPr>
            <w:tcW w:w="17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60,768</w:t>
            </w:r>
          </w:p>
        </w:tc>
      </w:tr>
      <w:tr>
        <w:trPr>
          <w:trHeight w:val="216"/>
        </w:trPr>
        <w:tc>
          <w:tcPr>
            <w:tcW w:w="9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repurchase</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(508,945)</w:t>
            </w:r>
          </w:p>
        </w:tc>
      </w:tr>
      <w:tr>
        <w:trPr>
          <w:trHeight w:val="249"/>
        </w:trPr>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as of January 31, 2026</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12,808,954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9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64</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94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Vendors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Five vendors, each of whose primary manufacturing facilities are located in Asia, accounted for approximately 75% of inventory purchases in 2025 and 69% in 2024.</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DTC, commercial and international franchising. The DTC segment includes the operating activities of corporately-managed locations and other retail delivery operations in the U.S., Canada, the Republic of Ireland and the U.K., including the Company’s e-commerce sites and temporary stores. The commercial segment includes the Company’s transactions with other businesses, mainly comprised of wholesale activities, licensing the Company’s intellectual properties for third party use, and entertainment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Executive Officer, who is also the Chief Operating Decision Maker ("CODM"), regularly evaluates the business in assessing performance, determining the allocation of resources and the pursuit of future growth opportunities. The CODM uses contribution margin to allocate resources across the reportable segments as part of the Company's long-range and annual planning processes, and to evaluate planned versus actual results when assessing segment operating performance. Accordingly, the Company has determined that each of its operating segments represent a reportable segment. The three reportable segments follow the same accounting policies used for the Company’s consolidated financial statements.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reporting segments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Franchising</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Fifty-two weeks ended January 31, 2026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485,956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38,750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529,832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213,229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234,203</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272,727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21,551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295,629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146,732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147,694</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125,995</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20,589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1,351</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147,935</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Overhead Expenses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81,509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67,227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Fifty-two weeks ended February 1, 2025</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460,325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496,404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207,200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223,886</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253,125</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17,948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272,518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134,076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135,242</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119,049</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137,276</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Overhead Expenses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70,996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Fifty-three weeks ended February 3, 2024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456,163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486,114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206,815</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221,722</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249,348</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13,322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264,392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127,722</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131,824</w:t>
            </w:r>
          </w:p>
        </w:tc>
      </w:tr>
      <w:tr>
        <w:trPr>
          <w:trHeight w:val="20"/>
        </w:trPr>
        <w:tc>
          <w:tcPr>
            <w:tcW w:w="5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Margin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121,626</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132,568</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Overhead Expenses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67,168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66,329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expenses contain selling, general and administrative expenses not attributable to a segment.</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Total assets, depreciation and amortization, and capital expenditures for the Company's segments, as well as for Corporate and support,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Consumer</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Franchising</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Fifty-two weeks ended January 31,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249,399</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75,901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345,453</w:t>
            </w:r>
          </w:p>
        </w:tc>
      </w:tr>
      <w:tr>
        <w:trPr>
          <w:trHeight w:val="198"/>
        </w:trPr>
        <w:tc>
          <w:tcPr>
            <w:tcW w:w="4740" w:type="dxa"/>
            <w:vAlign w:val="bottom"/>
            <w:shd w:val="clear" w:color="auto" w:fill="CCEEFF"/>
          </w:tcPr>
          <w:p>
            <w:pPr>
              <w:ind w:left="25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10,782</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4,034</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14,952</w:t>
            </w:r>
          </w:p>
        </w:tc>
      </w:tr>
      <w:tr>
        <w:trPr>
          <w:trHeight w:val="216"/>
        </w:trPr>
        <w:tc>
          <w:tcPr>
            <w:tcW w:w="47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17,432</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25,545</w:t>
            </w: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Fifty-two weeks ended February 1,</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170,132</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289,956</w:t>
            </w:r>
          </w:p>
        </w:tc>
      </w:tr>
      <w:tr>
        <w:trPr>
          <w:trHeight w:val="198"/>
        </w:trPr>
        <w:tc>
          <w:tcPr>
            <w:tcW w:w="4740" w:type="dxa"/>
            <w:vAlign w:val="bottom"/>
            <w:shd w:val="clear" w:color="auto" w:fill="CCEEFF"/>
          </w:tcPr>
          <w:p>
            <w:pPr>
              <w:ind w:left="25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10,551</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14,772</w:t>
            </w:r>
          </w:p>
        </w:tc>
      </w:tr>
      <w:tr>
        <w:trPr>
          <w:trHeight w:val="216"/>
        </w:trPr>
        <w:tc>
          <w:tcPr>
            <w:tcW w:w="47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11,414</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19,317</w:t>
            </w:r>
          </w:p>
        </w:tc>
      </w:tr>
      <w:tr>
        <w:trPr>
          <w:trHeight w:val="198"/>
        </w:trPr>
        <w:tc>
          <w:tcPr>
            <w:tcW w:w="4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Fifty-three weeks ended February</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3, 2024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7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195,373</w:t>
            </w: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272,325</w:t>
            </w:r>
          </w:p>
        </w:tc>
      </w:tr>
      <w:tr>
        <w:trPr>
          <w:trHeight w:val="198"/>
        </w:trPr>
        <w:tc>
          <w:tcPr>
            <w:tcW w:w="4740" w:type="dxa"/>
            <w:vAlign w:val="bottom"/>
            <w:shd w:val="clear" w:color="auto" w:fill="CCEEFF"/>
          </w:tcPr>
          <w:p>
            <w:pPr>
              <w:ind w:left="2580"/>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74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9,517</w:t>
            </w:r>
          </w:p>
        </w:tc>
        <w:tc>
          <w:tcPr>
            <w:tcW w:w="3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3,747</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13,657</w:t>
            </w:r>
          </w:p>
        </w:tc>
      </w:tr>
      <w:tr>
        <w:trPr>
          <w:trHeight w:val="234"/>
        </w:trPr>
        <w:tc>
          <w:tcPr>
            <w:tcW w:w="474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6,733</w:t>
            </w: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11,562</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18,295</w:t>
            </w:r>
          </w:p>
        </w:tc>
      </w:tr>
    </w:tbl>
    <w:p>
      <w:pPr>
        <w:spacing w:after="0" w:line="1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30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America </w:t>
            </w:r>
            <w:r>
              <w:rPr>
                <w:rFonts w:ascii="Times New Roman" w:cs="Times New Roman" w:eastAsia="Times New Roman" w:hAnsi="Times New Roman"/>
                <w:sz w:val="27"/>
                <w:szCs w:val="27"/>
                <w:b w:val="1"/>
                <w:bCs w:val="1"/>
                <w:color w:val="auto"/>
                <w:vertAlign w:val="superscript"/>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Europe </w:t>
            </w:r>
            <w:r>
              <w:rPr>
                <w:rFonts w:ascii="Times New Roman" w:cs="Times New Roman" w:eastAsia="Times New Roman" w:hAnsi="Times New Roman"/>
                <w:sz w:val="27"/>
                <w:szCs w:val="27"/>
                <w:b w:val="1"/>
                <w:bCs w:val="1"/>
                <w:color w:val="auto"/>
                <w:vertAlign w:val="superscript"/>
              </w:rPr>
              <w:t>(2)</w:t>
            </w:r>
          </w:p>
        </w:tc>
        <w:tc>
          <w:tcPr>
            <w:tcW w:w="180" w:type="dxa"/>
            <w:vAlign w:val="bottom"/>
          </w:tcPr>
          <w:p>
            <w:pPr>
              <w:spacing w:after="0"/>
              <w:rPr>
                <w:sz w:val="20"/>
                <w:szCs w:val="20"/>
                <w:color w:val="auto"/>
              </w:rPr>
            </w:pPr>
          </w:p>
        </w:tc>
        <w:tc>
          <w:tcPr>
            <w:tcW w:w="1160" w:type="dxa"/>
            <w:vAlign w:val="bottom"/>
            <w:gridSpan w:val="2"/>
          </w:tcPr>
          <w:p>
            <w:pPr>
              <w:jc w:val="right"/>
              <w:ind w:right="38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jc w:val="center"/>
              <w:ind w:right="1250"/>
              <w:spacing w:after="0"/>
              <w:rPr>
                <w:sz w:val="20"/>
                <w:szCs w:val="20"/>
                <w:color w:val="auto"/>
              </w:rPr>
            </w:pPr>
            <w:r>
              <w:rPr>
                <w:rFonts w:ascii="Times New Roman" w:cs="Times New Roman" w:eastAsia="Times New Roman" w:hAnsi="Times New Roman"/>
                <w:sz w:val="18"/>
                <w:szCs w:val="18"/>
                <w:color w:val="auto"/>
              </w:rPr>
              <w:t>Fifty-two weeks ended January 31, 2026</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451,218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71,687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6,927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529,832</w:t>
            </w:r>
          </w:p>
        </w:tc>
      </w:tr>
      <w:tr>
        <w:trPr>
          <w:trHeight w:val="216"/>
        </w:trPr>
        <w:tc>
          <w:tcPr>
            <w:tcW w:w="4280" w:type="dxa"/>
            <w:vAlign w:val="bottom"/>
            <w:shd w:val="clear" w:color="auto" w:fill="CCEEFF"/>
          </w:tcPr>
          <w:p>
            <w:pPr>
              <w:jc w:val="center"/>
              <w:ind w:right="1250"/>
              <w:spacing w:after="0"/>
              <w:rPr>
                <w:sz w:val="20"/>
                <w:szCs w:val="20"/>
                <w:color w:val="auto"/>
              </w:rPr>
            </w:pPr>
            <w:r>
              <w:rPr>
                <w:rFonts w:ascii="Times New Roman" w:cs="Times New Roman" w:eastAsia="Times New Roman" w:hAnsi="Times New Roman"/>
                <w:sz w:val="18"/>
                <w:szCs w:val="18"/>
                <w:color w:val="auto"/>
              </w:rPr>
              <w:t>Fifty-two weeks ended February 1, 2025</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425,139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65,233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496,404</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Fifty-three weeks ended February 3, 2024</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28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Net sales to external customers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426,244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56,141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486,114</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114"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North America includes corporately-managed stores in the U.S. and Canada.</w:t>
      </w:r>
    </w:p>
    <w:p>
      <w:pPr>
        <w:spacing w:after="0" w:line="1" w:lineRule="exact"/>
        <w:rPr>
          <w:rFonts w:ascii="Times New Roman" w:cs="Times New Roman" w:eastAsia="Times New Roman" w:hAnsi="Times New Roman"/>
          <w:sz w:val="30"/>
          <w:szCs w:val="30"/>
          <w:color w:val="auto"/>
          <w:vertAlign w:val="superscript"/>
        </w:rPr>
      </w:pPr>
    </w:p>
    <w:p>
      <w:pPr>
        <w:ind w:left="500" w:hanging="492"/>
        <w:spacing w:after="0" w:line="194" w:lineRule="auto"/>
        <w:tabs>
          <w:tab w:leader="none" w:pos="50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Europe includes corporately-managed stores in the U.K. and Ireland.</w:t>
      </w:r>
    </w:p>
    <w:p>
      <w:pPr>
        <w:spacing w:after="0" w:line="2" w:lineRule="exact"/>
        <w:rPr>
          <w:rFonts w:ascii="Times New Roman" w:cs="Times New Roman" w:eastAsia="Times New Roman" w:hAnsi="Times New Roman"/>
          <w:sz w:val="23"/>
          <w:szCs w:val="23"/>
          <w:color w:val="auto"/>
          <w:vertAlign w:val="superscript"/>
        </w:rPr>
      </w:pPr>
    </w:p>
    <w:p>
      <w:pPr>
        <w:ind w:left="500" w:hanging="492"/>
        <w:spacing w:after="0" w:line="194" w:lineRule="auto"/>
        <w:tabs>
          <w:tab w:leader="none" w:pos="500"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Other includes franchise businesses outside of North America and Europe.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20, 2026, the U.S Supreme Court issued a ruling striking down certain tariffs previously imposed under the International Emergency Economic Powers Act ("IEEPA"). The ultimate availability, timing, and amount of any potential refunds of such tariffs remain highly uncertain and are subject to further legal, regulatory, and administrative developments.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the Company's business. The Company continues to monitor and evaluate these developments and assess their potential impact on its business, financial condition, and results of operations.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i w:val="1"/>
          <w:iCs w:val="1"/>
          <w:color w:val="auto"/>
        </w:rPr>
        <w:t>Financial Statement Schedules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4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Deductions to cost</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44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9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1460" w:type="dxa"/>
            <w:vAlign w:val="bottom"/>
          </w:tcPr>
          <w:p>
            <w:pPr>
              <w:jc w:val="right"/>
              <w:ind w:right="431"/>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Other </w:t>
            </w:r>
            <w:r>
              <w:rPr>
                <w:rFonts w:ascii="Times New Roman" w:cs="Times New Roman" w:eastAsia="Times New Roman" w:hAnsi="Times New Roman"/>
                <w:sz w:val="27"/>
                <w:szCs w:val="27"/>
                <w:b w:val="1"/>
                <w:bCs w:val="1"/>
                <w:color w:val="auto"/>
                <w:vertAlign w:val="superscript"/>
              </w:rPr>
              <w:t>(1)</w:t>
            </w:r>
          </w:p>
        </w:tc>
        <w:tc>
          <w:tcPr>
            <w:tcW w:w="18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Ending Balance</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1,533</w:t>
            </w: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1,552</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1,546</w:t>
            </w:r>
          </w:p>
        </w:tc>
        <w:tc>
          <w:tcPr>
            <w:tcW w:w="1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1,533</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8,000</w:t>
            </w:r>
          </w:p>
        </w:tc>
        <w:tc>
          <w:tcPr>
            <w:tcW w:w="1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(5,500)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1,546</w:t>
            </w: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Other deferred tax asset valuation allowance changes represent reserves utilized and the impact of currency translation.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Annual Report on Form 10-K: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102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5"/>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100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11"/>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99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Third Amended and Restated Certificate of Incorporation (incorporated by reference from Exhibit 3.1 of our Current Report on Form 8-K,</w:t>
              </w:r>
            </w:hyperlink>
          </w:p>
        </w:tc>
        <w:tc>
          <w:tcPr>
            <w:tcW w:w="24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filed on November 8, 2004)</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00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Amended and Restated Bylaws, as amended through January 4, 2018 (incorporated by reference from Exhibit 3.1 to our Current Report on</w:t>
              </w:r>
            </w:hyperlink>
          </w:p>
        </w:tc>
        <w:tc>
          <w:tcPr>
            <w:tcW w:w="22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8-K, filed on January 4, 2018)</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6"/>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Description of Registrant's Securities Registered Pursuant to Section 12 of the Securities Exchange Act of 1934, as amended (incorporated by</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reference from Exhibit 4.2 to our Annual Report on Form 10-K, filed on April 14, 2021)</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Third Amended and Restated Build-A-Bear Workshop, Inc. 2004 Stock Incentive Plan (incorporated by reference from Exhibit 10.1 on our</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Current Report on Form 8-K, filed on May 12, 2014)</w:t>
              </w:r>
            </w:hyperlink>
          </w:p>
        </w:tc>
        <w:tc>
          <w:tcPr>
            <w:tcW w:w="200" w:type="dxa"/>
            <w:vAlign w:val="bottom"/>
            <w:gridSpan w:val="3"/>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20" w:type="dxa"/>
            <w:vAlign w:val="bottom"/>
          </w:tcPr>
          <w:p>
            <w:pPr>
              <w:spacing w:after="0"/>
              <w:rPr>
                <w:sz w:val="24"/>
                <w:szCs w:val="24"/>
                <w:color w:val="auto"/>
              </w:rPr>
            </w:pPr>
          </w:p>
        </w:tc>
        <w:tc>
          <w:tcPr>
            <w:tcW w:w="10220" w:type="dxa"/>
            <w:vAlign w:val="bottom"/>
            <w:gridSpan w:val="19"/>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the Restricted Stock and Non-Qualified Stock Option Agreement under the Registrant’s Third Amended and Restated 2004 Stock</w:t>
              </w:r>
            </w:hyperlink>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Incentive Plan (incorporated by reference from Exhibit 10.1 on our Current Report on Form 8-K, filed on March 20, 2015)</w:t>
              </w:r>
            </w:hyperlink>
          </w:p>
        </w:tc>
        <w:tc>
          <w:tcPr>
            <w:tcW w:w="1120" w:type="dxa"/>
            <w:vAlign w:val="bottom"/>
            <w:tcBorders>
              <w:top w:val="single" w:sz="8" w:color="0000EE"/>
            </w:tcBorders>
            <w:gridSpan w:val="3"/>
          </w:tcPr>
          <w:p>
            <w:pPr>
              <w:spacing w:after="0"/>
              <w:rPr>
                <w:sz w:val="17"/>
                <w:szCs w:val="17"/>
                <w:color w:val="auto"/>
              </w:rPr>
            </w:pPr>
          </w:p>
        </w:tc>
        <w:tc>
          <w:tcPr>
            <w:tcW w:w="260" w:type="dxa"/>
            <w:vAlign w:val="bottom"/>
            <w:gridSpan w:val="6"/>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Form of Restricted Stock and Non-Qualified Stock Option Agreement under the Registrant’s Third Amended and Restated 2004 Stock</w:t>
              </w:r>
            </w:hyperlink>
          </w:p>
        </w:tc>
        <w:tc>
          <w:tcPr>
            <w:tcW w:w="52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Incentive Plan (incorporated by reference from Exhibit 10.7 on our Current Report on Form 8-K, filed on March 11, 2016)</w:t>
              </w:r>
            </w:hyperlink>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6940" w:type="dxa"/>
            <w:vAlign w:val="bottom"/>
            <w:gridSpan w:val="7"/>
            <w:shd w:val="clear" w:color="auto" w:fill="0000EE"/>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24"/>
                <w:szCs w:val="24"/>
                <w:color w:val="auto"/>
              </w:rPr>
            </w:pPr>
          </w:p>
        </w:tc>
        <w:tc>
          <w:tcPr>
            <w:tcW w:w="97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Form of Restricted Stock and Non-Qualified Stock Option Agreement under the Registrant’s Third Amended and Restated 2004 Stock</w:t>
              </w:r>
            </w:hyperlink>
          </w:p>
        </w:tc>
        <w:tc>
          <w:tcPr>
            <w:tcW w:w="520" w:type="dxa"/>
            <w:vAlign w:val="bottom"/>
            <w:gridSpan w:val="8"/>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Incentive Plan (incorporated by reference from Exhibit 10.2 on our Current Report on Form 8-K, filed on March 17, 2017)</w:t>
              </w:r>
            </w:hyperlink>
          </w:p>
        </w:tc>
        <w:tc>
          <w:tcPr>
            <w:tcW w:w="1380" w:type="dxa"/>
            <w:vAlign w:val="bottom"/>
            <w:gridSpan w:val="9"/>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24"/>
                <w:szCs w:val="24"/>
                <w:color w:val="auto"/>
              </w:rPr>
            </w:pPr>
          </w:p>
        </w:tc>
        <w:tc>
          <w:tcPr>
            <w:tcW w:w="100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Build-A-Bear Workshop, Inc. 2017 Omnibus Incentive Plan (incorporated by reference from Exhibit 10.1 to our Current Report on Form 8-</w:t>
              </w:r>
            </w:hyperlink>
          </w:p>
        </w:tc>
        <w:tc>
          <w:tcPr>
            <w:tcW w:w="160" w:type="dxa"/>
            <w:vAlign w:val="bottom"/>
            <w:gridSpan w:val="2"/>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1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K, filed on May 12, 2017)</w:t>
              </w:r>
            </w:hyperlink>
          </w:p>
        </w:tc>
      </w:tr>
      <w:tr>
        <w:trPr>
          <w:trHeight w:val="453"/>
        </w:trPr>
        <w:tc>
          <w:tcPr>
            <w:tcW w:w="8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1860" w:type="dxa"/>
            <w:vAlign w:val="bottom"/>
            <w:tcBorders>
              <w:top w:val="single" w:sz="8" w:color="0000EE"/>
            </w:tcBorders>
          </w:tcPr>
          <w:p>
            <w:pPr>
              <w:spacing w:after="0"/>
              <w:rPr>
                <w:sz w:val="24"/>
                <w:szCs w:val="24"/>
                <w:color w:val="auto"/>
              </w:rPr>
            </w:pPr>
          </w:p>
        </w:tc>
        <w:tc>
          <w:tcPr>
            <w:tcW w:w="4480" w:type="dxa"/>
            <w:vAlign w:val="bottom"/>
            <w:gridSpan w:val="5"/>
          </w:tcPr>
          <w:p>
            <w:pPr>
              <w:jc w:val="right"/>
              <w:ind w:right="1660"/>
              <w:spacing w:after="0"/>
              <w:rPr>
                <w:sz w:val="20"/>
                <w:szCs w:val="20"/>
                <w:color w:val="auto"/>
              </w:rPr>
            </w:pPr>
            <w:r>
              <w:rPr>
                <w:rFonts w:ascii="Times New Roman" w:cs="Times New Roman" w:eastAsia="Times New Roman" w:hAnsi="Times New Roman"/>
                <w:sz w:val="18"/>
                <w:szCs w:val="18"/>
                <w:color w:val="auto"/>
              </w:rPr>
              <w:t>68</w:t>
            </w:r>
          </w:p>
        </w:tc>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Restricted Stock and Non-Qualified Stock Option Award Agreement under Registrant's 2017 Omnibus Incentive Plan (incorporated</w:t>
              </w:r>
            </w:hyperlink>
          </w:p>
        </w:tc>
      </w:tr>
      <w:tr>
        <w:trPr>
          <w:trHeight w:val="196"/>
        </w:trPr>
        <w:tc>
          <w:tcPr>
            <w:tcW w:w="1020" w:type="dxa"/>
            <w:vAlign w:val="bottom"/>
          </w:tcPr>
          <w:p>
            <w:pPr>
              <w:spacing w:after="0"/>
              <w:rPr>
                <w:sz w:val="17"/>
                <w:szCs w:val="17"/>
                <w:color w:val="auto"/>
              </w:rPr>
            </w:pPr>
          </w:p>
        </w:tc>
        <w:tc>
          <w:tcPr>
            <w:tcW w:w="1012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by reference from Exhibit 10.2 on our Current Report on Form 8-K, filed on March 21, 2018)</w:t>
              </w:r>
            </w:hyperlink>
          </w:p>
        </w:tc>
        <w:tc>
          <w:tcPr>
            <w:tcW w:w="100" w:type="dxa"/>
            <w:vAlign w:val="bottom"/>
            <w:gridSpan w:val="4"/>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Build-A-Bear Workshop, Inc. 2020 Omnibus Incentive Plan (incorporated by reference from Exhibit 10.1 to our Current Report on Form 8-</w:t>
              </w:r>
            </w:hyperlink>
          </w:p>
        </w:tc>
        <w:tc>
          <w:tcPr>
            <w:tcW w:w="16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K, filed on June 12, 2020)</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Form of Restricted Stock Agreement under the Registrant’s 2020 Omnibus Incentive Plan (incorporated by reference from Exhibit 10.3 of</w:t>
              </w:r>
            </w:hyperlink>
          </w:p>
        </w:tc>
        <w:tc>
          <w:tcPr>
            <w:tcW w:w="260" w:type="dxa"/>
            <w:vAlign w:val="bottom"/>
            <w:gridSpan w:val="7"/>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our Current Report on Form 8-K, filed on April 16, 2021)</w:t>
              </w:r>
            </w:hyperlink>
          </w:p>
        </w:tc>
        <w:tc>
          <w:tcPr>
            <w:tcW w:w="6060" w:type="dxa"/>
            <w:vAlign w:val="bottom"/>
            <w:gridSpan w:val="17"/>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Description of Build-A-Bear Work, Inc. Cash Bonus Program for C-Level Employees (incorporated by reference from Exhibit 10.1 of our</w:t>
              </w:r>
            </w:hyperlink>
          </w:p>
        </w:tc>
      </w:tr>
      <w:tr>
        <w:trPr>
          <w:trHeight w:val="196"/>
        </w:trPr>
        <w:tc>
          <w:tcPr>
            <w:tcW w:w="10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Current Report on Form 8-K, filed on April 14, 2023)</w:t>
              </w:r>
            </w:hyperlink>
          </w:p>
        </w:tc>
        <w:tc>
          <w:tcPr>
            <w:tcW w:w="6060" w:type="dxa"/>
            <w:vAlign w:val="bottom"/>
            <w:tcBorders>
              <w:top w:val="single" w:sz="8" w:color="0000EE"/>
            </w:tcBorders>
            <w:gridSpan w:val="10"/>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Build-A-Bear Workshop, Inc. Amended and Restated 2020 Omnibus Incentive Plan (incorporated by reference from Exhibit 10.1 of our</w:t>
              </w:r>
            </w:hyperlink>
          </w:p>
        </w:tc>
        <w:tc>
          <w:tcPr>
            <w:tcW w:w="42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Current Report on Form 8-K, filed on June 9, 2023)</w:t>
              </w:r>
            </w:hyperlink>
          </w:p>
        </w:tc>
        <w:tc>
          <w:tcPr>
            <w:tcW w:w="6480" w:type="dxa"/>
            <w:vAlign w:val="bottom"/>
            <w:gridSpan w:val="1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10.1.10*</w:t>
            </w:r>
          </w:p>
        </w:tc>
        <w:tc>
          <w:tcPr>
            <w:tcW w:w="102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Form of Non-Employee Director Restricted Stock Agreement (incorporated by reference from Exhibit 10.2 of our Current Report on Form 8-</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8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K, filed on June 9, 2023)</w:t>
              </w:r>
            </w:hyperlink>
          </w:p>
        </w:tc>
        <w:tc>
          <w:tcPr>
            <w:tcW w:w="8420" w:type="dxa"/>
            <w:vAlign w:val="bottom"/>
            <w:gridSpan w:val="22"/>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10.1.11*</w:t>
            </w:r>
          </w:p>
        </w:tc>
        <w:tc>
          <w:tcPr>
            <w:tcW w:w="10220" w:type="dxa"/>
            <w:vAlign w:val="bottom"/>
            <w:gridSpan w:val="25"/>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Description of Build-A-Bear Workshop, Inc. Cash Bonus Program for Executive Officers (incorporated by reference from Exhibit 10.1 of our</w:t>
              </w:r>
            </w:hyperlink>
          </w:p>
        </w:tc>
      </w:tr>
      <w:tr>
        <w:trPr>
          <w:trHeight w:val="196"/>
        </w:trPr>
        <w:tc>
          <w:tcPr>
            <w:tcW w:w="102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Current Report on Form 8-K, filed on April 19, 2024)</w:t>
              </w:r>
            </w:hyperlink>
          </w:p>
        </w:tc>
        <w:tc>
          <w:tcPr>
            <w:tcW w:w="632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10.1.12*</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Restricted Stock Agreement under the Registrant’s Amended and Restated 2020 Omnibus Incentive Plan (incorporated by reference</w:t>
              </w:r>
            </w:hyperlink>
          </w:p>
        </w:tc>
      </w:tr>
      <w:tr>
        <w:trPr>
          <w:trHeight w:val="196"/>
        </w:trPr>
        <w:tc>
          <w:tcPr>
            <w:tcW w:w="1020" w:type="dxa"/>
            <w:vAlign w:val="bottom"/>
          </w:tcPr>
          <w:p>
            <w:pPr>
              <w:spacing w:after="0"/>
              <w:rPr>
                <w:sz w:val="17"/>
                <w:szCs w:val="17"/>
                <w:color w:val="auto"/>
              </w:rPr>
            </w:pPr>
          </w:p>
        </w:tc>
        <w:tc>
          <w:tcPr>
            <w:tcW w:w="101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from Exhibit 10.2 of our Current Report on Form 8-K, filed on April 19, 2024)</w:t>
              </w:r>
            </w:hyperlink>
          </w:p>
        </w:tc>
        <w:tc>
          <w:tcPr>
            <w:tcW w:w="8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 *</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Nonqualified Deferred Compensation Plan (incorporated by reference from Exhibit 10.42 to our Annual Report on Form 10-K, for the year</w:t>
              </w:r>
            </w:hyperlink>
          </w:p>
        </w:tc>
      </w:tr>
      <w:tr>
        <w:trPr>
          <w:trHeight w:val="196"/>
        </w:trPr>
        <w:tc>
          <w:tcPr>
            <w:tcW w:w="1020" w:type="dxa"/>
            <w:vAlign w:val="bottom"/>
          </w:tcPr>
          <w:p>
            <w:pPr>
              <w:spacing w:after="0"/>
              <w:rPr>
                <w:sz w:val="17"/>
                <w:szCs w:val="17"/>
                <w:color w:val="auto"/>
              </w:rPr>
            </w:pPr>
          </w:p>
        </w:tc>
        <w:tc>
          <w:tcPr>
            <w:tcW w:w="100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ended December 30, 2006)</w:t>
              </w:r>
            </w:hyperlink>
          </w:p>
        </w:tc>
        <w:tc>
          <w:tcPr>
            <w:tcW w:w="200" w:type="dxa"/>
            <w:vAlign w:val="bottom"/>
            <w:gridSpan w:val="6"/>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Employment, Confidentiality and Noncompete Agreement, dated March 7, 2016, by and between Eric Fencl and</w:t>
              </w:r>
            </w:hyperlink>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960" w:type="dxa"/>
            <w:vAlign w:val="bottom"/>
            <w:gridSpan w:val="9"/>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5"/>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Build-A-Bear Workshop, Inc. (incorporated by reference from Exhibit 10.1 on our Current Report on Form 8-K, filed on March 11, 2016)</w:t>
              </w:r>
            </w:hyperlink>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20" w:type="dxa"/>
            <w:vAlign w:val="bottom"/>
            <w:tcBorders>
              <w:top w:val="single" w:sz="8" w:color="0000EE"/>
            </w:tcBorders>
            <w:gridSpan w:val="16"/>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Amended and Restated Employment, Confidentiality and Noncompete Agreement, dated March 7, 2016, by and between Sharon Price</w:t>
              </w:r>
            </w:hyperlink>
          </w:p>
        </w:tc>
        <w:tc>
          <w:tcPr>
            <w:tcW w:w="300" w:type="dxa"/>
            <w:vAlign w:val="bottom"/>
            <w:gridSpan w:val="9"/>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960" w:type="dxa"/>
            <w:vAlign w:val="bottom"/>
            <w:gridSpan w:val="9"/>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5"/>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John and Build-A-Bear Workshop, Inc. (incorporated by reference from Exhibit 10.3 on our Current Report on Form 8-K, filed on March 11,</w:t>
              </w:r>
            </w:hyperlink>
          </w:p>
        </w:tc>
      </w:tr>
      <w:tr>
        <w:trPr>
          <w:trHeight w:val="196"/>
        </w:trPr>
        <w:tc>
          <w:tcPr>
            <w:tcW w:w="102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08">
              <w:r>
                <w:rPr>
                  <w:rFonts w:ascii="Times New Roman" w:cs="Times New Roman" w:eastAsia="Times New Roman" w:hAnsi="Times New Roman"/>
                  <w:sz w:val="18"/>
                  <w:szCs w:val="18"/>
                  <w:color w:val="0000EE"/>
                  <w:w w:val="95"/>
                </w:rPr>
                <w:t>2016)</w:t>
              </w:r>
            </w:hyperlink>
          </w:p>
        </w:tc>
        <w:tc>
          <w:tcPr>
            <w:tcW w:w="7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220" w:type="dxa"/>
            <w:vAlign w:val="bottom"/>
            <w:gridSpan w:val="25"/>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Amended and Restated Employment, Confidentiality and Noncompete Agreement, dated March 7, 2016, by and between Vojin</w:t>
              </w:r>
            </w:hyperlink>
          </w:p>
        </w:tc>
      </w:tr>
      <w:tr>
        <w:trPr>
          <w:trHeight w:val="20"/>
        </w:trPr>
        <w:tc>
          <w:tcPr>
            <w:tcW w:w="10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960" w:type="dxa"/>
            <w:vAlign w:val="bottom"/>
            <w:gridSpan w:val="9"/>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Todorovic and Build-A-Bear Workshop, Inc. (incorporated by reference from Exhibit 10.5 on our Current Report on Form 8-K, filed on</w:t>
              </w:r>
            </w:hyperlink>
          </w:p>
        </w:tc>
        <w:tc>
          <w:tcPr>
            <w:tcW w:w="440" w:type="dxa"/>
            <w:vAlign w:val="bottom"/>
            <w:gridSpan w:val="1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09">
              <w:r>
                <w:rPr>
                  <w:rFonts w:ascii="Times New Roman" w:cs="Times New Roman" w:eastAsia="Times New Roman" w:hAnsi="Times New Roman"/>
                  <w:sz w:val="18"/>
                  <w:szCs w:val="18"/>
                  <w:color w:val="0000EE"/>
                  <w:w w:val="97"/>
                </w:rPr>
                <w:t>March 11, 2016)</w:t>
              </w:r>
            </w:hyperlink>
          </w:p>
        </w:tc>
        <w:tc>
          <w:tcPr>
            <w:tcW w:w="9020" w:type="dxa"/>
            <w:vAlign w:val="bottom"/>
            <w:gridSpan w:val="2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Employment, Confidentiality and Noncompete Agreement, effective as of September 16, 2024, by and between David Henderson and Build-</w:t>
              </w:r>
            </w:hyperlink>
          </w:p>
        </w:tc>
        <w:tc>
          <w:tcPr>
            <w:tcW w:w="6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A-Bear Workshop, Inc. (incorporated by reference from Exhibit 10.1 on our Current Report on Form 8-K, filed on September 12, 2024)</w:t>
              </w:r>
            </w:hyperlink>
          </w:p>
        </w:tc>
      </w:tr>
      <w:tr>
        <w:trPr>
          <w:trHeight w:val="453"/>
        </w:trPr>
        <w:tc>
          <w:tcPr>
            <w:tcW w:w="1020" w:type="dxa"/>
            <w:vAlign w:val="bottom"/>
          </w:tcPr>
          <w:p>
            <w:pPr>
              <w:spacing w:after="0"/>
              <w:rPr>
                <w:sz w:val="24"/>
                <w:szCs w:val="24"/>
                <w:color w:val="auto"/>
              </w:rPr>
            </w:pPr>
          </w:p>
        </w:tc>
        <w:tc>
          <w:tcPr>
            <w:tcW w:w="5680" w:type="dxa"/>
            <w:vAlign w:val="bottom"/>
            <w:tcBorders>
              <w:top w:val="single" w:sz="8" w:color="0000EE"/>
            </w:tcBorders>
            <w:gridSpan w:val="9"/>
          </w:tcPr>
          <w:p>
            <w:pPr>
              <w:ind w:left="4520"/>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tcBorders>
              <w:top w:val="single" w:sz="8" w:color="0000EE"/>
            </w:tcBorders>
          </w:tcPr>
          <w:p>
            <w:pPr>
              <w:spacing w:after="0"/>
              <w:rPr>
                <w:sz w:val="24"/>
                <w:szCs w:val="24"/>
                <w:color w:val="auto"/>
              </w:rPr>
            </w:pPr>
          </w:p>
        </w:tc>
        <w:tc>
          <w:tcPr>
            <w:tcW w:w="24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9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Employment, Confidentiality and Noncompete Agreement, effective as of August 4, 2025, by and between Yevgeny Fundler and Build-A-</w:t>
              </w:r>
            </w:hyperlink>
          </w:p>
        </w:tc>
        <w:tc>
          <w:tcPr>
            <w:tcW w:w="24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2"/>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Bear Workshop, Inc. (incorporated by reference from Exhibit 10.1 on our Current Report on Form 10-Q, filed on September 11, 2025)</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8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CEO Employment, Confidentiality and Noncompete Agreement, effective as of March 12, 2026, by and between J. Christopher Hurt and</w:t>
              </w:r>
            </w:hyperlink>
          </w:p>
        </w:tc>
        <w:tc>
          <w:tcPr>
            <w:tcW w:w="34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Build-A-Bear Workshop, Inc. (incorporated by reference from Exhibit 10.1 on our Current Report on Form 8-K, filed on March 12, 2026)</w:t>
              </w:r>
            </w:hyperlink>
          </w:p>
        </w:tc>
        <w:tc>
          <w:tcPr>
            <w:tcW w:w="280" w:type="dxa"/>
            <w:vAlign w:val="bottom"/>
            <w:gridSpan w:val="9"/>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0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Form of Indemnification Agreement between the Registrant and its directors and executive officers (incorporated by reference from Exhibit</w:t>
              </w:r>
            </w:hyperlink>
          </w:p>
        </w:tc>
        <w:tc>
          <w:tcPr>
            <w:tcW w:w="140" w:type="dxa"/>
            <w:vAlign w:val="bottom"/>
            <w:gridSpan w:val="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2"/>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0000EE"/>
                </w:rPr>
                <w:t xml:space="preserve"> to our Registration Statement on Form S-1, filed on August 12, 2004, Registration No. 333-118142)</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Revolving Credit and Security Agreement dated as of August 25, 2020 among the Company and Build-A-Bear Retail Management, Inc., as</w:t>
              </w:r>
            </w:hyperlink>
          </w:p>
        </w:tc>
        <w:tc>
          <w:tcPr>
            <w:tcW w:w="160" w:type="dxa"/>
            <w:vAlign w:val="bottom"/>
            <w:gridSpan w:val="6"/>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borrowers; Build-A-Bear Workshop Franchise Holdings, Inc., Build-A-Bear Entertainment, LLC, Build-A-Bear Card Services LLC</w:t>
              </w:r>
            </w:hyperlink>
          </w:p>
        </w:tc>
        <w:tc>
          <w:tcPr>
            <w:tcW w:w="720" w:type="dxa"/>
            <w:vAlign w:val="bottom"/>
            <w:gridSpan w:val="1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and Build-A-Bear Workshop Canada, Ltd., as guarantors; the lenders party thereto; and PNC Bank, National Association, as agent for lenders</w:t>
              </w:r>
            </w:hyperlink>
          </w:p>
        </w:tc>
      </w:tr>
      <w:tr>
        <w:trPr>
          <w:trHeight w:val="196"/>
        </w:trPr>
        <w:tc>
          <w:tcPr>
            <w:tcW w:w="1020" w:type="dxa"/>
            <w:vAlign w:val="bottom"/>
          </w:tcPr>
          <w:p>
            <w:pPr>
              <w:spacing w:after="0"/>
              <w:rPr>
                <w:sz w:val="17"/>
                <w:szCs w:val="17"/>
                <w:color w:val="auto"/>
              </w:rPr>
            </w:pPr>
          </w:p>
        </w:tc>
        <w:tc>
          <w:tcPr>
            <w:tcW w:w="10220" w:type="dxa"/>
            <w:vAlign w:val="bottom"/>
            <w:gridSpan w:val="32"/>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(incorporated by reference from Exhibit 10.1 of our Current Report on Form 8-K, filed on August 31, 2020).</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10.10.1</w:t>
            </w:r>
          </w:p>
        </w:tc>
        <w:tc>
          <w:tcPr>
            <w:tcW w:w="101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First Amendment to Revolving Credit and Security Agreement dated as of December 17, 2021 among the Company and Build-A-Bear Retail</w:t>
              </w:r>
            </w:hyperlink>
          </w:p>
        </w:tc>
        <w:tc>
          <w:tcPr>
            <w:tcW w:w="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Management, Inc., as borrowers; Build-A-Bear Workshop Franchise Holdings, Inc., Build-A-Bear Entertainment, LLC, Build-A-Bear Card</w:t>
              </w:r>
            </w:hyperlink>
          </w:p>
        </w:tc>
      </w:tr>
      <w:tr>
        <w:trPr>
          <w:trHeight w:val="196"/>
        </w:trPr>
        <w:tc>
          <w:tcPr>
            <w:tcW w:w="1020" w:type="dxa"/>
            <w:vAlign w:val="bottom"/>
          </w:tcPr>
          <w:p>
            <w:pPr>
              <w:spacing w:after="0"/>
              <w:rPr>
                <w:sz w:val="17"/>
                <w:szCs w:val="17"/>
                <w:color w:val="auto"/>
              </w:rPr>
            </w:pPr>
          </w:p>
        </w:tc>
        <w:tc>
          <w:tcPr>
            <w:tcW w:w="100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Services LLC and Build-A-Bear Workshop Canada, Ltd., as guarantors; the lenders party thereto; and PNC Bank, National Association, as</w:t>
              </w:r>
            </w:hyperlink>
          </w:p>
        </w:tc>
        <w:tc>
          <w:tcPr>
            <w:tcW w:w="18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92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agent for lenders (incorporated by reference from Exhibit 10.1 on our Current Report on Form 8-K, filed on December 22, 2021)</w:t>
              </w:r>
            </w:hyperlink>
          </w:p>
        </w:tc>
        <w:tc>
          <w:tcPr>
            <w:tcW w:w="700" w:type="dxa"/>
            <w:vAlign w:val="bottom"/>
            <w:tcBorders>
              <w:top w:val="single" w:sz="8" w:color="0000EE"/>
            </w:tcBorders>
            <w:gridSpan w:val="11"/>
          </w:tcPr>
          <w:p>
            <w:pPr>
              <w:spacing w:after="0"/>
              <w:rPr>
                <w:sz w:val="17"/>
                <w:szCs w:val="17"/>
                <w:color w:val="auto"/>
              </w:rPr>
            </w:pPr>
          </w:p>
        </w:tc>
        <w:tc>
          <w:tcPr>
            <w:tcW w:w="240" w:type="dxa"/>
            <w:vAlign w:val="bottom"/>
            <w:gridSpan w:val="8"/>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10.10.2</w:t>
            </w:r>
          </w:p>
        </w:tc>
        <w:tc>
          <w:tcPr>
            <w:tcW w:w="99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Second Amendment to Revolving Credit and Security Agreement dated as of November 21, 2022 among the Company and Build-A-Bear</w:t>
              </w:r>
            </w:hyperlink>
          </w:p>
        </w:tc>
        <w:tc>
          <w:tcPr>
            <w:tcW w:w="3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2"/>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Retail Management, Inc., as borrowers; Build-A-Bear Workshop Franchise Holdings, Inc., Build-A-Bear Entertainment, LLC, Build-A-Bear</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2"/>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Card Services LLC and Build-A-Bear Workshop Canada, Ltd., as guarantors; the lenders party thereto; and PNC Bank, National Association,</w:t>
              </w:r>
            </w:hyperlink>
          </w:p>
        </w:tc>
      </w:tr>
      <w:tr>
        <w:trPr>
          <w:trHeight w:val="196"/>
        </w:trPr>
        <w:tc>
          <w:tcPr>
            <w:tcW w:w="1020" w:type="dxa"/>
            <w:vAlign w:val="bottom"/>
          </w:tcPr>
          <w:p>
            <w:pPr>
              <w:spacing w:after="0"/>
              <w:rPr>
                <w:sz w:val="17"/>
                <w:szCs w:val="17"/>
                <w:color w:val="auto"/>
              </w:rPr>
            </w:pPr>
          </w:p>
        </w:tc>
        <w:tc>
          <w:tcPr>
            <w:tcW w:w="1018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as agent for lenders (incorporated by reference from Exhibit 10.1 of our Current Report on Form 8-K, filed on November 23, 2022)</w:t>
              </w:r>
            </w:hyperlink>
          </w:p>
        </w:tc>
        <w:tc>
          <w:tcPr>
            <w:tcW w:w="4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10.10.3</w:t>
            </w:r>
          </w:p>
        </w:tc>
        <w:tc>
          <w:tcPr>
            <w:tcW w:w="1020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Third Amendment to Revolving Credit and Security Agreement dated as of December 31, 2025 among the Company, as borrowing agent and</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borrower; Build-A-Bear Retail Management, Inc., as an additional borrower; Build-A-Bear Workshop Franchise Holdings, Inc., Build-A-</w:t>
              </w:r>
            </w:hyperlink>
          </w:p>
        </w:tc>
      </w:tr>
      <w:tr>
        <w:trPr>
          <w:trHeight w:val="196"/>
        </w:trPr>
        <w:tc>
          <w:tcPr>
            <w:tcW w:w="1020" w:type="dxa"/>
            <w:vAlign w:val="bottom"/>
          </w:tcPr>
          <w:p>
            <w:pPr>
              <w:spacing w:after="0"/>
              <w:rPr>
                <w:sz w:val="17"/>
                <w:szCs w:val="17"/>
                <w:color w:val="auto"/>
              </w:rPr>
            </w:pPr>
          </w:p>
        </w:tc>
        <w:tc>
          <w:tcPr>
            <w:tcW w:w="97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Bear Entertainment, LLC, Build-A-Bear Card Services LLC and Build-A-Bear Workshop Canada, Ltd., as guarantors; the lenders party</w:t>
              </w:r>
            </w:hyperlink>
          </w:p>
        </w:tc>
        <w:tc>
          <w:tcPr>
            <w:tcW w:w="120" w:type="dxa"/>
            <w:vAlign w:val="bottom"/>
            <w:tcBorders>
              <w:top w:val="single" w:sz="8" w:color="0000EE"/>
            </w:tcBorders>
            <w:gridSpan w:val="3"/>
          </w:tcPr>
          <w:p>
            <w:pPr>
              <w:spacing w:after="0"/>
              <w:rPr>
                <w:sz w:val="17"/>
                <w:szCs w:val="17"/>
                <w:color w:val="auto"/>
              </w:rPr>
            </w:pPr>
          </w:p>
        </w:tc>
        <w:tc>
          <w:tcPr>
            <w:tcW w:w="32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32"/>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thereto; and PNC Bank, National Association, as agent for the lenders.</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20" w:type="dxa"/>
            <w:vAlign w:val="bottom"/>
            <w:gridSpan w:val="32"/>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Facility Construction Agreement dated December 22, 2005 between the Registrant and Duke Construction Limited Partnership (incorporated</w:t>
              </w:r>
            </w:hyperlink>
          </w:p>
        </w:tc>
      </w:tr>
      <w:tr>
        <w:trPr>
          <w:trHeight w:val="196"/>
        </w:trPr>
        <w:tc>
          <w:tcPr>
            <w:tcW w:w="10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by reference from Exhibit 10.35 to our Annual Report on Form 10-K, for the year ended December 31, 2005)</w:t>
              </w:r>
            </w:hyperlink>
          </w:p>
        </w:tc>
        <w:tc>
          <w:tcPr>
            <w:tcW w:w="2280" w:type="dxa"/>
            <w:vAlign w:val="bottom"/>
            <w:tcBorders>
              <w:top w:val="single" w:sz="8" w:color="0000EE"/>
            </w:tcBorders>
            <w:gridSpan w:val="18"/>
          </w:tcPr>
          <w:p>
            <w:pPr>
              <w:spacing w:after="0"/>
              <w:rPr>
                <w:sz w:val="17"/>
                <w:szCs w:val="17"/>
                <w:color w:val="auto"/>
              </w:rPr>
            </w:pPr>
          </w:p>
        </w:tc>
        <w:tc>
          <w:tcPr>
            <w:tcW w:w="60" w:type="dxa"/>
            <w:vAlign w:val="bottom"/>
            <w:gridSpan w:val="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20" w:type="dxa"/>
            <w:vAlign w:val="bottom"/>
            <w:gridSpan w:val="32"/>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Real Estate Purchase Agreement dated December 19, 2005 between Duke Realty Ohio and the Registrant (incorporated by reference from</w:t>
              </w:r>
            </w:hyperlink>
          </w:p>
        </w:tc>
      </w:tr>
      <w:tr>
        <w:trPr>
          <w:trHeight w:val="196"/>
        </w:trPr>
        <w:tc>
          <w:tcPr>
            <w:tcW w:w="1020" w:type="dxa"/>
            <w:vAlign w:val="bottom"/>
          </w:tcPr>
          <w:p>
            <w:pPr>
              <w:spacing w:after="0"/>
              <w:rPr>
                <w:sz w:val="17"/>
                <w:szCs w:val="17"/>
                <w:color w:val="auto"/>
              </w:rPr>
            </w:pPr>
          </w:p>
        </w:tc>
        <w:tc>
          <w:tcPr>
            <w:tcW w:w="994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Exhibit 10.36 to our Annual Report on Form 10-K, for the year ended December 31, 2005)</w:t>
              </w:r>
            </w:hyperlink>
          </w:p>
        </w:tc>
        <w:tc>
          <w:tcPr>
            <w:tcW w:w="280" w:type="dxa"/>
            <w:vAlign w:val="bottom"/>
            <w:gridSpan w:val="9"/>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2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Statement regarding computation of earnings per share (incorporated by reference from Note 10 of the Registrant’s audited consolidated</w:t>
            </w:r>
          </w:p>
        </w:tc>
      </w:tr>
      <w:tr>
        <w:trPr>
          <w:trHeight w:val="196"/>
        </w:trPr>
        <w:tc>
          <w:tcPr>
            <w:tcW w:w="1020" w:type="dxa"/>
            <w:vAlign w:val="bottom"/>
          </w:tcPr>
          <w:p>
            <w:pPr>
              <w:spacing w:after="0"/>
              <w:rPr>
                <w:sz w:val="17"/>
                <w:szCs w:val="17"/>
                <w:color w:val="auto"/>
              </w:rPr>
            </w:pPr>
          </w:p>
        </w:tc>
        <w:tc>
          <w:tcPr>
            <w:tcW w:w="26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included herein)</w:t>
            </w:r>
          </w:p>
        </w:tc>
        <w:tc>
          <w:tcPr>
            <w:tcW w:w="7140" w:type="dxa"/>
            <w:vAlign w:val="bottom"/>
            <w:tcBorders>
              <w:top w:val="single" w:sz="8" w:color="0000EE"/>
            </w:tcBorders>
            <w:gridSpan w:val="14"/>
          </w:tcPr>
          <w:p>
            <w:pPr>
              <w:spacing w:after="0"/>
              <w:rPr>
                <w:sz w:val="17"/>
                <w:szCs w:val="17"/>
                <w:color w:val="auto"/>
              </w:rPr>
            </w:pPr>
          </w:p>
        </w:tc>
        <w:tc>
          <w:tcPr>
            <w:tcW w:w="420" w:type="dxa"/>
            <w:vAlign w:val="bottom"/>
            <w:gridSpan w:val="13"/>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38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Build-A-Bear Workshop, Inc. Insider Trading Policy</w:t>
            </w:r>
          </w:p>
        </w:tc>
        <w:tc>
          <w:tcPr>
            <w:tcW w:w="6420" w:type="dxa"/>
            <w:vAlign w:val="bottom"/>
            <w:gridSpan w:val="26"/>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2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List of Subsidiaries of the Registrant</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w:t>
            </w:r>
          </w:p>
        </w:tc>
        <w:tc>
          <w:tcPr>
            <w:tcW w:w="360" w:type="dxa"/>
            <w:vAlign w:val="bottom"/>
            <w:tcBorders>
              <w:top w:val="single" w:sz="8" w:color="0000EE"/>
            </w:tcBorders>
          </w:tcPr>
          <w:p>
            <w:pPr>
              <w:spacing w:after="0"/>
              <w:rPr>
                <w:sz w:val="24"/>
                <w:szCs w:val="24"/>
                <w:color w:val="auto"/>
              </w:rPr>
            </w:pPr>
          </w:p>
        </w:tc>
        <w:tc>
          <w:tcPr>
            <w:tcW w:w="7580" w:type="dxa"/>
            <w:vAlign w:val="bottom"/>
            <w:gridSpan w:val="28"/>
          </w:tcPr>
          <w:p>
            <w:pPr>
              <w:spacing w:after="0"/>
              <w:rPr>
                <w:sz w:val="24"/>
                <w:szCs w:val="24"/>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1020" w:type="dxa"/>
            <w:vAlign w:val="bottom"/>
          </w:tcPr>
          <w:p>
            <w:pPr>
              <w:spacing w:after="0"/>
              <w:rPr>
                <w:sz w:val="17"/>
                <w:szCs w:val="17"/>
                <w:color w:val="auto"/>
              </w:rPr>
            </w:pPr>
          </w:p>
        </w:tc>
        <w:tc>
          <w:tcPr>
            <w:tcW w:w="98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1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1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11"/>
          </w:tcPr>
          <w:p>
            <w:pPr>
              <w:spacing w:after="0"/>
              <w:rPr>
                <w:sz w:val="24"/>
                <w:szCs w:val="24"/>
                <w:color w:val="auto"/>
              </w:rPr>
            </w:pPr>
          </w:p>
        </w:tc>
        <w:tc>
          <w:tcPr>
            <w:tcW w:w="10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31"/>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1020" w:type="dxa"/>
            <w:vAlign w:val="bottom"/>
          </w:tcPr>
          <w:p>
            <w:pPr>
              <w:spacing w:after="0" w:line="20" w:lineRule="exact"/>
              <w:rPr>
                <w:sz w:val="1"/>
                <w:szCs w:val="1"/>
                <w:color w:val="auto"/>
              </w:rPr>
            </w:pPr>
          </w:p>
        </w:tc>
        <w:tc>
          <w:tcPr>
            <w:tcW w:w="9260" w:type="dxa"/>
            <w:vAlign w:val="bottom"/>
            <w:gridSpan w:val="1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440" w:type="dxa"/>
            <w:vAlign w:val="bottom"/>
            <w:gridSpan w:val="14"/>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22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Clawback Policy (incorporated by reference from Exhibit 97.1 to our Annual Report on Form 10-K for the year ended February 3, 2024</w:t>
            </w:r>
          </w:p>
        </w:tc>
      </w:tr>
      <w:tr>
        <w:trPr>
          <w:trHeight w:val="453"/>
        </w:trPr>
        <w:tc>
          <w:tcPr>
            <w:tcW w:w="1020" w:type="dxa"/>
            <w:vAlign w:val="bottom"/>
          </w:tcPr>
          <w:p>
            <w:pPr>
              <w:spacing w:after="0"/>
              <w:rPr>
                <w:sz w:val="24"/>
                <w:szCs w:val="24"/>
                <w:color w:val="auto"/>
              </w:rPr>
            </w:pPr>
          </w:p>
        </w:tc>
        <w:tc>
          <w:tcPr>
            <w:tcW w:w="5080" w:type="dxa"/>
            <w:vAlign w:val="bottom"/>
            <w:tcBorders>
              <w:top w:val="single" w:sz="8" w:color="0000EE"/>
            </w:tcBorders>
            <w:gridSpan w:val="7"/>
          </w:tcPr>
          <w:p>
            <w:pPr>
              <w:ind w:left="4520"/>
              <w:spacing w:after="0"/>
              <w:rPr>
                <w:sz w:val="20"/>
                <w:szCs w:val="20"/>
                <w:color w:val="auto"/>
              </w:rPr>
            </w:pPr>
            <w:r>
              <w:rPr>
                <w:rFonts w:ascii="Times New Roman" w:cs="Times New Roman" w:eastAsia="Times New Roman" w:hAnsi="Times New Roman"/>
                <w:sz w:val="18"/>
                <w:szCs w:val="18"/>
                <w:color w:val="auto"/>
              </w:rPr>
              <w:t>70</w:t>
            </w:r>
          </w:p>
        </w:tc>
        <w:tc>
          <w:tcPr>
            <w:tcW w:w="14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60" w:type="dxa"/>
            <w:vAlign w:val="bottom"/>
          </w:tcPr>
          <w:p>
            <w:pPr>
              <w:spacing w:after="0"/>
              <w:rPr>
                <w:sz w:val="20"/>
                <w:szCs w:val="20"/>
                <w:color w:val="auto"/>
              </w:rPr>
            </w:pP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r>
        <w:trPr>
          <w:trHeight w:val="43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400" w:type="dxa"/>
            <w:vAlign w:val="bottom"/>
            <w:gridSpan w:val="2"/>
          </w:tcPr>
          <w:p>
            <w:pPr>
              <w:ind w:left="236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2026</w:t>
            </w:r>
          </w:p>
        </w:tc>
        <w:tc>
          <w:tcPr>
            <w:tcW w:w="2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Sharon John</w:t>
            </w:r>
          </w:p>
        </w:tc>
      </w:tr>
      <w:tr>
        <w:trPr>
          <w:trHeight w:val="191"/>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Sharon John</w:t>
            </w:r>
          </w:p>
        </w:tc>
      </w:tr>
      <w:tr>
        <w:trPr>
          <w:trHeight w:val="234"/>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840" w:type="dxa"/>
            <w:vAlign w:val="bottom"/>
          </w:tcPr>
          <w:p>
            <w:pPr>
              <w:spacing w:after="0"/>
              <w:rPr>
                <w:sz w:val="24"/>
                <w:szCs w:val="24"/>
                <w:color w:val="auto"/>
              </w:rPr>
            </w:pPr>
          </w:p>
        </w:tc>
        <w:tc>
          <w:tcPr>
            <w:tcW w:w="282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Voin Todorovic</w:t>
            </w:r>
          </w:p>
        </w:tc>
      </w:tr>
      <w:tr>
        <w:trPr>
          <w:trHeight w:val="191"/>
        </w:trPr>
        <w:tc>
          <w:tcPr>
            <w:tcW w:w="38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Voin Todorovic</w:t>
            </w:r>
          </w:p>
        </w:tc>
      </w:tr>
      <w:tr>
        <w:trPr>
          <w:trHeight w:val="234"/>
        </w:trPr>
        <w:tc>
          <w:tcPr>
            <w:tcW w:w="38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January 31, 2026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2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Date</w:t>
            </w:r>
          </w:p>
        </w:tc>
      </w:tr>
      <w:tr>
        <w:trPr>
          <w:trHeight w:val="425"/>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Craig Leavitt</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Non-Executive Chairman</w:t>
            </w:r>
          </w:p>
        </w:tc>
        <w:tc>
          <w:tcPr>
            <w:tcW w:w="100" w:type="dxa"/>
            <w:vAlign w:val="bottom"/>
          </w:tcPr>
          <w:p>
            <w:pPr>
              <w:spacing w:after="0"/>
              <w:rPr>
                <w:sz w:val="24"/>
                <w:szCs w:val="24"/>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April 16, 2026</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Craig Leavitt</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George Carrara</w:t>
            </w:r>
          </w:p>
        </w:tc>
        <w:tc>
          <w:tcPr>
            <w:tcW w:w="12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16, 2026</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Carrara</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Narayan Iyengar</w:t>
            </w:r>
          </w:p>
        </w:tc>
        <w:tc>
          <w:tcPr>
            <w:tcW w:w="12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16, 2026</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Narayan Iyengar</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/s/Richard A. Johnson</w:t>
            </w:r>
          </w:p>
        </w:tc>
        <w:tc>
          <w:tcPr>
            <w:tcW w:w="12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16, 2026</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Johnson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Lesli Rotenberg</w:t>
            </w:r>
          </w:p>
        </w:tc>
        <w:tc>
          <w:tcPr>
            <w:tcW w:w="12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16, 2026</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Lesli Rotenberg</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4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Goldman</w:t>
            </w:r>
          </w:p>
        </w:tc>
        <w:tc>
          <w:tcPr>
            <w:tcW w:w="120" w:type="dxa"/>
            <w:vAlign w:val="bottom"/>
          </w:tcPr>
          <w:p>
            <w:pPr>
              <w:spacing w:after="0"/>
              <w:rPr>
                <w:sz w:val="24"/>
                <w:szCs w:val="24"/>
                <w:color w:val="auto"/>
              </w:rPr>
            </w:pPr>
          </w:p>
        </w:tc>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April 16, 2026</w:t>
            </w:r>
          </w:p>
        </w:tc>
      </w:tr>
      <w:tr>
        <w:trPr>
          <w:trHeight w:val="228"/>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Goldman</w:t>
            </w:r>
          </w:p>
        </w:tc>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Sharon John</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and President and Chief Executive Officer</w:t>
            </w:r>
          </w:p>
        </w:tc>
        <w:tc>
          <w:tcPr>
            <w:tcW w:w="10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16, 2026</w:t>
            </w:r>
          </w:p>
        </w:tc>
      </w:tr>
      <w:tr>
        <w:trPr>
          <w:trHeight w:val="228"/>
        </w:trPr>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Sharon John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Voin Todorovic</w:t>
            </w:r>
          </w:p>
        </w:tc>
        <w:tc>
          <w:tcPr>
            <w:tcW w:w="120" w:type="dxa"/>
            <w:vAlign w:val="bottom"/>
          </w:tcPr>
          <w:p>
            <w:pPr>
              <w:spacing w:after="0"/>
              <w:rPr>
                <w:sz w:val="24"/>
                <w:szCs w:val="2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16, 2026</w:t>
            </w:r>
          </w:p>
        </w:tc>
      </w:tr>
      <w:tr>
        <w:trPr>
          <w:trHeight w:val="228"/>
        </w:trPr>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Voin Todorovic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4"/>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Build-A-Bear Workshop,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Trades by Company Personnel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amended and restated on March 10,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NEED FOR A POLICY</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policy was created to promote compliance with all applicable securities laws by Build-A-Bear Workshop, Inc. (the “</w:t>
      </w:r>
      <w:r>
        <w:rPr>
          <w:rFonts w:ascii="Times New Roman" w:cs="Times New Roman" w:eastAsia="Times New Roman" w:hAnsi="Times New Roman"/>
          <w:sz w:val="18"/>
          <w:szCs w:val="18"/>
          <w:b w:val="1"/>
          <w:bCs w:val="1"/>
          <w:i w:val="1"/>
          <w:iCs w:val="1"/>
          <w:u w:val="single" w:color="auto"/>
          <w:color w:val="auto"/>
        </w:rPr>
        <w:t>Company</w:t>
      </w:r>
      <w:r>
        <w:rPr>
          <w:rFonts w:ascii="Times New Roman" w:cs="Times New Roman" w:eastAsia="Times New Roman" w:hAnsi="Times New Roman"/>
          <w:sz w:val="18"/>
          <w:szCs w:val="18"/>
          <w:color w:val="auto"/>
        </w:rPr>
        <w:t>”) and all directors, officers, and employees of the Company and its subsidiaries. The policy is also intended to avoid even the appearance of improper conduct on the part of anyone employed by or associated with the Company and its subsidiaries, which would damage our reputation for integrity and ethical conduct. Among other things, this policy prohibits directors, officers and employees of the Company and its subsidiaries and their respective Family Members (as defined below) from trading, and causing the trading of, the Company's securities or securities of certain other publicly traded companies while in possession of material nonpublic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WHAT 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 TRADING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Insider trading is, in addition to being a violation of this policy, a violation of federal and state securities laws. The penalties for insider trading are discussed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“insider trading” generally refers to (1) trading in securities while in possession or aware of material non-public information, or (2) communications of material non-public information to others who may trade while in possession or aware of such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means insiders are prohibited from doing the following:</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Company Securities (as defined below) or the securities of certain other companies while in possession or aware of material non-public information concerning the Company, its customers, suppliers, business partners, competitors or other companies with which the Company has contractual relationships or may be negotiating transactions;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others trade in any such securities on the insider’s behalf while the insider is in possession or aware of such material non-public information;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material non-public information concerning the Company or its customers, suppliers, business partners, competitors or other companies to others who may then trade in Company Securities or such other entities’ stock, or pass on the information to others who may trade in the Company Securities or such other entities’ stock. This conduct is known as “tipping.”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The elements of insider trading are discussed below:</w:t>
      </w:r>
    </w:p>
    <w:p>
      <w:pPr>
        <w:spacing w:after="0" w:line="221" w:lineRule="exact"/>
        <w:rPr>
          <w:sz w:val="20"/>
          <w:szCs w:val="20"/>
          <w:color w:val="auto"/>
        </w:rPr>
      </w:pPr>
    </w:p>
    <w:p>
      <w:pPr>
        <w:ind w:left="540" w:hanging="532"/>
        <w:spacing w:after="0"/>
        <w:tabs>
          <w:tab w:leader="none" w:pos="540" w:val="left"/>
        </w:tabs>
        <w:numPr>
          <w:ilvl w:val="0"/>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is an Insider?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concept of “insider” is broad and generally includes any person who possesses non-public information about the Company and/or its customers, suppliers, business partners, competitors or other companies with which the Company or its subsidiaries have business relationships, and who has a duty to the Company to keep this information confidential. In the case of the Company, “insiders” include officers and directors of the Company and its affiliates and subsidiaries, as well as other employees who routinely have access to material information that is not publicly available or who are working on significant corporate transactions or projects. In addition, a person can be a “temporary insider” if he or she enters into a relationship to serve the Company and as a result is given access to such material nonpublic information in connection with such service. Outsiders who can become temporary insiders include, among others, attorneys, accountants, consultants, investment bankers and the employees of such organizations.</w:t>
      </w:r>
    </w:p>
    <w:p>
      <w:pPr>
        <w:spacing w:after="0" w:line="185" w:lineRule="exact"/>
        <w:rPr>
          <w:sz w:val="20"/>
          <w:szCs w:val="20"/>
          <w:color w:val="auto"/>
        </w:rPr>
      </w:pPr>
    </w:p>
    <w:p>
      <w:pPr>
        <w:ind w:left="540" w:hanging="532"/>
        <w:spacing w:after="0"/>
        <w:tabs>
          <w:tab w:leader="none" w:pos="54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Material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Trading while in possession or aware of inside information is not a basis for liability unless the information is “material.” “Material information” generally is defined as information for which there is a substantial likelihood that a reasonable investor would consider such information important in making his or her investment decisions (including whether to buy, sell or hold securities), or information that is reasonably likely to affect the price of such securities. It is important to remember that materiality will always be judged with the benefit of hindsight.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“Inside” information could be material because of its expected effect on the price of the Company’s Securities, the securities of another company, or the securities of several companies. Moreover, the resulting prohibition against the misuse of “inside” information includes not only restrictions on trading in the Company’s Securities but restrictions on trading in the securities of other companies affected by the inside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Examples</w:t>
      </w:r>
      <w:r>
        <w:rPr>
          <w:rFonts w:ascii="Times New Roman" w:cs="Times New Roman" w:eastAsia="Times New Roman" w:hAnsi="Times New Roman"/>
          <w:sz w:val="18"/>
          <w:szCs w:val="18"/>
          <w:color w:val="auto"/>
        </w:rPr>
        <w:t>. Common examples of information that may be regarded as material are:</w:t>
      </w:r>
    </w:p>
    <w:p>
      <w:pPr>
        <w:spacing w:after="0" w:line="225"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sales results or expectations;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forecasts;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Company’s prospects;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a stock split, the offering of additional securities or changes in dividend/distribution policies;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p>
      <w:pPr>
        <w:ind w:left="980" w:hanging="324"/>
        <w:spacing w:after="0" w:line="261"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agreements or news regarding a pending or proposed merger, acquisition, tender offer, joint venture, divestiture, leveraged buy out, significant sale of assets or the disposition of a subsidiary;</w:t>
      </w:r>
    </w:p>
    <w:p>
      <w:pPr>
        <w:ind w:left="980" w:hanging="324"/>
        <w:spacing w:after="0" w:line="250"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or in the prospects of, major customers, or obtaining or losing customers, or entering into a significant contract with any of them;</w:t>
      </w: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write-downs in assets or increases in reserves;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cybersecurity incident, such as a data breach, or any other significant disruption in the Company’s operations or loss, potential loss, breach or unauthorized access of customer or supplier information, its property or assets, whether at its retail stores, other facilities or online or otherwise through its information technology infrastructure;</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continuation or termination of a repurchase program for Company stock;</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financing developments;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 or other major personnel changes;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indictments or material civil litigation or government investigations;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disputes with major suppliers, vendors or customers;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including strikes or lockouts;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changes in accounting methods;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or liquidity problems;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insolvency;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offerings or private sales of debt or equity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list above is not exhaustive. Either positive or negative information may be material.</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noted above, 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merger, may be material even if the possibility that the event will occur is relatively small. When in doubt about whether particular nonpublic information is material, you should presume it is material. </w:t>
      </w:r>
      <w:r>
        <w:rPr>
          <w:rFonts w:ascii="Times New Roman" w:cs="Times New Roman" w:eastAsia="Times New Roman" w:hAnsi="Times New Roman"/>
          <w:sz w:val="18"/>
          <w:szCs w:val="18"/>
          <w:b w:val="1"/>
          <w:bCs w:val="1"/>
          <w:color w:val="auto"/>
        </w:rPr>
        <w:t>If you are unsure whether information is material, you should either consult the General Counsel before making any decision to disclose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such information (other than to persons who need to know it) or to trade in or recommend securities to which that information relates or assume that the information is material.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ind w:left="540" w:hanging="532"/>
        <w:spacing w:after="0"/>
        <w:tabs>
          <w:tab w:leader="none" w:pos="54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Non-Public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information to qualify as “inside” information it must not only be “material,” it must be “non-public.” “Non-public” information is information which has not been made available to investors generally. At such time as material, non-public information has been released to the investing public, it loses its status as “inside” information.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However, for “non-public” information to become public information it must be disseminated through recognized channels of distribution designed to reach the securities marketplace, such as disclosure by filing a report with the Securities and Exchange Commission (SEC) or disclosure by release to a national business and financial wire service (such as Dow Jones or Reuters) or a national newspaper (such as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Further, sufficient time must pass in order to provide investors the opportunity to absorb the information. Even after public disclosure of information about the Company, you must wait until the close of business on the second full trading day after the information was publicly disclosed before you can treat the information as public.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Partial disclosure does not constitute public dissemination. So long as any material component of the “inside” information has yet to be publicly disclosed, the information is deemed “non-public” and may not be misused.</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As with questions of materiality, if you are not sure whether information is considered public, you should either consult with the General Counsel or assume that the information is nonpublic and treat it as confidential.</w:t>
      </w:r>
    </w:p>
    <w:p>
      <w:pPr>
        <w:spacing w:after="0" w:line="155" w:lineRule="exact"/>
        <w:rPr>
          <w:sz w:val="20"/>
          <w:szCs w:val="20"/>
          <w:color w:val="auto"/>
        </w:rPr>
      </w:pPr>
    </w:p>
    <w:p>
      <w:pPr>
        <w:ind w:left="540" w:hanging="532"/>
        <w:spacing w:after="0"/>
        <w:tabs>
          <w:tab w:leader="none" w:pos="54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Trading?</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b w:val="1"/>
          <w:bCs w:val="1"/>
          <w:i w:val="1"/>
          <w:iCs w:val="1"/>
          <w:u w:val="single" w:color="auto"/>
          <w:color w:val="auto"/>
        </w:rPr>
        <w:t>Company Securities</w:t>
      </w:r>
      <w:r>
        <w:rPr>
          <w:rFonts w:ascii="Times New Roman" w:cs="Times New Roman" w:eastAsia="Times New Roman" w:hAnsi="Times New Roman"/>
          <w:sz w:val="18"/>
          <w:szCs w:val="18"/>
          <w:color w:val="auto"/>
        </w:rPr>
        <w:t xml:space="preserve">”),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Transactions subject to this policy include purchases, sales and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of Company Securities.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does not apply to the exercise of an employee stock option acquired pursuant to the Company’s plans for cash or the delivery of previously owned Company stock, or the Company withholding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policy also does not apply to the vesting of restricted stock, or the Company withholding shares of stock to satisfy tax withholding requirements upon the vesting of any restricted stock. This policy does apply, however, to any market sales of restricted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THE CONSEQUENCES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consequences of insider trading violations can be severe: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For individuals </w:t>
      </w:r>
      <w:r>
        <w:rPr>
          <w:rFonts w:ascii="Times New Roman" w:cs="Times New Roman" w:eastAsia="Times New Roman" w:hAnsi="Times New Roman"/>
          <w:sz w:val="18"/>
          <w:szCs w:val="18"/>
          <w:color w:val="auto"/>
        </w:rPr>
        <w:t>who trade on inside information (or tip such information to others):</w:t>
      </w:r>
    </w:p>
    <w:p>
      <w:pPr>
        <w:spacing w:after="0" w:line="229"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civil penalty of up to three times the profit gained or loss avoided;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fine (no matter how small the profit) of up to $5 million;</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jail term of up to 20 years; and</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cease and desist order to stop the violation and penalties for violations of such orders or the federal securities laws.</w:t>
      </w:r>
    </w:p>
    <w:p>
      <w:pPr>
        <w:spacing w:after="0" w:line="24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 the Company </w:t>
      </w:r>
      <w:r>
        <w:rPr>
          <w:rFonts w:ascii="Times New Roman" w:cs="Times New Roman" w:eastAsia="Times New Roman" w:hAnsi="Times New Roman"/>
          <w:sz w:val="18"/>
          <w:szCs w:val="18"/>
          <w:color w:val="auto"/>
        </w:rPr>
        <w:t>(as well as possibly any supervisory person) that fails to take appropriate steps to prevent illegal trading by an employee or tipping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inside information by an employee:</w:t>
      </w:r>
    </w:p>
    <w:p>
      <w:pPr>
        <w:spacing w:after="0" w:line="159" w:lineRule="exact"/>
        <w:rPr>
          <w:sz w:val="20"/>
          <w:szCs w:val="20"/>
          <w:color w:val="auto"/>
        </w:rPr>
      </w:pPr>
    </w:p>
    <w:p>
      <w:pPr>
        <w:ind w:left="1300" w:hanging="644"/>
        <w:spacing w:after="0" w:line="199"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civil penalty of the greater of $2.3 million (as may be further adjusted for inflation)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or three times the profit gained or loss avoided as a result of the employee’s violation; and</w:t>
      </w:r>
    </w:p>
    <w:p>
      <w:pPr>
        <w:spacing w:after="0" w:line="19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criminal penalty of up to $25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4742815</wp:posOffset>
            </wp:positionH>
            <wp:positionV relativeFrom="paragraph">
              <wp:posOffset>-436245</wp:posOffset>
            </wp:positionV>
            <wp:extent cx="711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6">
                      <a:extLst>
                        <a:ext uri="{28A0092B-C50C-407E-A947-70E740481C1C}"/>
                      </a:extLst>
                    </a:blip>
                    <a:srcRect/>
                    <a:stretch>
                      <a:fillRect/>
                    </a:stretch>
                  </pic:blipFill>
                  <pic:spPr bwMode="auto">
                    <a:xfrm>
                      <a:off x="0" y="0"/>
                      <a:ext cx="71120" cy="8255"/>
                    </a:xfrm>
                    <a:prstGeom prst="rect">
                      <a:avLst/>
                    </a:prstGeom>
                    <a:noFill/>
                  </pic:spPr>
                </pic:pic>
              </a:graphicData>
            </a:graphic>
          </wp:anchor>
        </w:drawing>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if an employee violates this policy or fails to comply with this policy or the Company’s procedures, Company imposed sanctions, including dismissal, could result. Needless to say, any of the above consequences, even an SEC investigation that does not result in prosecution, can tarnish one’s reputation and irreparably damage a career.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Prohibition of Insider Trading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director, officer, or any employee has material non-public information relating to the Company, it is our policy that neither that person nor any related person may trade in securities of the Company or engage in any other action to take advantage of, or pass on to others, that information. This policy also applies to material non-public information relating to any other company, including our clients or suppliers, obtained in the course of your employment with the Company or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not exempted from the insider trading laws or from our policy. The fact that the officer, director or employee may have relied on other factors in purchasing or selling securities, while in possession or aware of material inside information, will not absolve the person from liability under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12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340" w:right="400" w:hanging="339"/>
        <w:spacing w:after="0" w:line="210" w:lineRule="auto"/>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As of adoption of the amendments to this Insider Trading Policy in November 2023. The Federal Civil Penalties Inflation Adjustment Act Improvements Act of 2015 requires all agencies to annually adjust for inflation the civil monetary penalties that can be imposed under the statutes administered by the agency.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When Information is Public</w:t>
      </w:r>
      <w:r>
        <w:rPr>
          <w:rFonts w:ascii="Times New Roman" w:cs="Times New Roman" w:eastAsia="Times New Roman" w:hAnsi="Times New Roman"/>
          <w:sz w:val="18"/>
          <w:szCs w:val="18"/>
          <w:color w:val="auto"/>
        </w:rPr>
        <w:t>. As you can appreciate, it is also improper for an officer, director, or employee to enter a trade immediately after the Company has made a public announcement of material information, including earnings releases. Because the Company’s non-employee stockholders and the investing public should be afforded the time to receive the information and act upon it, you should not engage in any trades until after two full trading days have elapsed after the information has been released. Therefore, if an announcement is made before the commencement of trading on a Monday, an employee who had prior knowledge of that information (before it was made public) may trade in Company Securities starting on Wednesday of that week, because two full trading days would have elapsed (all of Monday and Tuesday). If the announcement is made on Monday after trading begins, the employee may not trade in Company Securities until Thursday. If the announcement is made on Friday after trading begins, the employee may not trade in Company Securities until Wednesday of the following week. Note that this restriction is in addition to any other restrictions that apply under this policy, including the requirement that certain trades by members of the Designated Group be pre-cleared and that they occur during specified “open” trading windows.</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Twenty-Twenty Hindsight</w:t>
      </w:r>
      <w:r>
        <w:rPr>
          <w:rFonts w:ascii="Times New Roman" w:cs="Times New Roman" w:eastAsia="Times New Roman" w:hAnsi="Times New Roman"/>
          <w:sz w:val="18"/>
          <w:szCs w:val="18"/>
          <w:color w:val="auto"/>
        </w:rPr>
        <w:t>. If your securities trades become the subject of scrutiny, they will be viewed after-the-fact with the benefit of hindsight. As a result, before engaging in any trade, you should carefully consider how regulators and others might view your trade in hindsight.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Applicability to Other Companies</w:t>
      </w:r>
      <w:r>
        <w:rPr>
          <w:rFonts w:ascii="Times New Roman" w:cs="Times New Roman" w:eastAsia="Times New Roman" w:hAnsi="Times New Roman"/>
          <w:sz w:val="18"/>
          <w:szCs w:val="18"/>
          <w:color w:val="auto"/>
        </w:rPr>
        <w:t>. During the course of his or her employment, an employee may obtain material non-public information about current or potential customers, suppliers, business partners, competitors or others with which the Company has contractual relationships or may be negotiating transactions. The provisions on confidentiality and the prohibition on trading while in possession or aware of non-public information also apply to the securities of these other companies. Thus, the term “Company Securities” as used in this policy can also mean the securities of those other companies, as the context requires.</w:t>
      </w:r>
    </w:p>
    <w:p>
      <w:pPr>
        <w:spacing w:after="0" w:line="18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u w:val="single" w:color="auto"/>
          <w:color w:val="auto"/>
        </w:rPr>
        <w:t>Trades by Family Members</w:t>
      </w:r>
      <w:r>
        <w:rPr>
          <w:rFonts w:ascii="Times New Roman" w:cs="Times New Roman" w:eastAsia="Times New Roman" w:hAnsi="Times New Roman"/>
          <w:sz w:val="18"/>
          <w:szCs w:val="18"/>
          <w:color w:val="auto"/>
        </w:rPr>
        <w:t>. The same restrictions apply to your family members who reside with you (including a spouse, a child, a child away at college, stepchildren, grandchildren, parents, stepparents, grandparents, siblings and in-laws) and others living in your household,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any family members who do not live in your household but whose transactions in Company Securities are directed by you or are subject to your influence or control, such as parents or children who consult with you before they trade in Company Securities (“</w:t>
      </w:r>
      <w:r>
        <w:rPr>
          <w:rFonts w:ascii="Times New Roman" w:cs="Times New Roman" w:eastAsia="Times New Roman" w:hAnsi="Times New Roman"/>
          <w:sz w:val="18"/>
          <w:szCs w:val="18"/>
          <w:b w:val="1"/>
          <w:bCs w:val="1"/>
          <w:i w:val="1"/>
          <w:iCs w:val="1"/>
          <w:u w:val="single" w:color="auto"/>
          <w:color w:val="auto"/>
        </w:rPr>
        <w:t>Family Members</w:t>
      </w:r>
      <w:r>
        <w:rPr>
          <w:rFonts w:ascii="Times New Roman" w:cs="Times New Roman" w:eastAsia="Times New Roman" w:hAnsi="Times New Roman"/>
          <w:sz w:val="18"/>
          <w:szCs w:val="18"/>
          <w:color w:val="auto"/>
        </w:rPr>
        <w:t>”). Directors, officers and other employees are expected to be responsible for the compliance of their immediate family and personal household.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12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Such “others living in your household” could include housekeepers, babysitters, unrelated household members, and anyone else present in your home. This is not meant to be an exclusive list; rather, insiders must be very careful that others do not receive inside information, and those present in your home are more likely than others to be exposed to such information.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Prevention of Insider Trading by Others</w:t>
      </w:r>
      <w:r>
        <w:rPr>
          <w:rFonts w:ascii="Times New Roman" w:cs="Times New Roman" w:eastAsia="Times New Roman" w:hAnsi="Times New Roman"/>
          <w:sz w:val="18"/>
          <w:szCs w:val="18"/>
          <w:color w:val="auto"/>
        </w:rPr>
        <w:t>. The Company, its directors and officers and some supervisory personnel could be deemed “controlling persons” subject to potential liability under the securities laws. Accordingly, it is incumbent on these persons to maintain an awareness of possible insider trading violations by persons under their control and to take measures where appropriate to prevent such violations. Directors, officers and other supervisory personnel who become aware of a potential insider trading violation or a violation of this policy should immediately advise the General Counsel and should take steps where appropriate to prevent persons under their supervision from using inside information for trading purposes.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Company Trading</w:t>
      </w:r>
      <w:r>
        <w:rPr>
          <w:rFonts w:ascii="Times New Roman" w:cs="Times New Roman" w:eastAsia="Times New Roman" w:hAnsi="Times New Roman"/>
          <w:sz w:val="18"/>
          <w:szCs w:val="18"/>
          <w:color w:val="auto"/>
        </w:rPr>
        <w:t>. It is also the policy of the Company that the Company will not engage in transactions in Company Securities while aware of material non-public information relating to the Company or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Serious problems could arise for the Company and you by an unauthorized disclosure of internal information about the Company, whether or not for the purpose of facilitating improper trading in the Company’s securities. Generally, securities regulations provide that when a publicly traded company (such as the Company) discloses material, non-public information, it must provide broad, non-exclusionary public access to the information. Violations of these regulations can result in SEC enforcement actions, resulting in injunctions and severe monetary penalties. It is our policy that all directors, officers and other employees must maintain all non-public information about the Company in strict confidence and should not communicate such information to any person unless the person has a need to know the information for legitimate reasons related to the Company’s business. Similarly, you should not discuss Company affairs in public or quasi-public areas where your conversation may be overheard (e.g., restaurants, airplanes and elevators, etc.). This prohibition applies to inquiries about the Company which may be made by the financial press, investment analysts or others in the financial community. It is important that all such communications on behalf of the Company be made only through authorized individuals. If you receive any inquiries of this nature, you should decline comment and refer the inquiry directly to Voin Todorovic, the person responsible for our investor relations.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Tipping Information to Others</w:t>
      </w:r>
      <w:r>
        <w:rPr>
          <w:rFonts w:ascii="Times New Roman" w:cs="Times New Roman" w:eastAsia="Times New Roman" w:hAnsi="Times New Roman"/>
          <w:sz w:val="18"/>
          <w:szCs w:val="18"/>
          <w:color w:val="auto"/>
        </w:rPr>
        <w:t>. Whether the information is proprietary information about the Company or information that could have an impact on our stock price, directors, officers and other employees must not pass the information on to others. Tipping results in liability for the insider who communicated such information, even if such insider does not actually trade himself or herself, and for the person who received the information if the person has reason to know that it was an improper disclosure and acts on such information or passes it on to others who may act on 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Pre-Clearance of All Trades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and avoiding even the appearance of an improper trade (which could result, for example, where an officer engages in a trade while unaware of a pending major development), we are implementing the following procedure: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trades in Company Securities, such as purchases (except purchases of stock under an employee option for cash not involving an open market sale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 of shares), sales, transfers, gifts, option exercises involving an open market sale or surrender of shares, etc., by any member of the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must be pre-cleared by the General Counsel, even if you are not in possession or aware of specific material non-public information.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Designated Group</w:t>
      </w:r>
      <w:r>
        <w:rPr>
          <w:rFonts w:ascii="Times New Roman" w:cs="Times New Roman" w:eastAsia="Times New Roman" w:hAnsi="Times New Roman"/>
          <w:sz w:val="18"/>
          <w:szCs w:val="18"/>
          <w:color w:val="auto"/>
        </w:rPr>
        <w:t>” means board members, officers, senior vice presidents, senior managing directors, vice presidents, directors, district managers,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assistants to the President and CEO, and other associates who may be designated as insiders (collectively, the “Designated Group”).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officer or other employee may not trade, even with authorization, if he or she is actually in possession or aware of material non-public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contemplate a trade in the Company’s securities, you should contact the General Counsel in advance. Unless revoked or you otherwise come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possession material inside information, pre-clearance will normally remain valid until the close of trading second full trading day following the day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it was granted. If the transaction does not occur during the two-day period, pre-clearance of the transaction must be re-requested.</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Pre-clearance is not required for purchases and sales of securities under an approved Rule 10b5-1 plan (as described below) once the applicable cooling-off period has expired. No trades may be made under an approved Rule 10b5-1 plan until expiration of the applicable cooling-off period. With respect to any purchase or sale under an approved Rule 10b5-1 plan, the third party effecting transactions on behalf of the Designated Group member should be instructed to send duplicate confirmations of all such transactions to the General Counsel.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Trading During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Closed Window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Periods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to further minimize the possibility of an inadvertent and unintended insider trading violation, all members of the Designated Group of the Company are prohibited from trading in the Company’s securities during the following restricted trading period (a “</w:t>
      </w:r>
      <w:r>
        <w:rPr>
          <w:rFonts w:ascii="Times New Roman" w:cs="Times New Roman" w:eastAsia="Times New Roman" w:hAnsi="Times New Roman"/>
          <w:sz w:val="18"/>
          <w:szCs w:val="18"/>
          <w:b w:val="1"/>
          <w:bCs w:val="1"/>
          <w:i w:val="1"/>
          <w:iCs w:val="1"/>
          <w:u w:val="single" w:color="auto"/>
          <w:color w:val="auto"/>
        </w:rPr>
        <w:t>closed window</w:t>
      </w:r>
      <w:r>
        <w:rPr>
          <w:rFonts w:ascii="Times New Roman" w:cs="Times New Roman" w:eastAsia="Times New Roman" w:hAnsi="Times New Roman"/>
          <w:sz w:val="18"/>
          <w:szCs w:val="18"/>
          <w:color w:val="auto"/>
        </w:rPr>
        <w:t>”): the period after the 15th day of the third month of the quarter through and including the second full trading day following the issuance of the Company’s press release of its quarterly financial results and from December 15th through and including the second full trading day following the issuance of the Company’s press release of its annual financial results. Please realize that the “</w:t>
      </w:r>
      <w:r>
        <w:rPr>
          <w:rFonts w:ascii="Times New Roman" w:cs="Times New Roman" w:eastAsia="Times New Roman" w:hAnsi="Times New Roman"/>
          <w:sz w:val="18"/>
          <w:szCs w:val="18"/>
          <w:b w:val="1"/>
          <w:bCs w:val="1"/>
          <w:i w:val="1"/>
          <w:iCs w:val="1"/>
          <w:u w:val="single" w:color="auto"/>
          <w:color w:val="auto"/>
        </w:rPr>
        <w:t>open window</w:t>
      </w:r>
      <w:r>
        <w:rPr>
          <w:rFonts w:ascii="Times New Roman" w:cs="Times New Roman" w:eastAsia="Times New Roman" w:hAnsi="Times New Roman"/>
          <w:sz w:val="18"/>
          <w:szCs w:val="18"/>
          <w:color w:val="auto"/>
        </w:rPr>
        <w:t xml:space="preserve">” periods are of general applicability only and do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serve to permit otherwise illegal trades. Except if covered by an approved 105-1 plan as described below, trading in the Company’s stock is permitted only during the “open windows,” and all trades by members of the Designated Group must be approved in advance by the General Counsel. Other events or developments during such periods may still cause some Company directors, officers or employees to be in possession or aware of material, non-public information – in such event, you still may not trade. A director, officer or other employee may not trade even during the “open window” periods or with authorization if he or she is actually in possession or aware of material non-public information. Also, trading during the “open window” periods is not a substitute for compliance with required pre-clearance procedures.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Trading Periods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may be material inside information available to members of the Designated Group even during the normal open window periods, for example, when a proposed acquisition is pending. In those and other instances, such as where required by securities regulation, the Company will announce a “closed window” or “blackout period” for trading in Company Securities and if appropriate, in securities of another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Standing Orders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Standing orders (except standing orders under approved Rule 10b5-1 plans, see below) should be used only for a very brief period of time. The problem with purchases or sales resulting from standing instructions to a broker is that there is no control over the timing of the trade. The broker could execute a trade when you are in possession or aware of material inside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10b5-1 provides a defense from insider trading under SEC Rule 10b-5. To be eligible for this defense, an insider may enter into a “Rule 10b5-1 plan” for trading in the Company’s stock. If the plan meets the requirements of Rule 10b5-1, the Company stock may be purchased or sold without regard to certain insider trading restrictions, including during closed windows. To comply with the Company’s insider trading policy, a Rule 10b5-1 plan must meet the requirements of Rule 10b5-1 and other legal requirements and be approved by General Counsel in advance of being entered into (or, if revised or amended, such proposed revisions or amendments have been reviewed and approved by the General Counsel in advance of being entered into).</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a Rule 10b5-1 Plan must be entered into at a time when the person entering into the plan is not aware of material nonpublic information. No Rule 10b5-1 plan may be adopted during a closed window or other blackout period. Once a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 A Rule 10b5-1 plan must include a cooling-off period before trading can commence that, for directors or officers, ends on the later of 90 days after the adoption of such Rule 10b5-1 plan or two business days following the disclosure of the Company’s financial results in an SEC periodic report for the fiscal quarter in which the Rule 10b5-1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 Directors and officers must include a representation in their Rule 10b5-1 plan certifying that: (i) they are not aware of any material nonpublic information; and (ii) they are adopting the plan in good faith and not as part of a plan or scheme to evade the prohibitions in Rule 10b-5. All persons entering into a Rule 10b5-1 plan must act in good faith with respect to that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9" w:name="page90"/>
    <w:bookmarkEnd w:id="89"/>
    <w:p>
      <w:pPr>
        <w:jc w:val="both"/>
        <w:spacing w:after="0" w:line="261" w:lineRule="auto"/>
        <w:rPr>
          <w:sz w:val="20"/>
          <w:szCs w:val="20"/>
          <w:color w:val="auto"/>
        </w:rPr>
      </w:pPr>
      <w:r>
        <w:rPr>
          <w:rFonts w:ascii="Times New Roman" w:cs="Times New Roman" w:eastAsia="Times New Roman" w:hAnsi="Times New Roman"/>
          <w:sz w:val="18"/>
          <w:szCs w:val="18"/>
          <w:color w:val="auto"/>
        </w:rPr>
        <w:t>If you are considering entering into, modifying or terminating a Rule 10b5-1 plan or have any questions regarding Rule 10b5-1 plans, please contact the General Counsel. You should consult your own legal and tax advisors before entering into, or modifying or terminating, a Rule 10b5-1 plan. A trading plan, contract, instruction or arrangement will not qualify as a Rule 10b5-1 plan without the prior review and approval of the General Counsel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Prohibited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it improper and inappropriate for any Company personnel to engage in short-term or speculative transactions involving the Company’s securities. It is therefore the Company’s policy that directors, officers, and other employees, and their Family Members (collectively “</w:t>
      </w:r>
      <w:r>
        <w:rPr>
          <w:rFonts w:ascii="Times New Roman" w:cs="Times New Roman" w:eastAsia="Times New Roman" w:hAnsi="Times New Roman"/>
          <w:sz w:val="18"/>
          <w:szCs w:val="18"/>
          <w:b w:val="1"/>
          <w:bCs w:val="1"/>
          <w:i w:val="1"/>
          <w:iCs w:val="1"/>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Persons</w:t>
      </w:r>
      <w:r>
        <w:rPr>
          <w:rFonts w:ascii="Times New Roman" w:cs="Times New Roman" w:eastAsia="Times New Roman" w:hAnsi="Times New Roman"/>
          <w:sz w:val="18"/>
          <w:szCs w:val="18"/>
          <w:color w:val="auto"/>
        </w:rPr>
        <w:t>”) should not engage in any of the following activities with respect to securities of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No Covered Person shall engage in selling the Company’s securities “short” – that is, the sale of securities that are not owned by the person. (A person who sells “short” is betting that the price of the security is going down – he or she borrows the security, sells it, and expects to be able to return the securities by repurchasing them at a lower price in the future.) SEC rules already prevent officers and directors from making “short sales” or sales of securities that, if owned, will not be delivered for a period longer than 20 days after the sale. We are simply expanding this rule to all Covered Persons.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Buying or Selling “Derivative Securities.</w:t>
      </w:r>
      <w:r>
        <w:rPr>
          <w:rFonts w:ascii="Times New Roman" w:cs="Times New Roman" w:eastAsia="Times New Roman" w:hAnsi="Times New Roman"/>
          <w:sz w:val="18"/>
          <w:szCs w:val="18"/>
          <w:color w:val="auto"/>
        </w:rPr>
        <w:t>” No Covered Person shall buy or sell puts (i.e., options to sell), calls (i.e., options to purchase), future contracts, or other forms of derivative securities relating to the Company’s securities. For these purposes, a security will be considered a derivative of another security if its value is derived from the value of the other security.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Margin Accounts and Pledges</w:t>
      </w:r>
      <w:r>
        <w:rPr>
          <w:rFonts w:ascii="Times New Roman" w:cs="Times New Roman" w:eastAsia="Times New Roman" w:hAnsi="Times New Roman"/>
          <w:sz w:val="18"/>
          <w:szCs w:val="18"/>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all members of the Designated Group are prohibited from holding the Company’s securities in a margin account or pledging the Company’s securities as collateral for a loan.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auto"/>
        </w:rPr>
        <w:t>Hedging</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color w:val="auto"/>
        </w:rPr>
        <w:t xml:space="preserve"> Covered Persons may not enter into hedging or monetization transactions or similar arrangements with respect to Company Securities.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Short-Term Trading</w:t>
      </w:r>
      <w:r>
        <w:rPr>
          <w:rFonts w:ascii="Times New Roman" w:cs="Times New Roman" w:eastAsia="Times New Roman" w:hAnsi="Times New Roman"/>
          <w:sz w:val="18"/>
          <w:szCs w:val="18"/>
          <w:color w:val="auto"/>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 144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and certain officers designated by the Board of Directors are required to file a Form 144 before making an open market sale of Company Securities. Form 144 notifies the SEC of your intent to sell Company Securities. Although often prepared and filed by your broker, this form and its timely filing is each individual’s personal responsibility and is in addition to the Section 16 reports filed on your behalf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Post-Transaction Notification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Section 16(a) of the Exchange Act requires that certain transactions be reported on Form 4s filed within two business days following the date of the transaction, the Company’s policy requires immediate notification of sufficient details of any transaction to allow time to prepare and file the required reports within the two-business-day deadline. Since the Company requires a day to prepare the Form 4 and a day to transmit the form to the SEC, all officers and directors must report the details of any transaction in the Company’s securities to us at least by the close of business of the date the transaction occurred. This includes all purchases, sales, transfers by gift or otherwise, trades pursuant to approved Rule 10b5-1 plans, and option exercises.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Post-Termination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note that the laws regarding insider trading continue to apply to transactions in Company Securities even after termination of service to the Company. If an individual is in possession of material nonpublic information when his or her service terminates, the laws state that an individual may not engage in transactions in Company Securities until that information has become public or is no longer material. It is recommended that an individual refrains from any transactions in Company Securities for at least 90 days following termination of his or her service to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Use of Knowledgeable Stockbroker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director, officer and other employee is encouraged to select one stock broker to effect all of his or her transactions in the Company’s securities, and that broker should become familiar with the Company’s insider trading policy and the restrictions that apply to his or her transactions in the Company’s securities. Remember, however, that a broker has no legal responsibility for a client’s Section 16 filings or short-swing profit rule violations. Therefore, the best protection will come from your own awareness the possible pitfalls. However, use of the same broker familiar with this policy will help you constantly monitor your compliance, not only with this policy but also with your other securities laws obligations, such as compliance with Rule 144.</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EVEN IF YOU RECEIVE PRE-CLEARANCE AND IT IS DURING AN OPEN WINDOW PERIOD, YOU, ANY COMPANY, TRUST OR ENTITY CONTROLLED BY YOU, YOUR SPOUSE AND YOUR FAMILY MEMBERS AND OTHERS LIVING IN YOUR HOUSEHOLD MAY NOT TRADE IN SECURITIES OF BUILD-A-BEAR WORKSHOP, INC. IF YOU ARE IN POSSESSION OR AWARE OF MATERIAL, NON-PUBLIC INFORMATION ABOUT BUILD-A-BEAR WORKSHOP, INC. THE PROCEDURES SET FORTH HEREIN ARE IN ADDITION TO THE GENERAL INSIDER TRADING POLICY AND ARE NOT A SUBSTITUTE THEREFOR</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POLICY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person who has any questions about specific transactions may obtain additional guidance from Chief Legal Officer, Yevgeny Fundler, at legal@buildabear.com. The Company reserves the right to amend and interpret the policy from time to time.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COMPLIANCE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members of the Designated Group will be required to certify their understanding of and compliance with this policy on an annual basis.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Remember, however, the ultimate responsibility for adhering to the policy and avoiding improper transactions rests with you. In this regard, it is imperative that you use your best judgment.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57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u w:val="single" w:color="auto"/>
          <w:color w:val="auto"/>
        </w:rPr>
        <w:t>Subsidiaries of Build-A-Bear Workshop, Inc.</w:t>
      </w:r>
    </w:p>
    <w:p>
      <w:pPr>
        <w:spacing w:after="0" w:line="200" w:lineRule="exact"/>
        <w:rPr>
          <w:sz w:val="20"/>
          <w:szCs w:val="20"/>
          <w:color w:val="auto"/>
        </w:rPr>
      </w:pPr>
    </w:p>
    <w:p>
      <w:pPr>
        <w:spacing w:after="0" w:line="259" w:lineRule="exact"/>
        <w:rPr>
          <w:sz w:val="20"/>
          <w:szCs w:val="20"/>
          <w:color w:val="auto"/>
        </w:rPr>
      </w:pPr>
    </w:p>
    <w:tbl>
      <w:tblPr>
        <w:tblLayout w:type="fixed"/>
        <w:tblInd w:w="2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w:t>
            </w: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Jurisdiction of Incorporation/Organization:</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4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Build-A-Bear Entertainment, LLC</w:t>
            </w: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Missouri</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Build-A-Bear Workshop Franchise Holdings, Inc.</w:t>
            </w: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Build-A-Bear Workshop Canada Ltd.</w:t>
            </w: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New Brunswick</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Build-A-Bear Retail Management, Inc.</w:t>
            </w: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Build-A-Bear UK Holdings Limited</w:t>
            </w: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Build-A-Bear Workshop UK Limited</w:t>
            </w: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Build-A-Bear Trading (Shanghai) Co., Ltd.</w:t>
            </w:r>
          </w:p>
        </w:tc>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Build-A-Bear Card Services, LLC</w:t>
            </w:r>
          </w:p>
        </w:tc>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Virginia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1440" w:top="121"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333-120012) pertaining to the Build-A-Bear Workshop, Inc. 2000 Stock Option Plan, 2002 Stock Incentive Plan, 2004 Stock Incentive Plan and 2004 Associate Stock Purchase Plan;</w:t>
      </w:r>
    </w:p>
    <w:p>
      <w:pPr>
        <w:ind w:left="66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333-159313) pertaining to the Build-A-Bear Workshop, Inc. Second Amended and Restated 2004 Stock Incentive Plan;</w:t>
      </w:r>
    </w:p>
    <w:p>
      <w:pPr>
        <w:ind w:left="660" w:right="20" w:hanging="328"/>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333-195925) pertaining to the Build-A-Bear Workshop, Inc. Third Amended and Restated 2004 Stock Incentive Plan;</w:t>
      </w: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333-218034) pertaining to the Build-A-Bear Workshop, Inc. 2017 Omnibus Incentive Plan;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333-248716) pertaining to the Build-A-Bear Workshop, Inc. 2020 Omnibus Incentive Plan;</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333-274386) pertaining to the Build-A-Bear Workshop, Inc. Amended and Restated 2020 Omnibus Incentive Plan;</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April 16, 2026, with respect to the consolidated financial statements and schedule of Build-A-Bear Workshop, Inc. and Subsidiaries and the effectiveness of internal control over financial reporting of Build-A-Bear Workshop, Inc. and Subsidiaries, included in this Annual Report (Form 10-K) of Build-A-Bear Workshop, Inc. and Subsidiaries for the year-ended January 31, 2026.</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2026</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880" w:hanging="427"/>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Build-A-Bear Workshop, Inc.;</w:t>
      </w:r>
    </w:p>
    <w:p>
      <w:pPr>
        <w:spacing w:after="0" w:line="225" w:lineRule="exact"/>
        <w:rPr>
          <w:rFonts w:ascii="Times New Roman" w:cs="Times New Roman" w:eastAsia="Times New Roman" w:hAnsi="Times New Roman"/>
          <w:sz w:val="18"/>
          <w:szCs w:val="18"/>
          <w:color w:val="auto"/>
        </w:rPr>
      </w:pPr>
    </w:p>
    <w:p>
      <w:pPr>
        <w:jc w:val="both"/>
        <w:ind w:left="880" w:hanging="427"/>
        <w:spacing w:after="0" w:line="266"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hanging="427"/>
        <w:spacing w:after="0" w:line="282"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hanging="427"/>
        <w:spacing w:after="0" w:line="261"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440"/>
        <w:spacing w:after="0" w:line="266" w:lineRule="auto"/>
        <w:tabs>
          <w:tab w:leader="none" w:pos="170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440"/>
        <w:spacing w:after="0" w:line="266" w:lineRule="auto"/>
        <w:tabs>
          <w:tab w:leader="none" w:pos="169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40"/>
        <w:spacing w:after="0" w:line="266" w:lineRule="auto"/>
        <w:tabs>
          <w:tab w:leader="none" w:pos="169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40"/>
        <w:spacing w:after="0" w:line="266" w:lineRule="auto"/>
        <w:tabs>
          <w:tab w:leader="none" w:pos="170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80" w:hanging="427"/>
        <w:spacing w:after="0" w:line="282" w:lineRule="auto"/>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40"/>
        <w:spacing w:after="0" w:line="282" w:lineRule="auto"/>
        <w:tabs>
          <w:tab w:leader="none" w:pos="16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40"/>
        <w:spacing w:after="0" w:line="282" w:lineRule="auto"/>
        <w:tabs>
          <w:tab w:leader="none" w:pos="171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2026</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Sharon John</w:t>
            </w:r>
          </w:p>
        </w:tc>
      </w:tr>
      <w:tr>
        <w:trPr>
          <w:trHeight w:val="191"/>
        </w:trPr>
        <w:tc>
          <w:tcPr>
            <w:tcW w:w="5880" w:type="dxa"/>
            <w:vAlign w:val="bottom"/>
          </w:tcPr>
          <w:p>
            <w:pPr>
              <w:spacing w:after="0"/>
              <w:rPr>
                <w:sz w:val="16"/>
                <w:szCs w:val="16"/>
                <w:color w:val="auto"/>
              </w:rPr>
            </w:pPr>
          </w:p>
        </w:tc>
        <w:tc>
          <w:tcPr>
            <w:tcW w:w="53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880" w:hanging="427"/>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Build-A-Bear Workshop, Inc.;</w:t>
      </w:r>
    </w:p>
    <w:p>
      <w:pPr>
        <w:spacing w:after="0" w:line="225" w:lineRule="exact"/>
        <w:rPr>
          <w:rFonts w:ascii="Times New Roman" w:cs="Times New Roman" w:eastAsia="Times New Roman" w:hAnsi="Times New Roman"/>
          <w:sz w:val="18"/>
          <w:szCs w:val="18"/>
          <w:color w:val="auto"/>
        </w:rPr>
      </w:pPr>
    </w:p>
    <w:p>
      <w:pPr>
        <w:jc w:val="both"/>
        <w:ind w:left="880" w:hanging="427"/>
        <w:spacing w:after="0" w:line="266"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880" w:hanging="427"/>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880" w:hanging="427"/>
        <w:spacing w:after="0" w:line="261"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440"/>
        <w:spacing w:after="0" w:line="266" w:lineRule="auto"/>
        <w:tabs>
          <w:tab w:leader="none" w:pos="170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440"/>
        <w:spacing w:after="0" w:line="266" w:lineRule="auto"/>
        <w:tabs>
          <w:tab w:leader="none" w:pos="169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440"/>
        <w:spacing w:after="0" w:line="266" w:lineRule="auto"/>
        <w:tabs>
          <w:tab w:leader="none" w:pos="16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40"/>
        <w:spacing w:after="0" w:line="266" w:lineRule="auto"/>
        <w:tabs>
          <w:tab w:leader="none" w:pos="170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880" w:hanging="427"/>
        <w:spacing w:after="0" w:line="282" w:lineRule="auto"/>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440"/>
        <w:spacing w:after="0" w:line="282" w:lineRule="auto"/>
        <w:tabs>
          <w:tab w:leader="none" w:pos="168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440"/>
        <w:spacing w:after="0" w:line="282" w:lineRule="auto"/>
        <w:tabs>
          <w:tab w:leader="none" w:pos="171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2026</w:t>
            </w:r>
          </w:p>
        </w:tc>
        <w:tc>
          <w:tcPr>
            <w:tcW w:w="75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/s/ Voin Todorovic</w:t>
            </w:r>
          </w:p>
        </w:tc>
      </w:tr>
      <w:tr>
        <w:trPr>
          <w:trHeight w:val="191"/>
        </w:trPr>
        <w:tc>
          <w:tcPr>
            <w:tcW w:w="36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36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Voin Todorovic</w:t>
            </w:r>
          </w:p>
        </w:tc>
      </w:tr>
      <w:tr>
        <w:trPr>
          <w:trHeight w:val="216"/>
        </w:trPr>
        <w:tc>
          <w:tcPr>
            <w:tcW w:w="3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3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Build-A-Bear Workshop, Inc. (the “Company”) on Form 10-K for the period ended January 31, 2026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700" w:hanging="251"/>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2026</w:t>
            </w:r>
          </w:p>
        </w:tc>
        <w:tc>
          <w:tcPr>
            <w:tcW w:w="5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Sharon John</w:t>
            </w:r>
          </w:p>
        </w:tc>
      </w:tr>
      <w:tr>
        <w:trPr>
          <w:trHeight w:val="191"/>
        </w:trPr>
        <w:tc>
          <w:tcPr>
            <w:tcW w:w="5880" w:type="dxa"/>
            <w:vAlign w:val="bottom"/>
          </w:tcPr>
          <w:p>
            <w:pPr>
              <w:spacing w:after="0"/>
              <w:rPr>
                <w:sz w:val="16"/>
                <w:szCs w:val="16"/>
                <w:color w:val="auto"/>
              </w:rPr>
            </w:pPr>
          </w:p>
        </w:tc>
        <w:tc>
          <w:tcPr>
            <w:tcW w:w="53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Sharon John</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5880" w:type="dxa"/>
            <w:vAlign w:val="bottom"/>
          </w:tcPr>
          <w:p>
            <w:pPr>
              <w:spacing w:after="0"/>
              <w:rPr>
                <w:sz w:val="18"/>
                <w:szCs w:val="18"/>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5880" w:type="dxa"/>
            <w:vAlign w:val="bottom"/>
          </w:tcPr>
          <w:p>
            <w:pPr>
              <w:spacing w:after="0"/>
              <w:rPr>
                <w:sz w:val="20"/>
                <w:szCs w:val="20"/>
                <w:color w:val="auto"/>
              </w:rPr>
            </w:pPr>
          </w:p>
        </w:tc>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2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Build-A-Bear Workshop, Inc. (the “Company”) on Form 10-K for the period ended January 31, 2026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700" w:hanging="251"/>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16, 2026</w:t>
            </w:r>
          </w:p>
        </w:tc>
        <w:tc>
          <w:tcPr>
            <w:tcW w:w="5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Voin Todorovic</w:t>
            </w:r>
          </w:p>
        </w:tc>
      </w:tr>
      <w:tr>
        <w:trPr>
          <w:trHeight w:val="191"/>
        </w:trPr>
        <w:tc>
          <w:tcPr>
            <w:tcW w:w="5880" w:type="dxa"/>
            <w:vAlign w:val="bottom"/>
          </w:tcPr>
          <w:p>
            <w:pPr>
              <w:spacing w:after="0"/>
              <w:rPr>
                <w:sz w:val="16"/>
                <w:szCs w:val="16"/>
                <w:color w:val="auto"/>
              </w:rPr>
            </w:pPr>
          </w:p>
        </w:tc>
        <w:tc>
          <w:tcPr>
            <w:tcW w:w="536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Voin Todorovic</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880" w:type="dxa"/>
            <w:vAlign w:val="bottom"/>
          </w:tcPr>
          <w:p>
            <w:pPr>
              <w:spacing w:after="0"/>
              <w:rPr>
                <w:sz w:val="18"/>
                <w:szCs w:val="18"/>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5880" w:type="dxa"/>
            <w:vAlign w:val="bottom"/>
          </w:tcPr>
          <w:p>
            <w:pPr>
              <w:spacing w:after="0"/>
              <w:rPr>
                <w:sz w:val="20"/>
                <w:szCs w:val="20"/>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20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Adopted: November 7, 2023</w:t>
      </w:r>
    </w:p>
    <w:p>
      <w:pPr>
        <w:spacing w:after="0" w:line="223" w:lineRule="exact"/>
        <w:rPr>
          <w:sz w:val="20"/>
          <w:szCs w:val="20"/>
          <w:color w:val="auto"/>
        </w:rPr>
      </w:pPr>
    </w:p>
    <w:p>
      <w:pPr>
        <w:ind w:right="80" w:firstLine="6"/>
        <w:spacing w:after="0" w:line="257" w:lineRule="auto"/>
        <w:tabs>
          <w:tab w:leader="none" w:pos="31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this Clawback Policy of the Company (as amended from time to time,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dated as of November 7,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Adoption Date</w:t>
      </w:r>
      <w:r>
        <w:rPr>
          <w:rFonts w:ascii="Times New Roman" w:cs="Times New Roman" w:eastAsia="Times New Roman" w:hAnsi="Times New Roman"/>
          <w:sz w:val="18"/>
          <w:szCs w:val="18"/>
          <w:color w:val="auto"/>
        </w:rPr>
        <w:t>”)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NYSE listing standards (including Section 303A.14 of the NYSE listing company manual) (such legal requirements, and rules and requirements of NYSE, collectively, the “</w:t>
      </w:r>
      <w:r>
        <w:rPr>
          <w:rFonts w:ascii="Times New Roman" w:cs="Times New Roman" w:eastAsia="Times New Roman" w:hAnsi="Times New Roman"/>
          <w:sz w:val="18"/>
          <w:szCs w:val="18"/>
          <w:u w:val="single" w:color="auto"/>
          <w:color w:val="auto"/>
        </w:rPr>
        <w:t>SEC/NYSE Clawback Rules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right="20" w:firstLine="6"/>
        <w:spacing w:after="0" w:line="259" w:lineRule="auto"/>
        <w:tabs>
          <w:tab w:leader="none" w:pos="305"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This Policy shall be administered by the Committee. The Committee is authorized to interpret and construe this Policy and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NYSE, any determinations of the Committee hereunder need not be uniform with respect to one or more Executive Officers (whether current and/or former).</w:t>
      </w:r>
    </w:p>
    <w:p>
      <w:pPr>
        <w:spacing w:after="0" w:line="179" w:lineRule="exact"/>
        <w:rPr>
          <w:rFonts w:ascii="Times New Roman" w:cs="Times New Roman" w:eastAsia="Times New Roman" w:hAnsi="Times New Roman"/>
          <w:sz w:val="18"/>
          <w:szCs w:val="18"/>
          <w:b w:val="1"/>
          <w:bCs w:val="1"/>
          <w:color w:val="auto"/>
        </w:rPr>
      </w:pPr>
    </w:p>
    <w:p>
      <w:pPr>
        <w:ind w:left="320" w:hanging="314"/>
        <w:spacing w:after="0"/>
        <w:tabs>
          <w:tab w:leader="none" w:pos="3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Policy, the following capitalized terms shall have the meanings set forth below:</w:t>
      </w:r>
    </w:p>
    <w:p>
      <w:pPr>
        <w:spacing w:after="0" w:line="229" w:lineRule="exact"/>
        <w:rPr>
          <w:sz w:val="20"/>
          <w:szCs w:val="20"/>
          <w:color w:val="auto"/>
        </w:rPr>
      </w:pPr>
    </w:p>
    <w:p>
      <w:pPr>
        <w:ind w:left="600" w:right="120"/>
        <w:spacing w:after="0" w:line="261" w:lineRule="auto"/>
        <w:rPr>
          <w:sz w:val="20"/>
          <w:szCs w:val="20"/>
          <w:color w:val="auto"/>
        </w:rPr>
      </w:pPr>
      <w:r>
        <w:rPr>
          <w:rFonts w:ascii="Times New Roman" w:cs="Times New Roman" w:eastAsia="Times New Roman" w:hAnsi="Times New Roman"/>
          <w:sz w:val="18"/>
          <w:szCs w:val="18"/>
          <w:color w:val="auto"/>
        </w:rPr>
        <w:t>(a)“ Accounting Restatement”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-448310</wp:posOffset>
            </wp:positionV>
            <wp:extent cx="1234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9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Board” shall mean the Board of Directors of the Company.</w:t>
            </w:r>
          </w:p>
        </w:tc>
      </w:tr>
      <w:tr>
        <w:trPr>
          <w:trHeight w:val="20"/>
        </w:trPr>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2"/>
              </w:rPr>
              <w:t>(c)“</w:t>
            </w:r>
          </w:p>
        </w:tc>
        <w:tc>
          <w:tcPr>
            <w:tcW w:w="100" w:type="dxa"/>
            <w:vAlign w:val="bottom"/>
          </w:tcPr>
          <w:p>
            <w:pPr>
              <w:spacing w:after="0"/>
              <w:rPr>
                <w:sz w:val="24"/>
                <w:szCs w:val="24"/>
                <w:color w:val="auto"/>
              </w:rPr>
            </w:pPr>
          </w:p>
        </w:tc>
        <w:tc>
          <w:tcPr>
            <w:tcW w:w="992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Clawback Eligible Incentive Compensation” shall mean all Incentive-Based Compensation Received by any current or former Executive</w:t>
            </w:r>
          </w:p>
        </w:tc>
      </w:tr>
      <w:tr>
        <w:trPr>
          <w:trHeight w:val="20"/>
        </w:trPr>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pacing w:after="0" w:line="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Officer on or after NYSE Effective Date, provided that:</w:t>
      </w:r>
    </w:p>
    <w:p>
      <w:pPr>
        <w:spacing w:after="0" w:line="225" w:lineRule="exact"/>
        <w:rPr>
          <w:sz w:val="20"/>
          <w:szCs w:val="20"/>
          <w:color w:val="auto"/>
        </w:rPr>
      </w:pPr>
    </w:p>
    <w:p>
      <w:pPr>
        <w:ind w:left="1600" w:hanging="352"/>
        <w:spacing w:after="0"/>
        <w:tabs>
          <w:tab w:leader="none" w:pos="1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after such individual began serving as an Executive Officer;</w:t>
      </w:r>
    </w:p>
    <w:p>
      <w:pPr>
        <w:spacing w:after="0" w:line="225" w:lineRule="exact"/>
        <w:rPr>
          <w:rFonts w:ascii="Times New Roman" w:cs="Times New Roman" w:eastAsia="Times New Roman" w:hAnsi="Times New Roman"/>
          <w:sz w:val="18"/>
          <w:szCs w:val="18"/>
          <w:color w:val="auto"/>
        </w:rPr>
      </w:pPr>
    </w:p>
    <w:p>
      <w:pPr>
        <w:ind w:left="1240" w:right="1120" w:firstLine="8"/>
        <w:spacing w:after="0" w:line="282" w:lineRule="auto"/>
        <w:tabs>
          <w:tab w:leader="none" w:pos="1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individual served as an Executive Officer at any time during the performance period for such Incentive-Based Compensation;</w:t>
      </w:r>
    </w:p>
    <w:p>
      <w:pPr>
        <w:spacing w:after="0" w:line="161" w:lineRule="exact"/>
        <w:rPr>
          <w:rFonts w:ascii="Times New Roman" w:cs="Times New Roman" w:eastAsia="Times New Roman" w:hAnsi="Times New Roman"/>
          <w:sz w:val="18"/>
          <w:szCs w:val="18"/>
          <w:color w:val="auto"/>
        </w:rPr>
      </w:pPr>
    </w:p>
    <w:p>
      <w:pPr>
        <w:ind w:left="1240" w:right="560" w:firstLine="8"/>
        <w:spacing w:after="0" w:line="282" w:lineRule="auto"/>
        <w:tabs>
          <w:tab w:leader="none" w:pos="169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while the Company has a class of securities listed on NYSE or any other national securities exchange or national securities association; and</w:t>
      </w:r>
    </w:p>
    <w:p>
      <w:pPr>
        <w:spacing w:after="0" w:line="161" w:lineRule="exact"/>
        <w:rPr>
          <w:rFonts w:ascii="Times New Roman" w:cs="Times New Roman" w:eastAsia="Times New Roman" w:hAnsi="Times New Roman"/>
          <w:sz w:val="18"/>
          <w:szCs w:val="18"/>
          <w:color w:val="auto"/>
        </w:rPr>
      </w:pPr>
    </w:p>
    <w:p>
      <w:pPr>
        <w:ind w:left="1680" w:hanging="432"/>
        <w:spacing w:after="0"/>
        <w:tabs>
          <w:tab w:leader="none" w:pos="1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is Received during the applicable Clawback Period.</w:t>
      </w:r>
    </w:p>
    <w:p>
      <w:pPr>
        <w:spacing w:after="0" w:line="225" w:lineRule="exact"/>
        <w:rPr>
          <w:sz w:val="20"/>
          <w:szCs w:val="20"/>
          <w:color w:val="auto"/>
        </w:rPr>
      </w:pPr>
    </w:p>
    <w:p>
      <w:pPr>
        <w:ind w:left="600"/>
        <w:spacing w:after="0"/>
        <w:tabs>
          <w:tab w:leader="none" w:pos="1040" w:val="left"/>
        </w:tabs>
        <w:rPr>
          <w:sz w:val="20"/>
          <w:szCs w:val="20"/>
          <w:color w:val="auto"/>
        </w:rPr>
      </w:pPr>
      <w:r>
        <w:rPr>
          <w:rFonts w:ascii="Times New Roman" w:cs="Times New Roman" w:eastAsia="Times New Roman" w:hAnsi="Times New Roman"/>
          <w:sz w:val="18"/>
          <w:szCs w:val="18"/>
          <w:color w:val="auto"/>
        </w:rPr>
        <w:t>(d)“</w:t>
        <w:tab/>
        <w:t>Clawback Period” shall mean, with respect to any Accounting Restatement, the three completed fiscal years of the Company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-7620</wp:posOffset>
            </wp:positionV>
            <wp:extent cx="897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7">
                      <a:extLst>
                        <a:ext uri="{28A0092B-C50C-407E-A947-70E740481C1C}"/>
                      </a:extLst>
                    </a:blip>
                    <a:srcRect/>
                    <a:stretch>
                      <a:fillRect/>
                    </a:stretch>
                  </pic:blipFill>
                  <pic:spPr bwMode="auto">
                    <a:xfrm>
                      <a:off x="0" y="0"/>
                      <a:ext cx="897890" cy="8255"/>
                    </a:xfrm>
                    <a:prstGeom prst="rect">
                      <a:avLst/>
                    </a:prstGeom>
                    <a:noFill/>
                  </pic:spPr>
                </pic:pic>
              </a:graphicData>
            </a:graphic>
          </wp:anchor>
        </w:drawing>
      </w:r>
    </w:p>
    <w:p>
      <w:pPr>
        <w:spacing w:after="0" w:line="7" w:lineRule="exact"/>
        <w:rPr>
          <w:sz w:val="20"/>
          <w:szCs w:val="20"/>
          <w:color w:val="auto"/>
        </w:rPr>
      </w:pPr>
    </w:p>
    <w:p>
      <w:pPr>
        <w:ind w:left="600" w:right="380"/>
        <w:spacing w:after="0" w:line="260" w:lineRule="auto"/>
        <w:rPr>
          <w:sz w:val="20"/>
          <w:szCs w:val="20"/>
          <w:color w:val="auto"/>
        </w:rPr>
      </w:pPr>
      <w:r>
        <w:rPr>
          <w:rFonts w:ascii="Times New Roman" w:cs="Times New Roman" w:eastAsia="Times New Roman" w:hAnsi="Times New Roman"/>
          <w:sz w:val="18"/>
          <w:szCs w:val="18"/>
          <w:color w:val="auto"/>
        </w:rPr>
        <w:t>preceding the Restatement Date and any transition period (that results from a change in the Company’s fiscal year) of less than nine months within or immediately following those three completed fiscal years.</w:t>
      </w:r>
    </w:p>
    <w:p>
      <w:pPr>
        <w:spacing w:after="0" w:line="16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5"/>
              </w:rPr>
              <w:t>(e)“</w:t>
            </w:r>
          </w:p>
        </w:tc>
        <w:tc>
          <w:tcPr>
            <w:tcW w:w="94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Committee” shall mean the Compensation and Development Committee of the Board.</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2"/>
              </w:rPr>
              <w:t>(f)“</w:t>
            </w:r>
          </w:p>
        </w:tc>
        <w:tc>
          <w:tcPr>
            <w:tcW w:w="94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Common Stock” shall mean the common stock, par value $0.01 per share, of the Company.</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(g)“</w:t>
            </w:r>
          </w:p>
        </w:tc>
        <w:tc>
          <w:tcPr>
            <w:tcW w:w="94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Company” shall mean Build-A-Bear Workshop, Inc., a Delaware corporation.</w:t>
            </w:r>
          </w:p>
        </w:tc>
      </w:tr>
      <w:tr>
        <w:trPr>
          <w:trHeight w:val="20"/>
        </w:trPr>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2"/>
              </w:rPr>
              <w:t>(h)“</w:t>
            </w:r>
          </w:p>
        </w:tc>
        <w:tc>
          <w:tcPr>
            <w:tcW w:w="94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Company Group” shall mean the Company, together with each of its direct and indirect subsidiaries.</w:t>
            </w:r>
          </w:p>
        </w:tc>
      </w:tr>
      <w:tr>
        <w:trPr>
          <w:trHeight w:val="20"/>
        </w:trPr>
        <w:tc>
          <w:tcPr>
            <w:tcW w:w="280" w:type="dxa"/>
            <w:vAlign w:val="bottom"/>
          </w:tcPr>
          <w:p>
            <w:pPr>
              <w:spacing w:after="0" w:line="20" w:lineRule="exact"/>
              <w:rPr>
                <w:sz w:val="1"/>
                <w:szCs w:val="1"/>
                <w:color w:val="auto"/>
              </w:rPr>
            </w:pPr>
          </w:p>
        </w:tc>
        <w:tc>
          <w:tcPr>
            <w:tcW w:w="1400" w:type="dxa"/>
            <w:vAlign w:val="bottom"/>
            <w:gridSpan w:val="4"/>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5"/>
              </w:rPr>
              <w:t>(i)“</w:t>
            </w:r>
          </w:p>
        </w:tc>
        <w:tc>
          <w:tcPr>
            <w:tcW w:w="946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w w:val="99"/>
              </w:rPr>
              <w:t>Erroneously Awarded Compensation” shall mean, with respect to any current or former Executive Officer in connection with any</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bl>
    <w:p>
      <w:pPr>
        <w:spacing w:after="0" w:line="9" w:lineRule="exact"/>
        <w:rPr>
          <w:sz w:val="20"/>
          <w:szCs w:val="20"/>
          <w:color w:val="auto"/>
        </w:rPr>
      </w:pPr>
    </w:p>
    <w:p>
      <w:pPr>
        <w:ind w:left="600" w:right="160"/>
        <w:spacing w:after="0" w:line="261" w:lineRule="auto"/>
        <w:rPr>
          <w:sz w:val="20"/>
          <w:szCs w:val="20"/>
          <w:color w:val="auto"/>
        </w:rPr>
      </w:pPr>
      <w:r>
        <w:rPr>
          <w:rFonts w:ascii="Times New Roman" w:cs="Times New Roman" w:eastAsia="Times New Roman" w:hAnsi="Times New Roman"/>
          <w:sz w:val="18"/>
          <w:szCs w:val="18"/>
          <w:color w:val="auto"/>
        </w:rPr>
        <w:t>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and computed without regard to any taxes paid.</w:t>
      </w:r>
    </w:p>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w:t>
            </w:r>
          </w:p>
        </w:tc>
        <w:tc>
          <w:tcPr>
            <w:tcW w:w="99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Exchange Act” means the Securities Exchange Act of 1934, as amended.</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412"/>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w:t>
            </w:r>
          </w:p>
        </w:tc>
        <w:tc>
          <w:tcPr>
            <w:tcW w:w="99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Executive Officer” shall mean any officer as defined in Rule 10D-1(d) (or any successor provision thereof) under the Exchange Act and</w:t>
            </w:r>
          </w:p>
        </w:tc>
      </w:tr>
      <w:tr>
        <w:trPr>
          <w:trHeight w:val="20"/>
        </w:trPr>
        <w:tc>
          <w:tcPr>
            <w:tcW w:w="280" w:type="dxa"/>
            <w:vAlign w:val="bottom"/>
          </w:tcPr>
          <w:p>
            <w:pPr>
              <w:spacing w:after="0" w:line="20" w:lineRule="exact"/>
              <w:rPr>
                <w:sz w:val="1"/>
                <w:szCs w:val="1"/>
                <w:color w:val="auto"/>
              </w:rPr>
            </w:pPr>
          </w:p>
        </w:tc>
        <w:tc>
          <w:tcPr>
            <w:tcW w:w="1460" w:type="dxa"/>
            <w:vAlign w:val="bottom"/>
            <w:gridSpan w:val="5"/>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36"/>
        </w:trPr>
        <w:tc>
          <w:tcPr>
            <w:tcW w:w="10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any executive officer as defined in Section 303A.14(e) (or any successor provision thereof) of the NYSE Listing Company Manual.</w:t>
            </w:r>
          </w:p>
        </w:tc>
      </w:tr>
      <w:tr>
        <w:trPr>
          <w:trHeight w:val="392"/>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w:t>
            </w:r>
          </w:p>
        </w:tc>
        <w:tc>
          <w:tcPr>
            <w:tcW w:w="99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Financial Reporting Measures” shall mean measures that are determined and presented in accordance with the accounting principles used</w:t>
            </w:r>
          </w:p>
        </w:tc>
      </w:tr>
      <w:tr>
        <w:trPr>
          <w:trHeight w:val="20"/>
        </w:trPr>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9" w:lineRule="exact"/>
        <w:rPr>
          <w:sz w:val="20"/>
          <w:szCs w:val="20"/>
          <w:color w:val="auto"/>
        </w:rPr>
      </w:pPr>
    </w:p>
    <w:p>
      <w:pPr>
        <w:ind w:left="600" w:right="60"/>
        <w:spacing w:after="0" w:line="261" w:lineRule="auto"/>
        <w:rPr>
          <w:sz w:val="20"/>
          <w:szCs w:val="20"/>
          <w:color w:val="auto"/>
        </w:rPr>
      </w:pPr>
      <w:r>
        <w:rPr>
          <w:rFonts w:ascii="Times New Roman" w:cs="Times New Roman" w:eastAsia="Times New Roman" w:hAnsi="Times New Roman"/>
          <w:sz w:val="18"/>
          <w:szCs w:val="18"/>
          <w:color w:val="auto"/>
        </w:rPr>
        <w:t>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88"/>
              </w:rPr>
              <w:t>(m)“</w:t>
            </w:r>
          </w:p>
        </w:tc>
        <w:tc>
          <w:tcPr>
            <w:tcW w:w="93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Incentive-Based Compensation” shall mean any compensation that is granted, earned or vested based wholly or in part upon the</w:t>
            </w:r>
          </w:p>
        </w:tc>
      </w:tr>
      <w:tr>
        <w:trPr>
          <w:trHeight w:val="20"/>
        </w:trPr>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37"/>
        </w:trPr>
        <w:tc>
          <w:tcPr>
            <w:tcW w:w="9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attainment of a Financial Reporting Measure.</w:t>
            </w:r>
          </w:p>
        </w:tc>
      </w:tr>
      <w:tr>
        <w:trPr>
          <w:trHeight w:val="39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(n)“</w:t>
            </w:r>
          </w:p>
        </w:tc>
        <w:tc>
          <w:tcPr>
            <w:tcW w:w="9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NYSE” shall mean the New York Stock Exchange.</w:t>
            </w: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ectPr>
          <w:pgSz w:w="11900" w:h="16838" w:orient="portrait"/>
          <w:cols w:equalWidth="0" w:num="1">
            <w:col w:w="11040"/>
          </w:cols>
          <w:pgMar w:left="520" w:top="333" w:right="339" w:bottom="0" w:gutter="0" w:footer="0" w:header="0"/>
        </w:sectPr>
      </w:pPr>
    </w:p>
    <w:bookmarkStart w:id="99" w:name="page100"/>
    <w:bookmarkEnd w:id="99"/>
    <w:p>
      <w:pPr>
        <w:spacing w:after="0" w:line="1" w:lineRule="exact"/>
        <w:rPr>
          <w:sz w:val="20"/>
          <w:szCs w:val="20"/>
          <w:color w:val="auto"/>
        </w:rPr>
      </w:pPr>
    </w:p>
    <w:tbl>
      <w:tblPr>
        <w:tblLayout w:type="fixed"/>
        <w:tblInd w:w="594" w:type="dxa"/>
        <w:tblCellMar>
          <w:top w:w="0" w:type="dxa"/>
          <w:left w:w="0" w:type="dxa"/>
          <w:bottom w:w="0" w:type="dxa"/>
          <w:right w:w="0" w:type="dxa"/>
        </w:tblCellMar>
      </w:tblPr>
      <w:tr>
        <w:trPr>
          <w:trHeight w:val="20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9"/>
              </w:rPr>
              <w:t>(o)“</w:t>
            </w:r>
          </w:p>
        </w:tc>
        <w:tc>
          <w:tcPr>
            <w:tcW w:w="10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NYSE Effective Date” shall mean October 2, 2023 (which is the effective date of the final NYSE listing standards).</w:t>
            </w: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r>
        <w:trPr>
          <w:trHeight w:val="41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89"/>
              </w:rPr>
              <w:t>(p)“</w:t>
            </w:r>
          </w:p>
        </w:tc>
        <w:tc>
          <w:tcPr>
            <w:tcW w:w="10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Received” shall mean when Incentive-Based Compensation is received, and Incentive-Based Compensation shall be deemed received in</w:t>
            </w: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r>
    </w:tbl>
    <w:p>
      <w:pPr>
        <w:spacing w:after="0" w:line="9" w:lineRule="exact"/>
        <w:rPr>
          <w:sz w:val="20"/>
          <w:szCs w:val="20"/>
          <w:color w:val="auto"/>
        </w:rPr>
      </w:pPr>
    </w:p>
    <w:p>
      <w:pPr>
        <w:ind w:left="594" w:right="260"/>
        <w:spacing w:after="0" w:line="282" w:lineRule="auto"/>
        <w:rPr>
          <w:sz w:val="20"/>
          <w:szCs w:val="20"/>
          <w:color w:val="auto"/>
        </w:rPr>
      </w:pPr>
      <w:r>
        <w:rPr>
          <w:rFonts w:ascii="Times New Roman" w:cs="Times New Roman" w:eastAsia="Times New Roman" w:hAnsi="Times New Roman"/>
          <w:sz w:val="18"/>
          <w:szCs w:val="18"/>
          <w:color w:val="auto"/>
        </w:rPr>
        <w:t>the Company’s fiscal period during which the Financial Reporting Measure specified in the Incentive-Based Compensation award is attained, even if payment or grant of the Incentive-Based Compensation occurs after the end of that period.</w:t>
      </w:r>
    </w:p>
    <w:p>
      <w:pPr>
        <w:spacing w:after="0" w:line="162" w:lineRule="exact"/>
        <w:rPr>
          <w:sz w:val="20"/>
          <w:szCs w:val="20"/>
          <w:color w:val="auto"/>
        </w:rPr>
      </w:pPr>
    </w:p>
    <w:p>
      <w:pPr>
        <w:ind w:left="594" w:right="240"/>
        <w:spacing w:after="0" w:line="261" w:lineRule="auto"/>
        <w:rPr>
          <w:sz w:val="20"/>
          <w:szCs w:val="20"/>
          <w:color w:val="auto"/>
        </w:rPr>
      </w:pPr>
      <w:r>
        <w:rPr>
          <w:rFonts w:ascii="Times New Roman" w:cs="Times New Roman" w:eastAsia="Times New Roman" w:hAnsi="Times New Roman"/>
          <w:sz w:val="18"/>
          <w:szCs w:val="18"/>
          <w:color w:val="auto"/>
        </w:rPr>
        <w:t>(q)“ Restatement Date”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-448310</wp:posOffset>
            </wp:positionV>
            <wp:extent cx="9232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8">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160" w:lineRule="exact"/>
        <w:rPr>
          <w:sz w:val="20"/>
          <w:szCs w:val="20"/>
          <w:color w:val="auto"/>
        </w:rPr>
      </w:pPr>
    </w:p>
    <w:p>
      <w:pPr>
        <w:ind w:left="594"/>
        <w:spacing w:after="0"/>
        <w:tabs>
          <w:tab w:leader="none" w:pos="1014" w:val="left"/>
        </w:tabs>
        <w:rPr>
          <w:sz w:val="20"/>
          <w:szCs w:val="20"/>
          <w:color w:val="auto"/>
        </w:rPr>
      </w:pPr>
      <w:r>
        <w:rPr>
          <w:rFonts w:ascii="Times New Roman" w:cs="Times New Roman" w:eastAsia="Times New Roman" w:hAnsi="Times New Roman"/>
          <w:sz w:val="18"/>
          <w:szCs w:val="18"/>
          <w:color w:val="auto"/>
        </w:rPr>
        <w:t>(r)“</w:t>
        <w:tab/>
        <w:t>SEC” shall mean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-7620</wp:posOffset>
            </wp:positionV>
            <wp:extent cx="3238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201" w:lineRule="exact"/>
        <w:rPr>
          <w:sz w:val="20"/>
          <w:szCs w:val="20"/>
          <w:color w:val="auto"/>
        </w:rPr>
      </w:pPr>
    </w:p>
    <w:p>
      <w:pPr>
        <w:ind w:left="534" w:hanging="534"/>
        <w:spacing w:after="0"/>
        <w:tabs>
          <w:tab w:leader="none" w:pos="534"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rFonts w:ascii="Times New Roman" w:cs="Times New Roman" w:eastAsia="Times New Roman" w:hAnsi="Times New Roman"/>
          <w:sz w:val="18"/>
          <w:szCs w:val="18"/>
          <w:b w:val="1"/>
          <w:bCs w:val="1"/>
          <w:color w:val="auto"/>
        </w:rPr>
      </w:pPr>
    </w:p>
    <w:p>
      <w:pPr>
        <w:ind w:left="614" w:right="300" w:hanging="2"/>
        <w:spacing w:after="0" w:line="256" w:lineRule="auto"/>
        <w:tabs>
          <w:tab w:leader="none" w:pos="99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cs="Times New Roman" w:eastAsia="Times New Roman" w:hAnsi="Times New Roman"/>
          <w:sz w:val="18"/>
          <w:szCs w:val="18"/>
          <w:u w:val="single" w:color="auto"/>
          <w:color w:val="auto"/>
        </w:rPr>
        <w:t>Applicable Executives</w:t>
      </w:r>
      <w:r>
        <w:rPr>
          <w:rFonts w:ascii="Times New Roman" w:cs="Times New Roman" w:eastAsia="Times New Roman" w:hAnsi="Times New Roman"/>
          <w:sz w:val="18"/>
          <w:szCs w:val="18"/>
          <w:color w:val="auto"/>
        </w:rPr>
        <w:t>”) in connection with such Accounting Restatement, and (ii) the Company will reasonably promptly require the recovery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spacing w:after="0" w:line="187" w:lineRule="exact"/>
        <w:rPr>
          <w:rFonts w:ascii="Times New Roman" w:cs="Times New Roman" w:eastAsia="Times New Roman" w:hAnsi="Times New Roman"/>
          <w:sz w:val="18"/>
          <w:szCs w:val="18"/>
          <w:color w:val="auto"/>
        </w:rPr>
      </w:pPr>
    </w:p>
    <w:p>
      <w:pPr>
        <w:ind w:left="614" w:right="60" w:hanging="2"/>
        <w:spacing w:after="0" w:line="258" w:lineRule="auto"/>
        <w:tabs>
          <w:tab w:leader="none" w:pos="100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NYSE.</w:t>
      </w:r>
    </w:p>
    <w:p>
      <w:pPr>
        <w:spacing w:after="0" w:line="183" w:lineRule="exact"/>
        <w:rPr>
          <w:rFonts w:ascii="Times New Roman" w:cs="Times New Roman" w:eastAsia="Times New Roman" w:hAnsi="Times New Roman"/>
          <w:sz w:val="18"/>
          <w:szCs w:val="18"/>
          <w:color w:val="auto"/>
        </w:rPr>
      </w:pPr>
    </w:p>
    <w:p>
      <w:pPr>
        <w:ind w:left="614" w:right="380" w:hanging="2"/>
        <w:spacing w:after="0" w:line="282" w:lineRule="auto"/>
        <w:tabs>
          <w:tab w:leader="none" w:pos="991"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in its sole discretion, the method(s) for recovering any Erroneously Awarded Compensation from any Applicable Executive, which may include one or more of the following:</w:t>
      </w:r>
    </w:p>
    <w:p>
      <w:pPr>
        <w:spacing w:after="0" w:line="161" w:lineRule="exact"/>
        <w:rPr>
          <w:rFonts w:ascii="Times New Roman" w:cs="Times New Roman" w:eastAsia="Times New Roman" w:hAnsi="Times New Roman"/>
          <w:sz w:val="18"/>
          <w:szCs w:val="18"/>
          <w:color w:val="auto"/>
        </w:rPr>
      </w:pPr>
    </w:p>
    <w:p>
      <w:pPr>
        <w:ind w:left="1374" w:right="160" w:hanging="6"/>
        <w:spacing w:after="0" w:line="282" w:lineRule="auto"/>
        <w:tabs>
          <w:tab w:leader="none" w:pos="172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one or more cash payments to the Company Group from such Applicable Executive, including, but not limited to, the repayment of cash Incentive-Based Compensation previously paid by the Company Group to such Applicable Executive;</w:t>
      </w:r>
    </w:p>
    <w:p>
      <w:pPr>
        <w:spacing w:after="0" w:line="161" w:lineRule="exact"/>
        <w:rPr>
          <w:rFonts w:ascii="Times New Roman" w:cs="Times New Roman" w:eastAsia="Times New Roman" w:hAnsi="Times New Roman"/>
          <w:sz w:val="18"/>
          <w:szCs w:val="18"/>
          <w:color w:val="auto"/>
        </w:rPr>
      </w:pPr>
    </w:p>
    <w:p>
      <w:pPr>
        <w:ind w:left="1374" w:right="100" w:hanging="6"/>
        <w:spacing w:after="0" w:line="266" w:lineRule="auto"/>
        <w:tabs>
          <w:tab w:leader="none" w:pos="177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spacing w:after="0" w:line="175" w:lineRule="exact"/>
        <w:rPr>
          <w:rFonts w:ascii="Times New Roman" w:cs="Times New Roman" w:eastAsia="Times New Roman" w:hAnsi="Times New Roman"/>
          <w:sz w:val="18"/>
          <w:szCs w:val="18"/>
          <w:color w:val="auto"/>
        </w:rPr>
      </w:pPr>
    </w:p>
    <w:p>
      <w:pPr>
        <w:ind w:left="1374" w:right="460" w:hanging="6"/>
        <w:spacing w:after="0" w:line="282" w:lineRule="auto"/>
        <w:tabs>
          <w:tab w:leader="none" w:pos="182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reducing or eliminating future cash compensation (including cash incentive payments), future equity awards and/or other benefits or amounts otherwise to be paid or awarded by the Company Group to such Applicable Executive;</w:t>
      </w:r>
    </w:p>
    <w:p>
      <w:pPr>
        <w:spacing w:after="0" w:line="161" w:lineRule="exact"/>
        <w:rPr>
          <w:rFonts w:ascii="Times New Roman" w:cs="Times New Roman" w:eastAsia="Times New Roman" w:hAnsi="Times New Roman"/>
          <w:sz w:val="18"/>
          <w:szCs w:val="18"/>
          <w:color w:val="auto"/>
        </w:rPr>
      </w:pPr>
    </w:p>
    <w:p>
      <w:pPr>
        <w:ind w:left="1374" w:right="600" w:hanging="6"/>
        <w:spacing w:after="0" w:line="282" w:lineRule="auto"/>
        <w:tabs>
          <w:tab w:leader="none" w:pos="181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amounts against compensation or other amounts otherwise payable by the Company Group to any Applicable Executive;</w:t>
      </w:r>
    </w:p>
    <w:p>
      <w:pPr>
        <w:spacing w:after="0" w:line="161" w:lineRule="exact"/>
        <w:rPr>
          <w:rFonts w:ascii="Times New Roman" w:cs="Times New Roman" w:eastAsia="Times New Roman" w:hAnsi="Times New Roman"/>
          <w:sz w:val="18"/>
          <w:szCs w:val="18"/>
          <w:color w:val="auto"/>
        </w:rPr>
      </w:pPr>
    </w:p>
    <w:p>
      <w:pPr>
        <w:ind w:left="1374" w:right="360" w:hanging="6"/>
        <w:spacing w:after="0" w:line="282" w:lineRule="auto"/>
        <w:tabs>
          <w:tab w:leader="none" w:pos="176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adjusting or offsetting against some or all outstanding vested or unvested equity awards of the Company held by such Applicable Executive; and/or</w:t>
      </w:r>
    </w:p>
    <w:p>
      <w:pPr>
        <w:spacing w:after="0" w:line="161" w:lineRule="exact"/>
        <w:rPr>
          <w:rFonts w:ascii="Times New Roman" w:cs="Times New Roman" w:eastAsia="Times New Roman" w:hAnsi="Times New Roman"/>
          <w:sz w:val="18"/>
          <w:szCs w:val="18"/>
          <w:color w:val="auto"/>
        </w:rPr>
      </w:pPr>
    </w:p>
    <w:p>
      <w:pPr>
        <w:ind w:left="1374" w:right="640" w:hanging="6"/>
        <w:spacing w:after="0" w:line="282" w:lineRule="auto"/>
        <w:tabs>
          <w:tab w:leader="none" w:pos="181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actions with respect to such Applicable Executive permitted by applicable legal requirements and the rules and regulations of NYSE, as determined by the Committee.</w:t>
      </w:r>
    </w:p>
    <w:p>
      <w:pPr>
        <w:spacing w:after="0" w:line="161" w:lineRule="exact"/>
        <w:rPr>
          <w:rFonts w:ascii="Times New Roman" w:cs="Times New Roman" w:eastAsia="Times New Roman" w:hAnsi="Times New Roman"/>
          <w:sz w:val="18"/>
          <w:szCs w:val="18"/>
          <w:color w:val="auto"/>
        </w:rPr>
      </w:pPr>
    </w:p>
    <w:p>
      <w:pPr>
        <w:ind w:left="614" w:right="320" w:hanging="2"/>
        <w:spacing w:after="0" w:line="266" w:lineRule="auto"/>
        <w:tabs>
          <w:tab w:leader="none" w:pos="1004"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must recover Erroneously Awarded Compensation from any Applicable Executive pursuant to the terms of this Policy except to the extent that both (1) the Committee determines that such recovery would be impracticable, and (2) one of the following conditions is met:</w:t>
      </w:r>
    </w:p>
    <w:p>
      <w:pPr>
        <w:spacing w:after="0" w:line="175" w:lineRule="exact"/>
        <w:rPr>
          <w:rFonts w:ascii="Times New Roman" w:cs="Times New Roman" w:eastAsia="Times New Roman" w:hAnsi="Times New Roman"/>
          <w:sz w:val="18"/>
          <w:szCs w:val="18"/>
          <w:color w:val="auto"/>
        </w:rPr>
      </w:pPr>
    </w:p>
    <w:p>
      <w:pPr>
        <w:ind w:left="1374" w:hanging="6"/>
        <w:spacing w:after="0" w:line="261" w:lineRule="auto"/>
        <w:tabs>
          <w:tab w:leader="none" w:pos="172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expenses paid to a third party to assist in enforcing this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NYSE;</w:t>
      </w:r>
    </w:p>
    <w:p>
      <w:pPr>
        <w:spacing w:after="0" w:line="179" w:lineRule="exact"/>
        <w:rPr>
          <w:rFonts w:ascii="Times New Roman" w:cs="Times New Roman" w:eastAsia="Times New Roman" w:hAnsi="Times New Roman"/>
          <w:sz w:val="18"/>
          <w:szCs w:val="18"/>
          <w:color w:val="auto"/>
        </w:rPr>
      </w:pPr>
    </w:p>
    <w:p>
      <w:pPr>
        <w:ind w:left="1374" w:right="40" w:hanging="6"/>
        <w:spacing w:after="0" w:line="261" w:lineRule="auto"/>
        <w:tabs>
          <w:tab w:leader="none" w:pos="177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NYSE, that recovery would result in such a violation, has provided copy of the opinion is provided to NYSE; or</w:t>
      </w:r>
    </w:p>
    <w:p>
      <w:pPr>
        <w:spacing w:after="0" w:line="179" w:lineRule="exact"/>
        <w:rPr>
          <w:rFonts w:ascii="Times New Roman" w:cs="Times New Roman" w:eastAsia="Times New Roman" w:hAnsi="Times New Roman"/>
          <w:sz w:val="18"/>
          <w:szCs w:val="18"/>
          <w:color w:val="auto"/>
        </w:rPr>
      </w:pPr>
    </w:p>
    <w:p>
      <w:pPr>
        <w:ind w:left="1374" w:right="120" w:hanging="6"/>
        <w:spacing w:after="0" w:line="266" w:lineRule="auto"/>
        <w:tabs>
          <w:tab w:leader="none" w:pos="1824"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or the Company Group, to fail to meet the requirements of 26 U.S.C. 401(a)(13) or 26 U.S.C. 411(a) and regulations thereunder.</w:t>
      </w:r>
    </w:p>
    <w:p>
      <w:pPr>
        <w:spacing w:after="0" w:line="171" w:lineRule="exact"/>
        <w:rPr>
          <w:rFonts w:ascii="Times New Roman" w:cs="Times New Roman" w:eastAsia="Times New Roman" w:hAnsi="Times New Roman"/>
          <w:sz w:val="18"/>
          <w:szCs w:val="18"/>
          <w:color w:val="auto"/>
        </w:rPr>
      </w:pPr>
    </w:p>
    <w:p>
      <w:pPr>
        <w:ind w:left="74" w:right="40" w:hanging="2"/>
        <w:spacing w:after="0" w:line="262" w:lineRule="auto"/>
        <w:tabs>
          <w:tab w:leader="none" w:pos="389"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Etc. </w:t>
      </w:r>
      <w:r>
        <w:rPr>
          <w:rFonts w:ascii="Times New Roman" w:cs="Times New Roman" w:eastAsia="Times New Roman" w:hAnsi="Times New Roman"/>
          <w:sz w:val="18"/>
          <w:szCs w:val="18"/>
          <w:color w:val="auto"/>
        </w:rPr>
        <w:t>The Company Group shall not (x) indemnify any current or former Executive Officer against (i) the loss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Erroneously 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spacing w:after="0" w:line="176" w:lineRule="exact"/>
        <w:rPr>
          <w:rFonts w:ascii="Times New Roman" w:cs="Times New Roman" w:eastAsia="Times New Roman" w:hAnsi="Times New Roman"/>
          <w:sz w:val="18"/>
          <w:szCs w:val="18"/>
          <w:b w:val="1"/>
          <w:bCs w:val="1"/>
          <w:color w:val="auto"/>
        </w:rPr>
      </w:pPr>
    </w:p>
    <w:p>
      <w:pPr>
        <w:ind w:left="74" w:right="220" w:hanging="2"/>
        <w:spacing w:after="0" w:line="317" w:lineRule="auto"/>
        <w:tabs>
          <w:tab w:leader="none" w:pos="389" w:val="left"/>
        </w:tabs>
        <w:numPr>
          <w:ilvl w:val="1"/>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Supersedure. </w:t>
      </w:r>
      <w:r>
        <w:rPr>
          <w:rFonts w:ascii="Times New Roman" w:cs="Times New Roman" w:eastAsia="Times New Roman" w:hAnsi="Times New Roman"/>
          <w:sz w:val="17"/>
          <w:szCs w:val="17"/>
          <w:color w:val="auto"/>
        </w:rPr>
        <w:t>This Policy will supersede any provisions in (x) any agreement, plan or other arrangement applicable to any member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Group, and (y) any organizational documents of any entity that is part of Company Group that, in any such case, (a) exempt any Incentive-</w:t>
      </w:r>
    </w:p>
    <w:p>
      <w:pPr>
        <w:sectPr>
          <w:pgSz w:w="11900" w:h="16838" w:orient="portrait"/>
          <w:cols w:equalWidth="0" w:num="1">
            <w:col w:w="11034"/>
          </w:cols>
          <w:pgMar w:left="526" w:top="324" w:right="339" w:bottom="0" w:gutter="0" w:footer="0" w:header="0"/>
        </w:sectPr>
      </w:pPr>
    </w:p>
    <w:bookmarkStart w:id="100" w:name="page101"/>
    <w:bookmarkEnd w:id="100"/>
    <w:p>
      <w:pPr>
        <w:jc w:val="both"/>
        <w:ind w:left="2" w:right="680"/>
        <w:spacing w:after="0" w:line="266" w:lineRule="auto"/>
        <w:rPr>
          <w:sz w:val="20"/>
          <w:szCs w:val="20"/>
          <w:color w:val="auto"/>
        </w:rPr>
      </w:pPr>
      <w:r>
        <w:rPr>
          <w:rFonts w:ascii="Times New Roman" w:cs="Times New Roman" w:eastAsia="Times New Roman" w:hAnsi="Times New Roman"/>
          <w:sz w:val="18"/>
          <w:szCs w:val="18"/>
          <w:color w:val="auto"/>
        </w:rPr>
        <w:t xml:space="preserve">Based Compensation from the application of this Policy, (b) waive or otherwise prohibit or restricts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above.</w:t>
      </w:r>
    </w:p>
    <w:p>
      <w:pPr>
        <w:spacing w:after="0" w:line="172" w:lineRule="exact"/>
        <w:rPr>
          <w:sz w:val="20"/>
          <w:szCs w:val="20"/>
          <w:color w:val="auto"/>
        </w:rPr>
      </w:pPr>
    </w:p>
    <w:p>
      <w:pPr>
        <w:ind w:left="2" w:right="40" w:hanging="2"/>
        <w:spacing w:after="0" w:line="257" w:lineRule="auto"/>
        <w:tabs>
          <w:tab w:leader="none" w:pos="30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Termination; Interpretation. </w:t>
      </w:r>
      <w:r>
        <w:rPr>
          <w:rFonts w:ascii="Times New Roman" w:cs="Times New Roman" w:eastAsia="Times New Roman" w:hAnsi="Times New Roman"/>
          <w:sz w:val="18"/>
          <w:szCs w:val="18"/>
          <w:color w:val="auto"/>
        </w:rPr>
        <w:t>The Committee may amend or terminate this Policy at any time, subject to compliance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legal requirements and the rules and requirements of NYSE. It is intended that this Policy be interpreted in a manner that is consistent with the SEC/NYSE Clawback Rules. This Policy is separate from, and in addition to, any other compensation recovery or recoupment policy of the Company or any applicable provisions of plans, agreements, awards or other arrangements of the Company that provide for the recoupment or recovery of compensation from Executive Officers that is voluntarily adopted by the Company and intended to provide for discretionary recoupment beyond the scope of this Policy and the SEC/NYSE Clawback Rules.</w:t>
      </w:r>
    </w:p>
    <w:p>
      <w:pPr>
        <w:spacing w:after="0" w:line="182" w:lineRule="exact"/>
        <w:rPr>
          <w:rFonts w:ascii="Times New Roman" w:cs="Times New Roman" w:eastAsia="Times New Roman" w:hAnsi="Times New Roman"/>
          <w:sz w:val="18"/>
          <w:szCs w:val="18"/>
          <w:b w:val="1"/>
          <w:bCs w:val="1"/>
          <w:color w:val="auto"/>
        </w:rPr>
      </w:pPr>
    </w:p>
    <w:p>
      <w:pPr>
        <w:ind w:left="322" w:hanging="322"/>
        <w:spacing w:after="0"/>
        <w:tabs>
          <w:tab w:leader="none" w:pos="32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Recoupment Rights; No Additional Payments.</w:t>
      </w:r>
    </w:p>
    <w:p>
      <w:pPr>
        <w:spacing w:after="0" w:line="229" w:lineRule="exact"/>
        <w:rPr>
          <w:rFonts w:ascii="Times New Roman" w:cs="Times New Roman" w:eastAsia="Times New Roman" w:hAnsi="Times New Roman"/>
          <w:sz w:val="18"/>
          <w:szCs w:val="18"/>
          <w:b w:val="1"/>
          <w:bCs w:val="1"/>
          <w:color w:val="auto"/>
        </w:rPr>
      </w:pPr>
    </w:p>
    <w:p>
      <w:pPr>
        <w:jc w:val="both"/>
        <w:ind w:left="582" w:hanging="6"/>
        <w:spacing w:after="0" w:line="261" w:lineRule="auto"/>
        <w:tabs>
          <w:tab w:leader="none" w:pos="12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 xml:space="preserve"> of this Policy below, 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and (iii) any other legal rights or remedies available to the Company.</w:t>
      </w:r>
    </w:p>
    <w:p>
      <w:pPr>
        <w:spacing w:after="0" w:line="179" w:lineRule="exact"/>
        <w:rPr>
          <w:rFonts w:ascii="Times New Roman" w:cs="Times New Roman" w:eastAsia="Times New Roman" w:hAnsi="Times New Roman"/>
          <w:sz w:val="18"/>
          <w:szCs w:val="18"/>
          <w:color w:val="auto"/>
        </w:rPr>
      </w:pPr>
    </w:p>
    <w:p>
      <w:pPr>
        <w:ind w:left="1182" w:hanging="606"/>
        <w:spacing w:after="0"/>
        <w:tabs>
          <w:tab w:leader="none" w:pos="118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to prevent duplicative recovery:</w:t>
      </w:r>
    </w:p>
    <w:p>
      <w:pPr>
        <w:spacing w:after="0" w:line="225" w:lineRule="exact"/>
        <w:rPr>
          <w:rFonts w:ascii="Times New Roman" w:cs="Times New Roman" w:eastAsia="Times New Roman" w:hAnsi="Times New Roman"/>
          <w:sz w:val="18"/>
          <w:szCs w:val="18"/>
          <w:color w:val="auto"/>
        </w:rPr>
      </w:pPr>
    </w:p>
    <w:p>
      <w:pPr>
        <w:ind w:left="1302" w:right="80" w:hanging="6"/>
        <w:spacing w:after="0" w:line="261" w:lineRule="auto"/>
        <w:tabs>
          <w:tab w:leader="none" w:pos="165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amount of any Erroneously Awarded Compensation is recovered from any current or former Executive Officers under this Policy, the Company will not be entitled to recover any such amounts under any other compensation recovery or recoupment policy of the Company or any applicable provisions of plans, agreements, awards or other arrangements of the Company that provide for the recoupment or recovery of compensation from Executive Officers; and</w:t>
      </w:r>
    </w:p>
    <w:p>
      <w:pPr>
        <w:spacing w:after="0" w:line="179" w:lineRule="exact"/>
        <w:rPr>
          <w:rFonts w:ascii="Times New Roman" w:cs="Times New Roman" w:eastAsia="Times New Roman" w:hAnsi="Times New Roman"/>
          <w:sz w:val="18"/>
          <w:szCs w:val="18"/>
          <w:color w:val="auto"/>
        </w:rPr>
      </w:pPr>
    </w:p>
    <w:p>
      <w:pPr>
        <w:ind w:left="1302" w:right="220" w:hanging="6"/>
        <w:spacing w:after="0" w:line="281" w:lineRule="auto"/>
        <w:tabs>
          <w:tab w:leader="none" w:pos="1702"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cs="Times New Roman" w:eastAsia="Times New Roman" w:hAnsi="Times New Roman"/>
          <w:sz w:val="17"/>
          <w:szCs w:val="17"/>
          <w:u w:val="single" w:color="auto"/>
          <w:color w:val="auto"/>
        </w:rPr>
        <w:t>Applicable SOX Recoupment Amount</w:t>
      </w:r>
      <w:r>
        <w:rPr>
          <w:rFonts w:ascii="Times New Roman" w:cs="Times New Roman" w:eastAsia="Times New Roman" w:hAnsi="Times New Roman"/>
          <w:sz w:val="17"/>
          <w:szCs w:val="17"/>
          <w:color w:val="auto"/>
        </w:rPr>
        <w:t>”), the amount of any Erroneously Awarded Compensation to be recovered from any such Applicable Executive shall be reduced by the Applicable SOX Recoupment Amount.</w:t>
      </w:r>
    </w:p>
    <w:p>
      <w:pPr>
        <w:spacing w:after="0" w:line="160" w:lineRule="exact"/>
        <w:rPr>
          <w:rFonts w:ascii="Times New Roman" w:cs="Times New Roman" w:eastAsia="Times New Roman" w:hAnsi="Times New Roman"/>
          <w:sz w:val="17"/>
          <w:szCs w:val="17"/>
          <w:color w:val="auto"/>
        </w:rPr>
      </w:pPr>
    </w:p>
    <w:p>
      <w:pPr>
        <w:ind w:left="2" w:right="60" w:hanging="2"/>
        <w:spacing w:after="0" w:line="286" w:lineRule="auto"/>
        <w:tabs>
          <w:tab w:leader="none" w:pos="31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Policy shall be binding and enforceable against all current and former Executive Officers and their beneficiaries, heirs,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or other legal representatives.</w:t>
      </w:r>
    </w:p>
    <w:sectPr>
      <w:pgSz w:w="11900" w:h="16838" w:orient="portrait"/>
      <w:cols w:equalWidth="0" w:num="1">
        <w:col w:w="10962"/>
      </w:cols>
      <w:pgMar w:left="59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1)"/>
      <w:numFmt w:val="decimal"/>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2"/>
    </w:lvl>
  </w:abstractNum>
  <w:abstractNum w:abstractNumId="19">
    <w:nsid w:val="7724C67E"/>
    <w:multiLevelType w:val="hybridMultilevel"/>
    <w:lvl w:ilvl="0">
      <w:lvlJc w:val="left"/>
      <w:lvlText w:val="(%1)"/>
      <w:numFmt w:val="decimal"/>
      <w:start w:val="3"/>
    </w:lvl>
  </w:abstractNum>
  <w:abstractNum w:abstractNumId="20">
    <w:nsid w:val="5C482A97"/>
    <w:multiLevelType w:val="hybridMultilevel"/>
    <w:lvl w:ilvl="0">
      <w:lvlJc w:val="left"/>
      <w:lvlText w:val="(%1)"/>
      <w:numFmt w:val="decimal"/>
      <w:start w:val="4"/>
    </w:lvl>
  </w:abstractNum>
  <w:abstractNum w:abstractNumId="21">
    <w:nsid w:val="2463B9EA"/>
    <w:multiLevelType w:val="hybridMultilevel"/>
    <w:lvl w:ilvl="0">
      <w:lvlJc w:val="left"/>
      <w:lvlText w:val="(%1)"/>
      <w:numFmt w:val="decimal"/>
      <w:start w:val="5"/>
    </w:lvl>
  </w:abstractNum>
  <w:abstractNum w:abstractNumId="22">
    <w:nsid w:val="5E884ADC"/>
    <w:multiLevelType w:val="hybridMultilevel"/>
    <w:lvl w:ilvl="0">
      <w:lvlJc w:val="left"/>
      <w:lvlText w:val="(%1)"/>
      <w:numFmt w:val="decimal"/>
      <w:start w:val="6"/>
    </w:lvl>
  </w:abstractNum>
  <w:abstractNum w:abstractNumId="23">
    <w:nsid w:val="51EAD36B"/>
    <w:multiLevelType w:val="hybridMultilevel"/>
    <w:lvl w:ilvl="0">
      <w:lvlJc w:val="left"/>
      <w:lvlText w:val="(%1)"/>
      <w:numFmt w:val="decimal"/>
      <w:start w:val="7"/>
    </w:lvl>
  </w:abstractNum>
  <w:abstractNum w:abstractNumId="24">
    <w:nsid w:val="2D517796"/>
    <w:multiLevelType w:val="hybridMultilevel"/>
    <w:lvl w:ilvl="0">
      <w:lvlJc w:val="left"/>
      <w:lvlText w:val="(%1)"/>
      <w:numFmt w:val="decimal"/>
      <w:start w:val="8"/>
    </w:lvl>
  </w:abstractNum>
  <w:abstractNum w:abstractNumId="25">
    <w:nsid w:val="580BD78F"/>
    <w:multiLevelType w:val="hybridMultilevel"/>
    <w:lvl w:ilvl="0">
      <w:lvlJc w:val="left"/>
      <w:lvlText w:val="(%1)"/>
      <w:numFmt w:val="decimal"/>
      <w:start w:val="9"/>
    </w:lvl>
  </w:abstractNum>
  <w:abstractNum w:abstractNumId="26">
    <w:nsid w:val="153EA438"/>
    <w:multiLevelType w:val="hybridMultilevel"/>
    <w:lvl w:ilvl="0">
      <w:lvlJc w:val="left"/>
      <w:lvlText w:val="(%1)"/>
      <w:numFmt w:val="decimal"/>
      <w:start w:val="10"/>
    </w:lvl>
  </w:abstractNum>
  <w:abstractNum w:abstractNumId="27">
    <w:nsid w:val="3855585C"/>
    <w:multiLevelType w:val="hybridMultilevel"/>
    <w:lvl w:ilvl="0">
      <w:lvlJc w:val="left"/>
      <w:lvlText w:val="(%1)"/>
      <w:numFmt w:val="decimal"/>
      <w:start w:val="11"/>
    </w:lvl>
  </w:abstractNum>
  <w:abstractNum w:abstractNumId="28">
    <w:nsid w:val="70A64E2A"/>
    <w:multiLevelType w:val="hybridMultilevel"/>
    <w:lvl w:ilvl="0">
      <w:lvlJc w:val="left"/>
      <w:lvlText w:val="(%1)"/>
      <w:numFmt w:val="decimal"/>
      <w:start w:val="12"/>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lowerLetter"/>
      <w:start w:val="2"/>
    </w:lvl>
  </w:abstractNum>
  <w:abstractNum w:abstractNumId="31">
    <w:nsid w:val="1D4ED43B"/>
    <w:multiLevelType w:val="hybridMultilevel"/>
    <w:lvl w:ilvl="0">
      <w:lvlJc w:val="left"/>
      <w:lvlText w:val="(%1)"/>
      <w:numFmt w:val="decimal"/>
      <w:start w:val="13"/>
    </w:lvl>
  </w:abstractNum>
  <w:abstractNum w:abstractNumId="32">
    <w:nsid w:val="725A06FB"/>
    <w:multiLevelType w:val="hybridMultilevel"/>
    <w:lvl w:ilvl="0">
      <w:lvlJc w:val="left"/>
      <w:lvlText w:val="(%1)"/>
      <w:numFmt w:val="decimal"/>
      <w:start w:val="14"/>
    </w:lvl>
  </w:abstractNum>
  <w:abstractNum w:abstractNumId="33">
    <w:nsid w:val="2CD89A32"/>
    <w:multiLevelType w:val="hybridMultilevel"/>
    <w:lvl w:ilvl="0">
      <w:lvlJc w:val="left"/>
      <w:lvlText w:val="(%1)"/>
      <w:numFmt w:val="decimal"/>
      <w:start w:val="15"/>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6"/>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2"/>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decimal"/>
      <w:start w:val="3"/>
    </w:lvl>
  </w:abstractNum>
  <w:abstractNum w:abstractNumId="43">
    <w:nsid w:val="579478FE"/>
    <w:multiLevelType w:val="hybridMultilevel"/>
    <w:lvl w:ilvl="0">
      <w:lvlJc w:val="left"/>
      <w:lvlText w:val="%1."/>
      <w:numFmt w:val="decimal"/>
      <w:start w:val="4"/>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lvl w:ilvl="1">
      <w:lvlJc w:val="left"/>
      <w:lvlText w:val="(%2)"/>
      <w:numFmt w:val="lowerLetter"/>
      <w:start w:val="1"/>
    </w:lvl>
  </w:abstractNum>
  <w:abstractNum w:abstractNumId="48">
    <w:nsid w:val="75C6C33A"/>
    <w:multiLevelType w:val="hybridMultilevel"/>
    <w:lvl w:ilvl="0">
      <w:lvlJc w:val="left"/>
      <w:lvlText w:val="%1."/>
      <w:numFmt w:val="decimal"/>
      <w:start w:val="1"/>
    </w:lvl>
    <w:lvl w:ilvl="1">
      <w:lvlJc w:val="left"/>
      <w:lvlText w:val="(%2)"/>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lowerRoman"/>
      <w:start w:val="1"/>
    </w:lvl>
  </w:abstractNum>
  <w:abstractNum w:abstractNumId="53">
    <w:nsid w:val="4F4EF005"/>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54">
    <w:nsid w:val="23F9C13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20"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image" Target="media/image90.png"/><Relationship Id="rId130" Type="http://schemas.openxmlformats.org/officeDocument/2006/relationships/image" Target="media/image91.png"/><Relationship Id="rId131" Type="http://schemas.openxmlformats.org/officeDocument/2006/relationships/image" Target="media/image92.png"/><Relationship Id="rId132" Type="http://schemas.openxmlformats.org/officeDocument/2006/relationships/image" Target="media/image93.png"/><Relationship Id="rId133" Type="http://schemas.openxmlformats.org/officeDocument/2006/relationships/image" Target="media/image94.png"/><Relationship Id="rId134" Type="http://schemas.openxmlformats.org/officeDocument/2006/relationships/image" Target="media/image95.png"/><Relationship Id="rId135" Type="http://schemas.openxmlformats.org/officeDocument/2006/relationships/image" Target="media/image96.png"/><Relationship Id="rId136" Type="http://schemas.openxmlformats.org/officeDocument/2006/relationships/image" Target="media/image97.png"/><Relationship Id="rId137" Type="http://schemas.openxmlformats.org/officeDocument/2006/relationships/image" Target="media/image98.png"/><Relationship Id="rId138" Type="http://schemas.openxmlformats.org/officeDocument/2006/relationships/image" Target="media/image99.png"/><Relationship Id="rId139" Type="http://schemas.openxmlformats.org/officeDocument/2006/relationships/image" Target="media/image100.png"/><Relationship Id="rId88" Type="http://schemas.openxmlformats.org/officeDocument/2006/relationships/hyperlink" Target="http://www.sec.gov/Archives/edgar/data/1113809/000095013704006634/c86750exv2w1.txt" TargetMode="External"/><Relationship Id="rId89" Type="http://schemas.openxmlformats.org/officeDocument/2006/relationships/hyperlink" Target="http://www.sec.gov/Archives/edgar/data/1113809/000095013804000748/exh3-1.htm" TargetMode="External"/><Relationship Id="rId90" Type="http://schemas.openxmlformats.org/officeDocument/2006/relationships/hyperlink" Target="http://www.sec.gov/Archives/edgar/data/1113809/000115752318000029/a51738867_ex31.htm" TargetMode="External"/><Relationship Id="rId91" Type="http://schemas.openxmlformats.org/officeDocument/2006/relationships/hyperlink" Target="http://www.sec.gov/Archives/edgar/data/1113809/000095013704008227/c86750a3exv4w1.txt" TargetMode="External"/><Relationship Id="rId92" Type="http://schemas.openxmlformats.org/officeDocument/2006/relationships/hyperlink" Target="http://www.sec.gov/Archives/edgar/data/1113809/000143774921009026/ex_221494.htm" TargetMode="External"/><Relationship Id="rId93" Type="http://schemas.openxmlformats.org/officeDocument/2006/relationships/hyperlink" Target="http://www.sec.gov/Archives/edgar/data/1113809/000143774914008741/ex10-1.htm" TargetMode="External"/><Relationship Id="rId94" Type="http://schemas.openxmlformats.org/officeDocument/2006/relationships/hyperlink" Target="http://www.sec.gov/Archives/edgar/data/1113809/000143774915005657/ex10-1.htm" TargetMode="External"/><Relationship Id="rId95" Type="http://schemas.openxmlformats.org/officeDocument/2006/relationships/hyperlink" Target="http://www.sec.gov/Archives/edgar/data/1113809/000143774916027470/ex10-7.htm" TargetMode="External"/><Relationship Id="rId96" Type="http://schemas.openxmlformats.org/officeDocument/2006/relationships/hyperlink" Target="http://www.sec.gov/Archives/edgar/data/1113809/000143774917004827/ex10-2.htm" TargetMode="External"/><Relationship Id="rId97" Type="http://schemas.openxmlformats.org/officeDocument/2006/relationships/hyperlink" Target="http://www.sec.gov/Archives/edgar/data/1113809/000143774917008832/ex10-1.htm" TargetMode="External"/><Relationship Id="rId98" Type="http://schemas.openxmlformats.org/officeDocument/2006/relationships/hyperlink" Target="http://www.sec.gov/Archives/edgar/data/1113809/000143774918005168/ex_108426.htm" TargetMode="External"/><Relationship Id="rId99" Type="http://schemas.openxmlformats.org/officeDocument/2006/relationships/hyperlink" Target="http://www.sec.gov/Archives/edgar/data/1113809/000143774920013031/ex_190164.htm" TargetMode="External"/><Relationship Id="rId100" Type="http://schemas.openxmlformats.org/officeDocument/2006/relationships/hyperlink" Target="http://www.sec.gov/Archives/edgar/data/1113809/000143774921009143/ex_241551.htm" TargetMode="External"/><Relationship Id="rId101" Type="http://schemas.openxmlformats.org/officeDocument/2006/relationships/hyperlink" Target="http://www.sec.gov/Archives/edgar/data/1113809/000143774923010337/ex_500619.htm" TargetMode="External"/><Relationship Id="rId102" Type="http://schemas.openxmlformats.org/officeDocument/2006/relationships/hyperlink" Target="http://www.sec.gov/Archives/edgar/data/1113809/000143774923017061/ex_531708.htm" TargetMode="External"/><Relationship Id="rId103" Type="http://schemas.openxmlformats.org/officeDocument/2006/relationships/hyperlink" Target="http://www.sec.gov/Archives/edgar/data/1113809/000143774923017061/ex_531709.htm" TargetMode="External"/><Relationship Id="rId104" Type="http://schemas.openxmlformats.org/officeDocument/2006/relationships/hyperlink" Target="http://www.sec.gov/Archives/edgar/data/1113809/000143774924012573/ex_656233.htm" TargetMode="External"/><Relationship Id="rId105" Type="http://schemas.openxmlformats.org/officeDocument/2006/relationships/hyperlink" Target="http://www.sec.gov/Archives/edgar/data/1113809/000143774924012573/ex_656234.htm" TargetMode="External"/><Relationship Id="rId106" Type="http://schemas.openxmlformats.org/officeDocument/2006/relationships/hyperlink" Target="http://www.sec.gov/Archives/edgar/data/1113809/000095013707003883/n13023exv10w42.htm" TargetMode="External"/><Relationship Id="rId107" Type="http://schemas.openxmlformats.org/officeDocument/2006/relationships/hyperlink" Target="http://www.sec.gov/Archives/edgar/data/1113809/000143774916027470/ex10-1.htm" TargetMode="External"/><Relationship Id="rId108" Type="http://schemas.openxmlformats.org/officeDocument/2006/relationships/hyperlink" Target="http://www.sec.gov/Archives/edgar/data/1113809/000143774916027470/ex10-2.htm" TargetMode="External"/><Relationship Id="rId109" Type="http://schemas.openxmlformats.org/officeDocument/2006/relationships/hyperlink" Target="http://www.sec.gov/Archives/edgar/data/1113809/000143774916027470/ex10-3.htm" TargetMode="External"/><Relationship Id="rId110" Type="http://schemas.openxmlformats.org/officeDocument/2006/relationships/hyperlink" Target="http://www.sec.gov/Archives/edgar/data/1113809/000143774916027470/ex10-4.htm" TargetMode="External"/><Relationship Id="rId111" Type="http://schemas.openxmlformats.org/officeDocument/2006/relationships/hyperlink" Target="http://www.sec.gov/Archives/edgar/data/1113809/000143774916027470/ex10-5.htm" TargetMode="External"/><Relationship Id="rId112" Type="http://schemas.openxmlformats.org/officeDocument/2006/relationships/hyperlink" Target="http://www.sec.gov/Archives/edgar/data/1113809/000143774924029061/ex_723317.htm" TargetMode="External"/><Relationship Id="rId113" Type="http://schemas.openxmlformats.org/officeDocument/2006/relationships/hyperlink" Target="http://www.sec.gov/Archives/edgar/data/1113809/000095013704006634/c86750exv10w11.txt" TargetMode="External"/><Relationship Id="rId114" Type="http://schemas.openxmlformats.org/officeDocument/2006/relationships/hyperlink" Target="http://www.sec.gov/Archives/edgar/data/1113809/000143774920019030/ex_201997.htm" TargetMode="External"/><Relationship Id="rId115" Type="http://schemas.openxmlformats.org/officeDocument/2006/relationships/hyperlink" Target="http://www.sec.gov/Archives/edgar/data/1113809/000143774921029063/ex_318451.htm" TargetMode="External"/><Relationship Id="rId116" Type="http://schemas.openxmlformats.org/officeDocument/2006/relationships/hyperlink" Target="http://www.sec.gov/Archives/edgar/data/1113809/000143774922027942/ex_449670.htm" TargetMode="External"/><Relationship Id="rId117" Type="http://schemas.openxmlformats.org/officeDocument/2006/relationships/hyperlink" Target="http://www.sec.gov/Archives/edgar/data/1113809/000143774926000324/ex_903561.htm" TargetMode="External"/><Relationship Id="rId118" Type="http://schemas.openxmlformats.org/officeDocument/2006/relationships/hyperlink" Target="http://www.sec.gov/Archives/edgar/data/1113809/000095013706003138/c02747exv10w35.htm" TargetMode="External"/><Relationship Id="rId119" Type="http://schemas.openxmlformats.org/officeDocument/2006/relationships/hyperlink" Target="http://www.sec.gov/Archives/edgar/data/1113809/000095013706003138/c02747exv10w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2026-04-16T08:22:18Z</dcterms:created>
  <dcterms:modified xsi:type="dcterms:W3CDTF">2026-04-16T08:22:18Z</dcterms:modified>
</cp:coreProperties>
</file>