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233045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255270</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2"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quarterly period ended September 28, 2013</w:t>
      </w:r>
    </w:p>
    <w:p>
      <w:pPr>
        <w:spacing w:after="0" w:line="25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57"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6"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1790700</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3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240665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BUILD-A-BEAR WORKSHOP, INC.</w:t>
      </w:r>
    </w:p>
    <w:p>
      <w:pPr>
        <w:spacing w:after="0" w:line="6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227965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40" w:type="dxa"/>
            <w:vAlign w:val="bottom"/>
          </w:tcPr>
          <w:p>
            <w:pPr>
              <w:jc w:val="center"/>
              <w:ind w:right="335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41"/>
        </w:trPr>
        <w:tc>
          <w:tcPr>
            <w:tcW w:w="6540" w:type="dxa"/>
            <w:vAlign w:val="bottom"/>
          </w:tcPr>
          <w:p>
            <w:pPr>
              <w:jc w:val="right"/>
              <w:ind w:right="149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4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222885</wp:posOffset>
            </wp:positionV>
            <wp:extent cx="1449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both"/>
        <w:ind w:firstLine="54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ind w:right="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180"/>
          </w:cols>
          <w:pgMar w:left="240" w:top="639" w:right="479" w:bottom="0" w:gutter="0" w:footer="0" w:header="0"/>
        </w:sectPr>
      </w:pPr>
    </w:p>
    <w:p>
      <w:pPr>
        <w:spacing w:after="0" w:line="222"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3060" w:space="80"/>
            <w:col w:w="3420" w:space="720"/>
            <w:col w:w="3900"/>
          </w:cols>
          <w:pgMar w:left="240" w:top="639" w:right="479" w:bottom="0" w:gutter="0" w:footer="0" w:header="0"/>
          <w:type w:val="continuous"/>
        </w:sectPr>
      </w:pPr>
    </w:p>
    <w:p>
      <w:pPr>
        <w:spacing w:after="0" w:line="16" w:lineRule="exact"/>
        <w:rPr>
          <w:sz w:val="24"/>
          <w:szCs w:val="24"/>
          <w:color w:val="auto"/>
        </w:rPr>
      </w:pPr>
    </w:p>
    <w:p>
      <w:pPr>
        <w:ind w:left="14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6560" w:space="720"/>
            <w:col w:w="3900"/>
          </w:cols>
          <w:pgMar w:left="240" w:top="639" w:right="479" w:bottom="0" w:gutter="0" w:footer="0" w:header="0"/>
          <w:type w:val="continuous"/>
        </w:sectPr>
      </w:pPr>
    </w:p>
    <w:p>
      <w:pPr>
        <w:spacing w:after="0" w:line="27" w:lineRule="exact"/>
        <w:rPr>
          <w:sz w:val="24"/>
          <w:szCs w:val="24"/>
          <w:color w:val="auto"/>
        </w:rPr>
      </w:pPr>
    </w:p>
    <w:p>
      <w:pPr>
        <w:ind w:left="44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8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November 5, 2013, there were 17,350,519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639" w:right="479"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30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910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9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Part I Financial Information</w:t>
            </w:r>
          </w:p>
        </w:tc>
        <w:tc>
          <w:tcPr>
            <w:tcW w:w="17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1.</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Statements (Unaudited)</w:t>
            </w:r>
          </w:p>
        </w:tc>
        <w:tc>
          <w:tcPr>
            <w:tcW w:w="17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900" w:type="dxa"/>
            <w:vAlign w:val="bottom"/>
          </w:tcPr>
          <w:p>
            <w:pPr>
              <w:ind w:left="480"/>
              <w:spacing w:after="0"/>
              <w:rPr>
                <w:sz w:val="20"/>
                <w:szCs w:val="20"/>
                <w:color w:val="auto"/>
              </w:rPr>
            </w:pPr>
            <w:r>
              <w:rPr>
                <w:rFonts w:ascii="Arial" w:cs="Arial" w:eastAsia="Arial" w:hAnsi="Arial"/>
                <w:sz w:val="18"/>
                <w:szCs w:val="18"/>
                <w:color w:val="auto"/>
              </w:rPr>
              <w:t>Consolidated Balance Sheets</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Consolidated Statements of Operations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900" w:type="dxa"/>
            <w:vAlign w:val="bottom"/>
          </w:tcPr>
          <w:p>
            <w:pPr>
              <w:ind w:left="480"/>
              <w:spacing w:after="0"/>
              <w:rPr>
                <w:sz w:val="20"/>
                <w:szCs w:val="20"/>
                <w:color w:val="auto"/>
              </w:rPr>
            </w:pPr>
            <w:r>
              <w:rPr>
                <w:rFonts w:ascii="Arial" w:cs="Arial" w:eastAsia="Arial" w:hAnsi="Arial"/>
                <w:sz w:val="18"/>
                <w:szCs w:val="18"/>
                <w:color w:val="auto"/>
              </w:rPr>
              <w:t>Consolidated Statements of Cash Flows</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to Consolidated Financial Statements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2.</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3.</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4.</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Controls and Procedures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910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9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Part II Other Information</w:t>
            </w:r>
          </w:p>
        </w:tc>
        <w:tc>
          <w:tcPr>
            <w:tcW w:w="17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1A.</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 Factors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tcPr>
          <w:p>
            <w:pPr>
              <w:ind w:left="380"/>
              <w:spacing w:after="0"/>
              <w:rPr>
                <w:sz w:val="20"/>
                <w:szCs w:val="20"/>
                <w:color w:val="auto"/>
              </w:rPr>
            </w:pPr>
            <w:r>
              <w:rPr>
                <w:rFonts w:ascii="Arial" w:cs="Arial" w:eastAsia="Arial" w:hAnsi="Arial"/>
                <w:sz w:val="18"/>
                <w:szCs w:val="18"/>
                <w:color w:val="auto"/>
              </w:rPr>
              <w:t>Item 2.</w:t>
            </w:r>
          </w:p>
        </w:tc>
        <w:tc>
          <w:tcPr>
            <w:tcW w:w="7900" w:type="dxa"/>
            <w:vAlign w:val="bottom"/>
          </w:tcPr>
          <w:p>
            <w:pPr>
              <w:ind w:left="40"/>
              <w:spacing w:after="0"/>
              <w:rPr>
                <w:sz w:val="20"/>
                <w:szCs w:val="20"/>
                <w:color w:val="auto"/>
              </w:rPr>
            </w:pPr>
            <w:r>
              <w:rPr>
                <w:rFonts w:ascii="Arial" w:cs="Arial" w:eastAsia="Arial" w:hAnsi="Arial"/>
                <w:sz w:val="18"/>
                <w:szCs w:val="18"/>
                <w:color w:val="auto"/>
              </w:rPr>
              <w:t>Unregistered Sales of Equity Securities and Use of Proceeds</w:t>
            </w:r>
          </w:p>
        </w:tc>
        <w:tc>
          <w:tcPr>
            <w:tcW w:w="17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6.</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Exhibits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Signatures</w:t>
            </w:r>
          </w:p>
        </w:tc>
        <w:tc>
          <w:tcPr>
            <w:tcW w:w="79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r>
      <w:tr>
        <w:trPr>
          <w:trHeight w:val="675"/>
        </w:trPr>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00" w:type="dxa"/>
            <w:vAlign w:val="bottom"/>
          </w:tcPr>
          <w:p>
            <w:pPr>
              <w:ind w:left="4180"/>
              <w:spacing w:after="0"/>
              <w:rPr>
                <w:sz w:val="20"/>
                <w:szCs w:val="20"/>
                <w:color w:val="auto"/>
              </w:rPr>
            </w:pPr>
            <w:r>
              <w:rPr>
                <w:rFonts w:ascii="Arial" w:cs="Arial" w:eastAsia="Arial" w:hAnsi="Arial"/>
                <w:sz w:val="18"/>
                <w:szCs w:val="18"/>
                <w:color w:val="auto"/>
              </w:rPr>
              <w:t>2</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5"/>
        </w:trPr>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2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790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56,671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46,904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14,602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14,216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95,859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116,706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95,807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$179,915; $189,134 and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$184,606, respectively</w:t>
            </w:r>
          </w:p>
        </w:tc>
        <w:tc>
          <w:tcPr>
            <w:tcW w:w="1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69,562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71,459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169,017</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192,102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211,165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Borders>
              <w:right w:val="single" w:sz="8" w:color="CCEEFF"/>
            </w:tcBorders>
            <w:gridSpan w:val="3"/>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33,517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38,984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Gift cards and customer deposits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23,092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30,849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70,706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86,203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67,767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7"/>
              </w:rPr>
              <w:t>Preferred stock, par value $0.01, Shares authorized: 15,000,000; No shares</w:t>
            </w:r>
          </w:p>
        </w:tc>
        <w:tc>
          <w:tcPr>
            <w:tcW w:w="160" w:type="dxa"/>
            <w:vAlign w:val="bottom"/>
            <w:shd w:val="clear" w:color="auto" w:fill="CCEEFF"/>
          </w:tcPr>
          <w:p>
            <w:pPr>
              <w:spacing w:after="0"/>
              <w:rPr>
                <w:sz w:val="17"/>
                <w:szCs w:val="17"/>
                <w:color w:val="auto"/>
              </w:rPr>
            </w:pPr>
          </w:p>
        </w:tc>
        <w:tc>
          <w:tcPr>
            <w:tcW w:w="1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8"/>
              </w:rPr>
              <w:t>issued or outstanding at September 28, 2013, December 29, 2012 and</w:t>
            </w: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September 29, 2012</w:t>
            </w:r>
          </w:p>
        </w:tc>
        <w:tc>
          <w:tcPr>
            <w:tcW w:w="160" w:type="dxa"/>
            <w:vAlign w:val="bottom"/>
            <w:shd w:val="clear" w:color="auto" w:fill="CCEEFF"/>
          </w:tcPr>
          <w:p>
            <w:pPr>
              <w:spacing w:after="0"/>
              <w:rPr>
                <w:sz w:val="20"/>
                <w:szCs w:val="20"/>
                <w:color w:val="auto"/>
              </w:rPr>
            </w:pPr>
          </w:p>
        </w:tc>
        <w:tc>
          <w:tcPr>
            <w:tcW w:w="13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480"/>
              <w:spacing w:after="0" w:line="201" w:lineRule="exact"/>
              <w:rPr>
                <w:sz w:val="20"/>
                <w:szCs w:val="20"/>
                <w:color w:val="auto"/>
              </w:rPr>
            </w:pPr>
            <w:r>
              <w:rPr>
                <w:rFonts w:ascii="Arial" w:cs="Arial" w:eastAsia="Arial" w:hAnsi="Arial"/>
                <w:sz w:val="18"/>
                <w:szCs w:val="18"/>
                <w:color w:val="auto"/>
                <w:w w:val="96"/>
              </w:rPr>
              <w:t>Common stock, par value $0.01, Shares authorized: 50,000,000; Issued and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w w:val="94"/>
              </w:rPr>
              <w:t>outstanding: 17,364,772; 17,068,182 and 17,351,904 shares, respectively</w:t>
            </w:r>
          </w:p>
        </w:tc>
        <w:tc>
          <w:tcPr>
            <w:tcW w:w="1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(7,683)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77,769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83,137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120,948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169,017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192,102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8"/>
              </w:rPr>
              <w:t>Thirteen weeks ended</w:t>
            </w:r>
          </w:p>
        </w:tc>
        <w:tc>
          <w:tcPr>
            <w:tcW w:w="200" w:type="dxa"/>
            <w:vAlign w:val="bottom"/>
          </w:tcPr>
          <w:p>
            <w:pPr>
              <w:spacing w:after="0"/>
              <w:rPr>
                <w:sz w:val="20"/>
                <w:szCs w:val="20"/>
                <w:color w:val="auto"/>
              </w:rPr>
            </w:pPr>
          </w:p>
        </w:tc>
        <w:tc>
          <w:tcPr>
            <w:tcW w:w="24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Borders>
              <w:top w:val="single" w:sz="8" w:color="auto"/>
            </w:tcBorders>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89"/>
              </w:rPr>
              <w:t>September 28,</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200" w:type="dxa"/>
            <w:vAlign w:val="bottom"/>
          </w:tcPr>
          <w:p>
            <w:pPr>
              <w:spacing w:after="0"/>
              <w:rPr>
                <w:sz w:val="16"/>
                <w:szCs w:val="16"/>
                <w:color w:val="auto"/>
              </w:rPr>
            </w:pPr>
          </w:p>
        </w:tc>
        <w:tc>
          <w:tcPr>
            <w:tcW w:w="12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28,</w:t>
            </w: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30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83,580</w:t>
            </w:r>
          </w:p>
        </w:tc>
        <w:tc>
          <w:tcPr>
            <w:tcW w:w="12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84,263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266,906</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Franchise fees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84,812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85,971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270,979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262,754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Cost of merchandise sold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53,887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161,837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36,573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116,455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Interest expense (income), net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costs and expenses</w:t>
            </w: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85,956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before income taxes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Income tax expense (benefit)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640"/>
              <w:spacing w:after="0"/>
              <w:rPr>
                <w:sz w:val="20"/>
                <w:szCs w:val="20"/>
                <w:color w:val="auto"/>
              </w:rPr>
            </w:pPr>
            <w:r>
              <w:rPr>
                <w:rFonts w:ascii="Arial" w:cs="Arial" w:eastAsia="Arial" w:hAnsi="Arial"/>
                <w:sz w:val="18"/>
                <w:szCs w:val="18"/>
                <w:color w:val="auto"/>
              </w:rPr>
              <w:t>Comprehensive loss</w:t>
            </w:r>
          </w:p>
        </w:tc>
        <w:tc>
          <w:tcPr>
            <w:tcW w:w="130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(2,189)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(7,719)</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(9,675)</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Loss per common share: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3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1300" w:type="dxa"/>
            <w:vAlign w:val="bottom"/>
            <w:gridSpan w:val="2"/>
          </w:tcPr>
          <w:p>
            <w:pPr>
              <w:jc w:val="right"/>
              <w:ind w:right="57"/>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(0.08)</w:t>
            </w:r>
          </w:p>
        </w:tc>
        <w:tc>
          <w:tcPr>
            <w:tcW w:w="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(0.26)</w:t>
            </w: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(0.46)</w:t>
            </w:r>
          </w:p>
        </w:tc>
        <w:tc>
          <w:tcPr>
            <w:tcW w:w="2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16,531,240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16,473,114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16,407,668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16,323,630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16,531,240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16,473,114</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16,407,668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16,323,630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September 28,</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(7,559)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from investment in affiliate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Impairment of store assets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credit utilization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(9,656)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Lease related liabilities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Gift cards and customer deposits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Purchases of other assets and other intangible assets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or maturitiy of short term investments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Investment in unconsolidated affiliate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Cash used in investing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Exercise of employee stock options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Cash provided by financing activities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(31,369)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13,802</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29, 2012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As a toy retailer, the Company’s sales are highest in the fourth quarter, followed by the first quarter. The timing of holidays and school vacations can impact quarterly results.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29, 2012 that were included in the Company’s annual report on Form 10-K filed with the SEC on March 14, 2013.</w:t>
      </w:r>
    </w:p>
    <w:p>
      <w:pPr>
        <w:spacing w:after="0" w:line="16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first quarter of fiscal 2013, the Company adopted new accounting guidance with regard to the presentation and disclosure of accumulated other comprehensive income (loss) in accordance with Accounting Standards Update 2013-02. The adoption of this guidance impacted only the presentation and disclosure of accumulated other comprehensive income (loss).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Current Assets</w:t>
      </w:r>
    </w:p>
    <w:p>
      <w:pPr>
        <w:spacing w:after="0" w:line="2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December 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September 29,</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14,602</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14,216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13,569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2012, the Company initiated a turnaround plan that includes the closure of a number of stores. The Company considers a more likely than not assessment that an individual location will close as a triggering event to review the store asset group for recoverability. As a result of these quarterly reviews in fiscal 2013,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estimated future cash flows for each asset group, and asset impairment charges of $-0- and $0.6 million were recorded in the thirteen and thirty-nine weeks ended September 28, 2013, respectively, and are included in selling, general and administrative expenses as a component of loss before income taxes in the Retail segment. The inputs used to determine the fair value of the assets are Level 3 inputs as defined by ASC section 820-10. Any remaining net book value is depreciated over the shortened expected life. The thirteen and thirty-nine weeks ended September 29, 2012, included similar impairment charges of $0.1 million and $0.3 million, respectively.</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4. Accrued Expenses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5720" w:type="dxa"/>
            <w:vAlign w:val="bottom"/>
            <w:gridSpan w:val="2"/>
          </w:tcPr>
          <w:p>
            <w:pPr>
              <w:ind w:left="80"/>
              <w:spacing w:after="0"/>
              <w:rPr>
                <w:sz w:val="20"/>
                <w:szCs w:val="20"/>
                <w:color w:val="auto"/>
              </w:rPr>
            </w:pPr>
            <w:r>
              <w:rPr>
                <w:rFonts w:ascii="Arial" w:cs="Arial" w:eastAsia="Arial" w:hAnsi="Arial"/>
                <w:sz w:val="18"/>
                <w:szCs w:val="18"/>
                <w:color w:val="auto"/>
              </w:rPr>
              <w:t>Accrued expenses consist of the following (in thousands):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4"/>
        </w:trPr>
        <w:tc>
          <w:tcPr>
            <w:tcW w:w="5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28,</w:t>
            </w:r>
          </w:p>
        </w:tc>
        <w:tc>
          <w:tcPr>
            <w:tcW w:w="1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29,</w:t>
            </w: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29,</w:t>
            </w:r>
          </w:p>
        </w:tc>
      </w:tr>
      <w:tr>
        <w:trPr>
          <w:trHeight w:val="234"/>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Sales tax payable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5,216</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r>
      <w:tr>
        <w:trPr>
          <w:trHeight w:val="216"/>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50"/>
        </w:trPr>
        <w:tc>
          <w:tcPr>
            <w:tcW w:w="5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the balances and activity for restricted stock and stock options for the thirty-nine weeks ended September 28, 2013:</w:t>
      </w:r>
    </w:p>
    <w:p>
      <w:pPr>
        <w:spacing w:after="0" w:line="27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Restricted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Stock</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Options</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29, 2012</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860,325</w:t>
            </w:r>
          </w:p>
        </w:tc>
        <w:tc>
          <w:tcPr>
            <w:tcW w:w="1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1,155,239</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459,140</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498,318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397,368</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Exercised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126,609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34,315</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Pr>
          <w:p>
            <w:pPr>
              <w:jc w:val="right"/>
              <w:spacing w:after="0"/>
              <w:rPr>
                <w:sz w:val="20"/>
                <w:szCs w:val="20"/>
                <w:color w:val="auto"/>
              </w:rPr>
            </w:pPr>
            <w:r>
              <w:rPr>
                <w:rFonts w:ascii="Arial" w:cs="Arial" w:eastAsia="Arial" w:hAnsi="Arial"/>
                <w:sz w:val="18"/>
                <w:szCs w:val="18"/>
                <w:color w:val="auto"/>
              </w:rPr>
              <w:t>137,600</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343,956</w:t>
            </w:r>
          </w:p>
        </w:tc>
      </w:tr>
      <w:tr>
        <w:trPr>
          <w:trHeight w:val="25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28, 2013</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750,182</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1,152,800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thirteen and thirty-nine weeks ended September 28, 2013, selling, general and administrative expense includes $0.7 million and $2.3 million, respectively, of stock-based compensation expense. For the thirteen and thirty-nine weeks ended September 29, 2012 selling, general and administrative expense includes $0.8 million and $2.8 million, respectively, of stock-based compensation expense. As of September 28, 2013, there was $4.0 million of total unrecognized compensation expense related to nonvested restricted stock and option awards which is expected to be recognized over a weighted-average period of 1.6 years.</w:t>
      </w:r>
    </w:p>
    <w:p>
      <w:pPr>
        <w:spacing w:after="0" w:line="21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total fair value of shares vested during the thirty-nine weeks ended September 28, 2013 and September 29, 2012 was $2.2 million and $4.3 million, respectively.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6. Loss per Share</w:t>
      </w:r>
    </w:p>
    <w:p>
      <w:pPr>
        <w:spacing w:after="0" w:line="256"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Company uses the two-class method to compute basic and diluted loss per common share. In periods of net loss, no effect is given to the Company’s participating securities as they do not contractually participate in the losses of the Company. The following table sets forth the computation of basic and diluted earnings per share (in thousands, except share and per share data):</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Pr>
          <w:p>
            <w:pPr>
              <w:spacing w:after="0"/>
              <w:rPr>
                <w:sz w:val="20"/>
                <w:szCs w:val="20"/>
                <w:color w:val="auto"/>
              </w:rPr>
            </w:pPr>
          </w:p>
        </w:tc>
        <w:tc>
          <w:tcPr>
            <w:tcW w:w="24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6"/>
              </w:rPr>
              <w:t>Thirty-nine weeks ended</w:t>
            </w: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1400" w:type="dxa"/>
            <w:vAlign w:val="bottom"/>
            <w:tcBorders>
              <w:top w:val="single" w:sz="8" w:color="auto"/>
            </w:tcBorders>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September 28,</w:t>
            </w:r>
          </w:p>
        </w:tc>
        <w:tc>
          <w:tcPr>
            <w:tcW w:w="11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29,</w:t>
            </w:r>
          </w:p>
        </w:tc>
        <w:tc>
          <w:tcPr>
            <w:tcW w:w="220" w:type="dxa"/>
            <w:vAlign w:val="bottom"/>
          </w:tcPr>
          <w:p>
            <w:pPr>
              <w:spacing w:after="0"/>
              <w:rPr>
                <w:sz w:val="16"/>
                <w:szCs w:val="16"/>
                <w:color w:val="auto"/>
              </w:rPr>
            </w:pPr>
          </w:p>
        </w:tc>
        <w:tc>
          <w:tcPr>
            <w:tcW w:w="1400" w:type="dxa"/>
            <w:vAlign w:val="bottom"/>
            <w:tcBorders>
              <w:top w:val="single" w:sz="8" w:color="auto"/>
            </w:tcBorders>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September 28,</w:t>
            </w:r>
          </w:p>
        </w:tc>
        <w:tc>
          <w:tcPr>
            <w:tcW w:w="12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September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loss before allocation of earnings to participating securities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(1,354)</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(7,559)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(12,820)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160"/>
              <w:spacing w:after="0"/>
              <w:rPr>
                <w:sz w:val="20"/>
                <w:szCs w:val="20"/>
                <w:color w:val="auto"/>
              </w:rPr>
            </w:pPr>
            <w:r>
              <w:rPr>
                <w:rFonts w:ascii="Arial" w:cs="Arial" w:eastAsia="Arial" w:hAnsi="Arial"/>
                <w:sz w:val="18"/>
                <w:szCs w:val="18"/>
                <w:color w:val="auto"/>
              </w:rPr>
              <w:t>Net loss after allocation of earnings to participating securities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(1,354)</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(7,559)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(12,820)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Weighted average number of common shares outstanding - basic</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16,531,240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16,473,114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16,407,668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16,323,630</w:t>
            </w:r>
          </w:p>
        </w:tc>
        <w:tc>
          <w:tcPr>
            <w:tcW w:w="0" w:type="dxa"/>
            <w:vAlign w:val="bottom"/>
          </w:tcPr>
          <w:p>
            <w:pPr>
              <w:spacing w:after="0"/>
              <w:rPr>
                <w:sz w:val="1"/>
                <w:szCs w:val="1"/>
                <w:color w:val="auto"/>
              </w:rPr>
            </w:pPr>
          </w:p>
        </w:tc>
      </w:tr>
      <w:tr>
        <w:trPr>
          <w:trHeight w:val="216"/>
        </w:trPr>
        <w:tc>
          <w:tcPr>
            <w:tcW w:w="532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Weighted average number of common shares outstanding - dilutive</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16,531,240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16,473,114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16,407,668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16,323,630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line="182" w:lineRule="exact"/>
              <w:rPr>
                <w:sz w:val="20"/>
                <w:szCs w:val="20"/>
                <w:color w:val="auto"/>
              </w:rPr>
            </w:pPr>
            <w:r>
              <w:rPr>
                <w:rFonts w:ascii="Arial" w:cs="Arial" w:eastAsia="Arial" w:hAnsi="Arial"/>
                <w:sz w:val="18"/>
                <w:szCs w:val="18"/>
                <w:color w:val="auto"/>
                <w:w w:val="96"/>
              </w:rPr>
              <w:t>Basic loss per common share attributable to Build-A-Bear Workshop,</w:t>
            </w:r>
          </w:p>
        </w:tc>
        <w:tc>
          <w:tcPr>
            <w:tcW w:w="220" w:type="dxa"/>
            <w:vAlign w:val="bottom"/>
            <w:vMerge w:val="restart"/>
          </w:tcPr>
          <w:p>
            <w:pPr>
              <w:jc w:val="right"/>
              <w:ind w:right="62"/>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(0.08)</w:t>
            </w:r>
          </w:p>
        </w:tc>
        <w:tc>
          <w:tcPr>
            <w:tcW w:w="240" w:type="dxa"/>
            <w:vAlign w:val="bottom"/>
            <w:vMerge w:val="restart"/>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(0.26)</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(0.46)</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190"/>
        </w:trPr>
        <w:tc>
          <w:tcPr>
            <w:tcW w:w="5320" w:type="dxa"/>
            <w:vAlign w:val="bottom"/>
          </w:tcPr>
          <w:p>
            <w:pPr>
              <w:ind w:left="160"/>
              <w:spacing w:after="0" w:line="190" w:lineRule="exact"/>
              <w:rPr>
                <w:sz w:val="20"/>
                <w:szCs w:val="20"/>
                <w:color w:val="auto"/>
              </w:rPr>
            </w:pPr>
            <w:r>
              <w:rPr>
                <w:rFonts w:ascii="Arial" w:cs="Arial" w:eastAsia="Arial" w:hAnsi="Arial"/>
                <w:sz w:val="18"/>
                <w:szCs w:val="18"/>
                <w:color w:val="auto"/>
              </w:rPr>
              <w:t>Inc. stockholders:</w:t>
            </w:r>
          </w:p>
        </w:tc>
        <w:tc>
          <w:tcPr>
            <w:tcW w:w="2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Diluted loss per common share attributable to Build-A-Bear Workshop,</w:t>
            </w:r>
          </w:p>
        </w:tc>
        <w:tc>
          <w:tcPr>
            <w:tcW w:w="220" w:type="dxa"/>
            <w:vAlign w:val="bottom"/>
            <w:vMerge w:val="restart"/>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240" w:type="dxa"/>
            <w:vAlign w:val="bottom"/>
            <w:vMerge w:val="restart"/>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Inc. stockholders</w:t>
            </w:r>
          </w:p>
        </w:tc>
        <w:tc>
          <w:tcPr>
            <w:tcW w:w="2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thirteen and thirty-nine weeks ended September 28, 2013, options to purchase 1,152,800 shares of common stock were excluded from the denominator for diluted loss per common share because of their anti-dilutive effect. For the thirteen thirty-nine weeks ended September 29, 2012, options to purchase 1,166,350 shares of common stock were excluded from the denominator for diluted loss per common share because of their anti-dilutive effect.</w:t>
      </w:r>
    </w:p>
    <w:p>
      <w:pPr>
        <w:spacing w:after="0" w:line="17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Due to the net loss for thirteen and thirty-nine weeks ended September 28, 2013 and September 29, 2012, the denominator for diluted loss per common share is the same as the denominator for basic loss per common share for those periods because the inclusion of stock options and unvested restricted shares would be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prior years, the Company recorded a valuation allowance on substantially all of its deferred tax assets. The effective tax rate was (18.4)% and (5.8)% for the thirteen and thirty-nine weeks ended September 28, 2013, respectively compared to 4.5% and 7.7% for the thirteen and thirty-nine weeks ended September 29,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Loss</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September 28, 2013 and December 29, 2012 is comprised entirely of foreign currency translation. For the thirteen and thirty-nine weeks ended September 28, 2013 and September 29, 2012, there were no reclassifications out of accumulated other comprehensive loss.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commercial and international franchising. The retail segment includes the operating activities of company-owned stores in the United States, Canada, the United Kingdom and Ireland and other retail delivery operations, including the Company’s web store, pop-up stores and non-traditional store locations such as baseball parks.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United Kingdom and Ireland, Asia, Australia, the Middle East, Africa, Mexico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International</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Retail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Franchising</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September 28, 2013</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83,580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September 29, 2012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84,263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September 28, 2013</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266,906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September 29, 2012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258,452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September 28, 2013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159,529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6,370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29, 2012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199,612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211,165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America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Europe (2)</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Other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September 28, 2013</w:t>
            </w:r>
          </w:p>
        </w:tc>
        <w:tc>
          <w:tcPr>
            <w:tcW w:w="1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66,870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17,484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8,221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Thirteen weeks ended September 29, 2012</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62,644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11,110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Thirty-nine weeks ended September 28, 2013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219,776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61,341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8,221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September 29, 2012</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214,157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47,236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73,754</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and franchise businesses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10. Contingencies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intended to make an assessment for unpaid duty, penalties and interest. The assessment was made in 2013. The Company has appealed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 Since the date of the notification in the third quarter of fiscal 2012, the Company has been required to pay the disputed duty, pending resolution of the appeal. As of September 28, 2013, $2.7 million had been paid in respect of the disputed duty and is included in receivables in the Retail segment.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the period from September 29, 2013 through November 5, 2013, the Company repurchased approximately 28,000 shares of its common stock for an aggregate amount of $0.2 million, leaving $7.1 million of availability under the program.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and we undertake no obligation to update these statements except as required by federal securities laws. These risks and uncertainties include, without limitation, those detailed under the captions “Risk Factors” and "Forward-Looking Statements" in our annual report on Form 10-K for the year ended December 29, 2012, as filed with the SEC on March 14, 2013, and the following:</w:t>
      </w:r>
    </w:p>
    <w:p>
      <w:pPr>
        <w:spacing w:after="0" w:line="188" w:lineRule="exact"/>
        <w:rPr>
          <w:sz w:val="20"/>
          <w:szCs w:val="20"/>
          <w:color w:val="auto"/>
        </w:rPr>
      </w:pPr>
    </w:p>
    <w:p>
      <w:pPr>
        <w:ind w:left="820" w:right="560" w:hanging="407"/>
        <w:spacing w:after="0" w:line="25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continue to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820" w:right="6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comparable store sales growth;</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operate our company-owned stores in the United Kingdom and Ireland profitably;</w:t>
      </w:r>
    </w:p>
    <w:p>
      <w:pPr>
        <w:spacing w:after="0" w:line="9" w:lineRule="exact"/>
        <w:rPr>
          <w:rFonts w:ascii="Arial" w:cs="Arial" w:eastAsia="Arial" w:hAnsi="Arial"/>
          <w:sz w:val="18"/>
          <w:szCs w:val="18"/>
          <w:color w:val="auto"/>
        </w:rPr>
      </w:pPr>
    </w:p>
    <w:p>
      <w:pPr>
        <w:ind w:left="820" w:right="34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820" w:right="28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820" w:right="46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could become subject to recalls or product liability claims that could adversely impact our financial performance and harm our reputation among consumers;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adversely affect our profitability;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820" w:right="80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improperly obtain or be unable to adequately protect customer information in violation of privacy or security laws or customer expectations;</w:t>
      </w:r>
    </w:p>
    <w:p>
      <w:pPr>
        <w:ind w:left="820" w:hanging="407"/>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suffer negative publicity or be sued due to violations of labor laws or unethical practices by manufacturers of our merchandise;</w:t>
      </w:r>
    </w:p>
    <w:p>
      <w:pPr>
        <w:spacing w:after="0" w:line="20" w:lineRule="exact"/>
        <w:rPr>
          <w:rFonts w:ascii="Arial" w:cs="Arial" w:eastAsia="Arial" w:hAnsi="Arial"/>
          <w:sz w:val="17"/>
          <w:szCs w:val="17"/>
          <w:color w:val="auto"/>
        </w:rPr>
      </w:pPr>
    </w:p>
    <w:p>
      <w:pPr>
        <w:ind w:left="820" w:right="58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820" w:right="4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operate our company-owned distribution center efficiently or our third-party distribution center providers may perform poorly;</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820" w:right="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820" w:right="40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repurchase shares of our common stock at the times or in the amounts we currently anticipate or the results of the share repurchase program may not be as beneficial as we currently anticipate; and</w:t>
      </w:r>
    </w:p>
    <w:p>
      <w:pPr>
        <w:ind w:left="820" w:hanging="407"/>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corporate structure and Delaware law may prevent or frustrate attempts to replace or remove our current management by our stockholders.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primarily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t>Build-A-Bear Workshop is in a turnaround phase as we work to improve store productivity and profitability. We are taking actions to change our business dynamics with a reinvented store design, aggressive repositioning of our portfolio of stores, including closures and remodels that will reduce square footage, and a rebalancing of our marketing to include higher levels of brand advertising. We currently expect to have approximately 310 company-owned stores at the end of 2014, 250 stores in North America and 60 stores in the United Kingdom and Ireland. We believe the actions we are taking will result in improvements in productivity and profitability and, ultimately, stakeholder value. We also believe there are additional international growth opportunities, primarily through existing and new franchises.</w:t>
      </w:r>
    </w:p>
    <w:p>
      <w:pPr>
        <w:spacing w:after="0" w:line="19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of September 28, 2013, we operated 254 traditional stores and six non-traditional stores in United States, Canada and Puerto Rico (collectively, North America), 60 traditional stores in the United Kingdom and Ireland (collectively, Europe) and had 85 franchised stores operating internationally under the Build-A-Bear Workshop brand. Non-traditional store locations include stores in a Major League Baseball® stadium, a zoo and an airport, as well as temporary pop-up locations. In order to capitalize on short-term opportunities in specific locations, we have selectively opened temporary, pop-up locations. In addition to our stores, we market our products and build our brand through our Web sites.</w:t>
      </w:r>
    </w:p>
    <w:p>
      <w:pPr>
        <w:spacing w:after="0" w:line="2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operate in three reportable segments (retail, commercial and international franchising) that share the same infrastructure, including management, systems, merchandising and marketing, and generate revenues as follows:</w:t>
      </w:r>
    </w:p>
    <w:p>
      <w:pPr>
        <w:spacing w:after="0" w:line="197" w:lineRule="exact"/>
        <w:rPr>
          <w:sz w:val="20"/>
          <w:szCs w:val="20"/>
          <w:color w:val="auto"/>
        </w:rPr>
      </w:pPr>
    </w:p>
    <w:p>
      <w:pPr>
        <w:ind w:left="880" w:right="240" w:hanging="318"/>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 Company-owned traditional and non-traditional retail stores located in North America and Europe and e-commerce Web sites or “web stores”;</w:t>
      </w:r>
    </w:p>
    <w:p>
      <w:pPr>
        <w:spacing w:after="0" w:line="170" w:lineRule="exact"/>
        <w:rPr>
          <w:rFonts w:ascii="Arial" w:cs="Arial" w:eastAsia="Arial" w:hAnsi="Arial"/>
          <w:sz w:val="18"/>
          <w:szCs w:val="18"/>
          <w:color w:val="auto"/>
        </w:rPr>
      </w:pPr>
    </w:p>
    <w:p>
      <w:pPr>
        <w:ind w:left="880" w:right="620" w:hanging="318"/>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 Transactions with other business partners, mainly comprised of licensing our intellectual property, including entertainment properties, for third-party use and wholesale product sales; and</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thirty-nine weeks ended September 28, 2013 and September 29, 2012 are set forth in the notes to our condensed consolidated financial statements included elsewhere in this quarterly report on Form 10-Q.</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comparable store sales as one of the performance measures for our business. Comparable store sales percentage changes are based on net retail sales, excluding our web store and seasonal and event-based locations. Stores are considered comparable beginning in their thirteenth full month of operation. Stores with relocations or remodels that result in a significant change in square footage are excluded from the comparable stores sales calculation until the thirteenth full month of operation after the change. The percentage change in comparable store sales for the periods presented below is as follows: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7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Pr>
          <w:p>
            <w:pPr>
              <w:spacing w:after="0"/>
              <w:rPr>
                <w:sz w:val="20"/>
                <w:szCs w:val="20"/>
                <w:color w:val="auto"/>
              </w:rPr>
            </w:pPr>
          </w:p>
        </w:tc>
        <w:tc>
          <w:tcPr>
            <w:tcW w:w="262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Thirty-nine weeks ended</w:t>
            </w: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4"/>
              </w:rPr>
              <w:t>September 28,</w:t>
            </w:r>
          </w:p>
        </w:tc>
        <w:tc>
          <w:tcPr>
            <w:tcW w:w="20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220" w:type="dxa"/>
            <w:vAlign w:val="bottom"/>
          </w:tcPr>
          <w:p>
            <w:pPr>
              <w:spacing w:after="0"/>
              <w:rPr>
                <w:sz w:val="16"/>
                <w:szCs w:val="16"/>
                <w:color w:val="auto"/>
              </w:rPr>
            </w:pPr>
          </w:p>
        </w:tc>
        <w:tc>
          <w:tcPr>
            <w:tcW w:w="1220" w:type="dxa"/>
            <w:vAlign w:val="bottom"/>
          </w:tcPr>
          <w:p>
            <w:pPr>
              <w:ind w:left="60"/>
              <w:spacing w:after="0" w:line="191" w:lineRule="exact"/>
              <w:rPr>
                <w:sz w:val="20"/>
                <w:szCs w:val="20"/>
                <w:color w:val="auto"/>
              </w:rPr>
            </w:pPr>
            <w:r>
              <w:rPr>
                <w:rFonts w:ascii="Arial" w:cs="Arial" w:eastAsia="Arial" w:hAnsi="Arial"/>
                <w:sz w:val="18"/>
                <w:szCs w:val="18"/>
                <w:b w:val="1"/>
                <w:bCs w:val="1"/>
                <w:color w:val="auto"/>
                <w:w w:val="92"/>
              </w:rPr>
              <w:t>September 28,</w:t>
            </w:r>
          </w:p>
        </w:tc>
        <w:tc>
          <w:tcPr>
            <w:tcW w:w="180" w:type="dxa"/>
            <w:vAlign w:val="bottom"/>
          </w:tcPr>
          <w:p>
            <w:pPr>
              <w:spacing w:after="0"/>
              <w:rPr>
                <w:sz w:val="16"/>
                <w:szCs w:val="16"/>
                <w:color w:val="auto"/>
              </w:rPr>
            </w:pPr>
          </w:p>
        </w:tc>
        <w:tc>
          <w:tcPr>
            <w:tcW w:w="1220" w:type="dxa"/>
            <w:vAlign w:val="bottom"/>
          </w:tcPr>
          <w:p>
            <w:pPr>
              <w:ind w:left="80"/>
              <w:spacing w:after="0" w:line="191" w:lineRule="exact"/>
              <w:rPr>
                <w:sz w:val="20"/>
                <w:szCs w:val="20"/>
                <w:color w:val="auto"/>
              </w:rPr>
            </w:pPr>
            <w:r>
              <w:rPr>
                <w:rFonts w:ascii="Arial" w:cs="Arial" w:eastAsia="Arial" w:hAnsi="Arial"/>
                <w:sz w:val="18"/>
                <w:szCs w:val="18"/>
                <w:b w:val="1"/>
                <w:bCs w:val="1"/>
                <w:color w:val="auto"/>
                <w:w w:val="90"/>
              </w:rPr>
              <w:t>September 29,</w:t>
            </w: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7.6%</w:t>
            </w:r>
          </w:p>
        </w:tc>
        <w:tc>
          <w:tcPr>
            <w:tcW w:w="14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(11.8)%</w:t>
            </w: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9.1%</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Europe</w:t>
            </w: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2.3%</w:t>
            </w:r>
          </w:p>
        </w:tc>
        <w:tc>
          <w:tcPr>
            <w:tcW w:w="1440" w:type="dxa"/>
            <w:vAlign w:val="bottom"/>
            <w:gridSpan w:val="2"/>
          </w:tcPr>
          <w:p>
            <w:pPr>
              <w:jc w:val="center"/>
              <w:ind w:left="250"/>
              <w:spacing w:after="0"/>
              <w:rPr>
                <w:sz w:val="20"/>
                <w:szCs w:val="20"/>
                <w:color w:val="auto"/>
              </w:rPr>
            </w:pPr>
            <w:r>
              <w:rPr>
                <w:rFonts w:ascii="Arial" w:cs="Arial" w:eastAsia="Arial" w:hAnsi="Arial"/>
                <w:sz w:val="18"/>
                <w:szCs w:val="18"/>
                <w:color w:val="auto"/>
                <w:w w:val="94"/>
              </w:rPr>
              <w:t>(7.9)%</w:t>
            </w:r>
          </w:p>
        </w:tc>
        <w:tc>
          <w:tcPr>
            <w:tcW w:w="1440" w:type="dxa"/>
            <w:vAlign w:val="bottom"/>
            <w:gridSpan w:val="2"/>
          </w:tcPr>
          <w:p>
            <w:pPr>
              <w:ind w:left="680"/>
              <w:spacing w:after="0"/>
              <w:rPr>
                <w:sz w:val="20"/>
                <w:szCs w:val="20"/>
                <w:color w:val="auto"/>
              </w:rPr>
            </w:pPr>
            <w:r>
              <w:rPr>
                <w:rFonts w:ascii="Arial" w:cs="Arial" w:eastAsia="Arial" w:hAnsi="Arial"/>
                <w:sz w:val="18"/>
                <w:szCs w:val="18"/>
                <w:b w:val="1"/>
                <w:bCs w:val="1"/>
                <w:color w:val="auto"/>
              </w:rPr>
              <w:t>4.6%</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12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6.4%</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8.2%</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32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attribute the increase in comparable store sales for the periods presented primarily to impact of our brand marketing and product strategies which have improved results in our overall store base and our real estate optimization strategies which have driven sales in selective markets impacted by store closures and remodels.</w:t>
      </w:r>
    </w:p>
    <w:p>
      <w:pPr>
        <w:spacing w:after="0" w:line="208" w:lineRule="exact"/>
        <w:rPr>
          <w:sz w:val="20"/>
          <w:szCs w:val="20"/>
          <w:color w:val="auto"/>
        </w:rPr>
      </w:pPr>
    </w:p>
    <w:p>
      <w:pPr>
        <w:ind w:left="760" w:right="42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the growth in our base business accounted for approximately 70% of the overall comparable store sales increases in the 2013 third quarter and 80% in the year to date period driven by:</w:t>
      </w:r>
    </w:p>
    <w:p>
      <w:pPr>
        <w:spacing w:after="0" w:line="197" w:lineRule="exact"/>
        <w:rPr>
          <w:rFonts w:ascii="Arial" w:cs="Arial" w:eastAsia="Arial" w:hAnsi="Arial"/>
          <w:sz w:val="18"/>
          <w:szCs w:val="18"/>
          <w:color w:val="auto"/>
        </w:rPr>
      </w:pPr>
    </w:p>
    <w:p>
      <w:pPr>
        <w:jc w:val="both"/>
        <w:ind w:left="1160" w:right="180" w:hanging="382"/>
        <w:spacing w:after="0" w:line="264"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brand building marketing initiatives, including national television advertising in the United States, and intensified communication with moms, along with a good balance of proprietary and licensed product which we believe increased traffic to our stores and contributed to the increase in transactions;</w:t>
      </w:r>
    </w:p>
    <w:p>
      <w:pPr>
        <w:spacing w:after="0" w:line="208" w:lineRule="exact"/>
        <w:rPr>
          <w:rFonts w:ascii="Arial" w:cs="Arial" w:eastAsia="Arial" w:hAnsi="Arial"/>
          <w:sz w:val="18"/>
          <w:szCs w:val="18"/>
          <w:color w:val="auto"/>
        </w:rPr>
      </w:pPr>
    </w:p>
    <w:p>
      <w:pPr>
        <w:ind w:left="1160" w:right="360" w:hanging="382"/>
        <w:spacing w:after="0" w:line="277"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elimination of a significant promotion and related discounts that ran in the 2012 third quarter which contributed to higher transaction value in the 2013 third quarter; and</w:t>
      </w:r>
    </w:p>
    <w:p>
      <w:pPr>
        <w:spacing w:after="0" w:line="197" w:lineRule="exact"/>
        <w:rPr>
          <w:rFonts w:ascii="Arial" w:cs="Arial" w:eastAsia="Arial" w:hAnsi="Arial"/>
          <w:sz w:val="18"/>
          <w:szCs w:val="18"/>
          <w:color w:val="auto"/>
        </w:rPr>
      </w:pPr>
    </w:p>
    <w:p>
      <w:pPr>
        <w:ind w:left="1160" w:right="140" w:hanging="382"/>
        <w:spacing w:after="0" w:line="277"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30% increase in the issuance of gift cards on a consolidated basis during the 2012 fourth quarter, followed by a 19% increase in the first thirty-nine weeks of 2013, which contributed to increased retail sales as the cards were redeemed.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3" w:name="page14"/>
    <w:bookmarkEnd w:id="13"/>
    <w:p>
      <w:pPr>
        <w:ind w:left="760" w:right="20" w:hanging="374"/>
        <w:spacing w:after="0" w:line="276"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believe that our real estate optimization strategies drove the remaining 30% and 20% of the overall comparable store sales increases in the 2013 third quarter and year to date period, respectively. The real estate optimization plans include selective store closures, primarily in North American multi-store markets as well as updates and remodels of selective other stores. Approximately 20% of sales, on average, have transferred from closed stores to remaining stores in the markets in both the 2013 third quarter and year to date periods. Sales in remodeled stores, on average, have increased by approximately 20% in the 2013 third quarter and year to date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working to build on this positive trend in comparable store sales with the following key initiatives:</w:t>
      </w:r>
    </w:p>
    <w:p>
      <w:pPr>
        <w:spacing w:after="0" w:line="225"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aggressively working to increase store traffic and the destination appeal of our stores by:</w:t>
      </w:r>
    </w:p>
    <w:p>
      <w:pPr>
        <w:spacing w:after="0" w:line="225" w:lineRule="exact"/>
        <w:rPr>
          <w:rFonts w:ascii="Arial" w:cs="Arial" w:eastAsia="Arial" w:hAnsi="Arial"/>
          <w:sz w:val="18"/>
          <w:szCs w:val="18"/>
          <w:color w:val="auto"/>
        </w:rPr>
      </w:pPr>
    </w:p>
    <w:p>
      <w:pPr>
        <w:ind w:left="1160" w:right="100" w:hanging="382"/>
        <w:spacing w:after="0" w:line="264"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increasing productivity and profitability of our existing stores through strategic closures, primarily in multi-store markets where we expect to transfer a portion of the closed stores’ sales to remaining stores in the market and the relocation of select other stores with a reduction in square footage thereby improving their productivity;</w:t>
      </w:r>
    </w:p>
    <w:p>
      <w:pPr>
        <w:spacing w:after="0" w:line="181" w:lineRule="exact"/>
        <w:rPr>
          <w:rFonts w:ascii="Arial" w:cs="Arial" w:eastAsia="Arial" w:hAnsi="Arial"/>
          <w:sz w:val="18"/>
          <w:szCs w:val="18"/>
          <w:color w:val="auto"/>
        </w:rPr>
      </w:pPr>
    </w:p>
    <w:p>
      <w:pPr>
        <w:ind w:left="1160" w:hanging="382"/>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enhancing our experience with a new store design; and</w:t>
      </w:r>
    </w:p>
    <w:p>
      <w:pPr>
        <w:spacing w:after="0" w:line="225" w:lineRule="exact"/>
        <w:rPr>
          <w:rFonts w:ascii="Arial" w:cs="Arial" w:eastAsia="Arial" w:hAnsi="Arial"/>
          <w:sz w:val="18"/>
          <w:szCs w:val="18"/>
          <w:color w:val="auto"/>
        </w:rPr>
      </w:pPr>
    </w:p>
    <w:p>
      <w:pPr>
        <w:ind w:left="1160" w:right="320" w:hanging="382"/>
        <w:spacing w:after="0" w:line="277"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increasing shopping frequency by increasing new and repeat guest traffic to our stores through a rebalanced marketing message to include both product and brand.</w:t>
      </w:r>
    </w:p>
    <w:p>
      <w:pPr>
        <w:spacing w:after="0" w:line="170" w:lineRule="exact"/>
        <w:rPr>
          <w:rFonts w:ascii="Arial" w:cs="Arial" w:eastAsia="Arial" w:hAnsi="Arial"/>
          <w:sz w:val="18"/>
          <w:szCs w:val="18"/>
          <w:color w:val="auto"/>
        </w:rPr>
      </w:pPr>
    </w:p>
    <w:p>
      <w:pPr>
        <w:ind w:left="840" w:hanging="454"/>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plan to capitalize on our brand advertising to increase gift card purchases by reminding consumers about the gift of our experience.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and Europe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6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Thirty-nine Weeks Ended September 28, 2013</w:t>
            </w:r>
          </w:p>
        </w:tc>
        <w:tc>
          <w:tcPr>
            <w:tcW w:w="4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Fifty-two Weeks Ended December 28, 2013 - Projected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rPr>
              <w:t>December</w:t>
            </w: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6"/>
              </w:rPr>
              <w:t>September</w:t>
            </w:r>
          </w:p>
        </w:tc>
        <w:tc>
          <w:tcPr>
            <w:tcW w:w="20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December</w:t>
            </w: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rPr>
              <w:t>December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29,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28,</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29,</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Opened</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Closed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Opened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Closed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291</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Europe</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6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Thirty-nine Weeks Ended September 29, 2012</w:t>
            </w:r>
          </w:p>
        </w:tc>
        <w:tc>
          <w:tcPr>
            <w:tcW w:w="4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Fifty-two Weeks Ended December 29,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rPr>
              <w:t>December</w:t>
            </w: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6"/>
              </w:rPr>
              <w:t>September</w:t>
            </w:r>
          </w:p>
        </w:tc>
        <w:tc>
          <w:tcPr>
            <w:tcW w:w="20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December</w:t>
            </w: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rPr>
              <w:t>December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29,</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2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Opened</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Closed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Opened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Closed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Europe</w:t>
            </w: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long term real estate goal is to bring our stores back to best in class productivity and profitability. We currently expect to have approximately 310 Build-A-Bear Workshop stores, 250 in North America and 60 in the United Kingdom and Ireland, at the end of fiscal 2014. We currently expect to reach this level with the closure of 10 to 25 additional stores through 2014, primarily in North America, along with limited, opportunistic store openings. Locations to close and the timing of the closures are subject to ongoing negotiations and overall economic considerations as market repositioning and optimization plans are continually reevaluated.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923" w:gutter="0" w:footer="0" w:header="0"/>
        </w:sectPr>
      </w:pPr>
    </w:p>
    <w:bookmarkStart w:id="14" w:name="page15"/>
    <w:bookmarkEnd w:id="14"/>
    <w:p>
      <w:pPr>
        <w:ind w:right="120"/>
        <w:spacing w:after="0" w:line="257" w:lineRule="auto"/>
        <w:rPr>
          <w:sz w:val="20"/>
          <w:szCs w:val="20"/>
          <w:color w:val="auto"/>
        </w:rPr>
      </w:pPr>
      <w:r>
        <w:rPr>
          <w:rFonts w:ascii="Arial" w:cs="Arial" w:eastAsia="Arial" w:hAnsi="Arial"/>
          <w:sz w:val="18"/>
          <w:szCs w:val="18"/>
          <w:color w:val="auto"/>
        </w:rPr>
        <w:t>Integral to the success of this strategy is the opening of our new store design which gives certain stores destination appeal and increases productivity in the market. The new design merges Build-A-Bear Workshop’s iconic hands-on bear-making process with the power of technology to provide a new, highly interactive experience for our guests. We opened the first store with the new design in the third quarter of fiscal 2012. As of November 5, 2013, we have opened 29 of these stores. On average, sales at these locations have increased by nearly 20%. We plan to have approximately 30 locations in the new design operating by the end of 2013.</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been aggressively renegotiating rents and executing short term extensions to line up lease dates within markets as part of an overall strategic plan to optimize our store locations and market positioning. As part of this strategy, we will continue to close underperforming stores in conjunction with natural lease expirations and kick out clauses, primarily in multi-store markets. In these markets, we have transferred, on average, approximately 20% of the sales from closing stores to other locations in the same market. As of November 5, 2013, we have closed 36 stores in fiscal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52" w:lineRule="exact"/>
        <w:rPr>
          <w:sz w:val="20"/>
          <w:szCs w:val="20"/>
          <w:color w:val="auto"/>
        </w:rPr>
      </w:pPr>
    </w:p>
    <w:p>
      <w:pPr>
        <w:ind w:right="240"/>
        <w:spacing w:after="0" w:line="324" w:lineRule="auto"/>
        <w:rPr>
          <w:sz w:val="20"/>
          <w:szCs w:val="20"/>
          <w:color w:val="auto"/>
        </w:rPr>
      </w:pPr>
      <w:r>
        <w:rPr>
          <w:rFonts w:ascii="Arial" w:cs="Arial" w:eastAsia="Arial" w:hAnsi="Arial"/>
          <w:sz w:val="18"/>
          <w:szCs w:val="18"/>
          <w:color w:val="auto"/>
        </w:rPr>
        <w:t>Our first franchised location opened in November 2003. The number of international, franchised stores for the periods presented below are summarized as follows:</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3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Thirty-nine weeks ended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September</w:t>
            </w:r>
          </w:p>
        </w:tc>
        <w:tc>
          <w:tcPr>
            <w:tcW w:w="140" w:type="dxa"/>
            <w:vAlign w:val="bottom"/>
          </w:tcPr>
          <w:p>
            <w:pPr>
              <w:spacing w:after="0"/>
              <w:rPr>
                <w:sz w:val="16"/>
                <w:szCs w:val="16"/>
                <w:color w:val="auto"/>
              </w:rPr>
            </w:pPr>
          </w:p>
        </w:tc>
        <w:tc>
          <w:tcPr>
            <w:tcW w:w="110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September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28,</w:t>
            </w:r>
          </w:p>
        </w:tc>
        <w:tc>
          <w:tcPr>
            <w:tcW w:w="12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91</w:t>
            </w:r>
          </w:p>
        </w:tc>
        <w:tc>
          <w:tcPr>
            <w:tcW w:w="12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Opened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12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Closed</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(13)</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85</w:t>
            </w:r>
          </w:p>
        </w:tc>
        <w:tc>
          <w:tcPr>
            <w:tcW w:w="12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28, 2013, we had master franchise agreements, which typically grant franchise rights for a particular country or countries, covering 16 countries. We anticipate signing additional master franchise agreements in the future. We currently expect to end fiscal 2013 with 87 franchised locations. We believe there is a market potential for existing and new franchisees to operate approximately 300 franchised stores outside of the United States, Canada, Puerto Rico, the United Kingdom and Ireland.</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58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Pr>
          <w:p>
            <w:pPr>
              <w:spacing w:after="0"/>
              <w:rPr>
                <w:sz w:val="20"/>
                <w:szCs w:val="20"/>
                <w:color w:val="auto"/>
              </w:rPr>
            </w:pPr>
          </w:p>
        </w:tc>
        <w:tc>
          <w:tcPr>
            <w:tcW w:w="26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Thirty-nine weeks ended</w:t>
            </w:r>
          </w:p>
        </w:tc>
        <w:tc>
          <w:tcPr>
            <w:tcW w:w="100" w:type="dxa"/>
            <w:vAlign w:val="bottom"/>
          </w:tcPr>
          <w:p>
            <w:pPr>
              <w:spacing w:after="0"/>
              <w:rPr>
                <w:sz w:val="20"/>
                <w:szCs w:val="20"/>
                <w:color w:val="auto"/>
              </w:rPr>
            </w:pPr>
          </w:p>
        </w:tc>
      </w:tr>
      <w:tr>
        <w:trPr>
          <w:trHeight w:val="191"/>
        </w:trPr>
        <w:tc>
          <w:tcPr>
            <w:tcW w:w="532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September 28,</w:t>
            </w:r>
          </w:p>
        </w:tc>
        <w:tc>
          <w:tcPr>
            <w:tcW w:w="22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22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September 28,</w:t>
            </w:r>
          </w:p>
        </w:tc>
        <w:tc>
          <w:tcPr>
            <w:tcW w:w="20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4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90"/>
              </w:rPr>
              <w:t>98.5%</w:t>
            </w:r>
          </w:p>
        </w:tc>
        <w:tc>
          <w:tcPr>
            <w:tcW w:w="140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98.0%</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98.5%</w:t>
            </w:r>
          </w:p>
        </w:tc>
        <w:tc>
          <w:tcPr>
            <w:tcW w:w="140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98.4%</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0.5</w:t>
            </w:r>
          </w:p>
        </w:tc>
        <w:tc>
          <w:tcPr>
            <w:tcW w:w="14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7"/>
              </w:rPr>
              <w:t>1.1</w:t>
            </w:r>
          </w:p>
        </w:tc>
        <w:tc>
          <w:tcPr>
            <w:tcW w:w="14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7"/>
              </w:rPr>
              <w:t>0.6</w:t>
            </w:r>
          </w:p>
        </w:tc>
        <w:tc>
          <w:tcPr>
            <w:tcW w:w="14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7"/>
              </w:rPr>
              <w:t>0.8</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20"/>
              <w:spacing w:after="0"/>
              <w:rPr>
                <w:sz w:val="20"/>
                <w:szCs w:val="20"/>
                <w:color w:val="auto"/>
              </w:rPr>
            </w:pPr>
            <w:r>
              <w:rPr>
                <w:rFonts w:ascii="Arial" w:cs="Arial" w:eastAsia="Arial" w:hAnsi="Arial"/>
                <w:sz w:val="18"/>
                <w:szCs w:val="18"/>
                <w:color w:val="auto"/>
              </w:rPr>
              <w:t>Franchise fees</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0.9</w:t>
            </w:r>
          </w:p>
        </w:tc>
        <w:tc>
          <w:tcPr>
            <w:tcW w:w="140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0.9</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0.9</w:t>
            </w:r>
          </w:p>
        </w:tc>
        <w:tc>
          <w:tcPr>
            <w:tcW w:w="14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0.9</w:t>
            </w:r>
          </w:p>
        </w:tc>
        <w:tc>
          <w:tcPr>
            <w:tcW w:w="100" w:type="dxa"/>
            <w:vAlign w:val="bottom"/>
          </w:tcPr>
          <w:p>
            <w:pPr>
              <w:spacing w:after="0"/>
              <w:rPr>
                <w:sz w:val="18"/>
                <w:szCs w:val="18"/>
                <w:color w:val="auto"/>
              </w:rPr>
            </w:pPr>
          </w:p>
        </w:tc>
      </w:tr>
      <w:tr>
        <w:trPr>
          <w:trHeight w:val="210"/>
        </w:trPr>
        <w:tc>
          <w:tcPr>
            <w:tcW w:w="5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118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100.0</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100.0</w:t>
            </w: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100.0</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320" w:type="dxa"/>
            <w:vAlign w:val="bottom"/>
          </w:tcPr>
          <w:p>
            <w:pPr>
              <w:ind w:left="320"/>
              <w:spacing w:after="0" w:line="256" w:lineRule="exact"/>
              <w:rPr>
                <w:sz w:val="20"/>
                <w:szCs w:val="20"/>
                <w:color w:val="auto"/>
              </w:rPr>
            </w:pPr>
            <w:r>
              <w:rPr>
                <w:rFonts w:ascii="Arial" w:cs="Arial" w:eastAsia="Arial" w:hAnsi="Arial"/>
                <w:sz w:val="18"/>
                <w:szCs w:val="18"/>
                <w:color w:val="auto"/>
              </w:rPr>
              <w:t xml:space="preserve">Cost of merchandise sold </w:t>
            </w:r>
            <w:r>
              <w:rPr>
                <w:rFonts w:ascii="Arial" w:cs="Arial" w:eastAsia="Arial" w:hAnsi="Arial"/>
                <w:sz w:val="29"/>
                <w:szCs w:val="29"/>
                <w:color w:val="auto"/>
                <w:vertAlign w:val="superscript"/>
              </w:rPr>
              <w:t>(1)</w:t>
            </w: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91"/>
              </w:rPr>
              <w:t>59.7</w:t>
            </w:r>
          </w:p>
        </w:tc>
        <w:tc>
          <w:tcPr>
            <w:tcW w:w="140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63.3</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85"/>
              </w:rPr>
              <w:t>60.3</w:t>
            </w:r>
          </w:p>
        </w:tc>
        <w:tc>
          <w:tcPr>
            <w:tcW w:w="140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62.6</w:t>
            </w:r>
          </w:p>
        </w:tc>
        <w:tc>
          <w:tcPr>
            <w:tcW w:w="100" w:type="dxa"/>
            <w:vAlign w:val="bottom"/>
          </w:tcPr>
          <w:p>
            <w:pPr>
              <w:spacing w:after="0"/>
              <w:rPr>
                <w:sz w:val="22"/>
                <w:szCs w:val="22"/>
                <w:color w:val="auto"/>
              </w:rPr>
            </w:pPr>
          </w:p>
        </w:tc>
      </w:tr>
      <w:tr>
        <w:trPr>
          <w:trHeight w:val="216"/>
        </w:trPr>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42.2</w:t>
            </w:r>
          </w:p>
        </w:tc>
        <w:tc>
          <w:tcPr>
            <w:tcW w:w="14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42.5</w:t>
            </w:r>
          </w:p>
        </w:tc>
        <w:tc>
          <w:tcPr>
            <w:tcW w:w="14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5"/>
              </w:rPr>
              <w:t>43.0</w:t>
            </w:r>
          </w:p>
        </w:tc>
        <w:tc>
          <w:tcPr>
            <w:tcW w:w="14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43.3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20"/>
              <w:spacing w:after="0"/>
              <w:rPr>
                <w:sz w:val="20"/>
                <w:szCs w:val="20"/>
                <w:color w:val="auto"/>
              </w:rPr>
            </w:pPr>
            <w:r>
              <w:rPr>
                <w:rFonts w:ascii="Arial" w:cs="Arial" w:eastAsia="Arial" w:hAnsi="Arial"/>
                <w:sz w:val="18"/>
                <w:szCs w:val="18"/>
                <w:color w:val="auto"/>
              </w:rPr>
              <w:t>Interest expense (income), net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91"/>
              </w:rPr>
              <w:t>(0.0)</w:t>
            </w:r>
          </w:p>
        </w:tc>
        <w:tc>
          <w:tcPr>
            <w:tcW w:w="14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(0.0)</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(0.1)</w:t>
            </w:r>
          </w:p>
        </w:tc>
        <w:tc>
          <w:tcPr>
            <w:tcW w:w="14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8"/>
                <w:szCs w:val="18"/>
                <w:color w:val="auto"/>
              </w:rPr>
            </w:pPr>
          </w:p>
        </w:tc>
      </w:tr>
      <w:tr>
        <w:trPr>
          <w:trHeight w:val="210"/>
        </w:trPr>
        <w:tc>
          <w:tcPr>
            <w:tcW w:w="5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costs and expenses</w:t>
            </w:r>
          </w:p>
        </w:tc>
        <w:tc>
          <w:tcPr>
            <w:tcW w:w="118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101.3</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105.2</w:t>
            </w: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102.6</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105.3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before income taxes</w:t>
            </w:r>
          </w:p>
        </w:tc>
        <w:tc>
          <w:tcPr>
            <w:tcW w:w="1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(1.3)</w:t>
            </w:r>
          </w:p>
        </w:tc>
        <w:tc>
          <w:tcPr>
            <w:tcW w:w="14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(5.2)</w:t>
            </w:r>
          </w:p>
        </w:tc>
        <w:tc>
          <w:tcPr>
            <w:tcW w:w="14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(2.6)</w:t>
            </w:r>
          </w:p>
        </w:tc>
        <w:tc>
          <w:tcPr>
            <w:tcW w:w="14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(5.3)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20"/>
              <w:spacing w:after="0"/>
              <w:rPr>
                <w:sz w:val="20"/>
                <w:szCs w:val="20"/>
                <w:color w:val="auto"/>
              </w:rPr>
            </w:pPr>
            <w:r>
              <w:rPr>
                <w:rFonts w:ascii="Arial" w:cs="Arial" w:eastAsia="Arial" w:hAnsi="Arial"/>
                <w:sz w:val="18"/>
                <w:szCs w:val="18"/>
                <w:color w:val="auto"/>
              </w:rPr>
              <w:t>Income tax expense (benefit)</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7"/>
              </w:rPr>
              <w:t>0.2</w:t>
            </w:r>
          </w:p>
        </w:tc>
        <w:tc>
          <w:tcPr>
            <w:tcW w:w="14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(0.2)</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0.2</w:t>
            </w:r>
          </w:p>
        </w:tc>
        <w:tc>
          <w:tcPr>
            <w:tcW w:w="14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8"/>
                <w:szCs w:val="18"/>
                <w:color w:val="auto"/>
              </w:rPr>
            </w:pPr>
          </w:p>
        </w:tc>
      </w:tr>
      <w:tr>
        <w:trPr>
          <w:trHeight w:val="250"/>
        </w:trPr>
        <w:tc>
          <w:tcPr>
            <w:tcW w:w="5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loss</w:t>
            </w:r>
          </w:p>
        </w:tc>
        <w:tc>
          <w:tcPr>
            <w:tcW w:w="118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(4.9)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(2.8)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42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(2)</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90"/>
              </w:rPr>
              <w:t>40.1%</w:t>
            </w:r>
          </w:p>
        </w:tc>
        <w:tc>
          <w:tcPr>
            <w:tcW w:w="140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36.5%</w:t>
            </w:r>
          </w:p>
        </w:tc>
        <w:tc>
          <w:tcPr>
            <w:tcW w:w="142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39.6%</w:t>
            </w:r>
          </w:p>
        </w:tc>
        <w:tc>
          <w:tcPr>
            <w:tcW w:w="140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37.3%</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1449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52"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$33.5 million and $105.8 million for the thirteen and thirty-nine weeks ended September 28, 2013, respectively and $30.8 million and $96.4 million for the thirteen and thirty-nine weeks ended September 29, 2012, respectively. Retail gross margin percentage represents retail gross margin divided by net retail sales.</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60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Thirteen weeks ended September 28, 2013 compared to thirteen weeks ended September 29,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retail sales. </w:t>
      </w:r>
      <w:r>
        <w:rPr>
          <w:rFonts w:ascii="Arial" w:cs="Arial" w:eastAsia="Arial" w:hAnsi="Arial"/>
          <w:sz w:val="16"/>
          <w:szCs w:val="16"/>
          <w:color w:val="auto"/>
        </w:rPr>
        <w:t>Net retail sales were $83.6 million for the thirteen weeks ended September 28, 2013 compared to $84.3 million for the thirteen weeks ended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29, 2012, a decrease of $0.7 million, or 0.8%. The components of this decrease are as follows:</w:t>
      </w: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Thirteen weeks</w:t>
            </w:r>
          </w:p>
        </w:tc>
      </w:tr>
      <w:tr>
        <w:trPr>
          <w:trHeight w:val="216"/>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28,</w:t>
            </w:r>
          </w:p>
        </w:tc>
      </w:tr>
      <w:tr>
        <w:trPr>
          <w:trHeight w:val="234"/>
        </w:trPr>
        <w:tc>
          <w:tcPr>
            <w:tcW w:w="8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80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(dollars in millions)</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(6.1)</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Increase in comparable store sales</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0.9</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non-traditional locations, including web sales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(0.5)</w:t>
            </w:r>
          </w:p>
        </w:tc>
      </w:tr>
      <w:tr>
        <w:trPr>
          <w:trHeight w:val="20"/>
        </w:trPr>
        <w:tc>
          <w:tcPr>
            <w:tcW w:w="8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(0.7)</w:t>
            </w:r>
          </w:p>
        </w:tc>
      </w:tr>
      <w:tr>
        <w:trPr>
          <w:trHeight w:val="20"/>
        </w:trPr>
        <w:tc>
          <w:tcPr>
            <w:tcW w:w="8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attribute the increase in comparable store sales for the periods presented primarily to impact of our brand marketing and product strategies which have improved results in our overall store base and our real estate optimization strategies which have driven sales in selective markets impacted by store closures and remodels.</w:t>
      </w:r>
    </w:p>
    <w:p>
      <w:pPr>
        <w:spacing w:after="0" w:line="208" w:lineRule="exact"/>
        <w:rPr>
          <w:sz w:val="20"/>
          <w:szCs w:val="20"/>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the growth in our base business accounted for approximately 70% of the overall comparable store sales increase in the 2013 third quarter driven by:</w:t>
      </w:r>
    </w:p>
    <w:p>
      <w:pPr>
        <w:spacing w:after="0" w:line="197" w:lineRule="exact"/>
        <w:rPr>
          <w:rFonts w:ascii="Arial" w:cs="Arial" w:eastAsia="Arial" w:hAnsi="Arial"/>
          <w:sz w:val="18"/>
          <w:szCs w:val="18"/>
          <w:color w:val="auto"/>
        </w:rPr>
      </w:pPr>
    </w:p>
    <w:p>
      <w:pPr>
        <w:jc w:val="both"/>
        <w:ind w:left="1040" w:right="320" w:hanging="384"/>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brand building marketing initiatives, including national television advertising in the United States, and intensified communication with moms, along with a good balance of proprietary and licensed product which we believe increased traffic to our stores and contributed to the increase in transactions;</w:t>
      </w:r>
    </w:p>
    <w:p>
      <w:pPr>
        <w:spacing w:after="0" w:line="208" w:lineRule="exact"/>
        <w:rPr>
          <w:rFonts w:ascii="Arial" w:cs="Arial" w:eastAsia="Arial" w:hAnsi="Arial"/>
          <w:sz w:val="18"/>
          <w:szCs w:val="18"/>
          <w:color w:val="auto"/>
        </w:rPr>
      </w:pPr>
    </w:p>
    <w:p>
      <w:pPr>
        <w:ind w:left="1040" w:right="40" w:hanging="384"/>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elimination of a significant promotion and related discounts that ran in the 2012 third quarter which contributed to higher transaction value in the 2013 third quarter, and</w:t>
      </w:r>
    </w:p>
    <w:p>
      <w:pPr>
        <w:spacing w:after="0" w:line="197" w:lineRule="exact"/>
        <w:rPr>
          <w:rFonts w:ascii="Arial" w:cs="Arial" w:eastAsia="Arial" w:hAnsi="Arial"/>
          <w:sz w:val="18"/>
          <w:szCs w:val="18"/>
          <w:color w:val="auto"/>
        </w:rPr>
      </w:pPr>
    </w:p>
    <w:p>
      <w:pPr>
        <w:ind w:left="1040" w:right="260" w:hanging="384"/>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30% increase in the issuance of gift cards on a consolidated basis during the 2012 fourth quarter, followed by a 19% increase in the first thirty-nine weeks of 2013, which contributed to increased retail sales as the cards were redeemed.</w:t>
      </w:r>
    </w:p>
    <w:p>
      <w:pPr>
        <w:spacing w:after="0" w:line="197" w:lineRule="exact"/>
        <w:rPr>
          <w:rFonts w:ascii="Arial" w:cs="Arial" w:eastAsia="Arial" w:hAnsi="Arial"/>
          <w:sz w:val="18"/>
          <w:szCs w:val="18"/>
          <w:color w:val="auto"/>
        </w:rPr>
      </w:pPr>
    </w:p>
    <w:p>
      <w:pPr>
        <w:ind w:left="660" w:right="4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believe that our real estate optimization strategies drove the remaining 30% of the overall comparable store sales increase in the 2013 third quarter. The real estate optimization plans include selective store closures, primarily in North American multi-store markets as well as updates and remodels of selective other stores. Approximately 20% of sales, on average, have transferred from closed stores to remaining stores in the markets in the 2013 third quarter. Sales in remodeled stores, on average, have increased by approximately 20% in the 2013 third quarter.</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Commercial revenue and franchise fees. </w:t>
      </w:r>
      <w:r>
        <w:rPr>
          <w:rFonts w:ascii="Arial" w:cs="Arial" w:eastAsia="Arial" w:hAnsi="Arial"/>
          <w:sz w:val="18"/>
          <w:szCs w:val="18"/>
          <w:color w:val="auto"/>
        </w:rPr>
        <w:t>Commercial revenue was $0.5 million for the thirteen weeks ended September 28, 2013, from $0.9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September 29, 2012, a decrease of $0.5 million, primarily attributable to a decline in licensing activity. Revenue from franchise fees was $0.8 million for both the thirteen weeks ended September 28, 2013 and September 29,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Total gross margin increased to $33.8 million for the thirteen weeks ended September 28, 2013 from $31.3 million for the thirteen weeks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29, 2012, an increase of $2.6 million, or 8.2%. Retail gross margin increased to $33.5 million for the thirteen weeks ended September 28, 2013 from $30.8 million for the thirteen weeks ended September 29, 2012, an increase of $2.7 million, or 8.8%. As a percentage of net retail sales, retail gross margin was 40.1% for the thirteen weeks ended September 28, 2013 compared to 36.5% for the thirteen weeks ended September 29, 2012. This 360 basis points as a percentage of net retail sales (bps) increase was primarily driven by a 190 bps improvement in merchandise margin driven by decreased promotional activity and a 170 bps improvement in leverage of fixed occupancy costs.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7" w:name="page18"/>
    <w:bookmarkEnd w:id="17"/>
    <w:p>
      <w:pPr>
        <w:ind w:right="4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were $35.8 million for the thirteen weeks ended September 28, 2013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$36.6 million for the thirteen weeks ended September 29, 2012, a decrease of $0.8 million, or 2.1%. As a percentage of total revenues, selling, general and administrative expenses decreased to 42.2% for the thirteen weeks ended September 28, 2013 as compared to 42.5% for the thirteen weeks ended September 29, 2012, a decrease of 30 bps. The 2013 third quarter included $0.4 million in one-time management transition costs and $0.2 million in store closing costs. Excluding these costs, selling, general and administrative expenses as a percent of revenue decreased 80 bps, primarily due to decreases in store payroll costs and other operational cost savings resulting from store closures and our cost reduction efforts that were partially offset by higher incentive compensation.</w:t>
      </w:r>
    </w:p>
    <w:p>
      <w:pPr>
        <w:spacing w:after="0" w:line="21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$60,000 for the thirteen weeks ended September 28, 2013,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$40,000 for the thirteen weeks ended September 29, 2012.</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income tax expense was $0.2 million for the thirteen weeks ended September 28, 2013 compared to the income tax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for the thirteen weeks ended September 29, 2012. The effective tax rate was (18.4)% for the thirteen weeks ended September 28, 2013 compared to 4.5% for the thirteen weeks ended September 29, 2012. The change in the effective tax rate was primarily attributable to the impact of recording valuation allowances on both foreign and domestic deferred tax assets in prior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Thirty-nine weeks ended September 28, 2013 compared to thirty-nine weeks ended September 29,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Net retail sales. </w:t>
      </w:r>
      <w:r>
        <w:rPr>
          <w:rFonts w:ascii="Arial" w:cs="Arial" w:eastAsia="Arial" w:hAnsi="Arial"/>
          <w:sz w:val="18"/>
          <w:szCs w:val="18"/>
          <w:color w:val="auto"/>
        </w:rPr>
        <w:t>Net retail sales increased to $266.9 million for the thirty-nine weeks ended September 28, 2013 compared to $258.5 million for the thirty-nine</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September 29, 2012, an increase of $8.5 million, or 3.3%. The components of this increase are as follows:</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Thirty-nine</w:t>
            </w:r>
          </w:p>
        </w:tc>
      </w:tr>
      <w:tr>
        <w:trPr>
          <w:trHeight w:val="216"/>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weeks ended</w:t>
            </w:r>
          </w:p>
        </w:tc>
      </w:tr>
      <w:tr>
        <w:trPr>
          <w:trHeight w:val="216"/>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28,</w:t>
            </w:r>
          </w:p>
        </w:tc>
      </w:tr>
      <w:tr>
        <w:trPr>
          <w:trHeight w:val="234"/>
        </w:trPr>
        <w:tc>
          <w:tcPr>
            <w:tcW w:w="8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(dollars in 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(13.6)</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Increase in comparable store sales</w:t>
            </w: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18.4</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non-traditional locations, including web sales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8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6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w:t>
            </w:r>
          </w:p>
        </w:tc>
      </w:tr>
      <w:tr>
        <w:trPr>
          <w:trHeight w:val="250"/>
        </w:trPr>
        <w:tc>
          <w:tcPr>
            <w:tcW w:w="8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7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attribute the increase in comparable store sales for the periods presented primarily to impact of our brand marketing and product strategies which have improved results in our overall store base and our real estate optimization strategies which have driven sales in selective markets impacted by store closures and remodels.</w:t>
      </w:r>
    </w:p>
    <w:p>
      <w:pPr>
        <w:spacing w:after="0" w:line="208" w:lineRule="exact"/>
        <w:rPr>
          <w:sz w:val="20"/>
          <w:szCs w:val="20"/>
          <w:color w:val="auto"/>
        </w:rPr>
      </w:pPr>
    </w:p>
    <w:p>
      <w:pPr>
        <w:ind w:left="660" w:right="5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the growth in our base business accounted for approximately 70% of the overall comparable store sales increases in the 2013 third quarter and 80% in the year to date period driven by:</w:t>
      </w:r>
    </w:p>
    <w:p>
      <w:pPr>
        <w:spacing w:after="0" w:line="197" w:lineRule="exact"/>
        <w:rPr>
          <w:rFonts w:ascii="Arial" w:cs="Arial" w:eastAsia="Arial" w:hAnsi="Arial"/>
          <w:sz w:val="18"/>
          <w:szCs w:val="18"/>
          <w:color w:val="auto"/>
        </w:rPr>
      </w:pPr>
    </w:p>
    <w:p>
      <w:pPr>
        <w:jc w:val="both"/>
        <w:ind w:left="1040" w:right="320" w:hanging="384"/>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brand building marketing initiatives, including national television advertising in the United States, and intensified communication with moms, along with a good balance of proprietary and licensed product which we believe increased traffic to our stores and contributed to the increase in transactions;</w:t>
      </w:r>
    </w:p>
    <w:p>
      <w:pPr>
        <w:spacing w:after="0" w:line="208" w:lineRule="exact"/>
        <w:rPr>
          <w:rFonts w:ascii="Arial" w:cs="Arial" w:eastAsia="Arial" w:hAnsi="Arial"/>
          <w:sz w:val="18"/>
          <w:szCs w:val="18"/>
          <w:color w:val="auto"/>
        </w:rPr>
      </w:pPr>
    </w:p>
    <w:p>
      <w:pPr>
        <w:ind w:left="1040" w:right="260" w:hanging="384"/>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30% increase in the issuance of gift cards on a consolidated basis during the 2012 fourth quarter, followed by a 19% increase in the first thirty-nine weeks of 2013, which contributed to increased retail sales as the cards were redeemed.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8" w:name="page19"/>
    <w:bookmarkEnd w:id="18"/>
    <w:p>
      <w:pPr>
        <w:ind w:left="660" w:right="200" w:hanging="328"/>
        <w:spacing w:after="0" w:line="30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believe that our real estate optimization strategies drove the remaining 20% of the overall comparable store sales increase in the 2013 year to date period. The real estate optimization plans include selective store closures, primarily in North American multi-store markets as well as updates and remodels of selective other stores. Approximately 20% of sales, on average, have transferred from closed stores to remaining stores in the markets in the year to date period. Sales in remodeled stores, on average, have increased by approximately 20% in the 2013 year to date period.</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Commercial revenue and franchise fees. </w:t>
      </w:r>
      <w:r>
        <w:rPr>
          <w:rFonts w:ascii="Arial" w:cs="Arial" w:eastAsia="Arial" w:hAnsi="Arial"/>
          <w:sz w:val="18"/>
          <w:szCs w:val="18"/>
          <w:color w:val="auto"/>
        </w:rPr>
        <w:t>Commercial revenue was $1.7 million for the thirty-nine weeks ended September 28, 2013 compared to $2.0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thirty-nine weeks ended September 29, 2012, a decrease of $0.3 million. This decrease was primarily attributable to an overall decline in licensing activities. Revenue from franchise fees was $2.4 million and $2.3 million for the thirty-nine weeks ended September 28, 2013 and September 29, 2012,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5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increased to $106.7 million for the thirty-nine weeks ended September 28, 2013 from $97.4 million for the thirty-nine</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September 29, 2012, an increase of $9.4 million, or 9.6%. Retail gross margin increased to $105.8 million for the thirty-nine weeks ended September 28, 2013 from $96.4 million for the thirty-nine weeks ended September 29, 2012, an increase of $9.4 million, or 9.8%. As a percentage of net retail sales, retail gross margin increased to 39.6% for the thirty-nine weeks ended September 28, 2013 from 37.3% for the thirty-nine weeks ended September 29, 2012. This 230 bps increase was primarily driven by a 200 bps improvement in leverage of fixed occupancy costs and a 30 bps improvement in merchandise margin driven by decreased promotional activity.</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were $116.5 million for the thirty-nine weeks ended September 28, 2013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$113.8 million for the thirty-nine weeks ended September 29, 2012, an increase of $2.7 million, or 2.4%. As a percentage of total revenues, selling, general and administrative expenses decreased to 43.0% for the thirty-nine weeks ended September 28, 2013 as compared to 43.3% for the thirty-nine weeks ended September 29, 2012, a decrease of 30 bps. The dollar increase was primarily attributable to $2.7 million in one-time management transition costs and $1.1 million in store closing costs. As a percent of revenue, these costs were offset by improved leverage on increased revenue. Excluding the management transition and store closing costs, selling, general and administrative expenses as a percent of revenue decreased 140 bps, primarily due to the overall decrease in expenses from store closures and our cost reduction efforts partially offset by higher incentive compensation.</w:t>
      </w:r>
    </w:p>
    <w:p>
      <w:pPr>
        <w:spacing w:after="0" w:line="16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$0.2 million for both the thirty-nine weeks ended September 28,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29, 2012.</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income tax expense was $0.4 million for the thirty-nine weeks ended September 28, 2013 as compared to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$1.1 million for the thirty-nine weeks ended September 29, 2012. The effective tax rate was (5.8)% for the thirty-nine weeks ended September 28, 2013 compared to 7.7% for the thirty-nine weeks ended September 29, 2012. The change in the effective tax rate was primarily attributable to the impact of recording valuation allowances on both foreign and domestic deferred tax assets in prior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5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comparable store sales; (3) fluctuations in the profitability of our stores; (4) 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timing of store openings, closures and remodels may result in fluctuations in quarterly results as a result of the revenues and expenses associated with each store location. We typically incur most preopening costs for a new store in the three months immediately preceding the store’s opening. Expenses related to store closings are typically incurred in stages: when the decision is made to close the store, when the closure is communicated to store associates and at the time of closure.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9" w:name="page20"/>
    <w:bookmarkEnd w:id="19"/>
    <w:p>
      <w:pPr>
        <w:spacing w:after="0" w:line="286" w:lineRule="auto"/>
        <w:rPr>
          <w:sz w:val="20"/>
          <w:szCs w:val="20"/>
          <w:color w:val="auto"/>
        </w:rPr>
      </w:pPr>
      <w:r>
        <w:rPr>
          <w:rFonts w:ascii="Arial" w:cs="Arial" w:eastAsia="Arial" w:hAnsi="Arial"/>
          <w:sz w:val="17"/>
          <w:szCs w:val="17"/>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will have 14 weeks.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20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used in operating activities was $16.8 million for the thirty-nine weeks ended September 28, 2013 as compared with $14.5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thirty-nine weeks ended September 29, 2012, an increase of $2.3 million. Generally, changes in cash from operating activities are driven by changes in net income or loss and changes in operating assets and liabilities. This increase in cash used in operating activities over the year ago period was primarily due to the timing of inventory receipts and payments, partially offset by increased store contribution.</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$14.7 million for the thirty-nine weeks ended September 28, 2013 as compared to $11.2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thirty-nine weeks ended September 29, 2012, an increase of $3.5 million. Cash used in investing activities during the thirty-nine weeks ended September 28, 2013 primarily related to construction costs for new and remodeled stores, investments in central office information technology systems and the acquisition of trademarks and other intellectual property. Cash used in investing activities during the thirty-nine weeks ended September 29, 2012 primarily related to investments in central office information technology systems, new store construction costs and the acquisition of trademarks and other intellectual property.</w:t>
      </w:r>
    </w:p>
    <w:p>
      <w:pPr>
        <w:spacing w:after="0" w:line="22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was $0.7 million in the thirty-nine weeks ended September 28, 2013. No cash was used in or</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financing activities in the thirty-nine weeks ended September 29, 2012. In 2013, the cash from financing activities resulting from the exercise of employee stock options. No borrowings were made under our line of credit in either the thirty-nine weeks ended September 28, 2013 or September 29, 2012.</w:t>
      </w:r>
    </w:p>
    <w:p>
      <w:pPr>
        <w:spacing w:after="0" w:line="174"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of September 28, 2013, we had a consolidated cash balance of $13.8 million, the majority of which was held outside of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We also have a line of credit, which we can use to finance capital expenditures and working capital needs throughout the year. The credit agreement is with U.S. Bank, National Association and was amended effective April 30, 2013. The bank line provides availability of $35 million. Borrowings under the credit agreement are secured by our assets and a pledge of 65% of our ownership interest in our foreign subsidiaries. The credit agreement expires on December 31, 2014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September 28, 2013:</w:t>
      </w:r>
    </w:p>
    <w:p>
      <w:pPr>
        <w:spacing w:after="0" w:line="6" w:lineRule="exact"/>
        <w:rPr>
          <w:sz w:val="20"/>
          <w:szCs w:val="20"/>
          <w:color w:val="auto"/>
        </w:rPr>
      </w:pPr>
    </w:p>
    <w:p>
      <w:pPr>
        <w:ind w:right="120" w:firstLine="8"/>
        <w:spacing w:after="0" w:line="255"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were in compliance with these covenants; (ii) there were no borrowings under our line of credit; (iii) there was a standby letter of credit of approximately $1.1 million outstanding under the credit agreement; and (iv) there was approximately $33.9 million available for borrowing under the line of credit.</w:t>
      </w:r>
    </w:p>
    <w:p>
      <w:pPr>
        <w:spacing w:after="0" w:line="2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2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Real estate taxes also change according to government time schedules to reflect current market rental rates for the locations we lease. Rents are charged quarterly and paid in advance.</w:t>
      </w:r>
    </w:p>
    <w:p>
      <w:pPr>
        <w:spacing w:after="0" w:line="21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fiscal 2013, we expect to spend a total of approximately $20 million on capital expenditures. Capital spending through the thirty-nine weeks ended September 28, 2013 totaled $14.7 million, on track with our full year plans. Capital spending in fiscal 2013 is primarily for the remodeling and opening of stores in our new design and the continued installation and upgrades of central office information technology systems.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0" w:name="page21"/>
    <w:bookmarkEnd w:id="20"/>
    <w:p>
      <w:pPr>
        <w:ind w:right="140"/>
        <w:spacing w:after="0" w:line="277" w:lineRule="auto"/>
        <w:rPr>
          <w:sz w:val="20"/>
          <w:szCs w:val="20"/>
          <w:color w:val="auto"/>
        </w:rPr>
      </w:pPr>
      <w:r>
        <w:rPr>
          <w:rFonts w:ascii="Arial" w:cs="Arial" w:eastAsia="Arial" w:hAnsi="Arial"/>
          <w:sz w:val="18"/>
          <w:szCs w:val="18"/>
          <w:color w:val="auto"/>
        </w:rPr>
        <w:t>We believe that cash generated from operations and available borrowings under our credit agreement will be sufficient to fund our working capital and other cash flow requirements for the near future. Our credit agreement expires on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w:t>
      </w:r>
    </w:p>
    <w:p>
      <w:pPr>
        <w:spacing w:after="0" w:line="3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stock. On March 10, 2008, we announced an expansion of our share repurchase program to $50 million. On February 28, 2013, we announced that our share repurchase program had been extended to March 31, 2014.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have been, and will continue to be, subsequently retired. As of November 5, 2013, approximately 5.9 million shares at an average price of $7.24 per share have been repurchased under this program for an aggregate amount of $42.7 million, leaving $7.3 million of availability under the program.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the application of accounting policies, and the estimates inherently required therein, are reasonable. These accounting policies and estimates, including those related to inventory, long-lived assets, goodwill and revenue recognition,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14, 2013, which includes audited consolidated financial statements for our 2012, 2011 and 2010 fiscal years. There have been no material changes to the critical accounting estimates disclosed in the 2012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are no new accounting pronouncements for which adoption is expected to have a material effect on the Company’s financial statements in future accounting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outstanding during the first nine months of fiscal 2013. Accordingly, a 100 basis point change in interest rates would result in no material change to our annual interest expense. The second component of interest rate risk involves the investment of excess cash in short term, investment grade interest-bearing securities. These investments are considered to be cash equivalents or short-term investments, based on their original maturity and are classified accordingly on our balance sheet. If there are changes in interest rates, those changes would affect the investment income we earn on these investments and, therefore, impact our cash flows and results of operations.</w:t>
      </w:r>
    </w:p>
    <w:p>
      <w:pPr>
        <w:spacing w:after="0" w:line="19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1" w:name="page22"/>
    <w:bookmarkEnd w:id="21"/>
    <w:p>
      <w:pPr>
        <w:jc w:val="both"/>
        <w:ind w:right="120"/>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President Bear and Chief Operations and Financial Bear,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Chief President Bear and Chief Operations and Financial Bear, concluded that our disclosure controls and procedures were effective as of September 28, 2013, the end of the period covered by this Quarterly Report.</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Chief President Bear and the Chief Operations and Financial Bear,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President Bear and Chief Operations and Financial Bear,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December 29, 2012 as filed with the SEC on March 14, 2013.</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440" w:type="dxa"/>
            <w:vAlign w:val="bottom"/>
            <w:gridSpan w:val="4"/>
          </w:tcPr>
          <w:p>
            <w:pPr>
              <w:spacing w:after="0"/>
              <w:rPr>
                <w:sz w:val="20"/>
                <w:szCs w:val="20"/>
                <w:color w:val="auto"/>
              </w:rPr>
            </w:pPr>
            <w:r>
              <w:rPr>
                <w:rFonts w:ascii="Arial" w:cs="Arial" w:eastAsia="Arial" w:hAnsi="Arial"/>
                <w:sz w:val="18"/>
                <w:szCs w:val="18"/>
                <w:b w:val="1"/>
                <w:bCs w:val="1"/>
                <w:color w:val="auto"/>
                <w:w w:val="93"/>
              </w:rPr>
              <w:t>Item 2. Unregistered Sales of Equity Securities and Use of Proceeds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00" w:type="dxa"/>
            <w:vAlign w:val="bottom"/>
            <w:gridSpan w:val="8"/>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Shares (or Units)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(b)</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7"/>
              </w:rPr>
              <w:t>Purchased as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Shares (or Units)</w:t>
            </w:r>
          </w:p>
        </w:tc>
      </w:tr>
      <w:tr>
        <w:trPr>
          <w:trHeight w:val="216"/>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Shares (or</w:t>
            </w:r>
          </w:p>
        </w:tc>
        <w:tc>
          <w:tcPr>
            <w:tcW w:w="24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Average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Part of Publicly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the May Yet Be</w:t>
            </w:r>
          </w:p>
        </w:tc>
      </w:tr>
      <w:tr>
        <w:trPr>
          <w:trHeight w:val="216"/>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Units)</w:t>
            </w:r>
          </w:p>
        </w:tc>
        <w:tc>
          <w:tcPr>
            <w:tcW w:w="24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Price Paid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Per Share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Plans or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(or Unit)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Programs (2)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 (2)</w:t>
            </w:r>
          </w:p>
        </w:tc>
      </w:tr>
      <w:tr>
        <w:trPr>
          <w:trHeight w:val="21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Jun. 30, 2013 – Jul. 27, 2013</w:t>
            </w: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6.22</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7,364,562</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b w:val="1"/>
                <w:bCs w:val="1"/>
                <w:color w:val="auto"/>
              </w:rPr>
              <w:t>Jul. 28, 2013 – Aug. 24, 2013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7.13</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7,364,562</w:t>
            </w: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Aug. 25, 2013 – Sep. 28, 2013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7.15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7,364,562</w:t>
            </w:r>
          </w:p>
        </w:tc>
      </w:tr>
      <w:tr>
        <w:trPr>
          <w:trHeight w:val="210"/>
        </w:trPr>
        <w:tc>
          <w:tcPr>
            <w:tcW w:w="360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6.91</w:t>
            </w: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1449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hanging="332"/>
        <w:spacing w:after="0" w:line="256"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ind w:left="340" w:right="480" w:hanging="332"/>
        <w:spacing w:after="0" w:line="29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February 28, 2013, we announced the further extension of our $50 million share repurchase program of our outstanding common stock until March 31, 2014.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jc w:val="right"/>
              <w:ind w:right="457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Agreement and Plan of Merger dated April 3, 2000 between Build-A-Bear Workshop, L.L.C. and the Registrant (incorporated by reference</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Third Amended and Restated Certificate of Incorporation (incorporated by reference from Exhibit 3.1 of our Current Report on Form 8-K,</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November 11, 2004)</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Amended and Restated Bylaws (incorporated by reference from Exhibit 3.4 to our Registration Statement on Form S-1, filed on August 12,</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October 1, 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 Executive Officer</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and Chief President Bear)</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Operations and</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Financial Bear)</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Section 1350 Certification (pursuant to Section 906 of the Sarbanes-Oxley Act of 2002, executed by the Chief Executive Officer and Chief</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President Bear)</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Section 1350 Certification (pursuant to Section 906 of the Sarbanes-Oxley Act of 2002, executed by the Chief Operations and Financial</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Bear)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Schema</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Calculation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Definition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Label</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Presentation</w:t>
            </w:r>
          </w:p>
        </w:tc>
        <w:tc>
          <w:tcPr>
            <w:tcW w:w="40" w:type="dxa"/>
            <w:vAlign w:val="bottom"/>
          </w:tcPr>
          <w:p>
            <w:pPr>
              <w:spacing w:after="0"/>
              <w:rPr>
                <w:sz w:val="24"/>
                <w:szCs w:val="24"/>
                <w:color w:val="auto"/>
              </w:rPr>
            </w:pPr>
          </w:p>
        </w:tc>
      </w:tr>
      <w:tr>
        <w:trPr>
          <w:trHeight w:val="675"/>
        </w:trPr>
        <w:tc>
          <w:tcPr>
            <w:tcW w:w="1160" w:type="dxa"/>
            <w:vAlign w:val="bottom"/>
          </w:tcPr>
          <w:p>
            <w:pPr>
              <w:spacing w:after="0"/>
              <w:rPr>
                <w:sz w:val="24"/>
                <w:szCs w:val="24"/>
                <w:color w:val="auto"/>
              </w:rPr>
            </w:pPr>
          </w:p>
        </w:tc>
        <w:tc>
          <w:tcPr>
            <w:tcW w:w="10260" w:type="dxa"/>
            <w:vAlign w:val="bottom"/>
            <w:gridSpan w:val="2"/>
          </w:tcPr>
          <w:p>
            <w:pPr>
              <w:jc w:val="right"/>
              <w:ind w:right="553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1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24" w:name="page25"/>
    <w:bookmarkEnd w:id="2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pacing w:after="0" w:line="200" w:lineRule="exact"/>
        <w:rPr>
          <w:sz w:val="20"/>
          <w:szCs w:val="20"/>
          <w:color w:val="auto"/>
        </w:rPr>
      </w:pPr>
    </w:p>
    <w:p>
      <w:pPr>
        <w:spacing w:after="0" w:line="34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Sharon John</w:t>
      </w:r>
    </w:p>
    <w:p>
      <w:pPr>
        <w:spacing w:after="0" w:line="5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-130175</wp:posOffset>
            </wp:positionV>
            <wp:extent cx="2667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executive officer)</w:t>
      </w:r>
    </w:p>
    <w:p>
      <w:pPr>
        <w:spacing w:after="0" w:line="2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Tina Klocke</w:t>
      </w:r>
    </w:p>
    <w:p>
      <w:pPr>
        <w:spacing w:after="0" w:line="5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-130175</wp:posOffset>
            </wp:positionV>
            <wp:extent cx="2667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Chief Operations and Financial Bear, Treasurer and</w:t>
      </w:r>
    </w:p>
    <w:p>
      <w:pPr>
        <w:spacing w:after="0" w:line="2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20"/>
          </w:cols>
          <w:pgMar w:left="240" w:top="607"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52" w:lineRule="exact"/>
        <w:rPr>
          <w:sz w:val="20"/>
          <w:szCs w:val="20"/>
          <w:color w:val="auto"/>
        </w:rPr>
      </w:pPr>
    </w:p>
    <w:p>
      <w:pPr>
        <w:ind w:left="880" w:hanging="426"/>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52"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Tina Klocke, certify that:</w:t>
      </w:r>
    </w:p>
    <w:p>
      <w:pPr>
        <w:spacing w:after="0" w:line="252" w:lineRule="exact"/>
        <w:rPr>
          <w:sz w:val="20"/>
          <w:szCs w:val="20"/>
          <w:color w:val="auto"/>
        </w:rPr>
      </w:pPr>
    </w:p>
    <w:p>
      <w:pPr>
        <w:ind w:left="880" w:hanging="42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52"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Tina Klocke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Operations and Financial Bear, Treasurer and Secretary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September 28, 2013 filed with the Securities and Exchange Commission on the date hereof (the “Report”), I, Sharon John, Chief Executive Officer and Chief President Bear of the Company, certify, to the best of my knowledge, pursuant to Rule 13a-14(b) and Section 1350 of Chapter 63 of Title 18 of the United States Code, as adopted pursuant to Section 906 of the Sarbanes-Oxley Act of 2002, that:</w:t>
      </w:r>
    </w:p>
    <w:p>
      <w:pPr>
        <w:spacing w:after="0" w:line="214" w:lineRule="exact"/>
        <w:rPr>
          <w:sz w:val="20"/>
          <w:szCs w:val="20"/>
          <w:color w:val="auto"/>
        </w:rPr>
      </w:pPr>
    </w:p>
    <w:p>
      <w:pPr>
        <w:ind w:left="700" w:hanging="251"/>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00" w:hanging="251"/>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Build-A-Bear Workshop,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ectPr>
          <w:pgSz w:w="11900" w:h="16838" w:orient="portrait"/>
          <w:cols w:equalWidth="0" w:num="1">
            <w:col w:w="11420"/>
          </w:cols>
          <w:pgMar w:left="240" w:top="39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September 28, 2013 as filed with the Securities and Exchange Commission on the date hereof (the “Report”), I, Tina Klocke, Chief Operations and Financial Bear, Treasurer and Secretary of the Company, certify, to the best of my knowledge, pursuant to Rule 13a-14(b) and Section 1350 of Chapter 63 of Title 18 of the United States Code, as adopted pursuant to Section 906 of the Sarbanes-Oxley Act of 2002, that:</w:t>
      </w:r>
    </w:p>
    <w:p>
      <w:pPr>
        <w:spacing w:after="0" w:line="214" w:lineRule="exact"/>
        <w:rPr>
          <w:sz w:val="20"/>
          <w:szCs w:val="20"/>
          <w:color w:val="auto"/>
        </w:rPr>
      </w:pPr>
    </w:p>
    <w:p>
      <w:pPr>
        <w:ind w:left="700" w:hanging="25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00" w:hanging="25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Tina Klocke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Operations and Financial Bear, Treasurer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Build-A-Bear Workshop,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lvl w:ilvl="1">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lvl w:ilvl="1">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lvl w:ilvl="1">
      <w:lvlJc w:val="left"/>
      <w:lvlText w:val="•"/>
      <w:numFmt w:val="bullet"/>
      <w:start w:val="1"/>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Roman"/>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2019-12-07T00:39:17Z</dcterms:created>
  <dcterms:modified xsi:type="dcterms:W3CDTF">2019-12-07T00:39:17Z</dcterms:modified>
</cp:coreProperties>
</file>