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238125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80" w:right="3960" w:hanging="572"/>
        <w:spacing w:after="0" w:line="493" w:lineRule="auto"/>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-521335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ind w:left="580"/>
        <w:spacing w:after="0"/>
        <w:tabs>
          <w:tab w:leader="none" w:pos="3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-7620</wp:posOffset>
            </wp:positionV>
            <wp:extent cx="866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BUILD-A-BEAR WORKSHOP,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278765</wp:posOffset>
            </wp:positionV>
            <wp:extent cx="720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(State or Other Jurisdiction of</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Incorporation or Organization)</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St. Louis, Missouri</w:t>
            </w:r>
          </w:p>
        </w:tc>
        <w:tc>
          <w:tcPr>
            <w:tcW w:w="3100" w:type="dxa"/>
            <w:vAlign w:val="bottom"/>
          </w:tcPr>
          <w:p>
            <w:pPr>
              <w:jc w:val="right"/>
              <w:ind w:right="390"/>
              <w:spacing w:after="0"/>
              <w:rPr>
                <w:sz w:val="20"/>
                <w:szCs w:val="20"/>
                <w:color w:val="auto"/>
              </w:rPr>
            </w:pPr>
            <w:r>
              <w:rPr>
                <w:rFonts w:ascii="Arial" w:cs="Arial" w:eastAsia="Arial" w:hAnsi="Arial"/>
                <w:sz w:val="18"/>
                <w:szCs w:val="18"/>
                <w:b w:val="1"/>
                <w:bCs w:val="1"/>
                <w:color w:val="auto"/>
              </w:rPr>
              <w:t>63103</w:t>
            </w:r>
          </w:p>
        </w:tc>
      </w:tr>
      <w:tr>
        <w:trPr>
          <w:trHeight w:val="234"/>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423-8000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0"/>
        </w:trPr>
        <w:tc>
          <w:tcPr>
            <w:tcW w:w="492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3"/>
              </w:rPr>
              <w:t>Trading Symbol</w:t>
            </w:r>
          </w:p>
        </w:tc>
        <w:tc>
          <w:tcPr>
            <w:tcW w:w="43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920" w:type="dxa"/>
            <w:vAlign w:val="bottom"/>
          </w:tcPr>
          <w:p>
            <w:pPr>
              <w:jc w:val="center"/>
              <w:ind w:right="650"/>
              <w:spacing w:after="0"/>
              <w:rPr>
                <w:sz w:val="20"/>
                <w:szCs w:val="20"/>
                <w:color w:val="auto"/>
              </w:rPr>
            </w:pPr>
            <w:r>
              <w:rPr>
                <w:rFonts w:ascii="Arial" w:cs="Arial" w:eastAsia="Arial" w:hAnsi="Arial"/>
                <w:sz w:val="18"/>
                <w:szCs w:val="18"/>
                <w:color w:val="auto"/>
                <w:w w:val="91"/>
              </w:rPr>
              <w:t>Common stock</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rPr>
              <w:t>BBW</w:t>
            </w:r>
          </w:p>
        </w:tc>
        <w:tc>
          <w:tcPr>
            <w:tcW w:w="4340" w:type="dxa"/>
            <w:vAlign w:val="bottom"/>
          </w:tcPr>
          <w:p>
            <w:pPr>
              <w:jc w:val="center"/>
              <w:ind w:left="110"/>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Arial" w:cs="Arial" w:eastAsia="Arial" w:hAnsi="Arial"/>
                <w:sz w:val="18"/>
                <w:szCs w:val="18"/>
                <w:color w:val="auto"/>
                <w:w w:val="79"/>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15" w:right="3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61"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1620" w:space="100"/>
            <w:col w:w="5200" w:space="720"/>
            <w:col w:w="3600"/>
          </w:cols>
          <w:pgMar w:left="320" w:top="361" w:right="339" w:bottom="1440" w:gutter="0" w:footer="0" w:header="0"/>
          <w:type w:val="continuous"/>
        </w:sectPr>
      </w:pPr>
    </w:p>
    <w:p>
      <w:pPr>
        <w:spacing w:after="0" w:line="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920" w:space="720"/>
            <w:col w:w="3600"/>
          </w:cols>
          <w:pgMar w:left="320" w:top="361" w:right="339" w:bottom="1440" w:gutter="0" w:footer="0" w:header="0"/>
          <w:type w:val="continuous"/>
        </w:sectPr>
      </w:pPr>
    </w:p>
    <w:p>
      <w:pPr>
        <w:spacing w:after="0" w:line="32" w:lineRule="exact"/>
        <w:rPr>
          <w:sz w:val="20"/>
          <w:szCs w:val="20"/>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7, 2020, there were 15,960,262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7"/>
        </w:trPr>
        <w:tc>
          <w:tcPr>
            <w:tcW w:w="7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92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BUILD-A-BEAR WORKSHOP, INC.</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20" w:type="dxa"/>
            <w:vAlign w:val="bottom"/>
          </w:tcPr>
          <w:p>
            <w:pPr>
              <w:jc w:val="center"/>
              <w:ind w:left="690"/>
              <w:spacing w:after="0"/>
              <w:rPr>
                <w:sz w:val="20"/>
                <w:szCs w:val="20"/>
                <w:color w:val="auto"/>
              </w:rPr>
            </w:pPr>
            <w:r>
              <w:rPr>
                <w:rFonts w:ascii="Arial" w:cs="Arial" w:eastAsia="Arial" w:hAnsi="Arial"/>
                <w:sz w:val="18"/>
                <w:szCs w:val="18"/>
                <w:b w:val="1"/>
                <w:bCs w:val="1"/>
                <w:color w:val="auto"/>
              </w:rPr>
              <w:t>INDEX TO FORM 10-Q</w:t>
            </w: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40" w:type="dxa"/>
            <w:vAlign w:val="bottom"/>
            <w:gridSpan w:val="3"/>
          </w:tcPr>
          <w:p>
            <w:pPr>
              <w:ind w:left="1660"/>
              <w:spacing w:after="0"/>
              <w:rPr>
                <w:sz w:val="20"/>
                <w:szCs w:val="20"/>
                <w:color w:val="auto"/>
              </w:rPr>
            </w:pPr>
            <w:r>
              <w:rPr>
                <w:rFonts w:ascii="Arial" w:cs="Arial" w:eastAsia="Arial" w:hAnsi="Arial"/>
                <w:sz w:val="18"/>
                <w:szCs w:val="18"/>
                <w:color w:val="auto"/>
                <w:w w:val="85"/>
              </w:rPr>
              <w:t>Page</w:t>
            </w:r>
          </w:p>
        </w:tc>
      </w:tr>
      <w:tr>
        <w:trPr>
          <w:trHeight w:val="21"/>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2020" w:type="dxa"/>
            <w:vAlign w:val="bottom"/>
            <w:gridSpan w:val="2"/>
            <w:shd w:val="clear" w:color="auto" w:fill="CCEEFF"/>
          </w:tcPr>
          <w:p>
            <w:pPr>
              <w:jc w:val="center"/>
              <w:ind w:left="1570"/>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4</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2020" w:type="dxa"/>
            <w:vAlign w:val="bottom"/>
            <w:gridSpan w:val="2"/>
          </w:tcPr>
          <w:p>
            <w:pPr>
              <w:jc w:val="center"/>
              <w:ind w:left="1570"/>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4</w:t>
              </w:r>
            </w:hyperlink>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(Loss) Income</w:t>
              </w:r>
            </w:hyperlink>
          </w:p>
        </w:tc>
        <w:tc>
          <w:tcPr>
            <w:tcW w:w="2020" w:type="dxa"/>
            <w:vAlign w:val="bottom"/>
            <w:gridSpan w:val="2"/>
            <w:shd w:val="clear" w:color="auto" w:fill="CCEEFF"/>
          </w:tcPr>
          <w:p>
            <w:pPr>
              <w:jc w:val="center"/>
              <w:ind w:left="157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5</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Cash Flows</w:t>
              </w:r>
            </w:hyperlink>
          </w:p>
        </w:tc>
        <w:tc>
          <w:tcPr>
            <w:tcW w:w="2020" w:type="dxa"/>
            <w:vAlign w:val="bottom"/>
            <w:gridSpan w:val="2"/>
          </w:tcPr>
          <w:p>
            <w:pPr>
              <w:jc w:val="center"/>
              <w:ind w:left="157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6</w:t>
              </w:r>
            </w:hyperlink>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Notes to Condensed Consolidated Financial Statements</w:t>
              </w:r>
            </w:hyperlink>
          </w:p>
        </w:tc>
        <w:tc>
          <w:tcPr>
            <w:tcW w:w="2020" w:type="dxa"/>
            <w:vAlign w:val="bottom"/>
            <w:gridSpan w:val="2"/>
            <w:shd w:val="clear" w:color="auto" w:fill="CCEEFF"/>
          </w:tcPr>
          <w:p>
            <w:pPr>
              <w:jc w:val="center"/>
              <w:ind w:left="1570"/>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7</w:t>
              </w:r>
            </w:hyperlink>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20</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26">
              <w:r>
                <w:rPr>
                  <w:rFonts w:ascii="Arial" w:cs="Arial" w:eastAsia="Arial" w:hAnsi="Arial"/>
                  <w:sz w:val="18"/>
                  <w:szCs w:val="18"/>
                  <w:u w:val="single" w:color="auto"/>
                  <w:color w:val="0000EE"/>
                  <w:w w:val="98"/>
                </w:rPr>
                <w:t>Item 3.</w:t>
              </w:r>
            </w:hyperlink>
          </w:p>
        </w:tc>
        <w:tc>
          <w:tcPr>
            <w:tcW w:w="8460" w:type="dxa"/>
            <w:vAlign w:val="bottom"/>
            <w:gridSpan w:val="2"/>
            <w:shd w:val="clear" w:color="auto" w:fill="CCEEFF"/>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Quantitative and Qualitative Disclosures About Market Risk</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31</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26">
              <w:r>
                <w:rPr>
                  <w:rFonts w:ascii="Arial" w:cs="Arial" w:eastAsia="Arial" w:hAnsi="Arial"/>
                  <w:sz w:val="18"/>
                  <w:szCs w:val="18"/>
                  <w:u w:val="single" w:color="auto"/>
                  <w:color w:val="0000EE"/>
                  <w:w w:val="98"/>
                </w:rPr>
                <w:t>Item 4.</w:t>
              </w:r>
            </w:hyperlink>
          </w:p>
        </w:tc>
        <w:tc>
          <w:tcPr>
            <w:tcW w:w="8460" w:type="dxa"/>
            <w:vAlign w:val="bottom"/>
            <w:gridSpan w:val="2"/>
            <w:shd w:val="clear" w:color="auto" w:fill="CCEEFF"/>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31</w:t>
              </w:r>
            </w:hyperlink>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ind w:left="180"/>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Item 1A</w:t>
              </w:r>
              <w:r>
                <w:rPr>
                  <w:rFonts w:ascii="Arial" w:cs="Arial" w:eastAsia="Arial" w:hAnsi="Arial"/>
                  <w:sz w:val="18"/>
                  <w:szCs w:val="18"/>
                  <w:color w:val="0000EE"/>
                </w:rPr>
                <w:t>.</w:t>
              </w:r>
              <w:r>
                <w:rPr>
                  <w:rFonts w:ascii="Arial" w:cs="Arial" w:eastAsia="Arial" w:hAnsi="Arial"/>
                  <w:sz w:val="18"/>
                  <w:szCs w:val="18"/>
                  <w:u w:val="single" w:color="auto"/>
                  <w:color w:val="0000EE"/>
                </w:rPr>
                <w:t>Risk Factors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32</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27">
              <w:r>
                <w:rPr>
                  <w:rFonts w:ascii="Arial" w:cs="Arial" w:eastAsia="Arial" w:hAnsi="Arial"/>
                  <w:sz w:val="18"/>
                  <w:szCs w:val="18"/>
                  <w:u w:val="single" w:color="auto"/>
                  <w:color w:val="0000EE"/>
                  <w:w w:val="98"/>
                </w:rPr>
                <w:t>Item 2.</w:t>
              </w:r>
            </w:hyperlink>
          </w:p>
        </w:tc>
        <w:tc>
          <w:tcPr>
            <w:tcW w:w="8460" w:type="dxa"/>
            <w:vAlign w:val="bottom"/>
            <w:gridSpan w:val="2"/>
            <w:shd w:val="clear" w:color="auto" w:fill="CCEEFF"/>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Unregistered Sales of Equity Securities and Use of Proceeds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32</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Arial" w:cs="Arial" w:eastAsia="Arial" w:hAnsi="Arial"/>
                <w:sz w:val="18"/>
                <w:szCs w:val="18"/>
                <w:u w:val="single" w:color="auto"/>
                <w:color w:val="0000EE"/>
                <w:w w:val="98"/>
              </w:rPr>
            </w:pPr>
            <w:hyperlink w:anchor="page27">
              <w:r>
                <w:rPr>
                  <w:rFonts w:ascii="Arial" w:cs="Arial" w:eastAsia="Arial" w:hAnsi="Arial"/>
                  <w:sz w:val="18"/>
                  <w:szCs w:val="18"/>
                  <w:u w:val="single" w:color="auto"/>
                  <w:color w:val="0000EE"/>
                  <w:w w:val="98"/>
                </w:rPr>
                <w:t>Item 6.</w:t>
              </w:r>
            </w:hyperlink>
          </w:p>
        </w:tc>
        <w:tc>
          <w:tcPr>
            <w:tcW w:w="8460" w:type="dxa"/>
            <w:vAlign w:val="bottom"/>
            <w:gridSpan w:val="2"/>
            <w:shd w:val="clear" w:color="auto" w:fill="CCEEFF"/>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33</w:t>
              </w:r>
            </w:hyperlink>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Signatures</w:t>
              </w:r>
            </w:hyperlink>
          </w:p>
        </w:tc>
        <w:tc>
          <w:tcPr>
            <w:tcW w:w="2020" w:type="dxa"/>
            <w:vAlign w:val="bottom"/>
            <w:gridSpan w:val="2"/>
            <w:shd w:val="clear" w:color="auto" w:fill="CCEEFF"/>
          </w:tcPr>
          <w:p>
            <w:pPr>
              <w:jc w:val="center"/>
              <w:ind w:left="1550"/>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35</w:t>
              </w:r>
            </w:hyperlink>
          </w:p>
        </w:tc>
        <w:tc>
          <w:tcPr>
            <w:tcW w:w="20" w:type="dxa"/>
            <w:vAlign w:val="bottom"/>
            <w:shd w:val="clear" w:color="auto" w:fill="CCEEFF"/>
          </w:tcPr>
          <w:p>
            <w:pPr>
              <w:spacing w:after="0"/>
              <w:rPr>
                <w:sz w:val="18"/>
                <w:szCs w:val="18"/>
                <w:color w:val="auto"/>
              </w:rPr>
            </w:pPr>
          </w:p>
        </w:tc>
      </w:tr>
      <w:tr>
        <w:trPr>
          <w:trHeight w:val="432"/>
        </w:trPr>
        <w:tc>
          <w:tcPr>
            <w:tcW w:w="740" w:type="dxa"/>
            <w:vAlign w:val="bottom"/>
          </w:tcPr>
          <w:p>
            <w:pPr>
              <w:spacing w:after="0"/>
              <w:rPr>
                <w:sz w:val="24"/>
                <w:szCs w:val="24"/>
                <w:color w:val="auto"/>
              </w:rPr>
            </w:pPr>
          </w:p>
        </w:tc>
        <w:tc>
          <w:tcPr>
            <w:tcW w:w="8460" w:type="dxa"/>
            <w:vAlign w:val="bottom"/>
            <w:gridSpan w:val="2"/>
          </w:tcPr>
          <w:p>
            <w:pPr>
              <w:jc w:val="center"/>
              <w:ind w:left="1210"/>
              <w:spacing w:after="0"/>
              <w:rPr>
                <w:sz w:val="20"/>
                <w:szCs w:val="20"/>
                <w:color w:val="auto"/>
              </w:rPr>
            </w:pPr>
            <w:r>
              <w:rPr>
                <w:rFonts w:ascii="Arial" w:cs="Arial" w:eastAsia="Arial" w:hAnsi="Arial"/>
                <w:sz w:val="18"/>
                <w:szCs w:val="18"/>
                <w:color w:val="auto"/>
                <w:w w:val="79"/>
              </w:rPr>
              <w:t>3</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October 31,</w:t>
            </w: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November 2,</w:t>
            </w:r>
          </w:p>
        </w:tc>
      </w:t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jc w:val="center"/>
              <w:ind w:left="485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51,501</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53,381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66,205</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7,950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5,427</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6,327</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90,687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88,949</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109,757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135,810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55,421</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65,855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65,954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 assets,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3,572</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2,761</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259,437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296,677</w:t>
            </w:r>
          </w:p>
        </w:tc>
      </w:tr>
      <w:tr>
        <w:trPr>
          <w:trHeight w:val="196"/>
        </w:trPr>
        <w:tc>
          <w:tcPr>
            <w:tcW w:w="6320" w:type="dxa"/>
            <w:vAlign w:val="bottom"/>
            <w:tcBorders>
              <w:top w:val="single" w:sz="8" w:color="CCEEFF"/>
            </w:tcBorders>
            <w:gridSpan w:val="2"/>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jc w:val="center"/>
              <w:ind w:left="303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19,856</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9,985</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short term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35,489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31,537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Gift cards and customer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19,070</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19,141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2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91,306</w:t>
            </w: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85,964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81,400</w:t>
            </w:r>
          </w:p>
        </w:tc>
      </w:tr>
      <w:tr>
        <w:trPr>
          <w:trHeight w:val="216"/>
        </w:trPr>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lease liability long term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107,653</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119,625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130,394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2,913</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r>
      <w:tr>
        <w:trPr>
          <w:trHeight w:val="216"/>
        </w:trPr>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0"/>
              </w:rPr>
              <w:t>Preferred stock, par value $0.01, Shares authorized: 15,000,000; No shares issued or</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57"/>
        </w:trPr>
        <w:tc>
          <w:tcPr>
            <w:tcW w:w="6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240"/>
          </w:cols>
          <w:pgMar w:left="320" w:top="108"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outstanding at October 31, 2020, February 1, 2020 and November 2, 2019</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7"/>
              </w:rPr>
              <w:t>Common stock, par value $0.01, Shares authorized: 50,000,000; Issued and</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outstanding: 15,960,262, 15,205,981 and 15,219,915 shares, respectively</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4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72,344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70,633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69,955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(12,277)</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(12,079)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(11,927)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(deficit)/earnings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23,763</w:t>
            </w:r>
          </w:p>
        </w:tc>
      </w:tr>
      <w:tr>
        <w:trPr>
          <w:trHeight w:val="20"/>
        </w:trPr>
        <w:tc>
          <w:tcPr>
            <w:tcW w:w="5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56,699</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88,631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81,943</w:t>
            </w:r>
          </w:p>
        </w:tc>
      </w:tr>
      <w:tr>
        <w:trPr>
          <w:trHeight w:val="20"/>
        </w:trPr>
        <w:tc>
          <w:tcPr>
            <w:tcW w:w="5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259,437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297,262</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296,677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24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Thirty-nine weeks ended</w:t>
            </w:r>
          </w:p>
        </w:tc>
      </w:tr>
      <w:tr>
        <w:trPr>
          <w:trHeight w:val="191"/>
        </w:trPr>
        <w:tc>
          <w:tcPr>
            <w:tcW w:w="5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1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4"/>
              </w:rPr>
              <w:t>November 2,</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1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4"/>
              </w:rPr>
              <w:t>November 2,</w:t>
            </w: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retail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72,368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66,575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157,354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222,837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Commercial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International franchising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2,616</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74,673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70,384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233,960</w:t>
            </w:r>
          </w:p>
        </w:tc>
      </w:tr>
      <w:tr>
        <w:trPr>
          <w:trHeight w:val="210"/>
        </w:trPr>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merchandise sold - retail</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38,715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40,284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102,300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126,722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Store asset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merchandise sold - commercial</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782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3,887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merchandise sold - international franchising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820"/>
              <w:spacing w:after="0"/>
              <w:rPr>
                <w:sz w:val="20"/>
                <w:szCs w:val="20"/>
                <w:color w:val="auto"/>
              </w:rPr>
            </w:pPr>
            <w:r>
              <w:rPr>
                <w:rFonts w:ascii="Arial" w:cs="Arial" w:eastAsia="Arial" w:hAnsi="Arial"/>
                <w:sz w:val="18"/>
                <w:szCs w:val="18"/>
                <w:color w:val="auto"/>
              </w:rPr>
              <w:t>Total cost of merchandise sold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39,910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42,658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111,289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133,026</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34,763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100,934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33,091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35,412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81,332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106,940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82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1,670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(30,977)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(6,027)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8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1,660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(33,453)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(5,901)</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1,686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(6,222)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(33,651)</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(5,809)</w:t>
            </w:r>
          </w:p>
        </w:tc>
      </w:tr>
      <w:tr>
        <w:trPr>
          <w:trHeight w:val="197"/>
        </w:trPr>
        <w:tc>
          <w:tcPr>
            <w:tcW w:w="59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0.11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14,999,786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14,752,307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14,923,304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14,697,592</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15,220,432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14,752,307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14,923,304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14,697,592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November 2,</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(33,453)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(5,901)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less to net cash provided by (used in)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40"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9,905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10,359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Share-based and performance-based stock compensation</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Impairment of right-of-use assets and fixed assets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assets and liabilities: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 net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Receivables, net</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(4,715)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Gift cards and customer deposits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(1,128)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(2,916)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w:t>
            </w:r>
          </w:p>
        </w:tc>
      </w:tr>
      <w:tr>
        <w:trPr>
          <w:trHeight w:val="20"/>
        </w:trPr>
        <w:tc>
          <w:tcPr>
            <w:tcW w:w="80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(used in) operating activities</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(1,563)</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(10,099)</w:t>
            </w:r>
          </w:p>
        </w:tc>
      </w:tr>
      <w:tr>
        <w:trPr>
          <w:trHeight w:val="20"/>
        </w:trPr>
        <w:tc>
          <w:tcPr>
            <w:tcW w:w="8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(10,099)</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used in financing activities:</w:t>
            </w: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r>
      <w:tr>
        <w:trPr>
          <w:trHeight w:val="20"/>
        </w:trPr>
        <w:tc>
          <w:tcPr>
            <w:tcW w:w="80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financing activities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(11,727)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27,463</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7,820</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27,463</w:t>
            </w: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Less: Restricted cash from long-term deposits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(1,654)</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(1,653)</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cash and cash equivalents</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(paid) during the period for income taxes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1, 2020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1, 2020, which were included in the Company’s Annual Report on Form 10-K filed with the SEC on April 16,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March 2020, the World Health Organization announced that COVID-19 is a global pandemic. On March 17, 2020, the Company announced the temporary closure of all corporately-managed stores in the United States, Canada, the United Kingdom, Denmark and Ireland as a result of local and governmental restrictions due to the pandemic. In addition, on March 26, 2020, the Company announced the temporary closure of its warehouse and e-commerce fulfillment center in Ohio as it reviewed its process related to workplace safety, including social distancing and sanitation practices recommended by the Centers for Disease Control and Prevention. The Ohio warehouse was reopened on April 1, 2020 following the review and reconfiguration of workflow and workspaces to further promote social distancing and minimize interaction as merchandise is shipped to stores and e-commerce orders are fulfilled. The Company took various initial steps in response to COVID-19, such as furloughing employees, reducing compensation for all corporate employees including its executive officers, delaying payment of bonuses and 401(k) plan matching contributions, reducing planned capital expenditures to maintenance levels, deferring payments through extension of terms, and leveraging outstanding rent payments to landlords and high optionality in the leases in its real estate portfolio to aggressively renegotiate more favorable terms. During the second quarter, the Company reopened the vast majority of its corporately-managed store locations, many with shortened hours of operations and lower traffic levels, saw strong digital demand on its e-commerce site, accelerated its omni-channel competencies, and continued disciplined expense management and cash preservation which included the renegotiation of lease terms to include rent reductions, deferrals and abatements.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Operational and Distribution Network Update for the third quarter due to COVID-19:</w:t>
      </w:r>
    </w:p>
    <w:p>
      <w:pPr>
        <w:spacing w:after="0" w:line="271" w:lineRule="exact"/>
        <w:rPr>
          <w:sz w:val="20"/>
          <w:szCs w:val="20"/>
          <w:color w:val="auto"/>
        </w:rPr>
      </w:pPr>
    </w:p>
    <w:p>
      <w:pPr>
        <w:ind w:left="620" w:hanging="234"/>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6"/>
          <w:szCs w:val="16"/>
          <w:color w:val="auto"/>
        </w:rPr>
        <w:t>During the third quarter, the vast majority of the Company's corporately-managed store fleet remained opened in accordance with local law, with</w:t>
      </w:r>
    </w:p>
    <w:p>
      <w:pPr>
        <w:sectPr>
          <w:pgSz w:w="11900" w:h="16838" w:orient="portrait"/>
          <w:cols w:equalWidth="0" w:num="1">
            <w:col w:w="11240"/>
          </w:cols>
          <w:pgMar w:left="320" w:top="125" w:right="339" w:bottom="0" w:gutter="0" w:footer="0" w:header="0"/>
        </w:sectPr>
      </w:pPr>
    </w:p>
    <w:bookmarkStart w:id="5" w:name="page6"/>
    <w:bookmarkEnd w:id="5"/>
    <w:p>
      <w:pPr>
        <w:ind w:left="240" w:right="20"/>
        <w:spacing w:after="0" w:line="305" w:lineRule="auto"/>
        <w:rPr>
          <w:sz w:val="20"/>
          <w:szCs w:val="20"/>
          <w:color w:val="auto"/>
        </w:rPr>
      </w:pPr>
      <w:r>
        <w:rPr>
          <w:rFonts w:ascii="Arial" w:cs="Arial" w:eastAsia="Arial" w:hAnsi="Arial"/>
          <w:sz w:val="16"/>
          <w:szCs w:val="16"/>
          <w:color w:val="auto"/>
        </w:rPr>
        <w:t>temporary closures and other related restrictions (e.g. safe at home or stay at home orders) continuing to fluctuate on a localized level, resulting in 7% fewer operating days in the third quarter. The Company ended the quarter with approximately 98% of its corporately-managed store locations open for operations, although certain stores in the United Kingdom were closed following the end of the third quarter, as discussed below.</w:t>
      </w:r>
    </w:p>
    <w:p>
      <w:pPr>
        <w:spacing w:after="0" w:line="1" w:lineRule="exact"/>
        <w:rPr>
          <w:sz w:val="20"/>
          <w:szCs w:val="20"/>
          <w:color w:val="auto"/>
        </w:rPr>
      </w:pPr>
    </w:p>
    <w:p>
      <w:pPr>
        <w:ind w:left="240" w:hanging="221"/>
        <w:spacing w:after="0" w:line="268" w:lineRule="auto"/>
        <w:tabs>
          <w:tab w:leader="none" w:pos="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e-commerce site was fully operational throughout the quarter. The Company continued to see strong digital demand with growth rates at triple-digit levels compared to the comparable period in 2019.</w:t>
      </w:r>
    </w:p>
    <w:p>
      <w:pPr>
        <w:spacing w:after="0" w:line="23" w:lineRule="exact"/>
        <w:rPr>
          <w:rFonts w:ascii="Arial" w:cs="Arial" w:eastAsia="Arial" w:hAnsi="Arial"/>
          <w:sz w:val="18"/>
          <w:szCs w:val="18"/>
          <w:color w:val="auto"/>
        </w:rPr>
      </w:pPr>
    </w:p>
    <w:p>
      <w:pPr>
        <w:ind w:left="240" w:hanging="221"/>
        <w:spacing w:after="0" w:line="256" w:lineRule="auto"/>
        <w:tabs>
          <w:tab w:leader="none" w:pos="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continued to enhance its omni-channel capabilities of “Buy Online, Ship From Store” and “Buy Online, Pick Up In Store” by expanding the number of stores that are eligible to fulfill digital orders including the initialization of “Click and Collect” orders in its United Kingdom locations, a form of "Buy Online, Pick Up In Store" for U.K. operations. The Company believes these programs are an efficient use of available store labor and inventory to support the expected ongoing strong digital demand.</w:t>
      </w:r>
    </w:p>
    <w:p>
      <w:pPr>
        <w:spacing w:after="0" w:line="34" w:lineRule="exact"/>
        <w:rPr>
          <w:rFonts w:ascii="Arial" w:cs="Arial" w:eastAsia="Arial" w:hAnsi="Arial"/>
          <w:sz w:val="18"/>
          <w:szCs w:val="18"/>
          <w:color w:val="auto"/>
        </w:rPr>
      </w:pPr>
    </w:p>
    <w:p>
      <w:pPr>
        <w:ind w:left="240" w:right="140" w:hanging="234"/>
        <w:spacing w:after="0" w:line="268"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renegotiated lease terms to include rent reductions, deferrals and abatements on 99% of North American locations and almost 90% of those in the UK since the onset of the pandemic.</w:t>
      </w:r>
    </w:p>
    <w:p>
      <w:pPr>
        <w:spacing w:after="0" w:line="23" w:lineRule="exact"/>
        <w:rPr>
          <w:rFonts w:ascii="Arial" w:cs="Arial" w:eastAsia="Arial" w:hAnsi="Arial"/>
          <w:sz w:val="18"/>
          <w:szCs w:val="18"/>
          <w:color w:val="auto"/>
        </w:rPr>
      </w:pPr>
    </w:p>
    <w:p>
      <w:pPr>
        <w:ind w:left="240" w:right="100" w:hanging="234"/>
        <w:spacing w:after="0" w:line="259"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maintained disciplined expense management and cash preservation across the business including continued delayed payment of bonuses earned by executive officers for 2019 performance and the Company matching contribution to its 401(k) plan. The Company also continued to limit its capital expenditures to maintenance levels.</w:t>
      </w:r>
    </w:p>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00" w:top="131" w:right="39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71" w:lineRule="exact"/>
        <w:rPr>
          <w:sz w:val="20"/>
          <w:szCs w:val="20"/>
          <w:color w:val="auto"/>
        </w:rPr>
      </w:pPr>
    </w:p>
    <w:p>
      <w:pPr>
        <w:ind w:left="600" w:right="340" w:hanging="208"/>
        <w:spacing w:after="0" w:line="299"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light of the Company's improved financial performance, on October 6, 2020, the Company’s Compensation Committee authorized the return of base salaries to the amounts that were effective prior to the salary reductions for all employees, including the Company’s executive officers. The restoration of the base salaries was effective September 27, 2020, and was not retroactive to the date salaries were reduced in March 2020.</w:t>
      </w:r>
    </w:p>
    <w:p>
      <w:pPr>
        <w:spacing w:after="0" w:line="14" w:lineRule="exact"/>
        <w:rPr>
          <w:rFonts w:ascii="Arial" w:cs="Arial" w:eastAsia="Arial" w:hAnsi="Arial"/>
          <w:sz w:val="16"/>
          <w:szCs w:val="16"/>
          <w:color w:val="auto"/>
        </w:rPr>
      </w:pPr>
    </w:p>
    <w:p>
      <w:pPr>
        <w:ind w:left="600" w:hanging="208"/>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supply chain experienced no significant disruptions in the quarter with the Company able to receive deliveries in a timely manner.</w:t>
      </w:r>
    </w:p>
    <w:p>
      <w:pPr>
        <w:spacing w:after="0" w:line="86" w:lineRule="exact"/>
        <w:rPr>
          <w:rFonts w:ascii="Arial" w:cs="Arial" w:eastAsia="Arial" w:hAnsi="Arial"/>
          <w:sz w:val="16"/>
          <w:szCs w:val="16"/>
          <w:color w:val="auto"/>
        </w:rPr>
      </w:pPr>
    </w:p>
    <w:p>
      <w:pPr>
        <w:ind w:left="600" w:hanging="208"/>
        <w:spacing w:after="0" w:line="268"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franchisees ended the quarter with 74 locations open and operating as permitted by law across Africa, Asia, Australia, the Middle East and South America, while one location remained temporarily closed due to COVID- 19.</w:t>
      </w:r>
    </w:p>
    <w:p>
      <w:pPr>
        <w:spacing w:after="0" w:line="23" w:lineRule="exact"/>
        <w:rPr>
          <w:rFonts w:ascii="Arial" w:cs="Arial" w:eastAsia="Arial" w:hAnsi="Arial"/>
          <w:sz w:val="18"/>
          <w:szCs w:val="18"/>
          <w:color w:val="auto"/>
        </w:rPr>
      </w:pPr>
    </w:p>
    <w:p>
      <w:pPr>
        <w:ind w:left="600" w:hanging="208"/>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 locations associated with the Company’s third-party retail model were operating at the end of the quarter.</w:t>
      </w:r>
    </w:p>
    <w:p>
      <w:pPr>
        <w:spacing w:after="0" w:line="260" w:lineRule="exact"/>
        <w:rPr>
          <w:sz w:val="20"/>
          <w:szCs w:val="20"/>
          <w:color w:val="auto"/>
        </w:rPr>
      </w:pPr>
    </w:p>
    <w:p>
      <w:pPr>
        <w:ind w:left="20" w:right="20" w:firstLine="630"/>
        <w:spacing w:after="0" w:line="311" w:lineRule="auto"/>
        <w:rPr>
          <w:sz w:val="20"/>
          <w:szCs w:val="20"/>
          <w:color w:val="auto"/>
        </w:rPr>
      </w:pPr>
      <w:r>
        <w:rPr>
          <w:rFonts w:ascii="Arial" w:cs="Arial" w:eastAsia="Arial" w:hAnsi="Arial"/>
          <w:sz w:val="16"/>
          <w:szCs w:val="16"/>
          <w:color w:val="auto"/>
        </w:rPr>
        <w:t>At the beginning of the fourth quarter, the Company temporarily closed 43 stores in the United Kingdom as a result of governmental COVID-19 mandates. These temporary closures were in addition to two stores that were temporarily closed in Ireland shortly before the end of the third quarter due to COVID-19 mandates. As of December 2, 2020, 39 of these locations in the United Kingdom reopened as restrictions in those jurisdictions were eased.</w:t>
      </w:r>
    </w:p>
    <w:p>
      <w:pPr>
        <w:spacing w:after="0" w:line="149"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Company's operating results for the thirteen and thirty-nine weeks ended October 31, 2020 may not be indicative of the results that may be expected for the fiscal year ending January 30, 2021 primarily due to the impact of the COVID-19 pandemic. The pandemic has had, and will continue to have, a negative impact on the Company's retail store operations and financial condition and will continue to affect its cash flows, although the full extent is uncertain at this time. As the pandemic continues to evolve, the extent of the future impact will depend on additional developments, including, but not limited to, the duration and extent of any temporary closing of certain of its stores, the enactment and duration of governmentally-mandated quarantines, shelter-in-place orders and other travel restrictions within the U.S. and other affected countries, the duration and spread of the pandemic (including any relapses), its severity, the actions to contain the virus and/or treat its impact including approval and distribution of vaccines, the duration, timing and severity of the impact on consumer spending (including the recession resulting from the pandemic), and how quickly and to what extent economic and operating conditions can recover and resume, all of which are highly uncertain and cannot be predicted.</w:t>
      </w:r>
    </w:p>
    <w:p>
      <w:pPr>
        <w:spacing w:after="0" w:line="166" w:lineRule="exact"/>
        <w:rPr>
          <w:sz w:val="20"/>
          <w:szCs w:val="20"/>
          <w:color w:val="auto"/>
        </w:rPr>
      </w:pPr>
    </w:p>
    <w:p>
      <w:pPr>
        <w:ind w:left="20" w:firstLine="648"/>
        <w:spacing w:after="0" w:line="259" w:lineRule="auto"/>
        <w:rPr>
          <w:sz w:val="20"/>
          <w:szCs w:val="20"/>
          <w:color w:val="auto"/>
        </w:rPr>
      </w:pPr>
      <w:r>
        <w:rPr>
          <w:rFonts w:ascii="Arial" w:cs="Arial" w:eastAsia="Arial" w:hAnsi="Arial"/>
          <w:sz w:val="18"/>
          <w:szCs w:val="18"/>
          <w:color w:val="auto"/>
        </w:rPr>
        <w:t>In addition, the Company’s business is subject to seasonal fluctuations, with significant portions of the Company’s revenues and net income being realized during the fourth quarter of the fiscal year due to the holiday selling season. Therefore, the results for the thirteen and thirty-nine weeks ended October 31, 2020 are not necessarily indicative of the results to be expected for the fiscal year ending January 30, 2021, or for any other future interim period or for any future year.</w:t>
      </w:r>
    </w:p>
    <w:p>
      <w:pPr>
        <w:spacing w:after="0" w:line="187" w:lineRule="exact"/>
        <w:rPr>
          <w:sz w:val="20"/>
          <w:szCs w:val="20"/>
          <w:color w:val="auto"/>
        </w:rPr>
      </w:pPr>
    </w:p>
    <w:p>
      <w:pPr>
        <w:ind w:left="20" w:right="120" w:firstLine="648"/>
        <w:spacing w:after="0" w:line="284" w:lineRule="auto"/>
        <w:rPr>
          <w:sz w:val="20"/>
          <w:szCs w:val="20"/>
          <w:color w:val="auto"/>
        </w:rPr>
      </w:pPr>
      <w:r>
        <w:rPr>
          <w:rFonts w:ascii="Arial" w:cs="Arial" w:eastAsia="Arial" w:hAnsi="Arial"/>
          <w:sz w:val="16"/>
          <w:szCs w:val="16"/>
          <w:color w:val="auto"/>
        </w:rPr>
        <w:t>The Company had not borrowed on its credit facility as of December 7, 2020. Inclusive of the Company's credit facility, the Company's liquidity may be negatively impacted if the pandemic results in the temporary closure of certain of its stores in various locations due to local mandates or requirements. The Company believes that its current cash balance, access to its revolving credit facility, along with the expense management and cash preservation actions taken, provide it with sufficient, current liquidity. Due to the ongoing uncertainty regarding the future impact of COVID-19 and consumer shopping behavior, the Company expects to continue to carefully manage its cash position, and may take further actions to further improve its cash position, including but not limited to, monetizing Company assets, continuing its more aggressive inventory management,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reimplementing employee furloughs or further position eliminations, and continuing to forego capital expenditures and other discretionary expenses.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Significant Accounting Policies</w:t>
      </w:r>
    </w:p>
    <w:p>
      <w:pPr>
        <w:spacing w:after="0" w:line="225" w:lineRule="exact"/>
        <w:rPr>
          <w:sz w:val="20"/>
          <w:szCs w:val="20"/>
          <w:color w:val="auto"/>
        </w:rPr>
      </w:pPr>
    </w:p>
    <w:p>
      <w:pPr>
        <w:ind w:left="20" w:right="60" w:firstLine="648"/>
        <w:spacing w:after="0" w:line="263" w:lineRule="auto"/>
        <w:rPr>
          <w:sz w:val="20"/>
          <w:szCs w:val="20"/>
          <w:color w:val="auto"/>
        </w:rPr>
      </w:pPr>
      <w:r>
        <w:rPr>
          <w:rFonts w:ascii="Arial" w:cs="Arial" w:eastAsia="Arial" w:hAnsi="Arial"/>
          <w:sz w:val="18"/>
          <w:szCs w:val="18"/>
          <w:color w:val="auto"/>
        </w:rPr>
        <w:t>The Company's significant accounting policies are summarized in Note 2 to the consolidated financial statements included in its Form 10-K for the year ended February 1, 2020. An update and supplement to these policies is needed for the Company's accounting for government assistance and long-live asset impairment.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Government Grants</w:t>
      </w:r>
    </w:p>
    <w:p>
      <w:pPr>
        <w:spacing w:after="0" w:line="225" w:lineRule="exact"/>
        <w:rPr>
          <w:sz w:val="20"/>
          <w:szCs w:val="20"/>
          <w:color w:val="auto"/>
        </w:rPr>
      </w:pPr>
    </w:p>
    <w:p>
      <w:pPr>
        <w:ind w:left="20" w:right="20" w:firstLine="648"/>
        <w:spacing w:after="0" w:line="257" w:lineRule="auto"/>
        <w:rPr>
          <w:sz w:val="20"/>
          <w:szCs w:val="20"/>
          <w:color w:val="auto"/>
        </w:rPr>
      </w:pPr>
      <w:r>
        <w:rPr>
          <w:rFonts w:ascii="Arial" w:cs="Arial" w:eastAsia="Arial" w:hAnsi="Arial"/>
          <w:sz w:val="18"/>
          <w:szCs w:val="18"/>
          <w:color w:val="auto"/>
        </w:rPr>
        <w:t>The Company applied for reimbursement of payroll expenses in certain jurisdictions through COVID-19 related government programs for payroll paid to employees who were paid while not providing services to the Company during the first three quarters of fiscal 2020. These programs require the Company to apply to the government for reimbursement of wages based on the applicable laws and programs within each jurisdiction. Through review of and application to these programs, the Company believes it qualifies for such reimbursement, and it is probable that the expenses will be reimbursed. As a result, the Company</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recorded a reduction to expenses of approximately $0.3 million for the thirteen weeks ended October 31, 2020 and $3.3 million for the thirty-nine weeks ended October 31, 2020 related to these wages within the Selling, general and administrative line in the Condensed Consolidated Statement of Operations and Comprehensive Income (Loss) for the period ending October 31, 2020 and as of the end of the third quarter $1.2 million of the reimbursement was outstanding from tax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 Assets, including right-of-use operating lease assets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Whenever facts and circumstances indicate that the carrying value of long-lived assets and right-of-use operating lease assets may not be recoverable, the carrying value of those assets is reviewed. If this review indicates that the carrying value of the asset will not be recovered, as determined based on projected undiscounted cash flows related to the asset over its remaining life, the carrying value of the asset is reduced to its estimated fair value. The Company typically performs an annual assessment of its store assets in the direct-to-consumer (“DTC”) segment, based on operating performance and forecasts of future performance. As a result of the COVID-19 pandemic, the Company experienced lower than projected revenues and identified indicators of impairment for its store fleet. The Company performed the recoverability test for these assets by comparing the estimated undiscounted future cash flows over the remaining useful life for its long-lived assets and right-of-use assets and determined that certain stores had long-lived and right-of-use assets with carrying values that exceeded their estimated undiscounted future cash flows for the remaining useful life of the respective assets.</w:t>
      </w:r>
    </w:p>
    <w:p>
      <w:pPr>
        <w:spacing w:after="0" w:line="16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Company estimated fair values of these long-lived assets based on its discounted future cash flows for the remaining useful life of the asset or market rent assessments. The Company's analysis indicated that the carrying values of certain of its long-lived assets exceeded their respective fair values determined by the discounted future cash flow analysis or the market rent assessment. As a result, the Company recognized an impairment charge</w:t>
      </w:r>
    </w:p>
    <w:p>
      <w:pPr>
        <w:spacing w:after="0" w:line="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of $0.2 million for the thirteen weeks ended October 31, 2020, with approximately $0.1 million for right-of-use operating lease assets and $0.1 million for fixed assets including leasehold improvements and fixtures, furniture and fixtures, and machinery and equipment. For the thirty-nine weeks ended October 31, 2020 the Company has recognized impairment charges totaling $7.0 million, with approximately $3.6 million for right-of-use operating lease assets and $3.4 million for fixed assets including leasehold improvements and fixtures, furniture and fixtures, machinery and equipment, and construction-in-progress. These charges are recorded in Store asset impairment within the Condensed Consolidated Statement of Operations and Comprehensive Income (Loss) for the respective periods. These impairment charges were primarily driven by lower than projected revenues and the effect of temporary store closures as a result of the COVID-19 pandemic. The majority of the impairment was recorded for assets associated with stores in North America. For the thirteen weeks ended November 2, 2019, the Company recorded no impairment charges and for the thirty-nine weeks ended November 2, 2019 the Company recorded impairments charges of $5.9 million on right-of-use assets into retained earnings as a result of the adoption of ASC 842, Leases.</w:t>
      </w:r>
    </w:p>
    <w:p>
      <w:pPr>
        <w:spacing w:after="0" w:line="17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determination of estimated market rent used in the fair value estimate of the Company’s operating lease assets included within the respective store asset group requires significant management judgment. Changes in these estimates could have a significant impact on whether long-lived store assets should be further evaluated for impairment and could have a significant impact on the resulting impairment charge. The significant estimates, all of which are considered Level 3 inputs, used in the fair value methodology include: the Company’s expectations for future operations and projected cash flows, including revenues, operating expenses including market rents, and market conditions.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Nearly all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97% of consolidated revenue for the third quarter of fiscal 2020. The majority of these sales transactions are single performance obligations that are recorded when control is transferred to the customer.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estimated delivery to the customer. 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nature of sales, where consumers customize their own stuffed animal. The Company has elected to exclude from revenue all collected sales, value added and other taxes paid by its customers.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For the Company’s gift cards, revenue, including any related gift card discounts, is deferred for single transactions until redemption. Historically, the vast majority of gift card redemptions have occurred within three years of acquisition and approximately 75% of gift cards have been redeemed within the first twelve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w:t>
      </w:r>
    </w:p>
    <w:p>
      <w:pPr>
        <w:spacing w:after="0" w:line="185"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Company classifies these guaranteed minimum contract liabilities as deferred revenue on the consolidated balance sheet.</w:t>
      </w:r>
    </w:p>
    <w:p>
      <w:pPr>
        <w:spacing w:after="0" w:line="21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or if the agreement is terminated prior to the end of the term. The Company classifies these initial, one-time nonrefundable franchise fee contract liabilities as deferred revenue on the consolidated balance sheet. Revenue from merchandise and fixture sales is recognized when control is transferred to the franchisee which generally occurs upon delivery to the customer.</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which may include finder’s fees, legal and travel costs, expenses related to its ongoing support of the franchisees and employee compensation. Accordingly, the Company’s policy is to capitalize any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an original term of a five to ten-year base period and may include renewal options to extend the lease term beyond the initial base period and are typically much shorter than the original lease term giving the Company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presents certain information related to the lease costs for operating leases for the thirteen and thirty-nine weeks ended October 31, 2020 and November 2, 2019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Thirty-nine weeks ended</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November 2,</w:t>
            </w:r>
          </w:p>
        </w:tc>
      </w:tr>
      <w:tr>
        <w:trPr>
          <w:trHeight w:val="234"/>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10,260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28,464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31,030</w:t>
            </w: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1,828</w:t>
            </w: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9,897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11,029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29,997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33,798</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table below presents supplemental cash flow information related to leases for the thirteen and thirty-nine weeks ended October 31, 2020 and November 2, 2019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Thirteen weeks ended</w:t>
            </w:r>
          </w:p>
        </w:tc>
        <w:tc>
          <w:tcPr>
            <w:tcW w:w="27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Thirty-nine weeks ended</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October 31,</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November 2,</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October 31,</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November 2,</w:t>
            </w:r>
          </w:p>
        </w:tc>
      </w:tr>
      <w:tr>
        <w:trPr>
          <w:trHeight w:val="234"/>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Operating cash flows for operating leases</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9,949</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25,878</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33,061</w:t>
            </w:r>
          </w:p>
        </w:tc>
      </w:tr>
    </w:tbl>
    <w:p>
      <w:pPr>
        <w:spacing w:after="0" w:line="20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As of October 31, 2020 and November 2, 2019, the weighted-average remaining operating lease term was 5.0 years and 5.8 years, respectively, and the weighted-average discount rate was 6.0% and 5.9%, respectively, for operating leases recognized on the Company's Condensed Consolidated Balance Sheets.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discussed above, the Company incurred impairment charges during the thirteen and thirty-nine weeks ended October 31, 2020, of $0.1 million and $3.6 million, respectively, against right-of-use operating lease assets.</w:t>
      </w:r>
    </w:p>
    <w:p>
      <w:pPr>
        <w:spacing w:after="0" w:line="17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During the second and third quarters, the Company renegotiated a large portion of its store lease portfolio resulting in a combination of rent reductions, deferments, and abatements in North America and the United Kingdom and Ireland. These negotiations have increased the percentage of leases with variable rent structures resulting in the increase in variable rent expense for the thirteen weeks ended October 31, 2020 compared to thirteen weeks ended November 2, 2019. For these renegotiated leases, under </w:t>
      </w:r>
      <w:r>
        <w:rPr>
          <w:rFonts w:ascii="Arial" w:cs="Arial" w:eastAsia="Arial" w:hAnsi="Arial"/>
          <w:sz w:val="16"/>
          <w:szCs w:val="16"/>
          <w:i w:val="1"/>
          <w:iCs w:val="1"/>
          <w:color w:val="auto"/>
        </w:rPr>
        <w:t>ASC 842 Leases</w:t>
      </w:r>
      <w:r>
        <w:rPr>
          <w:rFonts w:ascii="Arial" w:cs="Arial" w:eastAsia="Arial" w:hAnsi="Arial"/>
          <w:sz w:val="16"/>
          <w:szCs w:val="16"/>
          <w:color w:val="auto"/>
        </w:rPr>
        <w:t>, the Company assessed if the renegotiated leases represented a new, separate contract or a modification of the existing lease. The Company concluded all renegotiated leases represented a modification of terms of each existing agreement. As such, the Company remeasured the lease liability and decreased the carrying amount of the right-of-use asset in proportion to the modification of the existing lease and recognized in profit or loss any difference between the reduction in the lease liability and the reduction in the right-of-us asset, which had an immaterial impact on the second quarter results. The Company remains in negotiations with certain landlords for those stores not already renegotiated and expects further rent reductions, deferments or abatements to be recognized in the fourth quarter of the current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25" w:lineRule="exact"/>
        <w:rPr>
          <w:sz w:val="20"/>
          <w:szCs w:val="20"/>
          <w:color w:val="auto"/>
        </w:rPr>
      </w:pPr>
    </w:p>
    <w:p>
      <w:pPr>
        <w:ind w:left="500" w:right="480" w:firstLine="162"/>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40,496</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30,635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25,716</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21,532</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35,861</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166,130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(22,988)</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143,142</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(35,489)</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107,653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of October 31, 2020, the Company had an additional executed lease that had not yet commenced with operating lease liabilities of $1.3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lease is expected to commence in 2021 with a lease term of ten years.</w:t>
      </w:r>
    </w:p>
    <w:p>
      <w:pPr>
        <w:sectPr>
          <w:pgSz w:w="11900" w:h="16838" w:orient="portrait"/>
          <w:cols w:equalWidth="0" w:num="1">
            <w:col w:w="11220"/>
          </w:cols>
          <w:pgMar w:left="320" w:top="125" w:right="359" w:bottom="144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October 31,</w:t>
            </w:r>
          </w:p>
        </w:tc>
        <w:tc>
          <w:tcPr>
            <w:tcW w:w="2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February 1,</w:t>
            </w: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November 2,</w:t>
            </w:r>
          </w:p>
        </w:tc>
      </w:tr>
      <w:tr>
        <w:trPr>
          <w:trHeight w:val="234"/>
        </w:trPr>
        <w:tc>
          <w:tcPr>
            <w:tcW w:w="4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Prepaid occupancy </w:t>
            </w:r>
            <w:r>
              <w:rPr>
                <w:rFonts w:ascii="Arial" w:cs="Arial" w:eastAsia="Arial" w:hAnsi="Arial"/>
                <w:sz w:val="24"/>
                <w:szCs w:val="24"/>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879</w:t>
            </w: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1,285</w:t>
            </w:r>
          </w:p>
        </w:tc>
      </w:tr>
      <w:tr>
        <w:trPr>
          <w:trHeight w:val="216"/>
        </w:trPr>
        <w:tc>
          <w:tcPr>
            <w:tcW w:w="4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3,815</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2,605</w:t>
            </w:r>
          </w:p>
        </w:tc>
      </w:tr>
      <w:tr>
        <w:trPr>
          <w:trHeight w:val="20"/>
        </w:trPr>
        <w:tc>
          <w:tcPr>
            <w:tcW w:w="4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5,427</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7,117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6,327</w:t>
            </w:r>
          </w:p>
        </w:tc>
      </w:tr>
      <w:tr>
        <w:trPr>
          <w:trHeight w:val="20"/>
        </w:trPr>
        <w:tc>
          <w:tcPr>
            <w:tcW w:w="4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Prepaid occupancy consists of prepaid expenses related to non-lease components.</w:t>
      </w:r>
    </w:p>
    <w:p>
      <w:pPr>
        <w:spacing w:after="0" w:line="23" w:lineRule="exact"/>
        <w:rPr>
          <w:rFonts w:ascii="Arial" w:cs="Arial" w:eastAsia="Arial" w:hAnsi="Arial"/>
          <w:sz w:val="18"/>
          <w:szCs w:val="18"/>
          <w:color w:val="auto"/>
        </w:rPr>
      </w:pPr>
    </w:p>
    <w:p>
      <w:pPr>
        <w:ind w:left="920" w:hanging="359"/>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Other consists primarily of prepaid expense related to IT maintenance contracts and software as a service.</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October 31,</w:t>
            </w:r>
          </w:p>
        </w:tc>
        <w:tc>
          <w:tcPr>
            <w:tcW w:w="20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February 1,</w:t>
            </w:r>
          </w:p>
        </w:tc>
        <w:tc>
          <w:tcPr>
            <w:tcW w:w="20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November 2,</w:t>
            </w:r>
          </w:p>
        </w:tc>
      </w:tr>
      <w:tr>
        <w:trPr>
          <w:trHeight w:val="234"/>
        </w:trPr>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18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wages, bonuses and related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8,116</w:t>
            </w:r>
          </w:p>
        </w:tc>
      </w:tr>
      <w:tr>
        <w:trPr>
          <w:trHeight w:val="216"/>
        </w:trPr>
        <w:tc>
          <w:tcPr>
            <w:tcW w:w="18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Sales and value added taxes payable</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3,317</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1,489</w:t>
            </w: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1,360</w:t>
            </w: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Accrued rent and related expenses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w:t>
            </w:r>
          </w:p>
        </w:tc>
      </w:tr>
      <w:tr>
        <w:trPr>
          <w:trHeight w:val="216"/>
        </w:trPr>
        <w:tc>
          <w:tcPr>
            <w:tcW w:w="18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Current income taxes payable</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0"/>
        </w:trPr>
        <w:tc>
          <w:tcPr>
            <w:tcW w:w="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9,985</w:t>
            </w:r>
          </w:p>
        </w:tc>
      </w:tr>
      <w:tr>
        <w:trPr>
          <w:trHeight w:val="20"/>
        </w:trPr>
        <w:tc>
          <w:tcPr>
            <w:tcW w:w="18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Accrued rent and related expenses consist of accrued costs associated with non-lease components.</w:t>
      </w:r>
    </w:p>
    <w:p>
      <w:pPr>
        <w:spacing w:after="0" w:line="248"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earlier terminated by the Board. 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thirteen weeks ended October 31, 2020 and November 2, 2019, Selling, general and administrative expense included $0.5 million and $0.4 million, respectively, of stock-based compensation expense, and for the thirty-nine weeks ended October 31, 2020 and November 2, 2019, Selling, general and administrative expense included $1.3 million and $1.8 million, respectively. As of October 31, 2020, there was $2.8 million of total unrecognized compensation expense related to unvested restricted stock and option awards which is expected to be recognized over a weighted-average period of 1.3 years.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balances and activity for stock options for the thirty-nine weeks ended October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Options</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6"/>
                <w:szCs w:val="16"/>
                <w:color w:val="auto"/>
              </w:rPr>
            </w:pPr>
          </w:p>
        </w:tc>
      </w:tr>
      <w:tr>
        <w:trPr>
          <w:trHeight w:val="234"/>
        </w:trPr>
        <w:tc>
          <w:tcPr>
            <w:tcW w:w="7320" w:type="dxa"/>
            <w:vAlign w:val="bottom"/>
          </w:tcPr>
          <w:p>
            <w:pPr>
              <w:spacing w:after="0"/>
              <w:rPr>
                <w:sz w:val="20"/>
                <w:szCs w:val="20"/>
                <w:color w:val="auto"/>
              </w:rPr>
            </w:pP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w w:val="79"/>
              </w:rPr>
              <w:t>Shares</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Exercise Price</w:t>
            </w:r>
          </w:p>
        </w:tc>
        <w:tc>
          <w:tcPr>
            <w:tcW w:w="100" w:type="dxa"/>
            <w:vAlign w:val="bottom"/>
          </w:tcPr>
          <w:p>
            <w:pPr>
              <w:spacing w:after="0"/>
              <w:rPr>
                <w:sz w:val="20"/>
                <w:szCs w:val="20"/>
                <w:color w:val="auto"/>
              </w:rPr>
            </w:pPr>
          </w:p>
        </w:tc>
      </w:tr>
      <w:tr>
        <w:trPr>
          <w:trHeight w:val="21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February 1, 2020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923,254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r>
      <w:tr>
        <w:trPr>
          <w:trHeight w:val="216"/>
        </w:trPr>
        <w:tc>
          <w:tcPr>
            <w:tcW w:w="84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(102,516)</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r>
      <w:tr>
        <w:trPr>
          <w:trHeight w:val="210"/>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October 31, 2020</w:t>
            </w:r>
          </w:p>
        </w:tc>
        <w:tc>
          <w:tcPr>
            <w:tcW w:w="1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820,738</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is a summary of the balances and activity related to time-based and performance-based restricted stock for the thirty-nine weeks ended October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Performance-Based Restricted</w:t>
            </w:r>
          </w:p>
        </w:tc>
      </w:tr>
      <w:tr>
        <w:trPr>
          <w:trHeight w:val="234"/>
        </w:trPr>
        <w:tc>
          <w:tcPr>
            <w:tcW w:w="5980" w:type="dxa"/>
            <w:vAlign w:val="bottom"/>
          </w:tcPr>
          <w:p>
            <w:pPr>
              <w:spacing w:after="0"/>
              <w:rPr>
                <w:sz w:val="20"/>
                <w:szCs w:val="20"/>
                <w:color w:val="auto"/>
              </w:rPr>
            </w:pPr>
          </w:p>
        </w:tc>
        <w:tc>
          <w:tcPr>
            <w:tcW w:w="27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Time-Based Restricted Stock</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262,964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767,390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157,374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(260,317)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(18,408)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Outstanding, October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942,068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336,441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The total fair value of shares vested during the thirty-nine weeks ended October 31, 2020 and November 2, 2019 was $2.3 million and $2.1 million, respectively.</w:t>
      </w:r>
    </w:p>
    <w:p>
      <w:pPr>
        <w:spacing w:after="0" w:line="170" w:lineRule="exact"/>
        <w:rPr>
          <w:sz w:val="20"/>
          <w:szCs w:val="20"/>
          <w:color w:val="auto"/>
        </w:rPr>
      </w:pPr>
    </w:p>
    <w:p>
      <w:pPr>
        <w:ind w:left="280" w:right="340" w:firstLine="648"/>
        <w:spacing w:after="0" w:line="293" w:lineRule="auto"/>
        <w:rPr>
          <w:sz w:val="20"/>
          <w:szCs w:val="20"/>
          <w:color w:val="auto"/>
        </w:rPr>
      </w:pPr>
      <w:r>
        <w:rPr>
          <w:rFonts w:ascii="Arial" w:cs="Arial" w:eastAsia="Arial" w:hAnsi="Arial"/>
          <w:sz w:val="16"/>
          <w:szCs w:val="16"/>
          <w:color w:val="auto"/>
        </w:rPr>
        <w:t xml:space="preserve">In October 2020, the Company awarded three-year performance-based restricted stock subject to the achievement of liquidity, profitability and strategic performance objectives for fiscal 2020, 2021 and 2022 and assigned a weighting to each objective. Profitability will be measured by the Company’s achievement of consolidated earnings before interest and taxes (“EBIT”). The EBIT targets for the 2021 and 2022 fiscal years were not established by the Compensation and Development Committee of the Board as of the award date. As a result, under </w:t>
      </w:r>
      <w:r>
        <w:rPr>
          <w:rFonts w:ascii="Arial" w:cs="Arial" w:eastAsia="Arial" w:hAnsi="Arial"/>
          <w:sz w:val="16"/>
          <w:szCs w:val="16"/>
          <w:i w:val="1"/>
          <w:iCs w:val="1"/>
          <w:color w:val="auto"/>
        </w:rPr>
        <w:t>ASC 718 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the expense related to these EBIT awards will not begin recognition until the targets are established by the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Committee as this portion of the award is not considered granted until the specific targets are established.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8780" w:type="dxa"/>
            <w:vAlign w:val="bottom"/>
          </w:tcPr>
          <w:p>
            <w:pPr>
              <w:ind w:left="100"/>
              <w:spacing w:after="0"/>
              <w:rPr>
                <w:sz w:val="20"/>
                <w:szCs w:val="20"/>
                <w:color w:val="auto"/>
              </w:rPr>
            </w:pPr>
            <w:r>
              <w:rPr>
                <w:rFonts w:ascii="Arial" w:cs="Arial" w:eastAsia="Arial" w:hAnsi="Arial"/>
                <w:sz w:val="18"/>
                <w:szCs w:val="18"/>
                <w:color w:val="auto"/>
              </w:rPr>
              <w:t>The outstanding performance shares as of October 31, 2020 consist of the following:</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Performance Shares</w:t>
            </w:r>
          </w:p>
        </w:tc>
      </w:tr>
      <w:tr>
        <w:trPr>
          <w:trHeight w:val="210"/>
        </w:trPr>
        <w:tc>
          <w:tcPr>
            <w:tcW w:w="5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2018</w:t>
            </w:r>
          </w:p>
        </w:tc>
        <w:tc>
          <w:tcPr>
            <w:tcW w:w="8780" w:type="dxa"/>
            <w:vAlign w:val="bottom"/>
          </w:tcPr>
          <w:p>
            <w:pPr>
              <w:ind w:left="20"/>
              <w:spacing w:after="0"/>
              <w:rPr>
                <w:sz w:val="20"/>
                <w:szCs w:val="20"/>
                <w:color w:val="auto"/>
              </w:rPr>
            </w:pPr>
            <w:r>
              <w:rPr>
                <w:rFonts w:ascii="Arial" w:cs="Arial" w:eastAsia="Arial" w:hAnsi="Arial"/>
                <w:sz w:val="18"/>
                <w:szCs w:val="18"/>
                <w:color w:val="auto"/>
              </w:rPr>
              <w:t>- 2020 consolidated total revenue growth objectives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20,756</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- 2020 consolidated pre-tax income growth objectives</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2019</w:t>
            </w:r>
          </w:p>
        </w:tc>
        <w:tc>
          <w:tcPr>
            <w:tcW w:w="8780" w:type="dxa"/>
            <w:vAlign w:val="bottom"/>
          </w:tcPr>
          <w:p>
            <w:pPr>
              <w:ind w:left="20"/>
              <w:spacing w:after="0"/>
              <w:rPr>
                <w:sz w:val="20"/>
                <w:szCs w:val="20"/>
                <w:color w:val="auto"/>
              </w:rPr>
            </w:pPr>
            <w:r>
              <w:rPr>
                <w:rFonts w:ascii="Arial" w:cs="Arial" w:eastAsia="Arial" w:hAnsi="Arial"/>
                <w:sz w:val="18"/>
                <w:szCs w:val="18"/>
                <w:color w:val="auto"/>
              </w:rPr>
              <w:t>- 2021 consolidated pre-tax income growth objectives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95,811</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- 2022 consolidated liquidity and strategic performance objectives</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89,168</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2020</w:t>
            </w:r>
          </w:p>
        </w:tc>
        <w:tc>
          <w:tcPr>
            <w:tcW w:w="8780" w:type="dxa"/>
            <w:vAlign w:val="bottom"/>
          </w:tcPr>
          <w:p>
            <w:pPr>
              <w:ind w:left="20"/>
              <w:spacing w:after="0"/>
              <w:rPr>
                <w:sz w:val="20"/>
                <w:szCs w:val="20"/>
                <w:color w:val="auto"/>
              </w:rPr>
            </w:pPr>
            <w:r>
              <w:rPr>
                <w:rFonts w:ascii="Arial" w:cs="Arial" w:eastAsia="Arial" w:hAnsi="Arial"/>
                <w:sz w:val="18"/>
                <w:szCs w:val="18"/>
                <w:color w:val="auto"/>
              </w:rPr>
              <w:t>- 2022 consolidated earnings before interest and taxes (EBIT) objectives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68,206</w:t>
            </w:r>
          </w:p>
        </w:tc>
        <w:tc>
          <w:tcPr>
            <w:tcW w:w="100" w:type="dxa"/>
            <w:vAlign w:val="bottom"/>
          </w:tcPr>
          <w:p>
            <w:pPr>
              <w:spacing w:after="0"/>
              <w:rPr>
                <w:sz w:val="18"/>
                <w:szCs w:val="18"/>
                <w:color w:val="auto"/>
              </w:rPr>
            </w:pPr>
          </w:p>
        </w:tc>
      </w:tr>
      <w:tr>
        <w:trPr>
          <w:trHeight w:val="250"/>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shares outstanding, October 31, 2020</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336,441</w:t>
            </w:r>
          </w:p>
        </w:tc>
      </w:tr>
      <w:tr>
        <w:trPr>
          <w:trHeight w:val="412"/>
        </w:trPr>
        <w:tc>
          <w:tcPr>
            <w:tcW w:w="560" w:type="dxa"/>
            <w:vAlign w:val="bottom"/>
            <w:tcBorders>
              <w:top w:val="single" w:sz="8" w:color="CCEEFF"/>
            </w:tcBorders>
          </w:tcPr>
          <w:p>
            <w:pPr>
              <w:spacing w:after="0"/>
              <w:rPr>
                <w:sz w:val="24"/>
                <w:szCs w:val="24"/>
                <w:color w:val="auto"/>
              </w:rPr>
            </w:pPr>
          </w:p>
        </w:tc>
        <w:tc>
          <w:tcPr>
            <w:tcW w:w="8780" w:type="dxa"/>
            <w:vAlign w:val="bottom"/>
            <w:tcBorders>
              <w:top w:val="single" w:sz="8" w:color="CCEEFF"/>
            </w:tcBorders>
          </w:tcPr>
          <w:p>
            <w:pPr>
              <w:ind w:left="4980"/>
              <w:spacing w:after="0"/>
              <w:rPr>
                <w:sz w:val="20"/>
                <w:szCs w:val="20"/>
                <w:color w:val="auto"/>
              </w:rPr>
            </w:pPr>
            <w:r>
              <w:rPr>
                <w:rFonts w:ascii="Arial" w:cs="Arial" w:eastAsia="Arial" w:hAnsi="Arial"/>
                <w:sz w:val="18"/>
                <w:szCs w:val="18"/>
                <w:color w:val="auto"/>
              </w:rPr>
              <w:t>13</w:t>
            </w:r>
          </w:p>
        </w:tc>
        <w:tc>
          <w:tcPr>
            <w:tcW w:w="1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effective tax rate was 0.6% and -8.0% for the thirteen and thirty-nine weeks ended October 31, 2020, respectively, compared</w:t>
      </w:r>
    </w:p>
    <w:p>
      <w:pPr>
        <w:spacing w:after="0" w:line="4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to 23.7% and 2.1% for the thirteen and thirty-nine weeks ended November 2, 2019, respectively. The 2020 effective tax rate differed from the statutory rate of 21% primarily due to no tax expense or benefit being recorded on the current quarter's pretax income or the year-to-date pretax loss as a full valuation allowance has been recorded globally. In addition, the first thirty-nine weeks of fiscal 2020 was impacted by the $3.3 million valuation allowance recorded on the beginning balance of the net deferred tax assets in certain jurisdictions. The 2019 effective tax rate differed from the statutory rate of 21% primarily due to the valuation allowance being recorded in certain foreign loss companies and the $0.2 million tax impact of equity awards vesting.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thirteen weeks ended October 31, 2020 and November 2,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12"/>
          </w:tcPr>
          <w:p>
            <w:pPr>
              <w:jc w:val="right"/>
              <w:ind w:right="580"/>
              <w:spacing w:after="0"/>
              <w:rPr>
                <w:sz w:val="20"/>
                <w:szCs w:val="20"/>
                <w:color w:val="auto"/>
              </w:rPr>
            </w:pPr>
            <w:r>
              <w:rPr>
                <w:rFonts w:ascii="Arial" w:cs="Arial" w:eastAsia="Arial" w:hAnsi="Arial"/>
                <w:sz w:val="18"/>
                <w:szCs w:val="18"/>
                <w:b w:val="1"/>
                <w:bCs w:val="1"/>
                <w:color w:val="auto"/>
                <w:w w:val="97"/>
              </w:rPr>
              <w:t>For the thirteen weeks ended October 31, 2020</w:t>
            </w:r>
          </w:p>
        </w:tc>
        <w:tc>
          <w:tcPr>
            <w:tcW w:w="120" w:type="dxa"/>
            <w:vAlign w:val="bottom"/>
          </w:tcPr>
          <w:p>
            <w:pPr>
              <w:spacing w:after="0"/>
              <w:rPr>
                <w:sz w:val="20"/>
                <w:szCs w:val="20"/>
                <w:color w:val="auto"/>
              </w:rPr>
            </w:pPr>
          </w:p>
        </w:tc>
        <w:tc>
          <w:tcPr>
            <w:tcW w:w="4440" w:type="dxa"/>
            <w:vAlign w:val="bottom"/>
            <w:gridSpan w:val="12"/>
          </w:tcPr>
          <w:p>
            <w:pPr>
              <w:ind w:left="280"/>
              <w:spacing w:after="0"/>
              <w:rPr>
                <w:sz w:val="20"/>
                <w:szCs w:val="20"/>
                <w:color w:val="auto"/>
              </w:rPr>
            </w:pPr>
            <w:r>
              <w:rPr>
                <w:rFonts w:ascii="Arial" w:cs="Arial" w:eastAsia="Arial" w:hAnsi="Arial"/>
                <w:sz w:val="18"/>
                <w:szCs w:val="18"/>
                <w:b w:val="1"/>
                <w:bCs w:val="1"/>
                <w:color w:val="auto"/>
              </w:rPr>
              <w:t>For the thirteen weeks ended November 2, 2019</w:t>
            </w:r>
          </w:p>
        </w:tc>
        <w:tc>
          <w:tcPr>
            <w:tcW w:w="0" w:type="dxa"/>
            <w:vAlign w:val="bottom"/>
          </w:tcPr>
          <w:p>
            <w:pPr>
              <w:spacing w:after="0"/>
              <w:rPr>
                <w:sz w:val="1"/>
                <w:szCs w:val="1"/>
                <w:color w:val="auto"/>
              </w:rPr>
            </w:pPr>
          </w:p>
        </w:tc>
      </w:tr>
      <w:tr>
        <w:trPr>
          <w:trHeight w:val="426"/>
        </w:trPr>
        <w:tc>
          <w:tcPr>
            <w:tcW w:w="2080" w:type="dxa"/>
            <w:vAlign w:val="bottom"/>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Common</w:t>
            </w: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APIC</w:t>
            </w:r>
          </w:p>
        </w:tc>
        <w:tc>
          <w:tcPr>
            <w:tcW w:w="8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8"/>
                <w:szCs w:val="18"/>
                <w:b w:val="1"/>
                <w:bCs w:val="1"/>
                <w:color w:val="auto"/>
              </w:rPr>
              <w:t>AOCI</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Retained</w:t>
            </w: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740" w:type="dxa"/>
            <w:vAlign w:val="bottom"/>
            <w:tcBorders>
              <w:top w:val="single" w:sz="8" w:color="auto"/>
            </w:tcBorders>
            <w:gridSpan w:val="3"/>
            <w:vMerge w:val="restart"/>
          </w:tcPr>
          <w:p>
            <w:pPr>
              <w:jc w:val="center"/>
              <w:ind w:right="140"/>
              <w:spacing w:after="0"/>
              <w:rPr>
                <w:sz w:val="20"/>
                <w:szCs w:val="20"/>
                <w:color w:val="auto"/>
              </w:rPr>
            </w:pPr>
            <w:r>
              <w:rPr>
                <w:rFonts w:ascii="Arial" w:cs="Arial" w:eastAsia="Arial" w:hAnsi="Arial"/>
                <w:sz w:val="18"/>
                <w:szCs w:val="18"/>
                <w:b w:val="1"/>
                <w:bCs w:val="1"/>
                <w:color w:val="auto"/>
              </w:rPr>
              <w:t>APIC</w:t>
            </w:r>
          </w:p>
        </w:tc>
        <w:tc>
          <w:tcPr>
            <w:tcW w:w="84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AOCI</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9"/>
              </w:rPr>
              <w:t>Retained</w:t>
            </w: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stock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earnings/(deficit)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7"/>
              </w:rPr>
              <w:t>earnings/(deficit)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71,906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(12,303)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2"/>
              </w:rPr>
              <w:t>$ 54,571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70,295</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(11,579)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29,637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$ 88,505</w:t>
            </w:r>
          </w:p>
        </w:tc>
        <w:tc>
          <w:tcPr>
            <w:tcW w:w="0" w:type="dxa"/>
            <w:vAlign w:val="bottom"/>
          </w:tcPr>
          <w:p>
            <w:pPr>
              <w:spacing w:after="0"/>
              <w:rPr>
                <w:sz w:val="1"/>
                <w:szCs w:val="1"/>
                <w:color w:val="auto"/>
              </w:rPr>
            </w:pPr>
          </w:p>
        </w:tc>
      </w:tr>
      <w:tr>
        <w:trPr>
          <w:trHeight w:val="202"/>
        </w:trPr>
        <w:tc>
          <w:tcPr>
            <w:tcW w:w="2080" w:type="dxa"/>
            <w:vAlign w:val="bottom"/>
          </w:tcPr>
          <w:p>
            <w:pPr>
              <w:ind w:left="180"/>
              <w:spacing w:after="0" w:line="201" w:lineRule="exact"/>
              <w:rPr>
                <w:sz w:val="20"/>
                <w:szCs w:val="20"/>
                <w:color w:val="auto"/>
              </w:rPr>
            </w:pPr>
            <w:r>
              <w:rPr>
                <w:rFonts w:ascii="Arial" w:cs="Arial" w:eastAsia="Arial" w:hAnsi="Arial"/>
                <w:sz w:val="18"/>
                <w:szCs w:val="18"/>
                <w:color w:val="auto"/>
              </w:rPr>
              <w:t>Issuance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restricted/performance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6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2"/>
        </w:trPr>
        <w:tc>
          <w:tcPr>
            <w:tcW w:w="2080" w:type="dxa"/>
            <w:vAlign w:val="bottom"/>
          </w:tcPr>
          <w:p>
            <w:pPr>
              <w:ind w:left="180"/>
              <w:spacing w:after="0" w:line="201" w:lineRule="exact"/>
              <w:rPr>
                <w:sz w:val="20"/>
                <w:szCs w:val="20"/>
                <w:color w:val="auto"/>
              </w:rPr>
            </w:pPr>
            <w:r>
              <w:rPr>
                <w:rFonts w:ascii="Arial" w:cs="Arial" w:eastAsia="Arial" w:hAnsi="Arial"/>
                <w:sz w:val="18"/>
                <w:szCs w:val="18"/>
                <w:color w:val="auto"/>
              </w:rPr>
              <w:t>Shares withheld in lieu</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of tax withholdings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8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0"/>
        </w:trPr>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Pr>
          <w:p>
            <w:pPr>
              <w:spacing w:after="0"/>
              <w:rPr>
                <w:sz w:val="20"/>
                <w:szCs w:val="20"/>
                <w:color w:val="auto"/>
              </w:rPr>
            </w:pPr>
            <w:r>
              <w:rPr>
                <w:rFonts w:ascii="Arial" w:cs="Arial" w:eastAsia="Arial" w:hAnsi="Arial"/>
                <w:sz w:val="18"/>
                <w:szCs w:val="18"/>
                <w:color w:val="auto"/>
              </w:rPr>
              <w:t>Balance, ending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72,344</w:t>
            </w:r>
          </w:p>
        </w:tc>
        <w:tc>
          <w:tcPr>
            <w:tcW w:w="1020" w:type="dxa"/>
            <w:vAlign w:val="bottom"/>
            <w:gridSpan w:val="3"/>
          </w:tcPr>
          <w:p>
            <w:pPr>
              <w:jc w:val="right"/>
              <w:ind w:right="10"/>
              <w:spacing w:after="0"/>
              <w:rPr>
                <w:sz w:val="20"/>
                <w:szCs w:val="20"/>
                <w:color w:val="auto"/>
              </w:rPr>
            </w:pPr>
            <w:r>
              <w:rPr>
                <w:rFonts w:ascii="Arial" w:cs="Arial" w:eastAsia="Arial" w:hAnsi="Arial"/>
                <w:sz w:val="18"/>
                <w:szCs w:val="18"/>
                <w:color w:val="auto"/>
                <w:w w:val="92"/>
              </w:rPr>
              <w:t>$ (12,277) $</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(3,528)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$ 56,699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152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69,955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(11,927)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23,763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2"/>
              </w:rPr>
              <w:t>$ 81,943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Accumulated other comprehensive income (loss) (“AOCI”)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thirty-nine weeks ended October 31, 2020 and November 2,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11"/>
          </w:tcPr>
          <w:p>
            <w:pPr>
              <w:jc w:val="right"/>
              <w:ind w:right="290"/>
              <w:spacing w:after="0"/>
              <w:rPr>
                <w:sz w:val="20"/>
                <w:szCs w:val="20"/>
                <w:color w:val="auto"/>
              </w:rPr>
            </w:pPr>
            <w:r>
              <w:rPr>
                <w:rFonts w:ascii="Arial" w:cs="Arial" w:eastAsia="Arial" w:hAnsi="Arial"/>
                <w:sz w:val="18"/>
                <w:szCs w:val="18"/>
                <w:b w:val="1"/>
                <w:bCs w:val="1"/>
                <w:color w:val="auto"/>
                <w:w w:val="95"/>
              </w:rPr>
              <w:t>For the thirty-nine weeks ended October 31, 2020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0"/>
          </w:tcPr>
          <w:p>
            <w:pPr>
              <w:jc w:val="right"/>
              <w:ind w:right="210"/>
              <w:spacing w:after="0"/>
              <w:rPr>
                <w:sz w:val="20"/>
                <w:szCs w:val="20"/>
                <w:color w:val="auto"/>
              </w:rPr>
            </w:pPr>
            <w:r>
              <w:rPr>
                <w:rFonts w:ascii="Arial" w:cs="Arial" w:eastAsia="Arial" w:hAnsi="Arial"/>
                <w:sz w:val="18"/>
                <w:szCs w:val="18"/>
                <w:b w:val="1"/>
                <w:bCs w:val="1"/>
                <w:color w:val="auto"/>
                <w:w w:val="93"/>
              </w:rPr>
              <w:t>For the thirty-nine weeks ended November 2, 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Common</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APIC</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AOCI</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84"/>
              </w:rPr>
              <w:t>Common</w:t>
            </w:r>
          </w:p>
        </w:tc>
        <w:tc>
          <w:tcPr>
            <w:tcW w:w="120" w:type="dxa"/>
            <w:vAlign w:val="bottom"/>
          </w:tcPr>
          <w:p>
            <w:pPr>
              <w:spacing w:after="0"/>
              <w:rPr>
                <w:sz w:val="24"/>
                <w:szCs w:val="24"/>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APIC</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AOCI</w:t>
            </w:r>
          </w:p>
        </w:tc>
        <w:tc>
          <w:tcPr>
            <w:tcW w:w="20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Retained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stock</w:t>
            </w: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7"/>
              </w:rPr>
              <w:t>earnings/(deficit)</w:t>
            </w:r>
          </w:p>
        </w:tc>
        <w:tc>
          <w:tcPr>
            <w:tcW w:w="12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stock</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7"/>
              </w:rPr>
              <w:t>earnings/(deficit)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$ 70,633</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(12,079)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88,631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80" w:type="dxa"/>
            <w:vAlign w:val="bottom"/>
            <w:tcBorders>
              <w:left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$ 69,088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(12,018)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37,094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$ 94,314</w:t>
            </w: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Adoption of new</w:t>
            </w:r>
          </w:p>
        </w:tc>
        <w:tc>
          <w:tcPr>
            <w:tcW w:w="1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(7,430)</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17"/>
        </w:trPr>
        <w:tc>
          <w:tcPr>
            <w:tcW w:w="2000" w:type="dxa"/>
            <w:vAlign w:val="bottom"/>
          </w:tcPr>
          <w:p>
            <w:pPr>
              <w:ind w:left="180"/>
              <w:spacing w:after="0"/>
              <w:rPr>
                <w:sz w:val="20"/>
                <w:szCs w:val="20"/>
                <w:color w:val="auto"/>
              </w:rPr>
            </w:pPr>
            <w:r>
              <w:rPr>
                <w:rFonts w:ascii="Arial" w:cs="Arial" w:eastAsia="Arial" w:hAnsi="Arial"/>
                <w:sz w:val="18"/>
                <w:szCs w:val="18"/>
                <w:color w:val="auto"/>
              </w:rPr>
              <w:t>accounting standard</w:t>
            </w: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$ 70,633</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(12,079)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88,631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80" w:type="dxa"/>
            <w:vAlign w:val="bottom"/>
            <w:tcBorders>
              <w:left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$ 69,088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(12,018)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29,664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$ 86,884</w:t>
            </w: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Issuance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w w:val="99"/>
              </w:rPr>
              <w:t>restricted/performance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(248)</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w:t>
            </w:r>
          </w:p>
        </w:tc>
        <w:tc>
          <w:tcPr>
            <w:tcW w:w="6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tcBorders>
              <w:left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w w:val="99"/>
              </w:rPr>
              <w:t>Shares withheld in lieu</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of tax withholdings</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tcBorders>
              <w:left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(33,453)</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(33,453)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8"/>
                <w:szCs w:val="18"/>
                <w:color w:val="auto"/>
              </w:rPr>
              <w:t>Balance, ending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$ 72,344</w:t>
            </w:r>
          </w:p>
        </w:tc>
        <w:tc>
          <w:tcPr>
            <w:tcW w:w="14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8"/>
                <w:szCs w:val="18"/>
                <w:color w:val="auto"/>
                <w:w w:val="92"/>
              </w:rPr>
              <w:t>$ (12,277) $</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56,699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$ 69,955</w:t>
            </w:r>
          </w:p>
        </w:tc>
        <w:tc>
          <w:tcPr>
            <w:tcW w:w="1020" w:type="dxa"/>
            <w:vAlign w:val="bottom"/>
            <w:gridSpan w:val="3"/>
          </w:tcPr>
          <w:p>
            <w:pPr>
              <w:jc w:val="right"/>
              <w:ind w:right="10"/>
              <w:spacing w:after="0"/>
              <w:rPr>
                <w:sz w:val="20"/>
                <w:szCs w:val="20"/>
                <w:color w:val="auto"/>
              </w:rPr>
            </w:pPr>
            <w:r>
              <w:rPr>
                <w:rFonts w:ascii="Arial" w:cs="Arial" w:eastAsia="Arial" w:hAnsi="Arial"/>
                <w:sz w:val="18"/>
                <w:szCs w:val="18"/>
                <w:color w:val="auto"/>
                <w:w w:val="92"/>
              </w:rPr>
              <w:t>$ (11,927) $</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23,763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2"/>
              </w:rPr>
              <w:t>$ 81,943</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Accumulated other comprehensive income (loss) (“AOCI”)</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August 2017, the Company’s Board of Directors authorized a share repurchase program of up to $20.0 million. From the date of such authorization through the program expiration on September 30, 2020, the Company had repurchased approximately 1.3 million shares at an average price of $8.75 per share for an aggregate amount of approximately $11.2 million. The Company does not plan to utilize cash to resume share repurchases in fiscal 2020. In addition, the Company's ability to repurchase shares is limited by conditions set forth by its lender in its credit agreement, as described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income/(loss) per share (in thousands, except share and per share data):</w:t>
      </w: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8"/>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October 31,</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0"/>
              </w:rPr>
              <w:t>November 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2"/>
              </w:rPr>
              <w:t>October 31,</w:t>
            </w: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November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(5,873)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(33,453)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Weighted average number of common shares outstanding - basic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14,999,786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14,752,307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14,923,304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220,646</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2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Weighted average number of common shares outstanding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15,220,432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14,752,307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14,923,304</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14,697,592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CEEFF"/>
            </w:tcBorders>
            <w:shd w:val="clear" w:color="auto" w:fill="CCEEFF"/>
          </w:tcPr>
          <w:p>
            <w:pPr>
              <w:ind w:left="320"/>
              <w:spacing w:after="0" w:line="190" w:lineRule="exact"/>
              <w:rPr>
                <w:sz w:val="20"/>
                <w:szCs w:val="20"/>
                <w:color w:val="auto"/>
              </w:rPr>
            </w:pPr>
            <w:r>
              <w:rPr>
                <w:rFonts w:ascii="Arial" w:cs="Arial" w:eastAsia="Arial" w:hAnsi="Arial"/>
                <w:sz w:val="18"/>
                <w:szCs w:val="18"/>
                <w:color w:val="auto"/>
              </w:rPr>
              <w:t>dilutive</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Basic income (loss) per common share attributable to Build-A-Bear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Workshop, Inc. stockholders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line="201" w:lineRule="exact"/>
              <w:rPr>
                <w:sz w:val="20"/>
                <w:szCs w:val="20"/>
                <w:color w:val="auto"/>
              </w:rPr>
            </w:pPr>
            <w:r>
              <w:rPr>
                <w:rFonts w:ascii="Arial" w:cs="Arial" w:eastAsia="Arial" w:hAnsi="Arial"/>
                <w:sz w:val="18"/>
                <w:szCs w:val="18"/>
                <w:color w:val="auto"/>
                <w:w w:val="93"/>
              </w:rPr>
              <w:t>Diluted income (loss) per common share attributable to Build-A-Bear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Workshop, Inc. stockholders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 calculating the diluted income per share for the thirteen and thirty-nine weeks ended October 31, 2020, options to purchase 822,360</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and 849,351 shares of common stock, respectively, that were outstanding at the end of the period were not included in the computation of diluted income per share due to their anti-dilutive effect. For the thirteen and thirty-nine weeks ended November 2, 2019, options to purchase 923,715 and 928,236 shares of common stock, respectively, that were outstanding at the end of the period were not included in the computation of diluted income per share due to their anti-dilutive effect.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 (Loss)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difference between comprehensive income or loss and net income or loss is the result of foreign currency translation adjustments on the balance sheets of subsidiaries whose functional currency is not the U.S. Dollar. The accumulated other comprehensive income (loss) balance at October 31, 2020 and November 2, 2019 was comprised entirely of foreign currency translation. For the thirteen weeks ended October 31, 2020 and November 2, 2019, the Company had no reclassifications out of accumulated other comprehensive income (loss).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 the U.S., Canada, China, Denmark, Ireland and the United Kingdom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Asia, Australia, Mexico,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Direct-to-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International</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Consumer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Franchising</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4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October 31, 2020</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72,368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74,673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Thirteen weeks ended November 2, 2019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(8,578)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(7,694)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Thirty-nine weeks ended October 31, 2020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157,354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161,650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(31,802)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(30,977)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9,905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November 2, 2019</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222,837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2,616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233,960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 before income taxes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10,099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Assets as of:</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31, 2020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244,030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259,437</w:t>
            </w: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November 2, 2019</w:t>
            </w: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281,365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7,804</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296,677</w:t>
            </w:r>
          </w:p>
        </w:tc>
        <w:tc>
          <w:tcPr>
            <w:tcW w:w="4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3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3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North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America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 (2)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Other (3)</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October 31, 2020</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62,768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11,320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74,673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November 2, 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57,503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11,557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1,324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70,384</w:t>
            </w:r>
          </w:p>
        </w:tc>
      </w:tr>
      <w:tr>
        <w:trPr>
          <w:trHeight w:val="216"/>
        </w:trPr>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Thirty-nine weeks ended October 31, 2020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137,404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161,650</w:t>
            </w: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51,314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55,421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November 2, 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198,900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32,639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2,421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233,960</w:t>
            </w:r>
          </w:p>
        </w:tc>
      </w:tr>
      <w:tr>
        <w:trPr>
          <w:trHeight w:val="216"/>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65,954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North America includes corporately-managed locations in the United States, Canada, Puerto Rico.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Europe includes corporately-managed locations in the U.K., Ireland, Denmark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includes a corporately-managed location in China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In November 2019, the first-tier tribunal issued a ruling that duty was due on some, but not all, of the products at issue. Both the Company and the U.K. customs authority have appealed that ruling. The Company currently expects that the appeal on the matter will be heard by the upper tribunal sometime during the first half of calendar year 2021. The Company maintains a provision against the related receivable, based on a current evaluation of collectability, using the latest facts available in the dispute. As of October 31, 2020, the Company had a gross receivable balance of</w:t>
      </w:r>
    </w:p>
    <w:p>
      <w:pPr>
        <w:spacing w:after="0" w:line="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$4.5 million and a reserve of $3.6 million, leaving a net receivable of $0.9 million. The Company believes that the outcome of this dispute will not have a material adverse impact on its results of operations, liquidity or financial position.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Line of Credit</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August 25, 2020, Build-A-Bear Workshop, Inc. entered into a Revolving Credit and Security Agreement among the Company, as borrowing agent; Build-A-Bear Retail Management, Inc., together with the Company, as borrowers; Build-A-Bear Workshop Franchise Holdings, Inc., Build-A-Bear Entertainment, LLC, Build-A-Bear Card Services LLC and Build-A-Bear Workshop Canada, Ltd.; the lenders party thereto; and PNC Bank, National Association ("PNC Bank"), as agent for lenders.</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agreement provides for a senior secured revolving loan in aggregate principal amount of up to $25,000,000 (subject to a borrowing base formula), which may be increased with the consent of the lenders by an amount not to exceed $25,000,000, subject to the conditions set forth in the agreement. The borrowing base under the agreement is based on specified percentages of eligible credit card receivables, eligible inventory and, under certain circumstances, eligible foreign in-transit inventory and, in the discretion of the agent, eligible receivables. The credit agreement provides for swingline loans of up to $5,000,000 and the issuance of standby or commercial letters of credit of up to $5,000,000. Proceeds of the advances under the agreement may be used to (a) repay existing indebtedness owed to U.S. Bank National Association ("U.S. Bank"), (b) pay fees and expenses relating to the</w:t>
      </w:r>
    </w:p>
    <w:p>
      <w:pPr>
        <w:spacing w:after="0" w:line="16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transactions contemplated by the credit agreement, and (c) fund ongoing working capital, capital expenditures, permitted acquisitions and general corporate purposes, in each case to the extent permitted under, and as defined in, the agreement. Revolving advances under the agreement will be secured (subject to permitted liens and certain other exceptions) by a first priority lien on substantially all of the personal property of the Company and all of its U.S. and Canadian subsidiaries, including certain receivables (including receivables from the sale of inventory and credit card receivables but excluding certain franchise receivables), equipment and fixtures, intellectual property, inventory and equity interests held by the borrowers and the guarantors in their respective domestic and foreign subsidiaries. The agreement includes a negative covenant with respect to granting a lien on the Company's Ohio warehouse.</w:t>
      </w:r>
    </w:p>
    <w:p>
      <w:pPr>
        <w:spacing w:after="0" w:line="19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Borrowings under the agreement bear interest at (a) a base rate determined under the agreement, or (b) the borrower’s option, at a rate based on LIBOR, plus in either case a margin based on the average undrawn availability as determined in accordance with the agreement. The agreement matures on August 25, 2025 (unless terminated earlier in accordance with the terms thereof) and requires compliance with conditions precedent that must be satisfied prior to any borrowing. The agreement also contains various representations, warranties and covenants that the Company considers customary.</w:t>
      </w:r>
    </w:p>
    <w:p>
      <w:pPr>
        <w:spacing w:after="0" w:line="15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agreement requires the Company to comply with one financial covenant, specifically, that the Company maintain availability (as determined in accordance with the agreement) at all times equal to or greater than the greater of (a) 12.5% of the loan cap and (b) $3,125,000 (subject to increase upon exercise of the increase option). The “loan cap” is the lesser of ( 1) $25,000,000 less the outstanding amount of loans and letters of credit under the agreement and ( 2) the borrowing base from time to time under the agreement. The agreement also contains various information and reporting requirements and provides for various fees customary for an asset-based lending facility. The Company anticipates the annual costs of maintaining the agreement, including interest and fees, will be between $500,000 and $600,000. The agreement contains customary events of default, including without limitation events of default based on payment obligations, material inaccuracies of representations and warranties, covenant defaults, final judgments and orders, unenforceability of the agreement, material ERISA events, change in control, insolvency proceedings, and defaults under certain other obligations. An event of default may cause the applicable interest rate and fees to increase by 2% until such event of default has been cured, waived, or amended. The agreement contains typical negative covenants, including, among other things, that the borrower will not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w:t>
      </w:r>
    </w:p>
    <w:p>
      <w:pPr>
        <w:spacing w:after="0" w:line="186"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At the closing date of the agreement and the end of the third quarter, the Company had no outstanding indebtedness under the agreement. As of October 31, 2020, the Company's borrowing base was slightly more than $11.5 million under the agreement. As a result of the $1.0 million letter of credit against the line of credit at the end of the third quarter, the Company's had $10.5 million available for borrowing with PNC Bank.</w:t>
      </w:r>
    </w:p>
    <w:p>
      <w:pPr>
        <w:spacing w:after="0" w:line="14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Additionally, on August 25, 2020, upon execution of the agreement with PNC Bank, the Company terminated its existing bank credit line with U.S. Bank, under the Company’s Fourth Amended and Restated Loan Agreement, as amended as of May 28, 2020. The former agreement with U.S. Bank provided for a maximum borrowing capacity of up to $10,000,000, subject to compliance with certain financial tests. The former credit agreement would have matured on September 30, 2020. At the time of termination, the Company did not have any outstanding borrowings under the agreement with U.S. Bank and was in compliance with the amended covenants set forth in the former credit agreement. The $1.0 million letter of credit that was outstanding under the agreement with U.S. Bank at the time of termination was subsequently cancelled and a replacement $1.0 million letter of credit was issued under the credit agreement with PNC Bank.</w:t>
      </w:r>
    </w:p>
    <w:p>
      <w:pPr>
        <w:spacing w:after="0" w:line="19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As part of obtaining the new credit agreement, the Company incurred approximately $0.6 million of issuance costs and fees. As previously stated, the Company had no outstanding borrowings at the beginning of the facility, therefore these costs and fees were recorded as a deferred asset within the Other assets, net line item within the Condensed Consolidated Balance Sheets and will be amortized over the length of the five-year agreement.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February 1, 2020, as filed with the SEC, and include the following:</w:t>
      </w:r>
    </w:p>
    <w:p>
      <w:pPr>
        <w:spacing w:after="0" w:line="157" w:lineRule="exact"/>
        <w:rPr>
          <w:sz w:val="20"/>
          <w:szCs w:val="20"/>
          <w:color w:val="auto"/>
        </w:rPr>
      </w:pPr>
    </w:p>
    <w:p>
      <w:pPr>
        <w:ind w:left="480" w:hanging="175"/>
        <w:spacing w:after="0" w:line="254"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operations and financial results have been and will continue to be negatively affected by the COVID-19 pandemic including the temporary closure of retail store locations which continues to fluctuate on a localized basis, presenting ongoing uncertainty relating to our anticipated duration and scope of the pandemic in areas in which we operate, as well as the restrictions imposed by federal, state, and local governments in response to the pandemic;</w:t>
      </w:r>
    </w:p>
    <w:p>
      <w:pPr>
        <w:spacing w:after="0" w:line="2" w:lineRule="exact"/>
        <w:rPr>
          <w:rFonts w:ascii="Arial" w:cs="Arial" w:eastAsia="Arial" w:hAnsi="Arial"/>
          <w:sz w:val="18"/>
          <w:szCs w:val="18"/>
          <w:color w:val="auto"/>
        </w:rPr>
      </w:pPr>
    </w:p>
    <w:p>
      <w:pPr>
        <w:ind w:left="480" w:right="440" w:hanging="175"/>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sustained decline in general global economic conditions, caused by the COVID-19 pandemic or otherwise, could lead to disproportionately reduced consumer demand for our products, including those sold by our third-party retailers, which represent relatively discretionary spending, would cause an adverse effect on our liquidity and profitability;</w:t>
      </w:r>
    </w:p>
    <w:p>
      <w:pPr>
        <w:spacing w:after="0" w:line="1" w:lineRule="exact"/>
        <w:rPr>
          <w:rFonts w:ascii="Arial" w:cs="Arial" w:eastAsia="Arial" w:hAnsi="Arial"/>
          <w:sz w:val="18"/>
          <w:szCs w:val="18"/>
          <w:color w:val="auto"/>
        </w:rPr>
      </w:pPr>
    </w:p>
    <w:p>
      <w:pPr>
        <w:ind w:left="480" w:right="120" w:hanging="175"/>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upon the shopping malls and tourist locations in which our corporately-managed stores and our third-party retail locations are situated to attract guests and a decline in consumer traffic, or if such consumer traffic does not return to levels that we saw prior to the COVID-19 pandemic, could adversely affect our financial performance and profitability;</w:t>
      </w:r>
    </w:p>
    <w:p>
      <w:pPr>
        <w:spacing w:after="0" w:line="1" w:lineRule="exact"/>
        <w:rPr>
          <w:rFonts w:ascii="Arial" w:cs="Arial" w:eastAsia="Arial" w:hAnsi="Arial"/>
          <w:sz w:val="18"/>
          <w:szCs w:val="18"/>
          <w:color w:val="auto"/>
        </w:rPr>
      </w:pPr>
    </w:p>
    <w:p>
      <w:pPr>
        <w:ind w:left="480" w:right="160" w:hanging="175"/>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the reopening of our stores, we have modified our interactive shopping experience in order to comply with recommended social distancing and sanitation practices. These modifications could have a negative impact on the appeal of our interactive shopping experience, reduce guest traffic to our stores, and decrease the volume of guest that may be able to enjoy our interactive shopping experience which could adversely impact our ability to operate our stores profitably;</w:t>
      </w:r>
    </w:p>
    <w:p>
      <w:pPr>
        <w:spacing w:after="0" w:line="1" w:lineRule="exact"/>
        <w:rPr>
          <w:rFonts w:ascii="Arial" w:cs="Arial" w:eastAsia="Arial" w:hAnsi="Arial"/>
          <w:sz w:val="18"/>
          <w:szCs w:val="18"/>
          <w:color w:val="auto"/>
        </w:rPr>
      </w:pPr>
    </w:p>
    <w:p>
      <w:pPr>
        <w:ind w:left="480" w:hanging="175"/>
        <w:spacing w:after="0"/>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experience store closures in shopping malls and tourist locations and other impacts to our business resulting from civil disturbances;</w:t>
      </w:r>
    </w:p>
    <w:p>
      <w:pPr>
        <w:spacing w:after="0" w:line="20" w:lineRule="exact"/>
        <w:rPr>
          <w:rFonts w:ascii="Arial" w:cs="Arial" w:eastAsia="Arial" w:hAnsi="Arial"/>
          <w:sz w:val="17"/>
          <w:szCs w:val="17"/>
          <w:color w:val="auto"/>
        </w:rPr>
      </w:pPr>
    </w:p>
    <w:p>
      <w:pPr>
        <w:ind w:left="480" w:right="80" w:hanging="175"/>
        <w:spacing w:after="0" w:line="265"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believe the hands-on and interactive nature of our store and high touch service model result in guests forming an emotional connection with our brand, which in turn contributes to the success of our ecommerce platform and drives repeat customer transactions; if the revised experiences we are offering do not create the same guest affinity for our brand, it may adversely affect the value of our brand;</w:t>
      </w:r>
    </w:p>
    <w:p>
      <w:pPr>
        <w:ind w:left="480" w:right="400" w:hanging="175"/>
        <w:spacing w:after="0" w:line="281"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birthdays and other special occasions have historically been a key driver for store traffic, and our inability to host such events due to COVID restrictions or if our guests are not willing to hold such events at our stores may adversely affect store performance and our overall profitability;</w:t>
      </w:r>
    </w:p>
    <w:p>
      <w:pPr>
        <w:spacing w:after="0" w:line="1" w:lineRule="exact"/>
        <w:rPr>
          <w:rFonts w:ascii="Arial" w:cs="Arial" w:eastAsia="Arial" w:hAnsi="Arial"/>
          <w:sz w:val="16"/>
          <w:szCs w:val="16"/>
          <w:color w:val="auto"/>
        </w:rPr>
      </w:pPr>
    </w:p>
    <w:p>
      <w:pPr>
        <w:ind w:left="480" w:right="260" w:hanging="175"/>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significant part of our revenue and net income comes during the holiday selling season; if the COVID-19 pandemic adversely affects consumers spending during this year’s holiday season our financial condition and flexibility could be adversely affected;</w:t>
      </w:r>
    </w:p>
    <w:p>
      <w:pPr>
        <w:ind w:left="480" w:right="180" w:hanging="175"/>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generate interest in and demand for our interactive retail experience and products, including being able to adjust that experience consistent with our guests' expectations as the general retail economy emerges from the restrictions imposed by the COVID-19 pandemic, and to otherwise identify and respond to consumer preferences in a timely manner, our sales, financial condition and profitability could be adversely affected;</w:t>
      </w:r>
    </w:p>
    <w:p>
      <w:pPr>
        <w:spacing w:after="0" w:line="1" w:lineRule="exact"/>
        <w:rPr>
          <w:rFonts w:ascii="Arial" w:cs="Arial" w:eastAsia="Arial" w:hAnsi="Arial"/>
          <w:sz w:val="18"/>
          <w:szCs w:val="18"/>
          <w:color w:val="auto"/>
        </w:rPr>
      </w:pPr>
    </w:p>
    <w:p>
      <w:pPr>
        <w:ind w:left="480" w:right="500" w:hanging="175"/>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licensed products are based on feature films with planned theatrical launches, given that the COVID-19 pandemic has negatively impacted theaters and delayed movie releases, the portion of our business associated with these films could be negatively affected, particularly during the holiday season;</w:t>
      </w:r>
    </w:p>
    <w:p>
      <w:pPr>
        <w:spacing w:after="0" w:line="1" w:lineRule="exact"/>
        <w:rPr>
          <w:rFonts w:ascii="Arial" w:cs="Arial" w:eastAsia="Arial" w:hAnsi="Arial"/>
          <w:sz w:val="18"/>
          <w:szCs w:val="18"/>
          <w:color w:val="auto"/>
        </w:rPr>
      </w:pPr>
    </w:p>
    <w:p>
      <w:pPr>
        <w:jc w:val="both"/>
        <w:ind w:left="480" w:right="20" w:hanging="175"/>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leverage the flexibility within our existing real estate portfolio to capitalize on future real estate opportunities over the near and intermediate term as our leases come up for renewal, and there may be other costs and risks relating to a brick and mortar retail store model such as a lack of available retail store sites on terms acceptable to us as a result;</w:t>
      </w:r>
    </w:p>
    <w:p>
      <w:pPr>
        <w:spacing w:after="0" w:line="1" w:lineRule="exact"/>
        <w:rPr>
          <w:rFonts w:ascii="Arial" w:cs="Arial" w:eastAsia="Arial" w:hAnsi="Arial"/>
          <w:sz w:val="18"/>
          <w:szCs w:val="18"/>
          <w:color w:val="auto"/>
        </w:rPr>
      </w:pPr>
    </w:p>
    <w:p>
      <w:pPr>
        <w:ind w:left="480" w:right="240" w:hanging="175"/>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jc w:val="both"/>
        <w:ind w:left="480" w:right="20" w:hanging="175"/>
        <w:spacing w:after="0" w:line="281"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subject to a number of risks related to disruptions, failures or security breaches of our information technology infrastructure. If we improperly obtain or are unable to protect our data or violate privacy or security laws such as the GDPR or the General Data Protection Regulation, the CCPA or the California Privacy Rights Act (as adopted), or expectations, we could be subject to liability as well as damage to our reputation;</w:t>
      </w:r>
    </w:p>
    <w:p>
      <w:pPr>
        <w:spacing w:after="0" w:line="1" w:lineRule="exact"/>
        <w:rPr>
          <w:rFonts w:ascii="Arial" w:cs="Arial" w:eastAsia="Arial" w:hAnsi="Arial"/>
          <w:sz w:val="16"/>
          <w:szCs w:val="16"/>
          <w:color w:val="auto"/>
        </w:rPr>
      </w:pPr>
    </w:p>
    <w:p>
      <w:pPr>
        <w:ind w:left="480" w:right="140" w:hanging="175"/>
        <w:spacing w:after="0" w:line="250"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ind w:left="480" w:hanging="175"/>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500" w:right="180" w:hanging="195"/>
        <w:spacing w:after="0" w:line="255"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2" w:lineRule="exact"/>
        <w:rPr>
          <w:rFonts w:ascii="Arial" w:cs="Arial" w:eastAsia="Arial" w:hAnsi="Arial"/>
          <w:sz w:val="18"/>
          <w:szCs w:val="18"/>
          <w:color w:val="auto"/>
        </w:rPr>
      </w:pPr>
    </w:p>
    <w:p>
      <w:pPr>
        <w:ind w:left="500" w:right="40" w:hanging="195"/>
        <w:spacing w:after="0" w:line="250"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ind w:left="500" w:right="120" w:hanging="195"/>
        <w:spacing w:after="0" w:line="28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spacing w:after="0" w:line="1" w:lineRule="exact"/>
        <w:rPr>
          <w:rFonts w:ascii="Arial" w:cs="Arial" w:eastAsia="Arial" w:hAnsi="Arial"/>
          <w:sz w:val="16"/>
          <w:szCs w:val="16"/>
          <w:color w:val="auto"/>
        </w:rPr>
      </w:pPr>
    </w:p>
    <w:p>
      <w:pPr>
        <w:jc w:val="both"/>
        <w:ind w:left="500" w:right="240" w:hanging="195"/>
        <w:spacing w:after="0" w:line="250"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 w:lineRule="exact"/>
        <w:rPr>
          <w:rFonts w:ascii="Arial" w:cs="Arial" w:eastAsia="Arial" w:hAnsi="Arial"/>
          <w:sz w:val="18"/>
          <w:szCs w:val="18"/>
          <w:color w:val="auto"/>
        </w:rPr>
      </w:pPr>
    </w:p>
    <w:p>
      <w:pPr>
        <w:ind w:left="500" w:right="440" w:hanging="195"/>
        <w:spacing w:after="0" w:line="265"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500" w:hanging="195"/>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corporately-managed locations profitably;</w:t>
      </w:r>
    </w:p>
    <w:p>
      <w:pPr>
        <w:spacing w:after="0" w:line="9" w:lineRule="exact"/>
        <w:rPr>
          <w:rFonts w:ascii="Arial" w:cs="Arial" w:eastAsia="Arial" w:hAnsi="Arial"/>
          <w:sz w:val="18"/>
          <w:szCs w:val="18"/>
          <w:color w:val="auto"/>
        </w:rPr>
      </w:pPr>
    </w:p>
    <w:p>
      <w:pPr>
        <w:ind w:left="500" w:right="20" w:hanging="195"/>
        <w:spacing w:after="0" w:line="250"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Arial" w:cs="Arial" w:eastAsia="Arial" w:hAnsi="Arial"/>
          <w:sz w:val="18"/>
          <w:szCs w:val="18"/>
          <w:color w:val="auto"/>
        </w:rPr>
      </w:pPr>
    </w:p>
    <w:p>
      <w:pPr>
        <w:ind w:left="500" w:right="100" w:hanging="195"/>
        <w:spacing w:after="0" w:line="28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500" w:hanging="195"/>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violate labor laws or engage in practices that consumers believe</w:t>
      </w:r>
    </w:p>
    <w:p>
      <w:pPr>
        <w:sectPr>
          <w:pgSz w:w="11900" w:h="16838" w:orient="portrait"/>
          <w:cols w:equalWidth="0" w:num="1">
            <w:col w:w="11240"/>
          </w:cols>
          <w:pgMar w:left="320" w:top="125" w:right="339" w:bottom="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are unethical;</w:t>
      </w:r>
    </w:p>
    <w:p>
      <w:pPr>
        <w:spacing w:after="0" w:line="23" w:lineRule="exact"/>
        <w:rPr>
          <w:sz w:val="20"/>
          <w:szCs w:val="20"/>
          <w:color w:val="auto"/>
        </w:rPr>
      </w:pPr>
    </w:p>
    <w:p>
      <w:pPr>
        <w:ind w:left="520" w:hanging="19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9" w:lineRule="exact"/>
        <w:rPr>
          <w:rFonts w:ascii="Arial" w:cs="Arial" w:eastAsia="Arial" w:hAnsi="Arial"/>
          <w:sz w:val="18"/>
          <w:szCs w:val="18"/>
          <w:color w:val="auto"/>
        </w:rPr>
      </w:pPr>
    </w:p>
    <w:p>
      <w:pPr>
        <w:ind w:left="520" w:hanging="19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significant variety of competitive threats;</w:t>
      </w:r>
    </w:p>
    <w:p>
      <w:pPr>
        <w:spacing w:after="0" w:line="9" w:lineRule="exact"/>
        <w:rPr>
          <w:rFonts w:ascii="Arial" w:cs="Arial" w:eastAsia="Arial" w:hAnsi="Arial"/>
          <w:sz w:val="18"/>
          <w:szCs w:val="18"/>
          <w:color w:val="auto"/>
        </w:rPr>
      </w:pPr>
    </w:p>
    <w:p>
      <w:pPr>
        <w:ind w:left="520" w:hanging="195"/>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520" w:hanging="195"/>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be unsuccessful in engaging in various strategic transactions, which may negatively affect our financial condition and profitability;</w:t>
      </w:r>
    </w:p>
    <w:p>
      <w:pPr>
        <w:spacing w:after="0" w:line="20" w:lineRule="exact"/>
        <w:rPr>
          <w:rFonts w:ascii="Arial" w:cs="Arial" w:eastAsia="Arial" w:hAnsi="Arial"/>
          <w:sz w:val="17"/>
          <w:szCs w:val="17"/>
          <w:color w:val="auto"/>
        </w:rPr>
      </w:pPr>
    </w:p>
    <w:p>
      <w:pPr>
        <w:ind w:left="520" w:right="620" w:hanging="195"/>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of our plan to not utilize cash to resume share repurchases while we continue to take measure to preserve our cash position may negatively impact our financial condition;</w:t>
      </w:r>
    </w:p>
    <w:p>
      <w:pPr>
        <w:ind w:left="520" w:hanging="19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520" w:hanging="19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price of our common stock is subject to volatility, which could in turn attract the interest of activist shareholders; and</w:t>
      </w:r>
    </w:p>
    <w:p>
      <w:pPr>
        <w:spacing w:after="0" w:line="9" w:lineRule="exact"/>
        <w:rPr>
          <w:rFonts w:ascii="Arial" w:cs="Arial" w:eastAsia="Arial" w:hAnsi="Arial"/>
          <w:sz w:val="18"/>
          <w:szCs w:val="18"/>
          <w:color w:val="auto"/>
        </w:rPr>
      </w:pPr>
    </w:p>
    <w:p>
      <w:pPr>
        <w:ind w:left="520" w:right="360" w:hanging="195"/>
        <w:spacing w:after="0" w:line="290"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 w:firstLine="648"/>
        <w:spacing w:after="0" w:line="255"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guests participate in the stuffing, dressing, accessorizing and naming of their own teddy bears and other stuffed animals. As of October 31, 2020, we had 358 corporately-managed stores globally and had 75 internationally franchised stores under the Build-A-Bear Workshop brand, with select locations temporarily closed due to government restrictions brought on by the COVID-19 pandemic. In addition to these stores, we sell products on our company-owned e-commerce sites, our franchisees sell products through sites that they manage and our third parties sell products on their sites under wholesale agreements.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right="400" w:firstLine="648"/>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500" w:right="180" w:hanging="162"/>
        <w:spacing w:after="0" w:line="25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Direct-to-Consumer (“DTC”) – Corporately-managed retail stores located in the U.S., Canada, Puerto Rico, the U.K., Ireland, Denmark and China and two e-commerce sites;</w:t>
      </w:r>
    </w:p>
    <w:p>
      <w:pPr>
        <w:spacing w:after="0" w:line="1" w:lineRule="exact"/>
        <w:rPr>
          <w:rFonts w:ascii="Arial" w:cs="Arial" w:eastAsia="Arial" w:hAnsi="Arial"/>
          <w:sz w:val="18"/>
          <w:szCs w:val="18"/>
          <w:color w:val="auto"/>
        </w:rPr>
      </w:pPr>
    </w:p>
    <w:p>
      <w:pPr>
        <w:ind w:left="500" w:right="80" w:hanging="162"/>
        <w:spacing w:after="0" w:line="225" w:lineRule="auto"/>
        <w:tabs>
          <w:tab w:leader="none" w:pos="50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Commercial – Transactions with other businesses, mainly comprised of wholesale product sales to third-party retailers and licensing our intellectual property, including entertainment properties, for third-party use; and</w:t>
      </w:r>
    </w:p>
    <w:p>
      <w:pPr>
        <w:ind w:left="500" w:right="120" w:hanging="162"/>
        <w:spacing w:after="0" w:line="225" w:lineRule="auto"/>
        <w:tabs>
          <w:tab w:leader="none" w:pos="50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International franchising – Royalties as well as development fees and the sales from products and fixtures from other international operations under franchise agreements.</w:t>
      </w:r>
    </w:p>
    <w:p>
      <w:pPr>
        <w:spacing w:after="0" w:line="202" w:lineRule="exact"/>
        <w:rPr>
          <w:sz w:val="20"/>
          <w:szCs w:val="20"/>
          <w:color w:val="auto"/>
        </w:rPr>
      </w:pPr>
    </w:p>
    <w:p>
      <w:pPr>
        <w:ind w:left="20" w:right="180" w:firstLine="648"/>
        <w:spacing w:after="0" w:line="308" w:lineRule="auto"/>
        <w:rPr>
          <w:sz w:val="20"/>
          <w:szCs w:val="20"/>
          <w:color w:val="auto"/>
        </w:rPr>
      </w:pPr>
      <w:r>
        <w:rPr>
          <w:rFonts w:ascii="Arial" w:cs="Arial" w:eastAsia="Arial" w:hAnsi="Arial"/>
          <w:sz w:val="17"/>
          <w:szCs w:val="17"/>
          <w:color w:val="auto"/>
        </w:rPr>
        <w:t>Selected financial data attributable to each segment for the thirteen and thirty-nine weeks ended October 31, 2020 and November 2, 2019 are set forth in the notes to our condensed consolidated financial statements included elsewhere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Business Update</w:t>
      </w:r>
    </w:p>
    <w:p>
      <w:pPr>
        <w:spacing w:after="0" w:line="229" w:lineRule="exact"/>
        <w:rPr>
          <w:sz w:val="20"/>
          <w:szCs w:val="20"/>
          <w:color w:val="auto"/>
        </w:rPr>
      </w:pPr>
    </w:p>
    <w:p>
      <w:pPr>
        <w:ind w:left="20" w:right="60" w:firstLine="648"/>
        <w:spacing w:after="0" w:line="273" w:lineRule="auto"/>
        <w:rPr>
          <w:sz w:val="20"/>
          <w:szCs w:val="20"/>
          <w:color w:val="auto"/>
        </w:rPr>
      </w:pPr>
      <w:r>
        <w:rPr>
          <w:rFonts w:ascii="Arial" w:cs="Arial" w:eastAsia="Arial" w:hAnsi="Arial"/>
          <w:sz w:val="17"/>
          <w:szCs w:val="17"/>
          <w:color w:val="auto"/>
        </w:rPr>
        <w:t>Our results of retail store operations for the thirteen and thirty-nine weeks ended October 31, 2020, were significantly negatively impacted by the effects of COVID-19, reflected by the 7% fewer operating days in the third quarter driven by the significant impact of temporary store closures. As of October 31, 2020, we had reopened the vast majority of our corporately-managed store locations, many with shortened hours of operations and lower traffic levels. This continued to drive consumer spending to our e-commerce sites, which were fully operational throughout the quarter, and which experienced a significant increase in demand. We continued to embrace this trend and worked to capitalize and leverage our investments to become a more digitally-focused organization with initiatives that are in step with our strategic business model:</w:t>
      </w:r>
    </w:p>
    <w:p>
      <w:pPr>
        <w:spacing w:after="0" w:line="224" w:lineRule="exact"/>
        <w:rPr>
          <w:sz w:val="20"/>
          <w:szCs w:val="20"/>
          <w:color w:val="auto"/>
        </w:rPr>
      </w:pPr>
    </w:p>
    <w:p>
      <w:pPr>
        <w:ind w:left="600" w:right="120" w:hanging="194"/>
        <w:spacing w:after="0" w:line="259"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delivered our twelfth consecutive quarter of double-digit or greater growth in e-commerce demand and were able to leverage available store labor and inventory to support the heightened digital demand with "buy online, ship from store" and "buy online, pick up in store or curbside" fulfillment options;</w:t>
      </w:r>
    </w:p>
    <w:p>
      <w:pPr>
        <w:spacing w:after="0" w:line="31" w:lineRule="exact"/>
        <w:rPr>
          <w:rFonts w:ascii="Arial" w:cs="Arial" w:eastAsia="Arial" w:hAnsi="Arial"/>
          <w:sz w:val="18"/>
          <w:szCs w:val="18"/>
          <w:color w:val="auto"/>
        </w:rPr>
      </w:pPr>
    </w:p>
    <w:p>
      <w:pPr>
        <w:ind w:left="600" w:hanging="194"/>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continued to refine and improve our digital marketing efforts leveraging the added CRM capabilities that come with</w:t>
      </w:r>
    </w:p>
    <w:p>
      <w:pPr>
        <w:spacing w:after="0" w:line="15" w:lineRule="exact"/>
        <w:rPr>
          <w:rFonts w:ascii="Arial" w:cs="Arial" w:eastAsia="Arial" w:hAnsi="Arial"/>
          <w:sz w:val="18"/>
          <w:szCs w:val="18"/>
          <w:color w:val="auto"/>
        </w:rPr>
      </w:pPr>
    </w:p>
    <w:p>
      <w:pPr>
        <w:ind w:left="600" w:right="160"/>
        <w:spacing w:after="0" w:line="260" w:lineRule="auto"/>
        <w:rPr>
          <w:rFonts w:ascii="Arial" w:cs="Arial" w:eastAsia="Arial" w:hAnsi="Arial"/>
          <w:sz w:val="18"/>
          <w:szCs w:val="18"/>
          <w:color w:val="auto"/>
        </w:rPr>
      </w:pPr>
      <w:r>
        <w:rPr>
          <w:rFonts w:ascii="Arial" w:cs="Arial" w:eastAsia="Arial" w:hAnsi="Arial"/>
          <w:sz w:val="18"/>
          <w:szCs w:val="18"/>
          <w:color w:val="auto"/>
        </w:rPr>
        <w:t>our engagement with Salesforce to create meaningful consumer journeys that have multiple touch points with the goal of driving sales and ultimately increasing lifetime value;</w:t>
      </w:r>
    </w:p>
    <w:p>
      <w:pPr>
        <w:spacing w:after="0" w:line="31" w:lineRule="exact"/>
        <w:rPr>
          <w:rFonts w:ascii="Arial" w:cs="Arial" w:eastAsia="Arial" w:hAnsi="Arial"/>
          <w:sz w:val="18"/>
          <w:szCs w:val="18"/>
          <w:color w:val="auto"/>
        </w:rPr>
      </w:pPr>
    </w:p>
    <w:p>
      <w:pPr>
        <w:ind w:left="600" w:right="60" w:hanging="194"/>
        <w:spacing w:after="0" w:line="256"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continued to enhance our omni-channel capabilities of “Buy Online, Ship From Store” and “Buy Online, Pick Up In Store” by expanding the number of stores that are eligible to fulfill digital orders including the initialization of “Click and Collect” orders in our U.K. locations, a form of "Buy Online, Pick Up In Store" for U.K. operations. We believe these programs are an efficient use of available store labor and inventory to support the ongoing strong digital demand;</w:t>
      </w:r>
    </w:p>
    <w:p>
      <w:pPr>
        <w:spacing w:after="0" w:line="28" w:lineRule="exact"/>
        <w:rPr>
          <w:rFonts w:ascii="Arial" w:cs="Arial" w:eastAsia="Arial" w:hAnsi="Arial"/>
          <w:sz w:val="18"/>
          <w:szCs w:val="18"/>
          <w:color w:val="auto"/>
        </w:rPr>
      </w:pPr>
    </w:p>
    <w:p>
      <w:pPr>
        <w:jc w:val="both"/>
        <w:ind w:left="600" w:right="460" w:hanging="194"/>
        <w:spacing w:after="0" w:line="263"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created engaging live streaming events for key promotions such as National Teddy Bear Day and new product introductions as part of the creation and digital delivery of content which is an important part of the expression of our brand and as a tool to drive further connection and generate incremental sales; and</w:t>
      </w:r>
    </w:p>
    <w:p>
      <w:pPr>
        <w:spacing w:after="0" w:line="27" w:lineRule="exact"/>
        <w:rPr>
          <w:rFonts w:ascii="Arial" w:cs="Arial" w:eastAsia="Arial" w:hAnsi="Arial"/>
          <w:sz w:val="18"/>
          <w:szCs w:val="18"/>
          <w:color w:val="auto"/>
        </w:rPr>
      </w:pPr>
    </w:p>
    <w:p>
      <w:pPr>
        <w:ind w:left="600" w:right="40" w:hanging="194"/>
        <w:spacing w:after="0" w:line="268"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advanced key entertainment platforms, from the increased listenership on Build-A-Bear radio on iHeart to the launch of a new CD to our first live action film in conjunction with Hallmark for the holidays.</w:t>
      </w:r>
    </w:p>
    <w:p>
      <w:pPr>
        <w:spacing w:after="0" w:line="220" w:lineRule="exact"/>
        <w:rPr>
          <w:sz w:val="20"/>
          <w:szCs w:val="20"/>
          <w:color w:val="auto"/>
        </w:rPr>
      </w:pPr>
    </w:p>
    <w:p>
      <w:pPr>
        <w:ind w:left="20" w:right="20" w:firstLine="648"/>
        <w:spacing w:after="0" w:line="270" w:lineRule="auto"/>
        <w:rPr>
          <w:sz w:val="20"/>
          <w:szCs w:val="20"/>
          <w:color w:val="auto"/>
        </w:rPr>
      </w:pPr>
      <w:r>
        <w:rPr>
          <w:rFonts w:ascii="Arial" w:cs="Arial" w:eastAsia="Arial" w:hAnsi="Arial"/>
          <w:sz w:val="17"/>
          <w:szCs w:val="17"/>
          <w:color w:val="auto"/>
        </w:rPr>
        <w:t>In response to COVID-19, we maintained our disciplined expense management and cash preservation efforts across all areas of the business by continuing the delay of payment of bonuses earned by executive officers for 2019 performance and the Company matching contribution to its 401(k) plan and we continued to limit our capital expenditures to maintenance levels. On October 6, 2020, our compensation committee authorized the return of base salaries to the amounts that were effective prior to the salary reductions for all employees, including our executive officers. The restoration of the base salaries was effective September 27, 2020, and was not retroactive to the date salaries were reduced in March 2020. In the last six months, due to our high level of strategic lease flexibility, we renegotiated lease terms to include rent reductions, deferrals and abatements on 99% of North American locations and almost 90% of those in the U.K. After these negotiations, we have maintained a high level of lease flexibility with over 70% of our leases still coming up for renewal in the next three years. Our supply chain experienced no significant disruptions during the quarter and we were able to receive deliveries in a timely manner.</w:t>
      </w:r>
    </w:p>
    <w:p>
      <w:pPr>
        <w:sectPr>
          <w:pgSz w:w="11900" w:h="16838" w:orient="portrait"/>
          <w:cols w:equalWidth="0" w:num="1">
            <w:col w:w="11240"/>
          </w:cols>
          <w:pgMar w:left="300" w:top="125" w:right="359" w:bottom="21" w:gutter="0" w:footer="0" w:header="0"/>
        </w:sectPr>
      </w:pPr>
    </w:p>
    <w:bookmarkStart w:id="20" w:name="page21"/>
    <w:bookmarkEnd w:id="20"/>
    <w:p>
      <w:pPr>
        <w:jc w:val="both"/>
        <w:ind w:left="20" w:right="100" w:firstLine="648"/>
        <w:spacing w:after="0" w:line="311" w:lineRule="auto"/>
        <w:rPr>
          <w:sz w:val="20"/>
          <w:szCs w:val="20"/>
          <w:color w:val="auto"/>
        </w:rPr>
      </w:pPr>
      <w:r>
        <w:rPr>
          <w:rFonts w:ascii="Arial" w:cs="Arial" w:eastAsia="Arial" w:hAnsi="Arial"/>
          <w:sz w:val="16"/>
          <w:szCs w:val="16"/>
          <w:color w:val="auto"/>
        </w:rPr>
        <w:t>At the beginning of the fourth quarter, we temporarily closed 43 stores in the United Kingdom as a result of governmental COVID-19 mandates. These temporary closures were in addition to two stores that were temporary closed in Ireland shortly before the end of the third quarter due to COVID-19 mandates. As of December 2, 2020, 39 of these locations in the United Kingdom reopened as restrictions in those jurisdictions were eased.</w:t>
      </w:r>
    </w:p>
    <w:p>
      <w:pPr>
        <w:spacing w:after="0" w:line="149"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The ultimate economic impact of the COVID-19 pandemic remains highly uncertain, including the duration and severity of the COVID-19 outbreak, actions taken to contain its spread as well as its impact to consumer discretionary spending and the pace of economic recovery if and when effective vaccines are distributed and widely administered and the pandemic subsides.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0" w:right="140"/>
        <w:spacing w:after="0" w:line="291" w:lineRule="auto"/>
        <w:rPr>
          <w:sz w:val="20"/>
          <w:szCs w:val="20"/>
          <w:color w:val="auto"/>
        </w:rPr>
      </w:pPr>
      <w:r>
        <w:rPr>
          <w:rFonts w:ascii="Arial" w:cs="Arial" w:eastAsia="Arial" w:hAnsi="Arial"/>
          <w:sz w:val="16"/>
          <w:szCs w:val="16"/>
          <w:color w:val="auto"/>
        </w:rPr>
        <w:t>Therefore, we currently are not able to estimate the full impact of COVID-19 on our financial condition and future results of operations. In the near term, we expect that this situation will have an adverse effect on our reported results for the fourth fiscal quarter of 2020 and possibly beyond. We will continue to actively monitor the effects of COVID-19 on the retail industry including e-commerce and our own business. Imposition (or re-imposition) of governmental restrictions such as new shelter in place orders or quarantines under the evolving conditions relating to the pandemic, resulting in periods of temporary store closures, changes in consumer shopping behaviors and reductions of consumer discretionary spending would require us to continue to evaluate our business assumptions and estimates. Such conditions would likely result in lower future net sales and cash flow, which could lead to impairment of our store and other assets, as well as increase the risks associated with excess inventory and bad debt.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left="20" w:right="120" w:firstLine="648"/>
        <w:spacing w:after="0" w:line="277" w:lineRule="auto"/>
        <w:rPr>
          <w:sz w:val="20"/>
          <w:szCs w:val="20"/>
          <w:color w:val="auto"/>
        </w:rPr>
      </w:pPr>
      <w:r>
        <w:rPr>
          <w:rFonts w:ascii="Arial" w:cs="Arial" w:eastAsia="Arial" w:hAnsi="Arial"/>
          <w:sz w:val="18"/>
          <w:szCs w:val="18"/>
          <w:color w:val="auto"/>
        </w:rPr>
        <w:t>The table below sets forth the number of Build-A-Bear Workshop corporately-managed stores in North America, Europe and Asia for the periods presented: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w w:val="94"/>
              </w:rPr>
              <w:t>Thirty-nine weeks ended</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3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October 31, 2020</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November 2, 2019</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360" w:type="dxa"/>
            <w:vAlign w:val="bottom"/>
          </w:tcPr>
          <w:p>
            <w:pPr>
              <w:spacing w:after="0"/>
              <w:rPr>
                <w:sz w:val="16"/>
                <w:szCs w:val="16"/>
                <w:color w:val="auto"/>
              </w:rPr>
            </w:pPr>
          </w:p>
        </w:tc>
        <w:tc>
          <w:tcPr>
            <w:tcW w:w="11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North</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North</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360" w:type="dxa"/>
            <w:vAlign w:val="bottom"/>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0"/>
              </w:rPr>
              <w:t>Europe</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Asia</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America</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Asia</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55</w:t>
            </w: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Opened</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
        </w:trPr>
        <w:tc>
          <w:tcPr>
            <w:tcW w:w="2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360" w:type="dxa"/>
            <w:vAlign w:val="bottom"/>
          </w:tcPr>
          <w:p>
            <w:pPr>
              <w:spacing w:after="0"/>
              <w:rPr>
                <w:sz w:val="20"/>
                <w:szCs w:val="20"/>
                <w:color w:val="auto"/>
              </w:rPr>
            </w:pPr>
            <w:r>
              <w:rPr>
                <w:rFonts w:ascii="Arial" w:cs="Arial" w:eastAsia="Arial" w:hAnsi="Arial"/>
                <w:sz w:val="18"/>
                <w:szCs w:val="18"/>
                <w:color w:val="auto"/>
              </w:rPr>
              <w:t>End of period</w:t>
            </w:r>
          </w:p>
        </w:tc>
        <w:tc>
          <w:tcPr>
            <w:tcW w:w="88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51</w:t>
            </w:r>
          </w:p>
        </w:tc>
        <w:tc>
          <w:tcPr>
            <w:tcW w:w="7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358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r>
      <w:tr>
        <w:trPr>
          <w:trHeight w:val="20"/>
        </w:trPr>
        <w:tc>
          <w:tcPr>
            <w:tcW w:w="2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400" w:firstLine="648"/>
        <w:spacing w:after="0" w:line="311" w:lineRule="auto"/>
        <w:rPr>
          <w:sz w:val="20"/>
          <w:szCs w:val="20"/>
          <w:color w:val="auto"/>
        </w:rPr>
      </w:pPr>
      <w:r>
        <w:rPr>
          <w:rFonts w:ascii="Arial" w:cs="Arial" w:eastAsia="Arial" w:hAnsi="Arial"/>
          <w:sz w:val="16"/>
          <w:szCs w:val="16"/>
          <w:color w:val="auto"/>
        </w:rPr>
        <w:t>As of October 31, 2020, 40% of our store base was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traditional malls.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International Franchise Stores:</w:t>
      </w:r>
    </w:p>
    <w:p>
      <w:pPr>
        <w:spacing w:after="0" w:line="225" w:lineRule="exact"/>
        <w:rPr>
          <w:sz w:val="20"/>
          <w:szCs w:val="20"/>
          <w:color w:val="auto"/>
        </w:rPr>
      </w:pPr>
    </w:p>
    <w:p>
      <w:pPr>
        <w:ind w:left="20" w:right="160" w:firstLine="648"/>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corporately-managed stores. As of October 31, 2020, we had eight master franchise agreements, which typically grant franchise rights for a particular country or group of countries, covering an aggregate of 13 countries.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33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Thirty-nine weeks ended</w:t>
            </w:r>
          </w:p>
        </w:tc>
      </w:tr>
      <w:tr>
        <w:trPr>
          <w:trHeight w:val="210"/>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October 31, 2020</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November 2, 2019</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Opened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5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96" w:lineRule="auto"/>
        <w:rPr>
          <w:sz w:val="20"/>
          <w:szCs w:val="20"/>
          <w:color w:val="auto"/>
        </w:rPr>
      </w:pPr>
      <w:r>
        <w:rPr>
          <w:rFonts w:ascii="Arial" w:cs="Arial" w:eastAsia="Arial" w:hAnsi="Arial"/>
          <w:sz w:val="16"/>
          <w:szCs w:val="16"/>
          <w:color w:val="auto"/>
        </w:rPr>
        <w:t>As of October 31, 2020, 74 franchised stores were operating and one remained temporarily closed due to COVID-19. In the ordinary course of business, we anticipate signing additional master franchise agreements in the future and terminating other such agreements. We believe there is a total market potential for approximately 300 international stores outside of the U.S., Canada, the U.K., Ireland and Denmark.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right="100" w:firstLine="648"/>
        <w:spacing w:after="0" w:line="263"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60"/>
          </w:cols>
          <w:pgMar w:left="300" w:top="125" w:right="339" w:bottom="0" w:gutter="0" w:footer="0" w:header="0"/>
        </w:sectPr>
      </w:pPr>
    </w:p>
    <w:p>
      <w:pPr>
        <w:spacing w:after="0" w:line="200" w:lineRule="exact"/>
        <w:rPr>
          <w:sz w:val="20"/>
          <w:szCs w:val="20"/>
          <w:color w:val="auto"/>
        </w:rPr>
      </w:pPr>
    </w:p>
    <w:p>
      <w:pPr>
        <w:spacing w:after="0" w:line="223" w:lineRule="exact"/>
        <w:rPr>
          <w:sz w:val="20"/>
          <w:szCs w:val="20"/>
          <w:color w:val="auto"/>
        </w:rPr>
      </w:pPr>
    </w:p>
    <w:p>
      <w:pPr>
        <w:ind w:left="4860"/>
        <w:spacing w:after="0"/>
        <w:tabs>
          <w:tab w:leader="none" w:pos="7660" w:val="left"/>
        </w:tabs>
        <w:rPr>
          <w:sz w:val="20"/>
          <w:szCs w:val="20"/>
          <w:color w:val="auto"/>
        </w:rPr>
      </w:pPr>
      <w:r>
        <w:rPr>
          <w:rFonts w:ascii="Arial" w:cs="Arial" w:eastAsia="Arial" w:hAnsi="Arial"/>
          <w:sz w:val="18"/>
          <w:szCs w:val="18"/>
          <w:b w:val="1"/>
          <w:bCs w:val="1"/>
          <w:color w:val="auto"/>
        </w:rPr>
        <w:t>Thirteen weeks ended</w:t>
      </w:r>
      <w:r>
        <w:rPr>
          <w:sz w:val="20"/>
          <w:szCs w:val="20"/>
          <w:color w:val="auto"/>
        </w:rPr>
        <w:tab/>
      </w:r>
      <w:r>
        <w:rPr>
          <w:rFonts w:ascii="Arial" w:cs="Arial" w:eastAsia="Arial" w:hAnsi="Arial"/>
          <w:sz w:val="16"/>
          <w:szCs w:val="16"/>
          <w:b w:val="1"/>
          <w:bCs w:val="1"/>
          <w:color w:val="auto"/>
        </w:rPr>
        <w:t>Thirty-nine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17145</wp:posOffset>
            </wp:positionV>
            <wp:extent cx="3566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11260"/>
          </w:cols>
          <w:pgMar w:left="300" w:top="125" w:right="339" w:bottom="0" w:gutter="0" w:footer="0" w:header="0"/>
          <w:type w:val="continuous"/>
        </w:sectPr>
      </w:pPr>
    </w:p>
    <w:bookmarkStart w:id="21" w:name="page22"/>
    <w:bookmarkEnd w:id="21"/>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31,</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November 2,</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October 31,</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November 2,</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Net retail sales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96.9%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International franchising</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53.5</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60.5</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65.0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Store asset impairment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3200" w:type="dxa"/>
            <w:vAlign w:val="bottom"/>
          </w:tcPr>
          <w:p>
            <w:pPr>
              <w:ind w:left="180"/>
              <w:spacing w:after="0" w:line="206" w:lineRule="exact"/>
              <w:rPr>
                <w:sz w:val="20"/>
                <w:szCs w:val="20"/>
                <w:color w:val="auto"/>
              </w:rPr>
            </w:pPr>
            <w:r>
              <w:rPr>
                <w:rFonts w:ascii="Arial" w:cs="Arial" w:eastAsia="Arial" w:hAnsi="Arial"/>
                <w:sz w:val="18"/>
                <w:szCs w:val="18"/>
                <w:color w:val="auto"/>
                <w:w w:val="96"/>
              </w:rPr>
              <w:t>Cost of merchandise sold - commercial</w:t>
            </w: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42.1</w:t>
            </w:r>
          </w:p>
        </w:tc>
        <w:tc>
          <w:tcPr>
            <w:tcW w:w="14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55.2</w:t>
            </w: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42.8</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86"/>
        </w:trPr>
        <w:tc>
          <w:tcPr>
            <w:tcW w:w="3200" w:type="dxa"/>
            <w:vAlign w:val="bottom"/>
          </w:tcPr>
          <w:p>
            <w:pPr>
              <w:ind w:left="180"/>
              <w:spacing w:after="0"/>
              <w:rPr>
                <w:sz w:val="20"/>
                <w:szCs w:val="20"/>
                <w:color w:val="auto"/>
              </w:rPr>
            </w:pPr>
            <w:r>
              <w:rPr>
                <w:rFonts w:ascii="Arial" w:cs="Arial" w:eastAsia="Arial" w:hAnsi="Arial"/>
                <w:sz w:val="15"/>
                <w:szCs w:val="15"/>
                <w:color w:val="auto"/>
              </w:rPr>
              <w:t>(1)</w:t>
            </w:r>
          </w:p>
        </w:tc>
        <w:tc>
          <w:tcPr>
            <w:tcW w:w="146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Cost of merchandise sold - international</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line="230" w:lineRule="exact"/>
              <w:rPr>
                <w:sz w:val="20"/>
                <w:szCs w:val="20"/>
                <w:color w:val="auto"/>
              </w:rPr>
            </w:pPr>
            <w:r>
              <w:rPr>
                <w:rFonts w:ascii="Arial" w:cs="Arial" w:eastAsia="Arial" w:hAnsi="Arial"/>
                <w:sz w:val="16"/>
                <w:szCs w:val="16"/>
                <w:color w:val="auto"/>
              </w:rPr>
              <w:t xml:space="preserve">franchising </w:t>
            </w:r>
            <w:r>
              <w:rPr>
                <w:rFonts w:ascii="Arial" w:cs="Arial" w:eastAsia="Arial" w:hAnsi="Arial"/>
                <w:sz w:val="26"/>
                <w:szCs w:val="26"/>
                <w:color w:val="auto"/>
                <w:vertAlign w:val="superscript"/>
              </w:rPr>
              <w:t>(1)</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Total cost of merchandise sold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53.4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60.6</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68.8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44.3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3200" w:type="dxa"/>
            <w:vAlign w:val="bottom"/>
          </w:tcPr>
          <w:p>
            <w:pPr>
              <w:ind w:left="20"/>
              <w:spacing w:after="0"/>
              <w:rPr>
                <w:sz w:val="20"/>
                <w:szCs w:val="20"/>
                <w:color w:val="auto"/>
              </w:rPr>
            </w:pPr>
            <w:r>
              <w:rPr>
                <w:rFonts w:ascii="Arial" w:cs="Arial" w:eastAsia="Arial" w:hAnsi="Arial"/>
                <w:sz w:val="18"/>
                <w:szCs w:val="18"/>
                <w:color w:val="auto"/>
              </w:rPr>
              <w:t xml:space="preserve">Retail Gross Margin </w:t>
            </w:r>
            <w:r>
              <w:rPr>
                <w:rFonts w:ascii="Arial" w:cs="Arial" w:eastAsia="Arial" w:hAnsi="Arial"/>
                <w:sz w:val="29"/>
                <w:szCs w:val="29"/>
                <w:color w:val="auto"/>
                <w:vertAlign w:val="superscript"/>
              </w:rPr>
              <w:t>(2)</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46.5%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380" w:right="120" w:hanging="372"/>
        <w:spacing w:after="0" w:line="310" w:lineRule="auto"/>
        <w:tabs>
          <w:tab w:leader="none" w:pos="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480" w:hanging="372"/>
        <w:spacing w:after="0" w:line="26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October 31, 2020 compared to thirteen weeks ended November 2,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Consolidated revenues increased 6.1%, including a 9.2% increase in North America and partially offset by a 2.1% decrease</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 Europe. A triple-digit increase in consolidated e-commerce sales contributed to the increase in North American sales and reduced the overall decrease in sales in Europe.</w:t>
      </w:r>
    </w:p>
    <w:p>
      <w:pPr>
        <w:spacing w:after="0" w:line="185"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Net retail sales for the thirteen weeks ended October 31, 2020 were $72.4 million, compared to $66.6 million for the thirteen weeks ended November 2, 2019, an increase of $5.8 million, or 8.7% compared to the prior year period. The components of this increase are as follows (dollars in millions):</w:t>
      </w:r>
    </w:p>
    <w:p>
      <w:pPr>
        <w:spacing w:after="0" w:line="180"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Thirteen weeks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Impact from:</w:t>
            </w:r>
          </w:p>
        </w:tc>
        <w:tc>
          <w:tcPr>
            <w:tcW w:w="12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 2020</w:t>
            </w:r>
          </w:p>
        </w:tc>
        <w:tc>
          <w:tcPr>
            <w:tcW w:w="0" w:type="dxa"/>
            <w:vAlign w:val="bottom"/>
          </w:tcPr>
          <w:p>
            <w:pPr>
              <w:spacing w:after="0"/>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E-commerce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Store closures</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breakage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estimates</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Pr>
          <w:p>
            <w:pPr>
              <w:ind w:left="180"/>
              <w:spacing w:after="0"/>
              <w:rPr>
                <w:sz w:val="20"/>
                <w:szCs w:val="20"/>
                <w:color w:val="auto"/>
              </w:rPr>
            </w:pPr>
            <w:r>
              <w:rPr>
                <w:rFonts w:ascii="Arial" w:cs="Arial" w:eastAsia="Arial" w:hAnsi="Arial"/>
                <w:sz w:val="18"/>
                <w:szCs w:val="18"/>
                <w:color w:val="auto"/>
              </w:rPr>
              <w:t>Total Change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retail revenue increase was primarily the result of the increase in our e-commerce sales both in North America and the United Kingdom.</w:t>
      </w:r>
    </w:p>
    <w:p>
      <w:pPr>
        <w:spacing w:after="0" w:line="23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Commercial revenue was $1.9 million for the thirteen weeks ended October 31, 2020 compared to $2.6 million for the thirteen weeks ended November 2, 2019. The $0.7 million decrease is the result of decreased sales volume from our commercial customers as a result of COVID-19, which we believe is principally because the third-party retail locations serviced by our commercial customers were either temporarily closed or operated under governmentally-mandated restrictions for a portion or all of the third quarter.</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International franchising revenue was $0.4 million for the thirteen weeks ended October 31, 2020 compared to $1.2 million for the thirteen weeks ended November 2, 2019. The $0.8 million decrease is primarily due to temporary closures of franchise locations due to governmentally-mandated restrictions in response to the COVID-19 pandemic and a reduction in new store openings resulting in a lower level of inventory and fixture sales to franchisees to support these openings.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dollars increased $7.4 million to $33.7 million compared to the thirteen weeks ended November 2,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retail gross margin rate increased 701 basis points primarily driven by a decrease in fixed occupancy costs recorded through the end of the third quarter as a result of rent negotiations during the last six months and an increase in merchandise margin partially offset by increased warehouse and distribution costs.</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 xml:space="preserve">Impairment of long-live assets, including right-of-use assets. </w:t>
      </w:r>
      <w:r>
        <w:rPr>
          <w:rFonts w:ascii="Arial" w:cs="Arial" w:eastAsia="Arial" w:hAnsi="Arial"/>
          <w:sz w:val="16"/>
          <w:szCs w:val="16"/>
          <w:color w:val="auto"/>
        </w:rPr>
        <w:t>As a result of the COVID-19 pandemic, we experienced lower than projected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and identified indicators of impairment for our store fleet. We performed an undiscounted future cash flow analysis over the long-lived assets and</w:t>
      </w:r>
    </w:p>
    <w:p>
      <w:pPr>
        <w:sectPr>
          <w:pgSz w:w="11900" w:h="16996" w:orient="portrait"/>
          <w:cols w:equalWidth="0" w:num="1">
            <w:col w:w="11220"/>
          </w:cols>
          <w:pgMar w:left="320" w:top="121" w:right="359" w:bottom="0" w:gutter="0" w:footer="0" w:header="0"/>
        </w:sectPr>
      </w:pPr>
    </w:p>
    <w:bookmarkStart w:id="22" w:name="page23"/>
    <w:bookmarkEnd w:id="22"/>
    <w:p>
      <w:pPr>
        <w:ind w:right="60"/>
        <w:spacing w:after="0" w:line="271" w:lineRule="auto"/>
        <w:rPr>
          <w:sz w:val="20"/>
          <w:szCs w:val="20"/>
          <w:color w:val="auto"/>
        </w:rPr>
      </w:pPr>
      <w:r>
        <w:rPr>
          <w:rFonts w:ascii="Arial" w:cs="Arial" w:eastAsia="Arial" w:hAnsi="Arial"/>
          <w:sz w:val="17"/>
          <w:szCs w:val="17"/>
          <w:color w:val="auto"/>
        </w:rPr>
        <w:t>right-of-use assets for the remaining useful life of the assets and determined that certain stores had long-lived and right-of-use assets with carrying values that exceeded their estimated undiscounted future cash flows. We estimated fair values of these long-lived assets based on our discounted future cash flows or market rent assessments. Our analysis indicated that the carrying values of our long-lived assets exceeded their respective fair values. As a result, we recognized an impairment charge of $0.2 million for the thirteen weeks ended October 31, 2020,with approximately $0.1 million for right-of-use operating lease assets and $0.1 million for fixed assets including leasehold improvements, fixtures, furniture and fixtures, machinery and equipment, and construction-in-progress. These charges are recorded in Store asset impairment within the Condensed Consolidated Statement of Operations and Comprehensive Income (Loss) for the respective periods. The majority of the impairment was recorded for assets associated with stores in North America. For the thirteen weeks ended November 2, 2019, we recorded no impairment charges.</w:t>
      </w:r>
    </w:p>
    <w:p>
      <w:pPr>
        <w:spacing w:after="0" w:line="17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$33.1 million for the thirteen weeks ended October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 decrease of $2.3 million compared to the thirteen weeks ended November 2, 2019. The decline was primarily due to lower labor costs resulting from temporary store closures and employee furloughs due to the COVID-19 pandemic, salary reductions, position eliminations, and reduced outside services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was $2,000 for the thirteen weeks ended October 31, 2020 compared to interest expense of $8,000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November 2, 2019.</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Benefit/Provision for income taxes</w:t>
      </w:r>
      <w:r>
        <w:rPr>
          <w:rFonts w:ascii="Arial" w:cs="Arial" w:eastAsia="Arial" w:hAnsi="Arial"/>
          <w:sz w:val="17"/>
          <w:szCs w:val="17"/>
          <w:color w:val="auto"/>
        </w:rPr>
        <w:t>. Income tax expense was less than $0.1 million with a tax rate of 0.6% for the thirteen weeks ended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as compared to a benefit of $1.8 million with a tax rate of 23.7% for the thirteen weeks ended November 2, 2019. In the third quarter of fiscal 2020, the effective tax rate differed from the statutory rate of 21% primarily due to no tax expense being recorded on the pretax income as a full valuation allowance had been recorded globally and the company has a pretax loss year-to-date. In the third quarter of fiscal 2019, the effective tax rate differed from the statutory rate of 21% primarily due to the valuation allowance being recorded in certain foreign loss companies.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Thirty-nine weeks ended October 31, 2020 compared to thirty-nine weeks ended November 2, 2019</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Consolidated revenues decreased 30.9%, including a 30.9% decrease in North America and a 29.1% decrease in Europe,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triple-digit increase in consolidated e-commerce sales.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retail sales for the thirty-nine weeks ended October 31, 2020 were $157.4 million, compared to $222.8 million for the thirty-nine weeks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2, 2019, a decrease of $65.5 million, or 29.4%. The components of this decrease are as follows (dollars in millions):</w:t>
      </w:r>
    </w:p>
    <w:p>
      <w:pPr>
        <w:spacing w:after="0" w:line="207"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Thirty-nine weeks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Impact from:</w:t>
            </w:r>
          </w:p>
        </w:tc>
        <w:tc>
          <w:tcPr>
            <w:tcW w:w="12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 2020</w:t>
            </w:r>
          </w:p>
        </w:tc>
        <w:tc>
          <w:tcPr>
            <w:tcW w:w="0" w:type="dxa"/>
            <w:vAlign w:val="bottom"/>
          </w:tcPr>
          <w:p>
            <w:pPr>
              <w:spacing w:after="0"/>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(82,052)</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E-commerce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21,457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Store closures</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breakage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estimates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7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tcPr>
          <w:p>
            <w:pPr>
              <w:ind w:left="180"/>
              <w:spacing w:after="0"/>
              <w:rPr>
                <w:sz w:val="20"/>
                <w:szCs w:val="20"/>
                <w:color w:val="auto"/>
              </w:rPr>
            </w:pPr>
            <w:r>
              <w:rPr>
                <w:rFonts w:ascii="Arial" w:cs="Arial" w:eastAsia="Arial" w:hAnsi="Arial"/>
                <w:sz w:val="18"/>
                <w:szCs w:val="18"/>
                <w:color w:val="auto"/>
              </w:rPr>
              <w:t>Total Change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(65,483)</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The retail revenue decrease was the result of the closure of all of our corporately-managed stores beginning on March 18, 2020 with reopenings occurring throughout the second and third quarters resulting in fewer operating days over the first three quarters of the fiscal year compared to the same period in the prior year. This was partially offset by growth in e-commerce sales during the first three quarters of fiscal year 2020 compared to the same period in fiscal year 2019.</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Commercial revenue was $3.1 million for the thirty-nine weeks ended October 31, 2020 compared to $8.5 million for the thirty-nine weeks ended November 2, 2019. The $5.4 million decrease is the result of decreased sales volume from our commercial customers as a result of COVID-19, which we believe is principally because the third-party retail locations serviced by our commercial customers were either temporarily closed or operated under governmentally-mandated restrictions for a portion of the 2020 fiscal year.</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International franchising revenue was $1.2 million for the thirty-nine weeks ended October 31, 2020 compared to $2.6 million for the thirty-nine weeks ended November 2, 2019. The $1.4 million decrease is primarily due to the temporary closures of franchise locations due to governmentally-mandated restrictions in response to the COVID-19 pandemic and a reduction in new store openings resulting in a lower level of inventory and fixture sales to franchisees to support these openings.</w:t>
      </w:r>
    </w:p>
    <w:p>
      <w:pPr>
        <w:spacing w:after="0" w:line="187"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dollars decreased $41.1 million to $55.1 million compared to the thirty-nine weeks ended November 2,</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retail gross margin rate decreased 815 basis points primarily driven by fixed occupancy costs recorded during the year despite store closures as well as a deleverage of warehouse and distribution costs.</w:t>
      </w:r>
    </w:p>
    <w:p>
      <w:pPr>
        <w:spacing w:after="0" w:line="18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Impairment of long-live assets, including right-of-use assets. </w:t>
      </w:r>
      <w:r>
        <w:rPr>
          <w:rFonts w:ascii="Arial" w:cs="Arial" w:eastAsia="Arial" w:hAnsi="Arial"/>
          <w:sz w:val="17"/>
          <w:szCs w:val="17"/>
          <w:color w:val="auto"/>
        </w:rPr>
        <w:t>As a result of the COVID-19 pandemic, we experienced lower than projected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and identified indicators of impairment for our store fleet. We performed undiscounted future cash flow analysis over the long-lived assets and right-of-use assets for the remaining useful life of the asset and determined that certain stores had long-lived and right-of-use assets with carrying values that exceeded their estimated undiscounted future cash flows. We estimated fair values of these long-lived assets based on our discounted future cash flows or market rent assessments. Our analysis indicated that the carrying values of our long-lived assets exceeded their respective fair values. For the thirty-nine weeks ended October 31, 2020 we recognized impairment charges totaling $7.0 million, with approximately $3.6 million for right-of-use operating lease assets and $3.4 million for fixed assets including leasehold improvements, fixtures, furniture and fixtures,</w:t>
      </w:r>
    </w:p>
    <w:p>
      <w:pPr>
        <w:sectPr>
          <w:pgSz w:w="11900" w:h="16838" w:orient="portrait"/>
          <w:cols w:equalWidth="0" w:num="1">
            <w:col w:w="11240"/>
          </w:cols>
          <w:pgMar w:left="320" w:top="125" w:right="339" w:bottom="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0" w:gutter="0" w:footer="0" w:header="0"/>
          <w:type w:val="continuous"/>
        </w:sectPr>
      </w:pPr>
    </w:p>
    <w:bookmarkStart w:id="23" w:name="page24"/>
    <w:bookmarkEnd w:id="23"/>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machinery and equipment, and construction-in-progress. These charges are recorded in Store asset impairment within the Condensed Consolidated Statement of Operations and Comprehensive Income (Loss) for the respective periods. The majority of the impairment was recorded for assets associated with stores in North America. For the thirty-nine weeks ended November 2, 2019, impairment charges of $5.9 million on right-of-use assets were recorded into retained earnings as a result of the adoption of ASC 842 Leases.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$81.3 million for the thirty-nine weeks ended October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 decrease of $25.6 million compared to the thirty-nine weeks ended November 2, 2019. The decline was primarily due to lower labor costs resulting from temporary store closures, temporary salary reductions and employee furloughs due to the COVID-19 pandemic, a corporate reorganization that reduced corporate headcount as well as a decrease in marketing spend, variable sales fees, and outside services costs.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was $6,000 for the thirty-nine weeks ended October 31, 2020 compared to interest expense of $21,000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thirty-nine weeks ended November 2, 2019.</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Benefit/Provision for income taxes</w:t>
      </w:r>
      <w:r>
        <w:rPr>
          <w:rFonts w:ascii="Arial" w:cs="Arial" w:eastAsia="Arial" w:hAnsi="Arial"/>
          <w:sz w:val="18"/>
          <w:szCs w:val="18"/>
          <w:color w:val="auto"/>
        </w:rPr>
        <w:t>. Income tax expense was $2.5 million with a tax rate of -8.0% for the thirty-nine weeks ended October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compared to a benefit of $0.1 million with a tax rate of 2.1% for the thirty-nine weeks ended November 2, 2019. In the first thirty-nine weeks of fiscal 2020, the effective tax rate differed from the statutory rate of 21% primarily due to no tax benefit being recorded on the pretax loss as a full valuation allowance has been recorded globally. In addition, the first thirty-nine weeks of fiscal 2020 was impacted by the $3.3 million valuation allowance recorded on the beginning balance of the net deferred tax assets in certain jurisdictions. In the first thirty-nine weeks of fiscal 2019, the effective tax rate differed from the statutory rate of 21% primarily due to the valuation allowance being recorded in certain foreign loss companies and the $0.2 million tax impact of equity awards vesting.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(including as a result of the COVID-19 pandemic or the implementation of additional tariffs) and consumer spending patterns; (2) changes in store operations due to our continuing assessment of and response to the COVID-19 pandemic apart from its effect on the general economy, including temporary store closures required by local governments or additional social distancing and sanitation practices recommended by federal, state or local authorities; (3) increases or decreases in our existing store and e-commerce sales;</w:t>
      </w:r>
    </w:p>
    <w:p>
      <w:pPr>
        <w:spacing w:after="0" w:line="2" w:lineRule="exact"/>
        <w:rPr>
          <w:sz w:val="20"/>
          <w:szCs w:val="20"/>
          <w:color w:val="auto"/>
        </w:rPr>
      </w:pPr>
    </w:p>
    <w:p>
      <w:pPr>
        <w:ind w:firstLine="8"/>
        <w:spacing w:after="0" w:line="253"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profitability of our stores; (5) the timing and frequency of the sales of licensed products tied to major theatrical releases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91"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timing of store closures, relocations, remodels and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5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Because our retail operations include toy products which have sales that historically peak in relation to the holiday season as part of our revenue model, our sales are highest in our fourth quarter. The timing of holidays and school vacations can impact our quarterly results. We cannot provide assurance that this will continue to be the case. We are also unable to assess whether the COVID-19 pandemic will significantly affect this trend during the upcoming holiday season. In addition, for accounting purposes, the quarters of each fiscal year consist of 13 weeks, although we will have a 14-week quarter approximately once every six years. For example, the 2014 fiscal fourth quarter had 14 weeks.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October 31, 2020, we had a consolidated cash balance of $25.8 million and approximately 55% of this balance was domiciled within the United States.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August 25, 2020, we entered into a Revolving Credit and Security Agreement with PNC Bank, National Association ("PNC Bank"), as agent. The agreement provides for a senior secured revolving loan in aggregate principal amount of up to $25,000,000 (subject to a borrowing base formula), which may be increased with the consent of the lenders by an amount not to exceed $25,000,000. Borrowings under the agreement bear interest at</w:t>
      </w:r>
    </w:p>
    <w:p>
      <w:pPr>
        <w:spacing w:after="0" w:line="2" w:lineRule="exact"/>
        <w:rPr>
          <w:sz w:val="20"/>
          <w:szCs w:val="20"/>
          <w:color w:val="auto"/>
        </w:rPr>
      </w:pPr>
    </w:p>
    <w:p>
      <w:pPr>
        <w:ind w:right="40" w:firstLine="8"/>
        <w:spacing w:after="0" w:line="267"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base rate determined under the agreement, or (b) the borrower's option, at a rate based on LIBOR, plus in either case a margin based on average undrawn availability as determined in accordance with the agreement. The agreement matures on August 25, 2025 (unless terminated earlier in accordance with its terms) and requires compliance with conditions precedent that must be satisfied prior to any borrowing. The agreement also contains various representations, warranties and covenants that we consider customary for an asset-based credit facility. The agreement requires us to comply with one financial covenant, specifically, that we maintain availability (as determined in accordance with the agreement) at all times equal to or greater than the greater of (a) 12.5% of the loan cap and (b) $3,125,000 (subject to increase upon exercise of the increase option). The “loan cap” is the lesser of (1) $25,000,000 less the outstanding amount of loans and letters of credit under the agreement and (2) the borrowing base from time to time under the agreement. The agreement also contains various information and reporting requirements and provides for various fees customary for an asset-based lending facility. We anticipate the annual costs of maintaining the agreement, including interest and fees, will be between $500,000 and $600,000. The agreement contains customary events of default, including without limitation events of default based on payment obligations, material inaccuracies of representations and warranties, covenant defaults, final judgments and orders, unenforceability of the agreement, material ERISA events, change in control, insolvency proceedings, and defaults under certain other obligations.</w:t>
      </w:r>
    </w:p>
    <w:p>
      <w:pPr>
        <w:spacing w:after="0" w:line="184"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An event of default may cause the applicable interest rate and fees to increase by 2% until such event of default has been cured, waived, or amended. The agreement contains typical negative covenants, including, among other things, that the borrower will not incur indebtedness except for</w:t>
      </w:r>
    </w:p>
    <w:p>
      <w:pPr>
        <w:sectPr>
          <w:pgSz w:w="11900" w:h="16996" w:orient="portrait"/>
          <w:cols w:equalWidth="0" w:num="1">
            <w:col w:w="11240"/>
          </w:cols>
          <w:pgMar w:left="320" w:top="260" w:right="339" w:bottom="0" w:gutter="0" w:footer="0" w:header="0"/>
        </w:sectPr>
      </w:pPr>
    </w:p>
    <w:bookmarkStart w:id="24" w:name="page25"/>
    <w:bookmarkEnd w:id="24"/>
    <w:p>
      <w:pPr>
        <w:spacing w:after="0" w:line="57" w:lineRule="exact"/>
        <w:rPr>
          <w:sz w:val="20"/>
          <w:szCs w:val="20"/>
          <w:color w:val="auto"/>
        </w:rPr>
      </w:pPr>
    </w:p>
    <w:p>
      <w:pPr>
        <w:jc w:val="both"/>
        <w:ind w:left="20" w:right="220"/>
        <w:spacing w:after="0" w:line="263" w:lineRule="auto"/>
        <w:rPr>
          <w:sz w:val="20"/>
          <w:szCs w:val="20"/>
          <w:color w:val="auto"/>
        </w:rPr>
      </w:pPr>
      <w:r>
        <w:rPr>
          <w:rFonts w:ascii="Arial" w:cs="Arial" w:eastAsia="Arial" w:hAnsi="Arial"/>
          <w:sz w:val="18"/>
          <w:szCs w:val="18"/>
          <w:color w:val="auto"/>
        </w:rPr>
        <w:t>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w:t>
      </w:r>
    </w:p>
    <w:p>
      <w:pPr>
        <w:spacing w:after="0" w:line="184" w:lineRule="exact"/>
        <w:rPr>
          <w:sz w:val="20"/>
          <w:szCs w:val="20"/>
          <w:color w:val="auto"/>
        </w:rPr>
      </w:pPr>
    </w:p>
    <w:p>
      <w:pPr>
        <w:jc w:val="both"/>
        <w:ind w:left="20" w:right="140" w:firstLine="648"/>
        <w:spacing w:after="0" w:line="311" w:lineRule="auto"/>
        <w:rPr>
          <w:sz w:val="20"/>
          <w:szCs w:val="20"/>
          <w:color w:val="auto"/>
        </w:rPr>
      </w:pPr>
      <w:r>
        <w:rPr>
          <w:rFonts w:ascii="Arial" w:cs="Arial" w:eastAsia="Arial" w:hAnsi="Arial"/>
          <w:sz w:val="16"/>
          <w:szCs w:val="16"/>
          <w:color w:val="auto"/>
        </w:rPr>
        <w:t>At the closing date of the Credit Agreement and at the end of the third quarter, we had no outstanding indebtedness under the Credit Agreement. As of October 31, 2020, the Company's borrowing base was slightly more than $11.5 million under the agreement. As a result of the $1.0 million letter of credit against the line of credit at the end of the third quarter, the Company's had approximately $10.5 million available for borrowing with PNC Bank.</w:t>
      </w:r>
    </w:p>
    <w:p>
      <w:pPr>
        <w:spacing w:after="0" w:line="149" w:lineRule="exact"/>
        <w:rPr>
          <w:sz w:val="20"/>
          <w:szCs w:val="20"/>
          <w:color w:val="auto"/>
        </w:rPr>
      </w:pPr>
    </w:p>
    <w:p>
      <w:pPr>
        <w:jc w:val="both"/>
        <w:ind w:left="20" w:right="140" w:firstLine="648"/>
        <w:spacing w:after="0" w:line="259" w:lineRule="auto"/>
        <w:rPr>
          <w:sz w:val="20"/>
          <w:szCs w:val="20"/>
          <w:color w:val="auto"/>
        </w:rPr>
      </w:pPr>
      <w:r>
        <w:rPr>
          <w:rFonts w:ascii="Arial" w:cs="Arial" w:eastAsia="Arial" w:hAnsi="Arial"/>
          <w:sz w:val="18"/>
          <w:szCs w:val="18"/>
          <w:color w:val="auto"/>
        </w:rPr>
        <w:t>Additionally, on August 25, 2020, upon execution of the agreement with PNC Bank, we terminated our existing bank credit line with U.S. Bank, under the Fourth Amended and Restated Loan Agreement, as amended as of May 28, 2020 which would have matured on September 30, 2020. The $1.0 million letter of credit that was outstanding under the agreement with U.S. Bank at the time of termination was subsequently cancelled and a replacement $1.0 million letter of credit was issued under the credit agreement with PNC Bank.</w:t>
      </w:r>
    </w:p>
    <w:p>
      <w:pPr>
        <w:spacing w:after="0" w:line="187" w:lineRule="exact"/>
        <w:rPr>
          <w:sz w:val="20"/>
          <w:szCs w:val="20"/>
          <w:color w:val="auto"/>
        </w:rPr>
      </w:pPr>
    </w:p>
    <w:p>
      <w:pPr>
        <w:ind w:left="20" w:firstLine="648"/>
        <w:spacing w:after="0" w:line="269" w:lineRule="auto"/>
        <w:rPr>
          <w:sz w:val="20"/>
          <w:szCs w:val="20"/>
          <w:color w:val="auto"/>
        </w:rPr>
      </w:pPr>
      <w:r>
        <w:rPr>
          <w:rFonts w:ascii="Arial" w:cs="Arial" w:eastAsia="Arial" w:hAnsi="Arial"/>
          <w:sz w:val="17"/>
          <w:szCs w:val="17"/>
          <w:color w:val="auto"/>
        </w:rPr>
        <w:t>In addition to the foregoing, in response to the COVID-19 pandemic, we took other actions to preserve and fortify our liquidity during the 2020 fiscal year, including reducing and deferring various operating and other expenses, temporarily furloughing employees, position eliminations, or temporarily reducing employee salaries, negotiating better lease terms (including rent reductions, deferrals and abatements on 99% of North American locations and almost 90% of those in the U.K.), reducing or deferring planned capital expenditures. In the third quarter, as discussed in the overview, we restored employee salaries to their pre-reduction levels, effective September 27, 2020. In addition, we do not plan to utilize our cash to repurchase shares in fiscal 2020 in order to preserve our cash position. Our ability to repurchase shares is limited by conditions set forth by our lender in our credit agreement, as described above. We believe that the above measures taken to increase and maintain our liquidity, including the new revolving credit agreement, together with cash generated from operations will be sufficient to fund our working capital and other cash flow requirements for at least the next 12 months. Due to the ongoing uncertainty regarding the future impact of COVID-19 and consumer shopping behavior, we expect to continue to carefully manage our cash position, and may take further actions to further improve our cash position, including but not limited to, monetizing our assets, continuing our more aggressive inventory management, reimplementing employee furloughs or further position eliminations, and continuing to forego capital expenditures and other discretionary expenses.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summary of our operating, investing and financing activities is shown in the following table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60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October 31,</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w w:val="98"/>
              </w:rPr>
              <w:t>November 2,</w:t>
            </w:r>
          </w:p>
        </w:tc>
        <w:tc>
          <w:tcPr>
            <w:tcW w:w="100" w:type="dxa"/>
            <w:vAlign w:val="bottom"/>
          </w:tcPr>
          <w:p>
            <w:pPr>
              <w:spacing w:after="0"/>
              <w:rPr>
                <w:sz w:val="16"/>
                <w:szCs w:val="16"/>
                <w:color w:val="auto"/>
              </w:rPr>
            </w:pPr>
          </w:p>
        </w:tc>
      </w:tr>
      <w:tr>
        <w:trPr>
          <w:trHeight w:val="234"/>
        </w:trPr>
        <w:tc>
          <w:tcPr>
            <w:tcW w:w="6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(1,563)</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(4,029)</w:t>
            </w:r>
          </w:p>
        </w:tc>
        <w:tc>
          <w:tcPr>
            <w:tcW w:w="2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(10,099)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0"/>
        </w:trPr>
        <w:tc>
          <w:tcPr>
            <w:tcW w:w="6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(11,727)</w:t>
            </w:r>
          </w:p>
        </w:tc>
      </w:tr>
    </w:tbl>
    <w:p>
      <w:pPr>
        <w:spacing w:after="0" w:line="202" w:lineRule="exact"/>
        <w:rPr>
          <w:sz w:val="20"/>
          <w:szCs w:val="20"/>
          <w:color w:val="auto"/>
        </w:rPr>
      </w:pPr>
    </w:p>
    <w:p>
      <w:pPr>
        <w:ind w:left="20" w:firstLine="648"/>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increased $4.6 million for the thirty-nine weeks ended October 31, 2020,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thirty-nine weeks ended November 2, 2019. This increase in cash from operating activities was primarily driven by a focus on working capital management resulting in fewer inventory purchases compared to the same period in the prior year, reduced marketing spend and the temporary extension of payment terms with vendors and landlords.</w:t>
      </w:r>
    </w:p>
    <w:p>
      <w:pPr>
        <w:spacing w:after="0" w:line="187" w:lineRule="exact"/>
        <w:rPr>
          <w:sz w:val="20"/>
          <w:szCs w:val="20"/>
          <w:color w:val="auto"/>
        </w:rPr>
      </w:pPr>
    </w:p>
    <w:p>
      <w:pPr>
        <w:ind w:left="20" w:right="120" w:firstLine="648"/>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decreased $6.1 million for the thirty-nine weeks ended October 31,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thirty-nine weeks ended November 2, 2019. This decrease in cash from investing activities was primarily driven by reductions in planned capital expenditure as a result of the COVID-19 pandemic.</w:t>
      </w:r>
    </w:p>
    <w:p>
      <w:pPr>
        <w:spacing w:after="0" w:line="184" w:lineRule="exact"/>
        <w:rPr>
          <w:sz w:val="20"/>
          <w:szCs w:val="20"/>
          <w:color w:val="auto"/>
        </w:rPr>
      </w:pPr>
    </w:p>
    <w:p>
      <w:pPr>
        <w:ind w:left="20" w:right="100" w:firstLine="648"/>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used in financing activities decreased $0.1 million for the thirty-nine weeks ended October 31, 2020,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thirty-nine weeks ended November 2, 2019. This decrease in cash from financing activities was driven by less stock-based compensation vesting year-to-date in fiscal 2020 compared the same period in prior year resulting in the need for less shares withheld for taxes.</w:t>
      </w:r>
    </w:p>
    <w:p>
      <w:pPr>
        <w:spacing w:after="0" w:line="165" w:lineRule="exact"/>
        <w:rPr>
          <w:sz w:val="20"/>
          <w:szCs w:val="20"/>
          <w:color w:val="auto"/>
        </w:rPr>
      </w:pPr>
    </w:p>
    <w:p>
      <w:pPr>
        <w:ind w:left="20" w:right="180" w:firstLine="648"/>
        <w:spacing w:after="0" w:line="311"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noted above, as of October 31, 2020, we had a consolidated cash balance of $25.8 million and approximately 55%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was domiciled within the United States. On August 25, 2020, we entered into a Revolving Credit and Security Agreement with PNC Bank, National Association, as agent, providing us with additional capital resources. Refer to foregoing sections for further discussion of this new facility.</w:t>
      </w:r>
    </w:p>
    <w:p>
      <w:pPr>
        <w:spacing w:after="0" w:line="14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Most of our retail stores are located within shopping malls and all are operated under leases classified as operating leases. Our leases in North America have shifted to shorter term leases, many of which include variable rent structures,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new leases contain incentives to help defray the cost of construction of a new store. Typically, a portion of the incentive must be repaid to the landlord if we choose to terminate the lease before the end of its initial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However, for fiscal 2020, business rates have been forgiven by the U.K. government through March 2021. Rents are invoiced monthly or quarterly and paid in advance.</w:t>
      </w:r>
    </w:p>
    <w:p>
      <w:pPr>
        <w:sectPr>
          <w:pgSz w:w="11900" w:h="16895" w:orient="portrait"/>
          <w:cols w:equalWidth="0" w:num="1">
            <w:col w:w="11240"/>
          </w:cols>
          <w:pgMar w:left="300" w:top="125" w:right="359" w:bottom="0" w:gutter="0" w:footer="0" w:header="0"/>
        </w:sectPr>
      </w:pPr>
    </w:p>
    <w:bookmarkStart w:id="25" w:name="page26"/>
    <w:bookmarkEnd w:id="25"/>
    <w:p>
      <w:pPr>
        <w:ind w:right="140" w:firstLine="648"/>
        <w:spacing w:after="0" w:line="263" w:lineRule="auto"/>
        <w:rPr>
          <w:sz w:val="20"/>
          <w:szCs w:val="20"/>
          <w:color w:val="auto"/>
        </w:rPr>
      </w:pPr>
      <w:r>
        <w:rPr>
          <w:rFonts w:ascii="Arial" w:cs="Arial" w:eastAsia="Arial" w:hAnsi="Arial"/>
          <w:sz w:val="18"/>
          <w:szCs w:val="18"/>
          <w:color w:val="auto"/>
        </w:rPr>
        <w:t>Capital spending through the thirty-nine weeks ended October 31, 2020 totaled $4.0 million, which reflects previously committed investments in infrastructure to support our digital initiatives. In response to the COVID-19 pandemic, we have reduced planned capital expenditures in fiscal 2020 to maintenance levels.</w:t>
      </w:r>
    </w:p>
    <w:p>
      <w:pPr>
        <w:spacing w:after="0" w:line="18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August 2017, our Board of Directors adopted a share repurchase program authorizing the repurchase of up to $20 million of our common stock. From the date of the program approval through the program expiration on September 30, 2020, we repurchased a total of 1.3 million shares at an average price of $8.75 per share for an aggregate amount of $11.2 million. Currently we do not plan to utilize our cash to resume share repurchases in fiscal 2020. In addition, our ability to repurchase shares is limited by conditions set forth by our lender in our credit agreement, as described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8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as filed with the Securities and Exchange Commission (SEC) on April 16, 2020, which includes audited consolidated financial statements for our 2019 and 2018 fiscal years. There have been no material changes to the critical accounting estimates disclosed in the 2019 Form 10-K.</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 to the Condensed Consolidated Financial Statements — Basis of Presentation — Recent Accounting Pronouncements – Adopted in the Current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February 1, 2020 as filed with the SEC on April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October 31, 2020, the end of the period covered by this Quarterly Report.</w:t>
      </w:r>
    </w:p>
    <w:p>
      <w:pPr>
        <w:spacing w:after="0" w:line="17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 Company’s management, with the participation of the Company’s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has materially affected, or is reasonably likely to materially affect, our internal control over financial reporting.</w:t>
      </w:r>
    </w:p>
    <w:p>
      <w:pPr>
        <w:sectPr>
          <w:pgSz w:w="11900" w:h="16838" w:orient="portrait"/>
          <w:cols w:equalWidth="0" w:num="1">
            <w:col w:w="11220"/>
          </w:cols>
          <w:pgMar w:left="320" w:top="341" w:right="359" w:bottom="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February 1, 2020 as filed with the SEC on April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(a) Total</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 Total Number of</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(d) Maximum Number (or</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00" w:type="dxa"/>
            <w:vAlign w:val="bottom"/>
          </w:tcPr>
          <w:p>
            <w:pPr>
              <w:spacing w:after="0"/>
              <w:rPr>
                <w:sz w:val="18"/>
                <w:szCs w:val="18"/>
                <w:color w:val="auto"/>
              </w:rPr>
            </w:pPr>
          </w:p>
        </w:tc>
        <w:tc>
          <w:tcPr>
            <w:tcW w:w="2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of Shares (or Units) that</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Units)</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1"/>
              </w:rPr>
              <w:t>Paid Per</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(or Unit)</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(2)</w:t>
            </w:r>
          </w:p>
        </w:tc>
        <w:tc>
          <w:tcPr>
            <w:tcW w:w="60" w:type="dxa"/>
            <w:vAlign w:val="bottom"/>
          </w:tcPr>
          <w:p>
            <w:pPr>
              <w:spacing w:after="0"/>
              <w:rPr>
                <w:sz w:val="20"/>
                <w:szCs w:val="20"/>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Aug. 2, 2020 - Aug. 29, 2020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$8,795,529</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Aug 30, 2020 - Oct. 3, 2020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r>
      <w:tr>
        <w:trPr>
          <w:trHeight w:val="216"/>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Oct. 4, 2020 - Oct. 31, 2020</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9"/>
        </w:trPr>
        <w:tc>
          <w:tcPr>
            <w:tcW w:w="386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20" w:hanging="372"/>
        <w:spacing w:after="0" w:line="255"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2" w:lineRule="exact"/>
        <w:rPr>
          <w:rFonts w:ascii="Arial" w:cs="Arial" w:eastAsia="Arial" w:hAnsi="Arial"/>
          <w:sz w:val="18"/>
          <w:szCs w:val="18"/>
          <w:color w:val="auto"/>
        </w:rPr>
      </w:pPr>
    </w:p>
    <w:p>
      <w:pPr>
        <w:ind w:left="380" w:right="380" w:hanging="372"/>
        <w:spacing w:after="0" w:line="25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August 2017, the Board of Directors adopted a share repurchase program authorizing the repurchase of up to $20 million of our common stock. This program authorized the Company to repurchase shares through September 30, 2020, did not require the Company to repurchase any specific number of shares. Shares repurchased under the program were subsequently retired. We do not plan to utilize our cash to resume share repurchases in fiscal 2020. In addition, our ability to repurchase shares is limited by conditions set forth by our lender in our credit agreement, as described above.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0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gridSpan w:val="14"/>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6"/>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Agreement and Plan of Merger dated April 3, 2000 between Build-A-Bear Workshop, L.L.C. and the Registrant (incorporated by reference</w:t>
              </w:r>
            </w:hyperlink>
          </w:p>
        </w:tc>
        <w:tc>
          <w:tcPr>
            <w:tcW w:w="200" w:type="dxa"/>
            <w:vAlign w:val="bottom"/>
            <w:gridSpan w:val="3"/>
          </w:tcPr>
          <w:p>
            <w:pPr>
              <w:spacing w:after="0"/>
              <w:rPr>
                <w:sz w:val="24"/>
                <w:szCs w:val="24"/>
                <w:color w:val="auto"/>
              </w:rPr>
            </w:pPr>
          </w:p>
        </w:tc>
      </w:tr>
      <w:tr>
        <w:trPr>
          <w:trHeight w:val="236"/>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9"/>
          </w:tcPr>
          <w:p>
            <w:pPr>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from Exhibit 2.1 to our Registration Statement on Form S-1, filed on August 12, 2004, Registration No. 333-118142)</w:t>
              </w:r>
            </w:hyperlink>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4"/>
              </w:rPr>
            </w:pPr>
            <w:hyperlink r:id="rId49">
              <w:r>
                <w:rPr>
                  <w:rFonts w:ascii="Arial" w:cs="Arial" w:eastAsia="Arial" w:hAnsi="Arial"/>
                  <w:sz w:val="18"/>
                  <w:szCs w:val="18"/>
                  <w:color w:val="0000EE"/>
                  <w:w w:val="94"/>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filed on November 11, 2004)</w:t>
              </w:r>
            </w:hyperlink>
          </w:p>
        </w:tc>
        <w:tc>
          <w:tcPr>
            <w:tcW w:w="26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Form 8-K, filed on February 24, 2016)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4"/>
              </w:rPr>
            </w:pPr>
            <w:hyperlink r:id="rId51">
              <w:r>
                <w:rPr>
                  <w:rFonts w:ascii="Arial" w:cs="Arial" w:eastAsia="Arial" w:hAnsi="Arial"/>
                  <w:sz w:val="18"/>
                  <w:szCs w:val="18"/>
                  <w:color w:val="0000EE"/>
                  <w:w w:val="94"/>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filed on October 1, 2004, Registration No. 333-118142)</w:t>
              </w:r>
            </w:hyperlink>
          </w:p>
        </w:tc>
        <w:tc>
          <w:tcPr>
            <w:tcW w:w="5860" w:type="dxa"/>
            <w:vAlign w:val="bottom"/>
            <w:tcBorders>
              <w:top w:val="single" w:sz="8" w:color="0000EE"/>
            </w:tcBorders>
            <w:gridSpan w:val="8"/>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5"/>
          </w:tcPr>
          <w:p>
            <w:pPr>
              <w:spacing w:after="0"/>
              <w:rPr>
                <w:rFonts w:ascii="Arial" w:cs="Arial" w:eastAsia="Arial" w:hAnsi="Arial"/>
                <w:sz w:val="18"/>
                <w:szCs w:val="18"/>
                <w:color w:val="0000EE"/>
                <w:w w:val="92"/>
              </w:rPr>
            </w:pPr>
            <w:hyperlink r:id="rId52">
              <w:r>
                <w:rPr>
                  <w:rFonts w:ascii="Arial" w:cs="Arial" w:eastAsia="Arial" w:hAnsi="Arial"/>
                  <w:sz w:val="18"/>
                  <w:szCs w:val="18"/>
                  <w:color w:val="0000EE"/>
                  <w:w w:val="92"/>
                </w:rPr>
                <w:t>Description of Build-A-Bear Workshop, Inc. Cash Bonus Program for C-Level Employees (incorporated by reference from Exhibit 10.1 of</w:t>
              </w:r>
            </w:hyperlink>
          </w:p>
        </w:tc>
        <w:tc>
          <w:tcPr>
            <w:tcW w:w="2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our Current Report on Form 8-K, filed on October 9, 2020)</w:t>
              </w:r>
            </w:hyperlink>
          </w:p>
        </w:tc>
        <w:tc>
          <w:tcPr>
            <w:tcW w:w="594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580" w:type="dxa"/>
            <w:vAlign w:val="bottom"/>
            <w:tcBorders>
              <w:bottom w:val="single" w:sz="8" w:color="0000EE"/>
            </w:tcBorders>
            <w:gridSpan w:val="10"/>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Description of Build-A-Bear Workshop, Inc. Three-Year Performance-Based Cash Program for C-Level Employees (incorporated by</w:t>
              </w:r>
            </w:hyperlink>
          </w:p>
        </w:tc>
        <w:tc>
          <w:tcPr>
            <w:tcW w:w="64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reference from Exhibit 10.2 of our Current Report on Form 8-K, filed on October 9, 2020)</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3"/>
              </w:rPr>
            </w:pPr>
            <w:hyperlink r:id="rId54">
              <w:r>
                <w:rPr>
                  <w:rFonts w:ascii="Arial" w:cs="Arial" w:eastAsia="Arial" w:hAnsi="Arial"/>
                  <w:sz w:val="18"/>
                  <w:szCs w:val="18"/>
                  <w:color w:val="0000EE"/>
                  <w:w w:val="93"/>
                </w:rPr>
                <w:t>Form of Restricted Stock Agreement under the Registrant’s 2020 Omnibus Incentive Plan (incorporated by reference from Exhibit 10.3 of</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our Current Report on Form 8-K, filed on October 9, 2020)</w:t>
              </w:r>
            </w:hyperlink>
          </w:p>
        </w:tc>
        <w:tc>
          <w:tcPr>
            <w:tcW w:w="28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3"/>
              </w:rPr>
            </w:pPr>
            <w:hyperlink r:id="rId55">
              <w:r>
                <w:rPr>
                  <w:rFonts w:ascii="Arial" w:cs="Arial" w:eastAsia="Arial" w:hAnsi="Arial"/>
                  <w:sz w:val="18"/>
                  <w:szCs w:val="18"/>
                  <w:color w:val="0000EE"/>
                  <w:w w:val="93"/>
                </w:rPr>
                <w:t>Consent to Reduced 2020 Target Bonus Opportunity, dated October 6, 2020 by and between Eric Fencl and Build-A-Bear Workshop, Inc.</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(incorporated by reference from Exhibit 10.4 of our Current Report on Form 8-K, filed on October 9, 2020)</w:t>
              </w:r>
            </w:hyperlink>
          </w:p>
        </w:tc>
        <w:tc>
          <w:tcPr>
            <w:tcW w:w="32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40" w:type="dxa"/>
            <w:vAlign w:val="bottom"/>
            <w:gridSpan w:val="7"/>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8"/>
              </w:rPr>
            </w:pPr>
            <w:hyperlink r:id="rId56">
              <w:r>
                <w:rPr>
                  <w:rFonts w:ascii="Arial" w:cs="Arial" w:eastAsia="Arial" w:hAnsi="Arial"/>
                  <w:sz w:val="18"/>
                  <w:szCs w:val="18"/>
                  <w:color w:val="0000EE"/>
                  <w:w w:val="98"/>
                </w:rPr>
                <w:t>Consent to Reduced 2020 Target Bonus Opportunity, dated October 6, 2020 by and between J. Christopher Hurt and Build-A-Bear</w:t>
              </w:r>
            </w:hyperlink>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0" w:type="dxa"/>
            <w:vAlign w:val="bottom"/>
            <w:tcBorders>
              <w:top w:val="single" w:sz="8" w:color="0000EE"/>
            </w:tcBorders>
            <w:gridSpan w:val="9"/>
          </w:tcPr>
          <w:p>
            <w:pPr>
              <w:spacing w:after="0"/>
              <w:rPr>
                <w:rFonts w:ascii="Arial" w:cs="Arial" w:eastAsia="Arial" w:hAnsi="Arial"/>
                <w:sz w:val="18"/>
                <w:szCs w:val="18"/>
                <w:u w:val="single" w:color="auto"/>
                <w:color w:val="0000EE"/>
                <w:w w:val="97"/>
              </w:rPr>
            </w:pPr>
            <w:hyperlink r:id="rId56">
              <w:r>
                <w:rPr>
                  <w:rFonts w:ascii="Arial" w:cs="Arial" w:eastAsia="Arial" w:hAnsi="Arial"/>
                  <w:sz w:val="18"/>
                  <w:szCs w:val="18"/>
                  <w:u w:val="single" w:color="auto"/>
                  <w:color w:val="0000EE"/>
                  <w:w w:val="97"/>
                </w:rPr>
                <w:t>Workshop, Inc. (incorporated by reference from Exhibit 10.5 of our Current Report on Form 8-K, filed on October 9, 2020)</w:t>
              </w:r>
            </w:hyperlink>
          </w:p>
        </w:tc>
        <w:tc>
          <w:tcPr>
            <w:tcW w:w="820" w:type="dxa"/>
            <w:vAlign w:val="bottom"/>
            <w:gridSpan w:val="10"/>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Consent to Reduced 2020 Target Bonus Opportunity, dated October 6, 2020 by and between Sharon Price John and Build-A-Bear Workshop,</w:t>
              </w:r>
            </w:hyperlink>
          </w:p>
        </w:tc>
        <w:tc>
          <w:tcPr>
            <w:tcW w:w="6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Inc. (incorporated by reference from Exhibit 10.6 of our Current Report on Form 8-K, filed on October 9, 2020)</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341" w:right="3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9420" w:type="dxa"/>
            <w:vAlign w:val="bottom"/>
            <w:tcBorders>
              <w:bottom w:val="single" w:sz="8" w:color="0000EE"/>
            </w:tcBorders>
            <w:gridSpan w:val="4"/>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Consent to Reduced 2020 Target Bonus Opportunity, dated October 6, 2020 by and between Jennifer Kretchmar and Build-A-Bear</w:t>
              </w:r>
            </w:hyperlink>
          </w:p>
        </w:tc>
        <w:tc>
          <w:tcPr>
            <w:tcW w:w="800" w:type="dxa"/>
            <w:vAlign w:val="bottom"/>
            <w:gridSpan w:val="4"/>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8"/>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Workshop, Inc. (incorporated by reference from Exhibit 10.7 of our Current Report on Form 8-K, filed on October 9, 2020)</w:t>
              </w:r>
            </w:hyperlink>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020" w:type="dxa"/>
            <w:vAlign w:val="bottom"/>
            <w:tcBorders>
              <w:bottom w:val="single" w:sz="8" w:color="0000EE"/>
            </w:tcBorders>
            <w:gridSpan w:val="7"/>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Consent to Reduced 2020 Target Bonus Opportunity, dated October 6, 2020 by and between Vojin Todorovic and Build-A-Bear Workshop,</w:t>
              </w:r>
            </w:hyperlink>
          </w:p>
        </w:tc>
        <w:tc>
          <w:tcPr>
            <w:tcW w:w="2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8"/>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Inc. (incorporated by reference from Exhibit 10.8 of our Current Report on Form 8-K, filed on October 9, 2020)</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72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gridSpan w:val="8"/>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Rule 13a-14(a)/15d-14(a) certification (pursuant to Section 302 of the Sarbanes-Oxley Act of 2002, executed by the President and Chief</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Executive Officer)</w:t>
              </w:r>
            </w:hyperlink>
          </w:p>
        </w:tc>
        <w:tc>
          <w:tcPr>
            <w:tcW w:w="42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gridSpan w:val="8"/>
          </w:tcPr>
          <w:p>
            <w:pPr>
              <w:spacing w:after="0"/>
              <w:rPr>
                <w:rFonts w:ascii="Arial" w:cs="Arial" w:eastAsia="Arial" w:hAnsi="Arial"/>
                <w:sz w:val="18"/>
                <w:szCs w:val="18"/>
                <w:u w:val="single" w:color="auto"/>
                <w:color w:val="0000EE"/>
                <w:w w:val="92"/>
              </w:rPr>
            </w:pPr>
            <w:hyperlink w:anchor="page30">
              <w:r>
                <w:rPr>
                  <w:rFonts w:ascii="Arial" w:cs="Arial" w:eastAsia="Arial" w:hAnsi="Arial"/>
                  <w:sz w:val="18"/>
                  <w:szCs w:val="18"/>
                  <w:u w:val="single" w:color="auto"/>
                  <w:color w:val="0000EE"/>
                  <w:w w:val="92"/>
                </w:rPr>
                <w:t>Rule 13a-14(a)/15d-14(a) certification (pursuant to Section 302 of the Sarbanes-Oxley Act of 2002, executed by the Chief Financial Officer)</w:t>
              </w:r>
            </w:hyperlink>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7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Section 1350 Certification (pursuant to Section 906 of the Sarbanes-Oxley Act of 2002, executed by the President and Chief Executive</w:t>
              </w:r>
            </w:hyperlink>
          </w:p>
        </w:tc>
        <w:tc>
          <w:tcPr>
            <w:tcW w:w="5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Officer)</w:t>
              </w:r>
            </w:hyperlink>
          </w:p>
        </w:tc>
        <w:tc>
          <w:tcPr>
            <w:tcW w:w="9640" w:type="dxa"/>
            <w:vAlign w:val="bottom"/>
            <w:gridSpan w:val="7"/>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8060" w:type="dxa"/>
            <w:vAlign w:val="bottom"/>
            <w:gridSpan w:val="3"/>
          </w:tcPr>
          <w:p>
            <w:pPr>
              <w:ind w:left="4520"/>
              <w:spacing w:after="0"/>
              <w:rPr>
                <w:sz w:val="20"/>
                <w:szCs w:val="20"/>
                <w:color w:val="auto"/>
              </w:rPr>
            </w:pPr>
            <w:r>
              <w:rPr>
                <w:rFonts w:ascii="Arial" w:cs="Arial" w:eastAsia="Arial" w:hAnsi="Arial"/>
                <w:sz w:val="18"/>
                <w:szCs w:val="18"/>
                <w:color w:val="auto"/>
              </w:rPr>
              <w:t>33</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r>
        <w:trPr>
          <w:trHeight w:val="783"/>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gridSpan w:val="8"/>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1350 Certification (pursuant to Section 906 of the Sarbanes-Oxley Act of 2002, executed by the Chief Financial Officer)</w:t>
              </w:r>
            </w:hyperlink>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8"/>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1020" w:type="dxa"/>
            <w:vAlign w:val="bottom"/>
          </w:tcPr>
          <w:p>
            <w:pPr>
              <w:spacing w:after="0"/>
              <w:rPr>
                <w:sz w:val="20"/>
                <w:szCs w:val="20"/>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8"/>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8"/>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8"/>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8"/>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-2288540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-2296795</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82" w:lineRule="exact"/>
        <w:rPr>
          <w:sz w:val="20"/>
          <w:szCs w:val="20"/>
          <w:color w:val="auto"/>
        </w:rPr>
      </w:pPr>
    </w:p>
    <w:p>
      <w:pPr>
        <w:ind w:left="140" w:right="3680" w:hanging="132"/>
        <w:spacing w:after="0" w:line="500" w:lineRule="auto"/>
        <w:tabs>
          <w:tab w:leader="none" w:pos="10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2020</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registrant and as principal executive officer)</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80" w:right="80" w:hanging="498"/>
        <w:spacing w:after="0" w:line="342" w:lineRule="auto"/>
        <w:tabs>
          <w:tab w:leader="none" w:pos="16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80" w:right="360" w:hanging="498"/>
        <w:spacing w:after="0" w:line="277" w:lineRule="auto"/>
        <w:tabs>
          <w:tab w:leader="none" w:pos="16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2020</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20" w:hanging="376"/>
        <w:spacing w:after="0" w:line="342" w:lineRule="auto"/>
        <w:tabs>
          <w:tab w:leader="none" w:pos="11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376"/>
        <w:spacing w:after="0" w:line="277"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2020</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October 31, 2020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2020</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October 31, 2020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lvl w:ilvl="1">
      <w:lvlJc w:val="left"/>
      <w:lvlText w:val="(%2)"/>
      <w:numFmt w:val="decimal"/>
      <w:start w:val="1"/>
    </w:lvl>
  </w:abstractNum>
  <w:abstractNum w:abstractNumId="6">
    <w:nsid w:val="4E6AFB66"/>
    <w:multiLevelType w:val="hybridMultilevel"/>
    <w:lvl w:ilvl="0">
      <w:lvlJc w:val="left"/>
      <w:lvlText w:val="%1."/>
      <w:numFmt w:val="decimal"/>
      <w:start w:val="5"/>
    </w:lvl>
    <w:lvl w:ilvl="1">
      <w:lvlJc w:val="left"/>
      <w:lvlText w:val="%2"/>
      <w:numFmt w:val="decimal"/>
      <w:start w:val="1"/>
    </w:lvl>
  </w:abstractNum>
  <w:abstractNum w:abstractNumId="7">
    <w:nsid w:val="25E45D32"/>
    <w:multiLevelType w:val="hybridMultilevel"/>
    <w:lvl w:ilvl="0">
      <w:lvlJc w:val="left"/>
      <w:lvlText w:val="%1"/>
      <w:numFmt w:val="decimal"/>
      <w:start w:val="1"/>
    </w:lvl>
    <w:lvl w:ilvl="1">
      <w:lvlJc w:val="left"/>
      <w:lvlText w:val="(%2)"/>
      <w:numFmt w:val="decimal"/>
      <w:start w:val="1"/>
    </w:lvl>
  </w:abstractNum>
  <w:abstractNum w:abstractNumId="8">
    <w:nsid w:val="519B500D"/>
    <w:multiLevelType w:val="hybridMultilevel"/>
    <w:lvl w:ilvl="0">
      <w:lvlJc w:val="left"/>
      <w:lvlText w:val="%1."/>
      <w:numFmt w:val="decimal"/>
      <w:start w:val="6"/>
    </w:lvl>
    <w:lvl w:ilvl="1">
      <w:lvlJc w:val="left"/>
      <w:lvlText w:val="%2"/>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4"/>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48" Type="http://schemas.openxmlformats.org/officeDocument/2006/relationships/hyperlink" Target="http://www.sec.gov/Archives/edgar/data/1113809/000095013704006634/c86750exv2w1.txt" TargetMode="External"/><Relationship Id="rId49" Type="http://schemas.openxmlformats.org/officeDocument/2006/relationships/hyperlink" Target="http://www.sec.gov/Archives/edgar/data/1113809/000095013804000748/exh3-1.htm" TargetMode="External"/><Relationship Id="rId50" Type="http://schemas.openxmlformats.org/officeDocument/2006/relationships/hyperlink" Target="http://www.sec.gov/Archives/edgar/data/1113809/000115752316004713/a51286063ex3_1.htm" TargetMode="External"/><Relationship Id="rId51" Type="http://schemas.openxmlformats.org/officeDocument/2006/relationships/hyperlink" Target="http://www.sec.gov/Archives/edgar/data/1113809/000095013704008227/c86750a3exv4w1.txt" TargetMode="External"/><Relationship Id="rId52" Type="http://schemas.openxmlformats.org/officeDocument/2006/relationships/hyperlink" Target="http://www.sec.gov/Archives/edgar/data/1113809/000143774920020994/ex_206434.htm" TargetMode="External"/><Relationship Id="rId53" Type="http://schemas.openxmlformats.org/officeDocument/2006/relationships/hyperlink" Target="http://www.sec.gov/Archives/edgar/data/1113809/000143774920020994/ex_206435.htm" TargetMode="External"/><Relationship Id="rId54" Type="http://schemas.openxmlformats.org/officeDocument/2006/relationships/hyperlink" Target="http://www.sec.gov/Archives/edgar/data/1113809/000143774920020994/ex_206436.htm" TargetMode="External"/><Relationship Id="rId55" Type="http://schemas.openxmlformats.org/officeDocument/2006/relationships/hyperlink" Target="http://www.sec.gov/Archives/edgar/data/1113809/000143774920020994/ex_206437.htm" TargetMode="External"/><Relationship Id="rId56" Type="http://schemas.openxmlformats.org/officeDocument/2006/relationships/hyperlink" Target="http://www.sec.gov/Archives/edgar/data/1113809/000143774920020994/ex_206438.htm" TargetMode="External"/><Relationship Id="rId57" Type="http://schemas.openxmlformats.org/officeDocument/2006/relationships/hyperlink" Target="http://www.sec.gov/Archives/edgar/data/1113809/000143774920020994/ex_206439.htm" TargetMode="External"/><Relationship Id="rId58" Type="http://schemas.openxmlformats.org/officeDocument/2006/relationships/hyperlink" Target="http://www.sec.gov/Archives/edgar/data/1113809/000143774920020994/ex_206440.htm" TargetMode="External"/><Relationship Id="rId59" Type="http://schemas.openxmlformats.org/officeDocument/2006/relationships/hyperlink" Target="http://www.sec.gov/Archives/edgar/data/1113809/000143774920020994/ex_2064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2020-12-10T08:23:26Z</dcterms:created>
  <dcterms:modified xsi:type="dcterms:W3CDTF">2020-12-10T08:23:26Z</dcterms:modified>
</cp:coreProperties>
</file>