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72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140970</wp:posOffset>
            </wp:positionV>
            <wp:extent cx="1452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160020</wp:posOffset>
            </wp:positionV>
            <wp:extent cx="1452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40" w:right="4260" w:hanging="432"/>
        <w:spacing w:after="0" w:line="491" w:lineRule="auto"/>
        <w:tabs>
          <w:tab w:leader="none" w:pos="43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May 5, 2018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4"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4"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1784350</wp:posOffset>
            </wp:positionH>
            <wp:positionV relativeFrom="paragraph">
              <wp:posOffset>-8255</wp:posOffset>
            </wp:positionV>
            <wp:extent cx="863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3600" cy="8255"/>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153670</wp:posOffset>
            </wp:positionV>
            <wp:extent cx="1452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BUILD-A-BEAR WORKSHOP,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140970</wp:posOffset>
            </wp:positionV>
            <wp:extent cx="145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tbl>
      <w:tblPr>
        <w:tblLayout w:type="fixed"/>
        <w:tblInd w:w="1320" w:type="dxa"/>
        <w:tblCellMar>
          <w:top w:w="0" w:type="dxa"/>
          <w:left w:w="0" w:type="dxa"/>
          <w:bottom w:w="0" w:type="dxa"/>
          <w:right w:w="0" w:type="dxa"/>
        </w:tblCellMar>
      </w:tblPr>
      <w:tr>
        <w:trPr>
          <w:trHeight w:val="215"/>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rPr>
              <w:t>43-1883836</w:t>
            </w:r>
          </w:p>
        </w:tc>
      </w:tr>
      <w:tr>
        <w:trPr>
          <w:trHeight w:val="215"/>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(State or Other Jurisdiction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2"/>
              </w:rPr>
              <w:t>Incorporation or Organization)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627"/>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420" w:type="dxa"/>
            <w:vAlign w:val="bottom"/>
          </w:tcPr>
          <w:p>
            <w:pPr>
              <w:spacing w:after="0"/>
              <w:rPr>
                <w:sz w:val="24"/>
                <w:szCs w:val="24"/>
                <w:color w:val="auto"/>
              </w:rPr>
            </w:pPr>
          </w:p>
        </w:tc>
      </w:tr>
      <w:tr>
        <w:trPr>
          <w:trHeight w:val="215"/>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89"/>
              </w:rPr>
              <w:t>St. Louis, Missouri</w:t>
            </w: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4"/>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12"/>
        </w:trPr>
        <w:tc>
          <w:tcPr>
            <w:tcW w:w="6520" w:type="dxa"/>
            <w:vAlign w:val="bottom"/>
          </w:tcPr>
          <w:p>
            <w:pPr>
              <w:jc w:val="right"/>
              <w:ind w:right="1470"/>
              <w:spacing w:after="0"/>
              <w:rPr>
                <w:sz w:val="20"/>
                <w:szCs w:val="20"/>
                <w:color w:val="auto"/>
              </w:rPr>
            </w:pPr>
            <w:r>
              <w:rPr>
                <w:rFonts w:ascii="Arial" w:cs="Arial" w:eastAsia="Arial" w:hAnsi="Arial"/>
                <w:sz w:val="18"/>
                <w:szCs w:val="18"/>
                <w:b w:val="1"/>
                <w:bCs w:val="1"/>
                <w:color w:val="auto"/>
              </w:rPr>
              <w:t>(314) 423-8000</w:t>
            </w:r>
          </w:p>
        </w:tc>
        <w:tc>
          <w:tcPr>
            <w:tcW w:w="1420" w:type="dxa"/>
            <w:vAlign w:val="bottom"/>
          </w:tcPr>
          <w:p>
            <w:pPr>
              <w:spacing w:after="0"/>
              <w:rPr>
                <w:sz w:val="24"/>
                <w:szCs w:val="24"/>
                <w:color w:val="auto"/>
              </w:rPr>
            </w:pPr>
          </w:p>
        </w:tc>
      </w:tr>
      <w:tr>
        <w:trPr>
          <w:trHeight w:val="234"/>
        </w:trPr>
        <w:tc>
          <w:tcPr>
            <w:tcW w:w="6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136525</wp:posOffset>
            </wp:positionV>
            <wp:extent cx="145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ind w:right="28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ind w:right="20" w:firstLine="440"/>
        <w:spacing w:after="0" w:line="34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468" w:right="259" w:bottom="343" w:gutter="0" w:footer="0" w:header="0"/>
        </w:sectPr>
      </w:pPr>
    </w:p>
    <w:p>
      <w:pPr>
        <w:spacing w:after="0" w:line="125"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3040" w:space="100"/>
            <w:col w:w="3420" w:space="720"/>
            <w:col w:w="4120"/>
          </w:cols>
          <w:pgMar w:left="240" w:top="468" w:right="259" w:bottom="343" w:gutter="0" w:footer="0" w:header="0"/>
          <w:type w:val="continuous"/>
        </w:sectPr>
      </w:pPr>
    </w:p>
    <w:p>
      <w:pPr>
        <w:spacing w:after="0" w:line="14" w:lineRule="exact"/>
        <w:rPr>
          <w:sz w:val="24"/>
          <w:szCs w:val="24"/>
          <w:color w:val="auto"/>
        </w:rPr>
      </w:pPr>
    </w:p>
    <w:p>
      <w:pPr>
        <w:ind w:left="14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7"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8"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3" w:lineRule="exact"/>
        <w:rPr>
          <w:sz w:val="24"/>
          <w:szCs w:val="24"/>
          <w:color w:val="auto"/>
        </w:rPr>
      </w:pPr>
    </w:p>
    <w:p>
      <w:pPr>
        <w:sectPr>
          <w:pgSz w:w="11900" w:h="16838" w:orient="portrait"/>
          <w:cols w:equalWidth="0" w:num="2">
            <w:col w:w="6560" w:space="720"/>
            <w:col w:w="4120"/>
          </w:cols>
          <w:pgMar w:left="240" w:top="468" w:right="259" w:bottom="343" w:gutter="0" w:footer="0" w:header="0"/>
          <w:type w:val="continuous"/>
        </w:sectPr>
      </w:pPr>
    </w:p>
    <w:p>
      <w:pPr>
        <w:spacing w:after="0" w:line="31" w:lineRule="exact"/>
        <w:rPr>
          <w:sz w:val="24"/>
          <w:szCs w:val="24"/>
          <w:color w:val="auto"/>
        </w:rPr>
      </w:pPr>
    </w:p>
    <w:p>
      <w:pPr>
        <w:ind w:left="220" w:right="14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14(a) of the Exchange Act. </w:t>
      </w:r>
      <w:r>
        <w:rPr>
          <w:rFonts w:ascii="MS PGothic" w:cs="MS PGothic" w:eastAsia="MS PGothic" w:hAnsi="MS PGothic"/>
          <w:sz w:val="18"/>
          <w:szCs w:val="18"/>
          <w:color w:val="auto"/>
        </w:rPr>
        <w:t>☐</w:t>
      </w:r>
    </w:p>
    <w:p>
      <w:pPr>
        <w:spacing w:after="0" w:line="365" w:lineRule="exact"/>
        <w:rPr>
          <w:sz w:val="24"/>
          <w:szCs w:val="24"/>
          <w:color w:val="auto"/>
        </w:rPr>
      </w:pPr>
    </w:p>
    <w:p>
      <w:pPr>
        <w:ind w:left="220"/>
        <w:spacing w:after="0" w:line="207" w:lineRule="exact"/>
        <w:tabs>
          <w:tab w:leader="none" w:pos="8520" w:val="left"/>
          <w:tab w:leader="none" w:pos="92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6"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June 7, 2018, there were 15,022,680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247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2472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468" w:right="259" w:bottom="343"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gridSpan w:val="10"/>
            <w:vMerge w:val="restart"/>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 Financial Information</w:t>
              </w:r>
            </w:hyperlink>
          </w:p>
        </w:tc>
        <w:tc>
          <w:tcPr>
            <w:tcW w:w="8940" w:type="dxa"/>
            <w:vAlign w:val="bottom"/>
            <w:gridSpan w:val="9"/>
            <w:vMerge w:val="restart"/>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0"/>
        </w:trPr>
        <w:tc>
          <w:tcPr>
            <w:tcW w:w="2020" w:type="dxa"/>
            <w:vAlign w:val="bottom"/>
            <w:tcBorders>
              <w:bottom w:val="single" w:sz="8" w:color="0000EE"/>
            </w:tcBorders>
            <w:gridSpan w:val="10"/>
            <w:vMerge w:val="continue"/>
          </w:tcPr>
          <w:p>
            <w:pPr>
              <w:spacing w:after="0"/>
              <w:rPr>
                <w:sz w:val="16"/>
                <w:szCs w:val="16"/>
                <w:color w:val="auto"/>
              </w:rPr>
            </w:pPr>
          </w:p>
        </w:tc>
        <w:tc>
          <w:tcPr>
            <w:tcW w:w="8940" w:type="dxa"/>
            <w:vAlign w:val="bottom"/>
            <w:gridSpan w:val="9"/>
            <w:vMerge w:val="continue"/>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7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60" w:type="dxa"/>
            <w:vAlign w:val="bottom"/>
            <w:gridSpan w:val="13"/>
          </w:tcPr>
          <w:p>
            <w:pPr>
              <w:spacing w:after="0" w:line="195"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360" w:type="dxa"/>
            <w:vAlign w:val="bottom"/>
          </w:tcPr>
          <w:p>
            <w:pPr>
              <w:jc w:val="center"/>
              <w:spacing w:after="0" w:line="195" w:lineRule="exact"/>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60" w:type="dxa"/>
            <w:vAlign w:val="bottom"/>
            <w:gridSpan w:val="13"/>
          </w:tcPr>
          <w:p>
            <w:pPr>
              <w:spacing w:after="0" w:line="195"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Income (Loss)</w:t>
              </w:r>
            </w:hyperlink>
          </w:p>
        </w:tc>
        <w:tc>
          <w:tcPr>
            <w:tcW w:w="3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0" w:type="dxa"/>
            <w:vAlign w:val="bottom"/>
            <w:tcBorders>
              <w:top w:val="single" w:sz="8" w:color="0000EE"/>
            </w:tcBorders>
            <w:gridSpan w:val="12"/>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3460" w:type="dxa"/>
            <w:vAlign w:val="bottom"/>
          </w:tcPr>
          <w:p>
            <w:pPr>
              <w:spacing w:after="0"/>
              <w:rPr>
                <w:sz w:val="16"/>
                <w:szCs w:val="16"/>
                <w:color w:val="auto"/>
              </w:rPr>
            </w:pPr>
          </w:p>
        </w:tc>
        <w:tc>
          <w:tcPr>
            <w:tcW w:w="360" w:type="dxa"/>
            <w:vAlign w:val="bottom"/>
          </w:tcPr>
          <w:p>
            <w:pPr>
              <w:jc w:val="center"/>
              <w:spacing w:after="0" w:line="195" w:lineRule="exact"/>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60" w:type="dxa"/>
            <w:vAlign w:val="bottom"/>
            <w:gridSpan w:val="13"/>
          </w:tcPr>
          <w:p>
            <w:pPr>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740" w:type="dxa"/>
            <w:vAlign w:val="bottom"/>
            <w:gridSpan w:val="1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2020" w:type="dxa"/>
            <w:vAlign w:val="bottom"/>
            <w:tcBorders>
              <w:top w:val="single" w:sz="8" w:color="0000EE"/>
            </w:tcBorders>
          </w:tcPr>
          <w:p>
            <w:pPr>
              <w:spacing w:after="0"/>
              <w:rPr>
                <w:sz w:val="24"/>
                <w:szCs w:val="24"/>
                <w:color w:val="auto"/>
              </w:rPr>
            </w:pPr>
          </w:p>
        </w:tc>
        <w:tc>
          <w:tcPr>
            <w:tcW w:w="3660" w:type="dxa"/>
            <w:vAlign w:val="bottom"/>
            <w:gridSpan w:val="2"/>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8320" w:type="dxa"/>
            <w:vAlign w:val="bottom"/>
            <w:gridSpan w:val="8"/>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82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Part II Other Information</w:t>
              </w:r>
            </w:hyperlink>
          </w:p>
        </w:tc>
        <w:tc>
          <w:tcPr>
            <w:tcW w:w="9140" w:type="dxa"/>
            <w:vAlign w:val="bottom"/>
            <w:gridSpan w:val="10"/>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 xml:space="preserve">Item </w:t>
              </w:r>
            </w:hyperlink>
            <w:r>
              <w:rPr>
                <w:rFonts w:ascii="Arial" w:cs="Arial" w:eastAsia="Arial" w:hAnsi="Arial"/>
                <w:sz w:val="18"/>
                <w:szCs w:val="18"/>
                <w:color w:val="0000EE"/>
                <w:w w:val="92"/>
              </w:rPr>
              <w:t xml:space="preserve">1A.Risk </w:t>
            </w:r>
            <w:hyperlink w:anchor="page24">
              <w:r>
                <w:rPr>
                  <w:rFonts w:ascii="Arial" w:cs="Arial" w:eastAsia="Arial" w:hAnsi="Arial"/>
                  <w:sz w:val="18"/>
                  <w:szCs w:val="18"/>
                  <w:color w:val="0000EE"/>
                  <w:w w:val="92"/>
                </w:rPr>
                <w:t>Factors</w:t>
              </w:r>
            </w:hyperlink>
          </w:p>
        </w:tc>
        <w:tc>
          <w:tcPr>
            <w:tcW w:w="9180" w:type="dxa"/>
            <w:vAlign w:val="bottom"/>
            <w:gridSpan w:val="11"/>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00" w:type="dxa"/>
            <w:vAlign w:val="bottom"/>
            <w:gridSpan w:val="1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6.</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40" w:type="dxa"/>
            <w:vAlign w:val="bottom"/>
            <w:tcBorders>
              <w:top w:val="single" w:sz="8" w:color="0000EE"/>
            </w:tcBorders>
            <w:gridSpan w:val="1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5760" w:type="dxa"/>
            <w:vAlign w:val="bottom"/>
            <w:gridSpan w:val="4"/>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50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Signatures</w:t>
              </w:r>
            </w:hyperlink>
          </w:p>
        </w:tc>
        <w:tc>
          <w:tcPr>
            <w:tcW w:w="10180" w:type="dxa"/>
            <w:vAlign w:val="bottom"/>
            <w:gridSpan w:val="15"/>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60" w:type="dxa"/>
            <w:vAlign w:val="bottom"/>
            <w:gridSpan w:val="14"/>
          </w:tcPr>
          <w:p>
            <w:pPr>
              <w:jc w:val="right"/>
              <w:ind w:right="15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May 5,</w:t>
            </w:r>
          </w:p>
        </w:tc>
        <w:tc>
          <w:tcPr>
            <w:tcW w:w="16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December 30,</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April 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49,423</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53,136</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55,202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8,968</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13,302</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11,493</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13,346</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88,765</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110,229</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103,431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76,410</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77,751</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4,102</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6,381</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10,090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assets,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2,427</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2,633</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172,654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197,989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top w:val="single" w:sz="8" w:color="CCEEFF"/>
            </w:tcBorders>
            <w:gridSpan w:val="2"/>
          </w:tcPr>
          <w:p>
            <w:pPr>
              <w:spacing w:after="0"/>
              <w:rPr>
                <w:sz w:val="17"/>
                <w:szCs w:val="17"/>
                <w:color w:val="auto"/>
              </w:rPr>
            </w:pPr>
          </w:p>
        </w:tc>
        <w:tc>
          <w:tcPr>
            <w:tcW w:w="1480" w:type="dxa"/>
            <w:vAlign w:val="bottom"/>
            <w:tcBorders>
              <w:top w:val="single" w:sz="8" w:color="auto"/>
            </w:tcBorders>
            <w:gridSpan w:val="2"/>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2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8,739</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15,189</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12,099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Gift cards and customer deposits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17,007</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33,926</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rPr>
              <w:t>Deferred revenue and 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1,893</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1,806</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40,604</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69,863</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69,080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17,697</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17,906</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1,142</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1,208</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1,794</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1,697</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89"/>
              </w:rPr>
              <w:t>Preferred stock, par value $0.01, Shares authorized: 15,000,000; No shares issued or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at May 5, 2018, December 30, 2017 and April 29, 2017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00" w:type="dxa"/>
            <w:vAlign w:val="bottom"/>
          </w:tcPr>
          <w:p>
            <w:pPr>
              <w:ind w:left="140"/>
              <w:spacing w:after="0" w:line="201" w:lineRule="exact"/>
              <w:rPr>
                <w:sz w:val="20"/>
                <w:szCs w:val="20"/>
                <w:color w:val="auto"/>
              </w:rPr>
            </w:pPr>
            <w:r>
              <w:rPr>
                <w:rFonts w:ascii="Arial" w:cs="Arial" w:eastAsia="Arial" w:hAnsi="Arial"/>
                <w:sz w:val="18"/>
                <w:szCs w:val="18"/>
                <w:color w:val="auto"/>
              </w:rPr>
              <w:t>Common stock, par value $0.01, Shares authorized: 50,000,000; Issued and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outstanding: 14,997,791, 15,515,960 and 16,002,021 shares, respectively</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66,908</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68,962</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(11,546)</w:t>
            </w: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(11,562)</w:t>
            </w: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(12,061)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55,904</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49,760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111,417</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107,315</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103,412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172,654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197,989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Thirteen weeks ended</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5 weeks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520"/>
              <w:spacing w:after="0" w:line="190" w:lineRule="exact"/>
              <w:rPr>
                <w:sz w:val="20"/>
                <w:szCs w:val="20"/>
                <w:color w:val="auto"/>
              </w:rPr>
            </w:pPr>
            <w:r>
              <w:rPr>
                <w:rFonts w:ascii="Arial" w:cs="Arial" w:eastAsia="Arial" w:hAnsi="Arial"/>
                <w:sz w:val="18"/>
                <w:szCs w:val="18"/>
                <w:b w:val="1"/>
                <w:bCs w:val="1"/>
                <w:color w:val="auto"/>
                <w:w w:val="94"/>
              </w:rPr>
              <w:t>May 5,</w:t>
            </w: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30"/>
              <w:spacing w:after="0" w:line="190" w:lineRule="exact"/>
              <w:rPr>
                <w:sz w:val="20"/>
                <w:szCs w:val="20"/>
                <w:color w:val="auto"/>
              </w:rPr>
            </w:pPr>
            <w:r>
              <w:rPr>
                <w:rFonts w:ascii="Arial" w:cs="Arial" w:eastAsia="Arial" w:hAnsi="Arial"/>
                <w:sz w:val="18"/>
                <w:szCs w:val="18"/>
                <w:b w:val="1"/>
                <w:bCs w:val="1"/>
                <w:color w:val="auto"/>
              </w:rPr>
              <w:t>April 29,</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50"/>
              <w:spacing w:after="0" w:line="190" w:lineRule="exact"/>
              <w:rPr>
                <w:sz w:val="20"/>
                <w:szCs w:val="20"/>
                <w:color w:val="auto"/>
              </w:rPr>
            </w:pPr>
            <w:r>
              <w:rPr>
                <w:rFonts w:ascii="Arial" w:cs="Arial" w:eastAsia="Arial" w:hAnsi="Arial"/>
                <w:sz w:val="18"/>
                <w:szCs w:val="18"/>
                <w:b w:val="1"/>
                <w:bCs w:val="1"/>
                <w:color w:val="auto"/>
                <w:w w:val="94"/>
              </w:rPr>
              <w:t>February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Net retail sales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81,425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88,743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29,586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revenue</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1,019</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2,038</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International franchising</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740</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83,184</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91,203</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Cost of merchandise sold - retail</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45,385</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46,456</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16,062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merchandise sold - commercial</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Cost of merchandise sold - international franchising</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332</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merchandise sold</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46,196</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47,557</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Consolidated gross profit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36,988</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43,646</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13,902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36,337</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39,228</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14,920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(income), net</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Income (loss) before income taxes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4,424</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354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2,629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(747)</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common share:</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Basic</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160" w:type="dxa"/>
            <w:vAlign w:val="bottom"/>
            <w:shd w:val="clear" w:color="auto" w:fill="CCEEFF"/>
          </w:tcPr>
          <w:p>
            <w:pPr>
              <w:ind w:left="140"/>
              <w:spacing w:after="0" w:line="195" w:lineRule="exact"/>
              <w:rPr>
                <w:sz w:val="20"/>
                <w:szCs w:val="20"/>
                <w:color w:val="auto"/>
              </w:rPr>
            </w:pPr>
            <w:r>
              <w:rPr>
                <w:rFonts w:ascii="Arial" w:cs="Arial" w:eastAsia="Arial" w:hAnsi="Arial"/>
                <w:sz w:val="18"/>
                <w:szCs w:val="18"/>
                <w:color w:val="auto"/>
              </w:rPr>
              <w:t>Diluted</w:t>
            </w:r>
          </w:p>
        </w:tc>
        <w:tc>
          <w:tcPr>
            <w:tcW w:w="1520" w:type="dxa"/>
            <w:vAlign w:val="bottom"/>
            <w:gridSpan w:val="2"/>
            <w:shd w:val="clear" w:color="auto" w:fill="CCEEFF"/>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0"/>
              <w:spacing w:after="0" w:line="195" w:lineRule="exact"/>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0"/>
              <w:spacing w:after="0" w:line="195" w:lineRule="exact"/>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0"/>
              <w:spacing w:after="0" w:line="195"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common per share amounts:</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Basic</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14,582,573</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15,561,804</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14,860,511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14,722,989</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15,695,322</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14,860,511</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Five weeks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Thirteen weeks ended</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February 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520"/>
              <w:spacing w:after="0" w:line="190" w:lineRule="exact"/>
              <w:rPr>
                <w:sz w:val="20"/>
                <w:szCs w:val="20"/>
                <w:color w:val="auto"/>
              </w:rPr>
            </w:pPr>
            <w:r>
              <w:rPr>
                <w:rFonts w:ascii="Arial" w:cs="Arial" w:eastAsia="Arial" w:hAnsi="Arial"/>
                <w:sz w:val="18"/>
                <w:szCs w:val="18"/>
                <w:b w:val="1"/>
                <w:bCs w:val="1"/>
                <w:color w:val="auto"/>
                <w:w w:val="94"/>
              </w:rPr>
              <w:t>May 5,</w:t>
            </w: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30"/>
              <w:spacing w:after="0" w:line="190" w:lineRule="exact"/>
              <w:rPr>
                <w:sz w:val="20"/>
                <w:szCs w:val="20"/>
                <w:color w:val="auto"/>
              </w:rPr>
            </w:pPr>
            <w:r>
              <w:rPr>
                <w:rFonts w:ascii="Arial" w:cs="Arial" w:eastAsia="Arial" w:hAnsi="Arial"/>
                <w:sz w:val="18"/>
                <w:szCs w:val="18"/>
                <w:b w:val="1"/>
                <w:bCs w:val="1"/>
                <w:color w:val="auto"/>
              </w:rPr>
              <w:t>April 29,</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354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2,629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4,115</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3,907</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841</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320"/>
              <w:spacing w:after="0"/>
              <w:rPr>
                <w:sz w:val="20"/>
                <w:szCs w:val="20"/>
                <w:color w:val="auto"/>
              </w:rPr>
            </w:pPr>
            <w:r>
              <w:rPr>
                <w:rFonts w:ascii="Arial" w:cs="Arial" w:eastAsia="Arial" w:hAnsi="Arial"/>
                <w:sz w:val="18"/>
                <w:szCs w:val="18"/>
                <w:color w:val="auto"/>
              </w:rPr>
              <w:t>Asset impairment</w:t>
            </w:r>
          </w:p>
        </w:tc>
        <w:tc>
          <w:tcPr>
            <w:tcW w:w="2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taxes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878</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disposal of property and equipment</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320"/>
              <w:spacing w:after="0"/>
              <w:rPr>
                <w:sz w:val="20"/>
                <w:szCs w:val="20"/>
                <w:color w:val="auto"/>
              </w:rPr>
            </w:pPr>
            <w:r>
              <w:rPr>
                <w:rFonts w:ascii="Arial" w:cs="Arial" w:eastAsia="Arial" w:hAnsi="Arial"/>
                <w:sz w:val="18"/>
                <w:szCs w:val="18"/>
                <w:color w:val="auto"/>
              </w:rPr>
              <w:t>Change in assets and liabilities: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8,233</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1,836</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(723)</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4,192</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1,671</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(10,643)</w:t>
            </w:r>
          </w:p>
        </w:tc>
        <w:tc>
          <w:tcPr>
            <w:tcW w:w="2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(1,817)</w:t>
            </w: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Lease related liabilities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480"/>
              <w:spacing w:after="0"/>
              <w:rPr>
                <w:sz w:val="20"/>
                <w:szCs w:val="20"/>
                <w:color w:val="auto"/>
              </w:rPr>
            </w:pPr>
            <w:r>
              <w:rPr>
                <w:rFonts w:ascii="Arial" w:cs="Arial" w:eastAsia="Arial" w:hAnsi="Arial"/>
                <w:sz w:val="18"/>
                <w:szCs w:val="18"/>
                <w:color w:val="auto"/>
              </w:rPr>
              <w:t>Gift cards and customer deposits</w:t>
            </w: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(2,235)</w:t>
            </w:r>
          </w:p>
        </w:tc>
        <w:tc>
          <w:tcPr>
            <w:tcW w:w="2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(2,611)</w:t>
            </w: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1,383</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6,772</w:t>
            </w: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(3,030)</w:t>
            </w:r>
          </w:p>
        </w:tc>
        <w:tc>
          <w:tcPr>
            <w:tcW w:w="2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(3,696)</w:t>
            </w: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other assets and other intangible assets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140"/>
              <w:spacing w:after="0"/>
              <w:rPr>
                <w:sz w:val="20"/>
                <w:szCs w:val="20"/>
                <w:color w:val="auto"/>
              </w:rPr>
            </w:pPr>
            <w:r>
              <w:rPr>
                <w:rFonts w:ascii="Arial" w:cs="Arial" w:eastAsia="Arial" w:hAnsi="Arial"/>
                <w:sz w:val="18"/>
                <w:szCs w:val="18"/>
                <w:color w:val="auto"/>
              </w:rPr>
              <w:t>Proceeds from property insurance</w:t>
            </w:r>
          </w:p>
        </w:tc>
        <w:tc>
          <w:tcPr>
            <w:tcW w:w="2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flow used in investing activities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(2,945)</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(3,808)</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Proceeds from the exercise of employee stock options, net of withholding tax</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(406)</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140"/>
              <w:spacing w:after="0"/>
              <w:rPr>
                <w:sz w:val="20"/>
                <w:szCs w:val="20"/>
                <w:color w:val="auto"/>
              </w:rPr>
            </w:pPr>
            <w:r>
              <w:rPr>
                <w:rFonts w:ascii="Arial" w:cs="Arial" w:eastAsia="Arial" w:hAnsi="Arial"/>
                <w:sz w:val="18"/>
                <w:szCs w:val="18"/>
                <w:color w:val="auto"/>
              </w:rPr>
              <w:t>Payments made under capital leases</w:t>
            </w: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Company's common stock</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(732)</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ind w:left="640"/>
              <w:spacing w:after="0"/>
              <w:rPr>
                <w:sz w:val="20"/>
                <w:szCs w:val="20"/>
                <w:color w:val="auto"/>
              </w:rPr>
            </w:pPr>
            <w:r>
              <w:rPr>
                <w:rFonts w:ascii="Arial" w:cs="Arial" w:eastAsia="Arial" w:hAnsi="Arial"/>
                <w:sz w:val="18"/>
                <w:szCs w:val="18"/>
                <w:color w:val="auto"/>
              </w:rPr>
              <w:t>Cash flow used in financing activities</w:t>
            </w: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(1,157)</w:t>
            </w:r>
          </w:p>
        </w:tc>
        <w:tc>
          <w:tcPr>
            <w:tcW w:w="2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(2,618)</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2,493</w:t>
            </w: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(8,946)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21,499</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27,696</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18,881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30,189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21,499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Supplemental disclosure of cash flow information:</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140"/>
              <w:spacing w:after="0"/>
              <w:rPr>
                <w:sz w:val="20"/>
                <w:szCs w:val="20"/>
                <w:color w:val="auto"/>
              </w:rPr>
            </w:pPr>
            <w:r>
              <w:rPr>
                <w:rFonts w:ascii="Arial" w:cs="Arial" w:eastAsia="Arial" w:hAnsi="Arial"/>
                <w:sz w:val="18"/>
                <w:szCs w:val="18"/>
                <w:color w:val="auto"/>
              </w:rPr>
              <w:t>Net cash (received) paid during the period for income taxes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(168)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8" w:lineRule="exact"/>
        <w:rPr>
          <w:sz w:val="20"/>
          <w:szCs w:val="20"/>
          <w:color w:val="auto"/>
        </w:rPr>
      </w:pPr>
    </w:p>
    <w:p>
      <w:pPr>
        <w:ind w:right="120" w:firstLine="323"/>
        <w:spacing w:after="0" w:line="286"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December 30, 2017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December 30, 2017, which were included in the Company’s annual report on Form 10-K filed with the SEC on March 15, 2018. Certain amounts in prior fiscal periods have been reclassified to conform with the presentation adopted in the current fiscal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Fiscal Year</w:t>
      </w:r>
    </w:p>
    <w:p>
      <w:pPr>
        <w:spacing w:after="0" w:line="224" w:lineRule="exact"/>
        <w:rPr>
          <w:sz w:val="20"/>
          <w:szCs w:val="20"/>
          <w:color w:val="auto"/>
        </w:rPr>
      </w:pPr>
    </w:p>
    <w:p>
      <w:pPr>
        <w:ind w:right="40" w:firstLine="323"/>
        <w:spacing w:after="0" w:line="256" w:lineRule="auto"/>
        <w:rPr>
          <w:sz w:val="20"/>
          <w:szCs w:val="20"/>
          <w:color w:val="auto"/>
        </w:rPr>
      </w:pPr>
      <w:r>
        <w:rPr>
          <w:rFonts w:ascii="Arial" w:cs="Arial" w:eastAsia="Arial" w:hAnsi="Arial"/>
          <w:sz w:val="18"/>
          <w:szCs w:val="18"/>
          <w:color w:val="auto"/>
        </w:rPr>
        <w:t>In January 2018, the Company's Board of Directors approved a change in the Company’s fiscal year-end, which previously ended on the Saturday closest to December 31, to the Saturday closest to January 31. This change was effective following the end of the Company's 2017 fiscal year. The first 12-month fiscal year under the new calendar will encompass February 4, 2018 through February 2, 2019. As a result of the change, the Company had a one fiscal month transition period, December 31, 2017 through February 3, 2018. Results of the transition period are presented herewith and will be reported in the Company’s Annual Report Form 10-K for the year ending February 2,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Adopted in the current year</w:t>
      </w:r>
    </w:p>
    <w:p>
      <w:pPr>
        <w:spacing w:after="0" w:line="224" w:lineRule="exact"/>
        <w:rPr>
          <w:sz w:val="20"/>
          <w:szCs w:val="20"/>
          <w:color w:val="auto"/>
        </w:rPr>
      </w:pPr>
    </w:p>
    <w:p>
      <w:pPr>
        <w:ind w:firstLine="400"/>
        <w:spacing w:after="0" w:line="295" w:lineRule="auto"/>
        <w:rPr>
          <w:sz w:val="20"/>
          <w:szCs w:val="20"/>
          <w:color w:val="auto"/>
        </w:rPr>
      </w:pPr>
      <w:r>
        <w:rPr>
          <w:rFonts w:ascii="Arial" w:cs="Arial" w:eastAsia="Arial" w:hAnsi="Arial"/>
          <w:sz w:val="16"/>
          <w:szCs w:val="16"/>
          <w:color w:val="auto"/>
        </w:rPr>
        <w:t>Effective December 31, 2017, the Company adopted Accounting Standards Codification (“ASC”) 606, Revenue from Contracts with Customers, and all the related amendments using the modified retrospective method. ASC 606 requires an entity to recognize revenue for the transfer of goods or services equal to the amount that it expects to be entitled to receive for those goods or services. The standard also requires additional disclosure about the nature, amount, timing and uncertainty of revenue and cash flows arising from customer contracts, including significant judgments and changes in judgments. Nearly all of the Company’s revenue is derived from retail sales (including ecommerce sites) and is recognized when control of the merchandise is transferred to the customer.</w:t>
      </w:r>
    </w:p>
    <w:p>
      <w:pPr>
        <w:spacing w:after="0" w:line="161" w:lineRule="exact"/>
        <w:rPr>
          <w:sz w:val="20"/>
          <w:szCs w:val="20"/>
          <w:color w:val="auto"/>
        </w:rPr>
      </w:pPr>
    </w:p>
    <w:p>
      <w:pPr>
        <w:ind w:right="100" w:firstLine="400"/>
        <w:spacing w:after="0" w:line="278" w:lineRule="auto"/>
        <w:rPr>
          <w:sz w:val="20"/>
          <w:szCs w:val="20"/>
          <w:color w:val="auto"/>
        </w:rPr>
      </w:pPr>
      <w:r>
        <w:rPr>
          <w:rFonts w:ascii="Arial" w:cs="Arial" w:eastAsia="Arial" w:hAnsi="Arial"/>
          <w:sz w:val="17"/>
          <w:szCs w:val="17"/>
          <w:color w:val="auto"/>
        </w:rPr>
        <w:t>The Company's most significant ASC 606 impact relates to accounting for gift card breakage. The Company's adjustment for gift card breakage reflects the impact of the change to recognize gift card breakage proportionately as gift card balances are used rather than when it is deemed remote that the unused gift card balance would be redeemed, as done for certain categories of gift cards under the previous standards. In addition, the Company has identified minor changes to the timing of revenues for certain outbound licensing arrangements and international franchise agreements.</w:t>
      </w:r>
    </w:p>
    <w:p>
      <w:pPr>
        <w:spacing w:after="0" w:line="171" w:lineRule="exact"/>
        <w:rPr>
          <w:sz w:val="20"/>
          <w:szCs w:val="20"/>
          <w:color w:val="auto"/>
        </w:rPr>
      </w:pPr>
    </w:p>
    <w:p>
      <w:pPr>
        <w:ind w:right="60" w:firstLine="400"/>
        <w:spacing w:after="0" w:line="271" w:lineRule="auto"/>
        <w:rPr>
          <w:sz w:val="20"/>
          <w:szCs w:val="20"/>
          <w:color w:val="auto"/>
        </w:rPr>
      </w:pPr>
      <w:r>
        <w:rPr>
          <w:rFonts w:ascii="Arial" w:cs="Arial" w:eastAsia="Arial" w:hAnsi="Arial"/>
          <w:sz w:val="17"/>
          <w:szCs w:val="17"/>
          <w:color w:val="auto"/>
        </w:rPr>
        <w:t>Using the modified retrospective method, the Company recognized the cumulative effect of initially applying the revenue standard as a $12.3 million adjustment offset by the associated $3.0 million tax effect to the December 31, 2017 retained earnings balance. As a result of this change, the Company expects a negative impact to revenue and pre-tax income of $3.9 million in fiscal 2018 with the remaining balance of the cumulative effect adjustment predominantly impacting fiscal years 2019 and 2020. The Company elected to apply this method to contracts that were not completed as of December 31, 2017. The comparative historical financial information has not been restated and continues to be reported under the accounting standards in effect for those periods. As a result of applying the modified retrospective method to transition to ASC 606, the following adjustments were made to the consolidated balance sheet as of December 31, 2017 (dollars in thousands):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Balance Sheet</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1140" w:right="340"/>
        <w:spacing w:after="0" w:line="272" w:lineRule="auto"/>
        <w:rPr>
          <w:sz w:val="20"/>
          <w:szCs w:val="20"/>
          <w:color w:val="auto"/>
        </w:rPr>
      </w:pPr>
      <w:r>
        <w:rPr>
          <w:rFonts w:ascii="Arial" w:cs="Arial" w:eastAsia="Arial" w:hAnsi="Arial"/>
          <w:sz w:val="18"/>
          <w:szCs w:val="18"/>
          <w:color w:val="auto"/>
        </w:rPr>
        <w:t>Prepaid expenses and other current assets Deferred tax assets</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Adjustment: assets</w:t>
      </w:r>
    </w:p>
    <w:p>
      <w:pPr>
        <w:spacing w:after="0" w:line="22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Balance as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Adjustments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Balance as of</w:t>
            </w:r>
          </w:p>
        </w:tc>
      </w:tr>
      <w:tr>
        <w:trPr>
          <w:trHeight w:val="215"/>
        </w:trPr>
        <w:tc>
          <w:tcPr>
            <w:tcW w:w="16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due to</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ASC 606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r>
      <w:tr>
        <w:trPr>
          <w:trHeight w:val="625"/>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13,346</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13,333</w:t>
            </w:r>
          </w:p>
        </w:tc>
      </w:tr>
      <w:tr>
        <w:trPr>
          <w:trHeight w:val="230"/>
        </w:trPr>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6,381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(2,880)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3,501</w:t>
            </w:r>
          </w:p>
        </w:tc>
      </w:tr>
      <w:tr>
        <w:trPr>
          <w:trHeight w:val="209"/>
        </w:trPr>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-2557145</wp:posOffset>
            </wp:positionH>
            <wp:positionV relativeFrom="paragraph">
              <wp:posOffset>-580390</wp:posOffset>
            </wp:positionV>
            <wp:extent cx="5794375" cy="136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4375" cy="13652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-307340</wp:posOffset>
            </wp:positionV>
            <wp:extent cx="579437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4375" cy="14541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0</wp:posOffset>
            </wp:positionV>
            <wp:extent cx="5794375" cy="136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4375" cy="136525"/>
                    </a:xfrm>
                    <a:prstGeom prst="rect">
                      <a:avLst/>
                    </a:prstGeom>
                    <a:noFill/>
                  </pic:spPr>
                </pic:pic>
              </a:graphicData>
            </a:graphic>
          </wp:anchor>
        </w:drawing>
      </w:r>
    </w:p>
    <w:p>
      <w:pPr>
        <w:spacing w:after="0" w:line="404" w:lineRule="exact"/>
        <w:rPr>
          <w:sz w:val="20"/>
          <w:szCs w:val="20"/>
          <w:color w:val="auto"/>
        </w:rPr>
      </w:pPr>
    </w:p>
    <w:p>
      <w:pPr>
        <w:sectPr>
          <w:pgSz w:w="11900" w:h="16838" w:orient="portrait"/>
          <w:cols w:equalWidth="0" w:num="2">
            <w:col w:w="4460" w:space="720"/>
            <w:col w:w="6240"/>
          </w:cols>
          <w:pgMar w:left="240" w:top="118" w:right="239" w:bottom="1440" w:gutter="0" w:footer="0" w:header="0"/>
          <w:type w:val="continuous"/>
        </w:sectPr>
      </w:pPr>
    </w:p>
    <w:tbl>
      <w:tblPr>
        <w:tblLayout w:type="fixed"/>
        <w:tblInd w:w="1140" w:type="dxa"/>
        <w:tblCellMar>
          <w:top w:w="0" w:type="dxa"/>
          <w:left w:w="0" w:type="dxa"/>
          <w:bottom w:w="0" w:type="dxa"/>
          <w:right w:w="0" w:type="dxa"/>
        </w:tblCellMar>
      </w:tblPr>
      <w:tr>
        <w:trPr>
          <w:trHeight w:val="282"/>
        </w:trPr>
        <w:tc>
          <w:tcPr>
            <w:tcW w:w="20" w:type="dxa"/>
            <w:vAlign w:val="bottom"/>
          </w:tcPr>
          <w:p>
            <w:pPr>
              <w:spacing w:after="0"/>
              <w:rPr>
                <w:sz w:val="24"/>
                <w:szCs w:val="24"/>
                <w:color w:val="auto"/>
              </w:rPr>
            </w:pPr>
          </w:p>
        </w:tc>
        <w:tc>
          <w:tcPr>
            <w:tcW w:w="4320" w:type="dxa"/>
            <w:vAlign w:val="bottom"/>
            <w:shd w:val="clear" w:color="auto" w:fill="CCEEFF"/>
          </w:tcPr>
          <w:p>
            <w:pPr>
              <w:spacing w:after="0" w:line="283" w:lineRule="exact"/>
              <w:rPr>
                <w:sz w:val="20"/>
                <w:szCs w:val="20"/>
                <w:color w:val="auto"/>
              </w:rPr>
            </w:pPr>
            <w:r>
              <w:rPr>
                <w:rFonts w:ascii="Arial" w:cs="Arial" w:eastAsia="Arial" w:hAnsi="Arial"/>
                <w:sz w:val="18"/>
                <w:szCs w:val="18"/>
                <w:color w:val="auto"/>
              </w:rPr>
              <w:t xml:space="preserve">Accrued expenses </w:t>
            </w:r>
            <w:r>
              <w:rPr>
                <w:rFonts w:ascii="Arial" w:cs="Arial" w:eastAsia="Arial" w:hAnsi="Arial"/>
                <w:sz w:val="29"/>
                <w:szCs w:val="29"/>
                <w:color w:val="auto"/>
                <w:vertAlign w:val="superscript"/>
              </w:rPr>
              <w:t>(1)</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15,189</w:t>
            </w:r>
          </w:p>
        </w:tc>
        <w:tc>
          <w:tcPr>
            <w:tcW w:w="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Gift cards and customer deposits</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33,926</w:t>
            </w:r>
          </w:p>
        </w:tc>
        <w:tc>
          <w:tcPr>
            <w:tcW w:w="54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(12,297)</w:t>
            </w:r>
          </w:p>
        </w:tc>
        <w:tc>
          <w:tcPr>
            <w:tcW w:w="1160" w:type="dxa"/>
            <w:vAlign w:val="bottom"/>
          </w:tcPr>
          <w:p>
            <w:pPr>
              <w:jc w:val="right"/>
              <w:spacing w:after="0"/>
              <w:rPr>
                <w:sz w:val="20"/>
                <w:szCs w:val="20"/>
                <w:color w:val="auto"/>
              </w:rPr>
            </w:pPr>
            <w:r>
              <w:rPr>
                <w:rFonts w:ascii="Arial" w:cs="Arial" w:eastAsia="Arial" w:hAnsi="Arial"/>
                <w:sz w:val="18"/>
                <w:szCs w:val="18"/>
                <w:color w:val="auto"/>
              </w:rPr>
              <w:t>21,629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49,760</w:t>
            </w: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9,253</w:t>
            </w:r>
          </w:p>
        </w:tc>
        <w:tc>
          <w:tcPr>
            <w:tcW w:w="6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Adjustment: liabilities and stockholders' equity</w:t>
            </w: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(2,893)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(1) - The impact on the balances due to the adoption of ASC 606 includes income tax payable.</w:t>
      </w:r>
    </w:p>
    <w:p>
      <w:pPr>
        <w:spacing w:after="0" w:line="209" w:lineRule="exact"/>
        <w:rPr>
          <w:sz w:val="20"/>
          <w:szCs w:val="20"/>
          <w:color w:val="auto"/>
        </w:rPr>
      </w:pPr>
    </w:p>
    <w:p>
      <w:pPr>
        <w:ind w:right="260" w:firstLine="404"/>
        <w:spacing w:after="0" w:line="262" w:lineRule="auto"/>
        <w:rPr>
          <w:sz w:val="20"/>
          <w:szCs w:val="20"/>
          <w:color w:val="auto"/>
        </w:rPr>
      </w:pPr>
      <w:r>
        <w:rPr>
          <w:rFonts w:ascii="Arial" w:cs="Arial" w:eastAsia="Arial" w:hAnsi="Arial"/>
          <w:sz w:val="18"/>
          <w:szCs w:val="18"/>
          <w:color w:val="auto"/>
        </w:rPr>
        <w:t>The following tables reflect the impact of adoption of ASC 606 on the Company's condensed consolidated statement of income for the thirteen weeks ended May 5, 2018 and its condensed consolidated balance sheet as of May 5, 2018 and the amounts as if the previous standards were in effect ("Without Adoption of ASC606") (dollars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0"/>
              </w:rPr>
              <w:t>For the thirteen weeks ended May 5, 2018</w:t>
            </w:r>
          </w:p>
        </w:tc>
      </w:tr>
      <w:tr>
        <w:trPr>
          <w:trHeight w:val="190"/>
        </w:trPr>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jc w:val="center"/>
              <w:ind w:right="200"/>
              <w:spacing w:after="0" w:line="190" w:lineRule="exact"/>
              <w:rPr>
                <w:sz w:val="20"/>
                <w:szCs w:val="20"/>
                <w:color w:val="auto"/>
              </w:rPr>
            </w:pPr>
            <w:r>
              <w:rPr>
                <w:rFonts w:ascii="Arial" w:cs="Arial" w:eastAsia="Arial" w:hAnsi="Arial"/>
                <w:sz w:val="18"/>
                <w:szCs w:val="18"/>
                <w:b w:val="1"/>
                <w:bCs w:val="1"/>
                <w:color w:val="auto"/>
                <w:w w:val="91"/>
              </w:rPr>
              <w:t>Without Adoption</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As</w:t>
            </w:r>
          </w:p>
        </w:tc>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Reported</w:t>
            </w:r>
          </w:p>
        </w:tc>
        <w:tc>
          <w:tcPr>
            <w:tcW w:w="14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ASC 606</w:t>
            </w:r>
          </w:p>
        </w:tc>
        <w:tc>
          <w:tcPr>
            <w:tcW w:w="12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Effect of Change</w:t>
            </w:r>
          </w:p>
        </w:tc>
      </w:tr>
      <w:tr>
        <w:trPr>
          <w:trHeight w:val="209"/>
        </w:trPr>
        <w:tc>
          <w:tcPr>
            <w:tcW w:w="45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Income statement</w:t>
            </w:r>
          </w:p>
        </w:tc>
        <w:tc>
          <w:tcPr>
            <w:tcW w:w="1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4560" w:type="dxa"/>
            <w:vAlign w:val="bottom"/>
            <w:gridSpan w:val="5"/>
          </w:tcPr>
          <w:p>
            <w:pPr>
              <w:spacing w:after="0" w:line="175" w:lineRule="exact"/>
              <w:rPr>
                <w:sz w:val="20"/>
                <w:szCs w:val="20"/>
                <w:color w:val="auto"/>
              </w:rPr>
            </w:pPr>
            <w:r>
              <w:rPr>
                <w:rFonts w:ascii="Arial" w:cs="Arial" w:eastAsia="Arial" w:hAnsi="Arial"/>
                <w:sz w:val="18"/>
                <w:szCs w:val="18"/>
                <w:color w:val="auto"/>
              </w:rPr>
              <w:t>Revenues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160" w:type="dxa"/>
            <w:vAlign w:val="bottom"/>
            <w:shd w:val="clear" w:color="auto" w:fill="CCEEFF"/>
          </w:tcPr>
          <w:p>
            <w:pPr>
              <w:spacing w:after="0"/>
              <w:rPr>
                <w:sz w:val="18"/>
                <w:szCs w:val="18"/>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retail sales</w:t>
            </w: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81,425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82,024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r>
      <w:tr>
        <w:trPr>
          <w:trHeight w:val="215"/>
        </w:trPr>
        <w:tc>
          <w:tcPr>
            <w:tcW w:w="160" w:type="dxa"/>
            <w:vAlign w:val="bottom"/>
          </w:tcPr>
          <w:p>
            <w:pPr>
              <w:spacing w:after="0"/>
              <w:rPr>
                <w:sz w:val="18"/>
                <w:szCs w:val="18"/>
                <w:color w:val="auto"/>
              </w:rPr>
            </w:pPr>
          </w:p>
        </w:tc>
        <w:tc>
          <w:tcPr>
            <w:tcW w:w="4400" w:type="dxa"/>
            <w:vAlign w:val="bottom"/>
            <w:gridSpan w:val="4"/>
          </w:tcPr>
          <w:p>
            <w:pPr>
              <w:spacing w:after="0"/>
              <w:rPr>
                <w:sz w:val="20"/>
                <w:szCs w:val="20"/>
                <w:color w:val="auto"/>
              </w:rPr>
            </w:pPr>
            <w:r>
              <w:rPr>
                <w:rFonts w:ascii="Arial" w:cs="Arial" w:eastAsia="Arial" w:hAnsi="Arial"/>
                <w:sz w:val="18"/>
                <w:szCs w:val="18"/>
                <w:color w:val="auto"/>
              </w:rPr>
              <w:t>Commercial revenue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160" w:type="dxa"/>
            <w:vAlign w:val="bottom"/>
            <w:shd w:val="clear" w:color="auto" w:fill="CCEEFF"/>
          </w:tcPr>
          <w:p>
            <w:pPr>
              <w:spacing w:after="0"/>
              <w:rPr>
                <w:sz w:val="18"/>
                <w:szCs w:val="18"/>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franchising</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740</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w:t>
            </w:r>
          </w:p>
        </w:tc>
        <w:tc>
          <w:tcPr>
            <w:tcW w:w="120" w:type="dxa"/>
            <w:vAlign w:val="bottom"/>
            <w:tcBorders>
              <w:right w:val="single" w:sz="8" w:color="CCEEFF"/>
            </w:tcBorders>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60" w:type="dxa"/>
            <w:vAlign w:val="bottom"/>
            <w:tcBorders>
              <w:bottom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2"/>
        </w:trPr>
        <w:tc>
          <w:tcPr>
            <w:tcW w:w="160" w:type="dxa"/>
            <w:vAlign w:val="bottom"/>
          </w:tcPr>
          <w:p>
            <w:pPr>
              <w:spacing w:after="0"/>
              <w:rPr>
                <w:sz w:val="17"/>
                <w:szCs w:val="17"/>
                <w:color w:val="auto"/>
              </w:rPr>
            </w:pPr>
          </w:p>
        </w:tc>
        <w:tc>
          <w:tcPr>
            <w:tcW w:w="440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Total revenues</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83,184</w:t>
            </w: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83,783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(599)</w:t>
            </w:r>
          </w:p>
        </w:tc>
      </w:tr>
      <w:tr>
        <w:trPr>
          <w:trHeight w:val="209"/>
        </w:trPr>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4400" w:type="dxa"/>
            <w:vAlign w:val="bottom"/>
            <w:gridSpan w:val="4"/>
          </w:tcPr>
          <w:p>
            <w:pPr>
              <w:ind w:left="180"/>
              <w:spacing w:after="0"/>
              <w:rPr>
                <w:sz w:val="20"/>
                <w:szCs w:val="20"/>
                <w:color w:val="auto"/>
              </w:rPr>
            </w:pPr>
            <w:r>
              <w:rPr>
                <w:rFonts w:ascii="Arial" w:cs="Arial" w:eastAsia="Arial" w:hAnsi="Arial"/>
                <w:sz w:val="18"/>
                <w:szCs w:val="18"/>
                <w:color w:val="auto"/>
              </w:rPr>
              <w:t>Total costs and expenses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160" w:type="dxa"/>
            <w:vAlign w:val="bottom"/>
            <w:shd w:val="clear" w:color="auto" w:fill="CCEEFF"/>
          </w:tcPr>
          <w:p>
            <w:pPr>
              <w:spacing w:after="0"/>
              <w:rPr>
                <w:sz w:val="18"/>
                <w:szCs w:val="18"/>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120" w:type="dxa"/>
            <w:vAlign w:val="bottom"/>
            <w:tcBorders>
              <w:right w:val="single" w:sz="8" w:color="CCEEFF"/>
            </w:tcBorders>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r>
      <w:tr>
        <w:trPr>
          <w:trHeight w:val="230"/>
        </w:trPr>
        <w:tc>
          <w:tcPr>
            <w:tcW w:w="456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r>
      <w:tr>
        <w:trPr>
          <w:trHeight w:val="443"/>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1"/>
              </w:rPr>
              <w:t>May 5, 2018</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center"/>
              <w:ind w:right="200"/>
              <w:spacing w:after="0" w:line="190" w:lineRule="exact"/>
              <w:rPr>
                <w:sz w:val="20"/>
                <w:szCs w:val="20"/>
                <w:color w:val="auto"/>
              </w:rPr>
            </w:pPr>
            <w:r>
              <w:rPr>
                <w:rFonts w:ascii="Arial" w:cs="Arial" w:eastAsia="Arial" w:hAnsi="Arial"/>
                <w:sz w:val="18"/>
                <w:szCs w:val="18"/>
                <w:b w:val="1"/>
                <w:bCs w:val="1"/>
                <w:color w:val="auto"/>
                <w:w w:val="91"/>
              </w:rPr>
              <w:t>Without Adoption</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As</w:t>
            </w:r>
          </w:p>
        </w:tc>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Reported</w:t>
            </w:r>
          </w:p>
        </w:tc>
        <w:tc>
          <w:tcPr>
            <w:tcW w:w="14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ASC 606</w:t>
            </w:r>
          </w:p>
        </w:tc>
        <w:tc>
          <w:tcPr>
            <w:tcW w:w="12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Effect of Change</w:t>
            </w:r>
          </w:p>
        </w:tc>
      </w:tr>
      <w:tr>
        <w:trPr>
          <w:trHeight w:val="209"/>
        </w:trPr>
        <w:tc>
          <w:tcPr>
            <w:tcW w:w="45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160" w:type="dxa"/>
            <w:vAlign w:val="bottom"/>
          </w:tcPr>
          <w:p>
            <w:pPr>
              <w:spacing w:after="0"/>
              <w:rPr>
                <w:sz w:val="15"/>
                <w:szCs w:val="15"/>
                <w:color w:val="auto"/>
              </w:rPr>
            </w:pPr>
          </w:p>
        </w:tc>
        <w:tc>
          <w:tcPr>
            <w:tcW w:w="4400" w:type="dxa"/>
            <w:vAlign w:val="bottom"/>
            <w:gridSpan w:val="4"/>
          </w:tcPr>
          <w:p>
            <w:pPr>
              <w:spacing w:after="0" w:line="175" w:lineRule="exact"/>
              <w:rPr>
                <w:sz w:val="20"/>
                <w:szCs w:val="20"/>
                <w:color w:val="auto"/>
              </w:rPr>
            </w:pPr>
            <w:r>
              <w:rPr>
                <w:rFonts w:ascii="Arial" w:cs="Arial" w:eastAsia="Arial" w:hAnsi="Arial"/>
                <w:sz w:val="18"/>
                <w:szCs w:val="18"/>
                <w:b w:val="1"/>
                <w:bCs w:val="1"/>
                <w:color w:val="auto"/>
              </w:rPr>
              <w:t>Liabilities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160" w:type="dxa"/>
            <w:vAlign w:val="bottom"/>
            <w:shd w:val="clear" w:color="auto" w:fill="CCEEFF"/>
          </w:tcPr>
          <w:p>
            <w:pPr>
              <w:spacing w:after="0"/>
              <w:rPr>
                <w:sz w:val="22"/>
                <w:szCs w:val="22"/>
                <w:color w:val="auto"/>
              </w:rPr>
            </w:pPr>
          </w:p>
        </w:tc>
        <w:tc>
          <w:tcPr>
            <w:tcW w:w="440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Accrued expenses</w:t>
            </w:r>
            <w:r>
              <w:rPr>
                <w:rFonts w:ascii="Arial" w:cs="Arial" w:eastAsia="Arial" w:hAnsi="Arial"/>
                <w:sz w:val="29"/>
                <w:szCs w:val="29"/>
                <w:color w:val="auto"/>
                <w:vertAlign w:val="superscript"/>
              </w:rPr>
              <w:t>(1)</w:t>
            </w: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8,746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56"/>
        </w:trPr>
        <w:tc>
          <w:tcPr>
            <w:tcW w:w="160" w:type="dxa"/>
            <w:vAlign w:val="bottom"/>
          </w:tcPr>
          <w:p>
            <w:pPr>
              <w:spacing w:after="0"/>
              <w:rPr>
                <w:sz w:val="22"/>
                <w:szCs w:val="22"/>
                <w:color w:val="auto"/>
              </w:rPr>
            </w:pPr>
          </w:p>
        </w:tc>
        <w:tc>
          <w:tcPr>
            <w:tcW w:w="4400" w:type="dxa"/>
            <w:vAlign w:val="bottom"/>
            <w:gridSpan w:val="4"/>
          </w:tcPr>
          <w:p>
            <w:pPr>
              <w:spacing w:after="0" w:line="256" w:lineRule="exact"/>
              <w:rPr>
                <w:sz w:val="20"/>
                <w:szCs w:val="20"/>
                <w:color w:val="auto"/>
              </w:rPr>
            </w:pPr>
            <w:r>
              <w:rPr>
                <w:rFonts w:ascii="Arial" w:cs="Arial" w:eastAsia="Arial" w:hAnsi="Arial"/>
                <w:sz w:val="18"/>
                <w:szCs w:val="18"/>
                <w:color w:val="auto"/>
              </w:rPr>
              <w:t>Gift cards and customer deposits</w:t>
            </w:r>
            <w:r>
              <w:rPr>
                <w:rFonts w:ascii="Arial" w:cs="Arial" w:eastAsia="Arial" w:hAnsi="Arial"/>
                <w:sz w:val="29"/>
                <w:szCs w:val="29"/>
                <w:color w:val="auto"/>
                <w:vertAlign w:val="superscript"/>
              </w:rPr>
              <w:t>(1)</w:t>
            </w:r>
          </w:p>
        </w:tc>
        <w:tc>
          <w:tcPr>
            <w:tcW w:w="1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17,007</w:t>
            </w:r>
          </w:p>
        </w:tc>
        <w:tc>
          <w:tcPr>
            <w:tcW w:w="14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28,705</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11,698</w:t>
            </w:r>
          </w:p>
        </w:tc>
        <w:tc>
          <w:tcPr>
            <w:tcW w:w="100" w:type="dxa"/>
            <w:vAlign w:val="bottom"/>
          </w:tcPr>
          <w:p>
            <w:pPr>
              <w:spacing w:after="0"/>
              <w:rPr>
                <w:sz w:val="22"/>
                <w:szCs w:val="22"/>
                <w:color w:val="auto"/>
              </w:rPr>
            </w:pPr>
          </w:p>
        </w:tc>
      </w:tr>
      <w:tr>
        <w:trPr>
          <w:trHeight w:val="215"/>
        </w:trPr>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160" w:type="dxa"/>
            <w:vAlign w:val="bottom"/>
          </w:tcPr>
          <w:p>
            <w:pPr>
              <w:spacing w:after="0"/>
              <w:rPr>
                <w:sz w:val="15"/>
                <w:szCs w:val="15"/>
                <w:color w:val="auto"/>
              </w:rPr>
            </w:pPr>
          </w:p>
        </w:tc>
        <w:tc>
          <w:tcPr>
            <w:tcW w:w="4400" w:type="dxa"/>
            <w:vAlign w:val="bottom"/>
            <w:gridSpan w:val="4"/>
          </w:tcPr>
          <w:p>
            <w:pPr>
              <w:spacing w:after="0" w:line="175" w:lineRule="exact"/>
              <w:rPr>
                <w:sz w:val="20"/>
                <w:szCs w:val="20"/>
                <w:color w:val="auto"/>
              </w:rPr>
            </w:pPr>
            <w:r>
              <w:rPr>
                <w:rFonts w:ascii="Arial" w:cs="Arial" w:eastAsia="Arial" w:hAnsi="Arial"/>
                <w:sz w:val="18"/>
                <w:szCs w:val="18"/>
                <w:b w:val="1"/>
                <w:bCs w:val="1"/>
                <w:color w:val="auto"/>
              </w:rPr>
              <w:t>Equity</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160" w:type="dxa"/>
            <w:vAlign w:val="bottom"/>
            <w:shd w:val="clear" w:color="auto" w:fill="CCEEFF"/>
          </w:tcPr>
          <w:p>
            <w:pPr>
              <w:spacing w:after="0"/>
              <w:rPr>
                <w:sz w:val="22"/>
                <w:szCs w:val="22"/>
                <w:color w:val="auto"/>
              </w:rPr>
            </w:pPr>
          </w:p>
        </w:tc>
        <w:tc>
          <w:tcPr>
            <w:tcW w:w="440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Retained earnings</w:t>
            </w:r>
            <w:r>
              <w:rPr>
                <w:rFonts w:ascii="Arial" w:cs="Arial" w:eastAsia="Arial" w:hAnsi="Arial"/>
                <w:sz w:val="29"/>
                <w:szCs w:val="29"/>
                <w:color w:val="auto"/>
                <w:vertAlign w:val="superscript"/>
              </w:rPr>
              <w:t>(1)</w:t>
            </w:r>
          </w:p>
        </w:tc>
        <w:tc>
          <w:tcPr>
            <w:tcW w:w="1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55,904</w:t>
            </w:r>
          </w:p>
        </w:tc>
        <w:tc>
          <w:tcPr>
            <w:tcW w:w="1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47,092</w:t>
            </w:r>
          </w:p>
        </w:tc>
        <w:tc>
          <w:tcPr>
            <w:tcW w:w="120" w:type="dxa"/>
            <w:vAlign w:val="bottom"/>
            <w:tcBorders>
              <w:right w:val="single" w:sz="8" w:color="CCEEFF"/>
            </w:tcBorders>
            <w:shd w:val="clear" w:color="auto" w:fill="CCEEFF"/>
          </w:tcPr>
          <w:p>
            <w:pPr>
              <w:spacing w:after="0"/>
              <w:rPr>
                <w:sz w:val="22"/>
                <w:szCs w:val="22"/>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(8,812)</w:t>
            </w:r>
          </w:p>
        </w:tc>
      </w:tr>
      <w:tr>
        <w:trPr>
          <w:trHeight w:val="223"/>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6252210</wp:posOffset>
            </wp:positionH>
            <wp:positionV relativeFrom="paragraph">
              <wp:posOffset>-8890</wp:posOffset>
            </wp:positionV>
            <wp:extent cx="9315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right="380" w:firstLine="8"/>
        <w:spacing w:after="0" w:line="258" w:lineRule="auto"/>
        <w:tabs>
          <w:tab w:leader="none" w:pos="254" w:val="left"/>
        </w:tabs>
        <w:numPr>
          <w:ilvl w:val="0"/>
          <w:numId w:val="3"/>
        </w:numPr>
        <w:rPr>
          <w:rFonts w:ascii="Arial" w:cs="Arial" w:eastAsia="Arial" w:hAnsi="Arial"/>
          <w:sz w:val="18"/>
          <w:szCs w:val="18"/>
          <w:color w:val="auto"/>
        </w:rPr>
      </w:pPr>
      <w:r>
        <w:rPr>
          <w:rFonts w:ascii="Arial" w:cs="Arial" w:eastAsia="Arial" w:hAnsi="Arial"/>
          <w:sz w:val="18"/>
          <w:szCs w:val="18"/>
          <w:color w:val="auto"/>
        </w:rPr>
        <w:t>- The impact on the balances without adoption of ASC 606 includes the activity for the thirteen weeks ended May 5, 2018 and the December 31, 2017 adjustment.</w:t>
      </w:r>
    </w:p>
    <w:p>
      <w:pPr>
        <w:spacing w:after="0" w:line="186" w:lineRule="exact"/>
        <w:rPr>
          <w:sz w:val="20"/>
          <w:szCs w:val="20"/>
          <w:color w:val="auto"/>
        </w:rPr>
      </w:pPr>
    </w:p>
    <w:p>
      <w:pPr>
        <w:ind w:right="280" w:firstLine="323"/>
        <w:spacing w:after="0" w:line="276" w:lineRule="auto"/>
        <w:rPr>
          <w:sz w:val="20"/>
          <w:szCs w:val="20"/>
          <w:color w:val="auto"/>
        </w:rPr>
      </w:pPr>
      <w:r>
        <w:rPr>
          <w:rFonts w:ascii="Arial" w:cs="Arial" w:eastAsia="Arial" w:hAnsi="Arial"/>
          <w:sz w:val="18"/>
          <w:szCs w:val="18"/>
          <w:color w:val="auto"/>
        </w:rPr>
        <w:t>The impact of adoption of ASC 606 on the Company's condensed consolidated statement of cash flows from operating activities for the thirteen weeks ended May 5, 2018 was not significant.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February 2016, the FASB issued Accounting Standards Update (“ASU”) No. 2016-02, Leases (ASU 2016-02), which will replace most existing lease accounting guidance in U.S. GAAP. The core principle of the ASU is that an entity should recognize the rights and obligations resulting from leases as assets and liabilities. ASU 2016-02 requires qualitative and specific quantitative disclosures to supplement the amounts recorded in the financial statements so that users can understand more about the nature of an entity’s leasing activities, including significant judgments and changes in judgments. ASU 2016-02 will be effective for the Company beginning in fiscal 2019 and allows cumulative and modified retrospective methods of adoption. Early adoption is permitted. The Company is in the process of determining the impact of ASU 2016-02 on its consolidated financial statements. Management expects a material impact to the consolidated balance sheet with the addition of significant right-of-use assets and related liabilities because the Company's retail locations are currently categorized as operating leases. In 2017, the Company established a cross-functional team to use a detailed approach to assess the impact of the new standard. The Company is in the process of implementing new lease accounting software to assist in the quantification of the expected impact on the consolidated balance sheets and to facilitate the calculations of the related accounting entries and disclosures.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Nearly all of the Company’s revenue is derived from retail sales (including ecommerce sites) and is recognized when control of the merchandise is transferred to the customer. The Company accounts for revenue in accordance with ASC 606 which was adopted December 31, 2017 using the modified retrospective method (See Note 1— Basis of Presentation and Note 7 — Stockholder's Equity for additional information). The Company's disaggregated revenue is fully disclosed as net sales to external customers by reporting segment and by geographic area (See Note 10 — Segment Information for additional information). The Company's direct-to-consumer reporting segment represents over 95% of consolidated revenue. The majority of these sales transactions are single performance obligations that are recorded when control is transferred to the customer.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is a description of principal activities from which the Company generates its revenue, by reportable segment.</w:t>
      </w:r>
    </w:p>
    <w:p>
      <w:pPr>
        <w:spacing w:after="0" w:line="224"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Company’s direct-to-consumer segment includes the operating activities of corporately-managed stores, other retail-delivered operations and online sales. Direct-to-consumer revenue is recognized when control of the merchandise is transferred to the customer. For the Company's online sales, revenue is recognized when control of the merchandise is transferred to the customer, which generally occurs upon delivery to the customer. Revenue is measured as the amount of consideration, including any discounts or incentives, the Company expects to receive in exchange for transferring the merchandise. Product returns have historically averaged less than one-tenth of one percent due to the interactive nature of sales, where consumers customize their own stuffed animal. The Company has elected to exclude from revenue all collected sales, value add and other taxes paid by its customers.</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the Company’s gift cards, revenue is deferred for single transactions until redemption including any related discounts. Historically, gift card redemptions occur within three years of acquisition and approximately 75% of gift cards were redeemed within the first twelve months. In addition, unredeemed gift cards or breakage revenue will be recorded in proportion to the customer’s redemption period using an estimated breakage rate based on historical experience. 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retail value of the merchandise earned, adjusted for estimated breakage based on historical redemption patterns. The revenue associated with the initial merchandise purchased is recognized immediately and the value assigned to the points is deferred until the points are redeemed, forfeited or expired.</w:t>
      </w:r>
    </w:p>
    <w:p>
      <w:pPr>
        <w:spacing w:after="0" w:line="16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Company’s commercial segment includes transactions with other businesses and are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The Company’s international franchising segment includes the licensing activities with franchisees who operate store locations in certain countries and includes development fees, sales-based royalties and merchandise, including supplies and fixture sales. The Company's obligations under the franchise agreement are ongoing and include operations and product development support and training, generally concentrated around new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Revenue from merchandise and fixture sales is recognized when control is transferred to the franchisee.</w:t>
      </w:r>
    </w:p>
    <w:p>
      <w:pPr>
        <w:spacing w:after="0" w:line="17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Company also incurs expenses directly related to the startup of new franchises, including finder’s fees, legal and travel costs as well as expenses related to its ongoing support of the franchisees, predominantly travel and employee compensation. Accordingly, the Company’s policy is to capitalize the finder’s fee, an incremental cost, and expense all other costs as incurred. Additionally, the Company amortizes these capitalized costs into expense in the same pattern as the development fee's recording of income as described previously.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2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Contract liabilities for gift cards are classified as gift cards and customer deposits on the consolidated balance sheet. In addition, contract liabilities consist of deferred revenue resulting from initial, one-time nonrefundable franchise fees, as well as minimum guaranteed royalties, which are generally recognized on a straight-line basis over the term of the underlying agreement. The Company classifies these contract liabilities as deferred revenue on the consolidated balance sheet.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Prepaid Expenses and Other Current Assets</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center"/>
              <w:ind w:left="410"/>
              <w:spacing w:after="0"/>
              <w:rPr>
                <w:sz w:val="20"/>
                <w:szCs w:val="20"/>
                <w:color w:val="auto"/>
              </w:rPr>
            </w:pPr>
            <w:r>
              <w:rPr>
                <w:rFonts w:ascii="Arial" w:cs="Arial" w:eastAsia="Arial" w:hAnsi="Arial"/>
                <w:sz w:val="18"/>
                <w:szCs w:val="18"/>
                <w:b w:val="1"/>
                <w:bCs w:val="1"/>
                <w:color w:val="auto"/>
                <w:w w:val="98"/>
              </w:rPr>
              <w:t>May 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December 30,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April 29,</w:t>
            </w:r>
          </w:p>
        </w:tc>
        <w:tc>
          <w:tcPr>
            <w:tcW w:w="86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9"/>
              </w:rPr>
              <w:t>2018</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2017</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9"/>
        </w:trPr>
        <w:tc>
          <w:tcPr>
            <w:tcW w:w="8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Prepaid occupancy</w:t>
            </w:r>
          </w:p>
        </w:tc>
        <w:tc>
          <w:tcPr>
            <w:tcW w:w="14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8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11,493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13,346</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10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869"/>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4. Accrued Expenses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1"/>
        </w:trPr>
        <w:tc>
          <w:tcPr>
            <w:tcW w:w="5040" w:type="dxa"/>
            <w:vAlign w:val="bottom"/>
            <w:gridSpan w:val="2"/>
          </w:tcPr>
          <w:p>
            <w:pPr>
              <w:ind w:left="500"/>
              <w:spacing w:after="0"/>
              <w:rPr>
                <w:sz w:val="20"/>
                <w:szCs w:val="20"/>
                <w:color w:val="auto"/>
              </w:rPr>
            </w:pPr>
            <w:r>
              <w:rPr>
                <w:rFonts w:ascii="Arial" w:cs="Arial" w:eastAsia="Arial" w:hAnsi="Arial"/>
                <w:sz w:val="18"/>
                <w:szCs w:val="18"/>
                <w:color w:val="auto"/>
                <w:w w:val="98"/>
              </w:rPr>
              <w:t>Accrued expenses consist of the following (in thousands):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2"/>
        </w:trPr>
        <w:tc>
          <w:tcPr>
            <w:tcW w:w="8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center"/>
              <w:ind w:left="410"/>
              <w:spacing w:after="0"/>
              <w:rPr>
                <w:sz w:val="20"/>
                <w:szCs w:val="20"/>
                <w:color w:val="auto"/>
              </w:rPr>
            </w:pPr>
            <w:r>
              <w:rPr>
                <w:rFonts w:ascii="Arial" w:cs="Arial" w:eastAsia="Arial" w:hAnsi="Arial"/>
                <w:sz w:val="18"/>
                <w:szCs w:val="18"/>
                <w:b w:val="1"/>
                <w:bCs w:val="1"/>
                <w:color w:val="auto"/>
                <w:w w:val="98"/>
              </w:rPr>
              <w:t>May 5,</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December 30,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April 29,</w:t>
            </w:r>
          </w:p>
        </w:tc>
        <w:tc>
          <w:tcPr>
            <w:tcW w:w="86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9"/>
              </w:rPr>
              <w:t>2018</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2017</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9"/>
        </w:trPr>
        <w:tc>
          <w:tcPr>
            <w:tcW w:w="8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Accrued wages, bonuses and related expenses</w:t>
            </w:r>
          </w:p>
        </w:tc>
        <w:tc>
          <w:tcPr>
            <w:tcW w:w="14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8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Sales and cross-border taxes payable</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4,858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8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Accrued rent and related expenses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8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4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9"/>
        </w:trPr>
        <w:tc>
          <w:tcPr>
            <w:tcW w:w="860" w:type="dxa"/>
            <w:vAlign w:val="bottom"/>
          </w:tcPr>
          <w:p>
            <w:pPr>
              <w:spacing w:after="0"/>
              <w:rPr>
                <w:sz w:val="21"/>
                <w:szCs w:val="21"/>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15,189</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12,099</w:t>
            </w:r>
          </w:p>
        </w:tc>
        <w:tc>
          <w:tcPr>
            <w:tcW w:w="100" w:type="dxa"/>
            <w:vAlign w:val="bottom"/>
            <w:shd w:val="clear" w:color="auto" w:fill="CCEEFF"/>
          </w:tcPr>
          <w:p>
            <w:pPr>
              <w:spacing w:after="0"/>
              <w:rPr>
                <w:sz w:val="21"/>
                <w:szCs w:val="21"/>
                <w:color w:val="auto"/>
              </w:rPr>
            </w:pPr>
          </w:p>
        </w:tc>
        <w:tc>
          <w:tcPr>
            <w:tcW w:w="860" w:type="dxa"/>
            <w:vAlign w:val="bottom"/>
          </w:tcPr>
          <w:p>
            <w:pPr>
              <w:spacing w:after="0"/>
              <w:rPr>
                <w:sz w:val="21"/>
                <w:szCs w:val="21"/>
                <w:color w:val="auto"/>
              </w:rPr>
            </w:pPr>
          </w:p>
        </w:tc>
      </w:tr>
      <w:tr>
        <w:trPr>
          <w:trHeight w:val="411"/>
        </w:trPr>
        <w:tc>
          <w:tcPr>
            <w:tcW w:w="860" w:type="dxa"/>
            <w:vAlign w:val="bottom"/>
          </w:tcPr>
          <w:p>
            <w:pPr>
              <w:spacing w:after="0"/>
              <w:rPr>
                <w:sz w:val="24"/>
                <w:szCs w:val="24"/>
                <w:color w:val="auto"/>
              </w:rPr>
            </w:pPr>
          </w:p>
        </w:tc>
        <w:tc>
          <w:tcPr>
            <w:tcW w:w="41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9</w:t>
            </w:r>
          </w:p>
        </w:tc>
        <w:tc>
          <w:tcPr>
            <w:tcW w:w="5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60" w:type="dxa"/>
            <w:vAlign w:val="bottom"/>
          </w:tcPr>
          <w:p>
            <w:pPr>
              <w:spacing w:after="0"/>
              <w:rPr>
                <w:sz w:val="24"/>
                <w:szCs w:val="24"/>
                <w:color w:val="auto"/>
              </w:rPr>
            </w:pPr>
          </w:p>
        </w:tc>
      </w:tr>
      <w:tr>
        <w:trPr>
          <w:trHeight w:val="114"/>
        </w:trPr>
        <w:tc>
          <w:tcPr>
            <w:tcW w:w="86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8" w:lineRule="exact"/>
        <w:rPr>
          <w:sz w:val="20"/>
          <w:szCs w:val="20"/>
          <w:color w:val="auto"/>
        </w:rPr>
      </w:pPr>
    </w:p>
    <w:p>
      <w:pPr>
        <w:ind w:right="100" w:firstLine="323"/>
        <w:spacing w:after="0" w:line="269" w:lineRule="auto"/>
        <w:rPr>
          <w:sz w:val="20"/>
          <w:szCs w:val="20"/>
          <w:color w:val="auto"/>
        </w:rPr>
      </w:pPr>
      <w:r>
        <w:rPr>
          <w:rFonts w:ascii="Arial" w:cs="Arial" w:eastAsia="Arial" w:hAnsi="Arial"/>
          <w:sz w:val="17"/>
          <w:szCs w:val="17"/>
          <w:color w:val="auto"/>
        </w:rPr>
        <w:t>On March 14, 2017, the Company’s Board of Directors (the Board) adopted, subject to stockholder approval, the Build-A-Bear Workshop, Inc. 2017 Omnibus Incentive Plan (the Incentive Plan). On May 11, 2017, at the Company’s 2017 Annual Meeting of Stockholders, the Company’s stockholders approved the Incentive Plan. The Incentive Plan, which is administered by the Compensation and Development Committee of the Board, permits the grant of stock options (including both incentive and non-qualified stock options), stock appreciation rights, restricted stock, cash and other stock-based awards, some of which may be performance-based pursuant to the terms of the Incentive Plan. The Board may amend, modify or terminate the Incentive Plan at any time, except as otherwise provided in the Incentive Plan. The Incentive Plan will terminate on March 14, 2027, unless earlier terminated by the Board. The number of shares of the Company’s common stock authorized for issuance under the Incentive Plan is 1,000,000, plus shares of stock subject to outstanding awards made under the Company’s Third Amended and Restated 2004 Stock Incentive Plan that on or after March 21, 2017 may be forfeited, expire or be settled for cash.</w:t>
      </w:r>
    </w:p>
    <w:p>
      <w:pPr>
        <w:spacing w:after="0" w:line="181" w:lineRule="exact"/>
        <w:rPr>
          <w:sz w:val="20"/>
          <w:szCs w:val="20"/>
          <w:color w:val="auto"/>
        </w:rPr>
      </w:pPr>
    </w:p>
    <w:p>
      <w:pPr>
        <w:jc w:val="both"/>
        <w:ind w:right="620" w:firstLine="323"/>
        <w:spacing w:after="0" w:line="310" w:lineRule="auto"/>
        <w:rPr>
          <w:sz w:val="20"/>
          <w:szCs w:val="20"/>
          <w:color w:val="auto"/>
        </w:rPr>
      </w:pPr>
      <w:r>
        <w:rPr>
          <w:rFonts w:ascii="Arial" w:cs="Arial" w:eastAsia="Arial" w:hAnsi="Arial"/>
          <w:sz w:val="16"/>
          <w:szCs w:val="16"/>
          <w:color w:val="auto"/>
        </w:rPr>
        <w:t>For the thirteen weeks ended May 5, 2018 and April 29, 2017, selling, general and administrative expense includes $0.8 million and $1.2 million, respectively, of stock-based compensation expense. As of May 5, 2018, there was $5.0 million of total unrecognized compensation expense related to unvested restricted stock and option awards which is expected to be recognized over a weighted-average period of 1.7 years.</w:t>
      </w:r>
    </w:p>
    <w:p>
      <w:pPr>
        <w:spacing w:after="0" w:line="148" w:lineRule="exact"/>
        <w:rPr>
          <w:sz w:val="20"/>
          <w:szCs w:val="20"/>
          <w:color w:val="auto"/>
        </w:rPr>
      </w:pPr>
    </w:p>
    <w:p>
      <w:pPr>
        <w:ind w:firstLine="323"/>
        <w:spacing w:after="0" w:line="276" w:lineRule="auto"/>
        <w:rPr>
          <w:sz w:val="20"/>
          <w:szCs w:val="20"/>
          <w:color w:val="auto"/>
        </w:rPr>
      </w:pPr>
      <w:r>
        <w:rPr>
          <w:rFonts w:ascii="Arial" w:cs="Arial" w:eastAsia="Arial" w:hAnsi="Arial"/>
          <w:sz w:val="18"/>
          <w:szCs w:val="18"/>
          <w:color w:val="auto"/>
        </w:rPr>
        <w:t>The following table is a summary of the balances and activity for stock options for the five week transition period ended February 3, 2018 and the thirteen weeks ended May 5, 2018:</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360" w:type="dxa"/>
            <w:vAlign w:val="bottom"/>
            <w:gridSpan w:val="5"/>
          </w:tcPr>
          <w:p>
            <w:pPr>
              <w:ind w:left="1320"/>
              <w:spacing w:after="0"/>
              <w:rPr>
                <w:sz w:val="20"/>
                <w:szCs w:val="20"/>
                <w:color w:val="auto"/>
              </w:rPr>
            </w:pPr>
            <w:r>
              <w:rPr>
                <w:rFonts w:ascii="Arial" w:cs="Arial" w:eastAsia="Arial" w:hAnsi="Arial"/>
                <w:sz w:val="18"/>
                <w:szCs w:val="18"/>
                <w:b w:val="1"/>
                <w:bCs w:val="1"/>
                <w:color w:val="auto"/>
              </w:rPr>
              <w:t>Options</w:t>
            </w:r>
          </w:p>
        </w:tc>
      </w:tr>
      <w:tr>
        <w:trPr>
          <w:trHeight w:val="190"/>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10"/>
              <w:spacing w:after="0" w:line="190"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Average Exercise</w:t>
            </w: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5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30, 2017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80" w:type="dxa"/>
            <w:vAlign w:val="bottom"/>
            <w:shd w:val="clear" w:color="auto" w:fill="CCEEFF"/>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5760" w:type="dxa"/>
            <w:vAlign w:val="bottom"/>
          </w:tcPr>
          <w:p>
            <w:pPr>
              <w:spacing w:after="0" w:line="256"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9"/>
                <w:szCs w:val="29"/>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213,687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8.60</w:t>
            </w:r>
          </w:p>
        </w:tc>
        <w:tc>
          <w:tcPr>
            <w:tcW w:w="8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57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Exercised </w:t>
            </w:r>
            <w:r>
              <w:rPr>
                <w:rFonts w:ascii="Arial" w:cs="Arial" w:eastAsia="Arial" w:hAnsi="Arial"/>
                <w:sz w:val="29"/>
                <w:szCs w:val="29"/>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22"/>
                <w:szCs w:val="22"/>
                <w:color w:val="auto"/>
              </w:rPr>
            </w:pPr>
          </w:p>
        </w:tc>
      </w:tr>
      <w:tr>
        <w:trPr>
          <w:trHeight w:val="215"/>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5780" w:type="dxa"/>
            <w:vAlign w:val="bottom"/>
            <w:gridSpan w:val="2"/>
          </w:tcPr>
          <w:p>
            <w:pPr>
              <w:spacing w:after="0"/>
              <w:rPr>
                <w:sz w:val="20"/>
                <w:szCs w:val="20"/>
                <w:color w:val="auto"/>
              </w:rPr>
            </w:pPr>
            <w:r>
              <w:rPr>
                <w:rFonts w:ascii="Arial" w:cs="Arial" w:eastAsia="Arial" w:hAnsi="Arial"/>
                <w:sz w:val="18"/>
                <w:szCs w:val="18"/>
                <w:color w:val="auto"/>
              </w:rPr>
              <w:t>Outstanding, May 5, 2018</w:t>
            </w:r>
          </w:p>
        </w:tc>
        <w:tc>
          <w:tcPr>
            <w:tcW w:w="1560" w:type="dxa"/>
            <w:vAlign w:val="bottom"/>
          </w:tcPr>
          <w:p>
            <w:pPr>
              <w:jc w:val="right"/>
              <w:spacing w:after="0"/>
              <w:rPr>
                <w:sz w:val="20"/>
                <w:szCs w:val="20"/>
                <w:color w:val="auto"/>
              </w:rPr>
            </w:pPr>
            <w:r>
              <w:rPr>
                <w:rFonts w:ascii="Arial" w:cs="Arial" w:eastAsia="Arial" w:hAnsi="Arial"/>
                <w:sz w:val="18"/>
                <w:szCs w:val="18"/>
                <w:color w:val="auto"/>
              </w:rPr>
              <w:t>1,002,770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left="1580"/>
        <w:spacing w:after="0"/>
        <w:rPr>
          <w:sz w:val="20"/>
          <w:szCs w:val="20"/>
          <w:color w:val="auto"/>
        </w:rPr>
      </w:pPr>
      <w:r>
        <w:rPr>
          <w:rFonts w:ascii="Arial" w:cs="Arial" w:eastAsia="Arial" w:hAnsi="Arial"/>
          <w:sz w:val="18"/>
          <w:szCs w:val="18"/>
          <w:color w:val="auto"/>
        </w:rPr>
        <w:t>(1) - No options were granted or exercised for the five weeks ended February 3, 2018.</w:t>
      </w:r>
    </w:p>
    <w:p>
      <w:pPr>
        <w:spacing w:after="0" w:line="209" w:lineRule="exact"/>
        <w:rPr>
          <w:sz w:val="20"/>
          <w:szCs w:val="20"/>
          <w:color w:val="auto"/>
        </w:rPr>
      </w:pPr>
    </w:p>
    <w:p>
      <w:pPr>
        <w:ind w:right="260" w:firstLine="323"/>
        <w:spacing w:after="0" w:line="276" w:lineRule="auto"/>
        <w:rPr>
          <w:sz w:val="20"/>
          <w:szCs w:val="20"/>
          <w:color w:val="auto"/>
        </w:rPr>
      </w:pPr>
      <w:r>
        <w:rPr>
          <w:rFonts w:ascii="Arial" w:cs="Arial" w:eastAsia="Arial" w:hAnsi="Arial"/>
          <w:sz w:val="18"/>
          <w:szCs w:val="18"/>
          <w:color w:val="auto"/>
        </w:rPr>
        <w:t>The following table is a summary of the balances and activity for the plan related to time-based and performance-based restricted stock for the thirteen weeks ended May 5, 2018 and five week transition period ended February 3, 2018:</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12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Restricted Stock</w:t>
            </w:r>
          </w:p>
        </w:tc>
        <w:tc>
          <w:tcPr>
            <w:tcW w:w="29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Performance Shares</w:t>
            </w:r>
          </w:p>
        </w:tc>
      </w:tr>
      <w:tr>
        <w:trPr>
          <w:trHeight w:val="190"/>
        </w:trPr>
        <w:tc>
          <w:tcPr>
            <w:tcW w:w="422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0"/>
              <w:spacing w:after="0" w:line="190"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10"/>
              <w:spacing w:after="0" w:line="190"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5"/>
        </w:trPr>
        <w:tc>
          <w:tcPr>
            <w:tcW w:w="4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Average Grant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4220" w:type="dxa"/>
            <w:vAlign w:val="bottom"/>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Date Fair Value</w:t>
            </w:r>
          </w:p>
        </w:tc>
        <w:tc>
          <w:tcPr>
            <w:tcW w:w="220" w:type="dxa"/>
            <w:vAlign w:val="bottom"/>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Date Fair Value</w:t>
            </w:r>
          </w:p>
        </w:tc>
        <w:tc>
          <w:tcPr>
            <w:tcW w:w="100" w:type="dxa"/>
            <w:vAlign w:val="bottom"/>
          </w:tcPr>
          <w:p>
            <w:pPr>
              <w:spacing w:after="0"/>
              <w:rPr>
                <w:sz w:val="20"/>
                <w:szCs w:val="20"/>
                <w:color w:val="auto"/>
              </w:rPr>
            </w:pP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30, 2017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289,615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w:t>
            </w:r>
          </w:p>
        </w:tc>
      </w:tr>
      <w:tr>
        <w:trPr>
          <w:trHeight w:val="256"/>
        </w:trPr>
        <w:tc>
          <w:tcPr>
            <w:tcW w:w="4220" w:type="dxa"/>
            <w:vAlign w:val="bottom"/>
          </w:tcPr>
          <w:p>
            <w:pPr>
              <w:spacing w:after="0" w:line="256"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9"/>
                <w:szCs w:val="29"/>
                <w:color w:val="auto"/>
                <w:vertAlign w:val="superscript"/>
              </w:rPr>
              <w:t>(1)</w:t>
            </w:r>
          </w:p>
        </w:tc>
        <w:tc>
          <w:tcPr>
            <w:tcW w:w="1340" w:type="dxa"/>
            <w:vAlign w:val="bottom"/>
          </w:tcPr>
          <w:p>
            <w:pPr>
              <w:jc w:val="right"/>
              <w:spacing w:after="0"/>
              <w:rPr>
                <w:sz w:val="20"/>
                <w:szCs w:val="20"/>
                <w:color w:val="auto"/>
              </w:rPr>
            </w:pPr>
            <w:r>
              <w:rPr>
                <w:rFonts w:ascii="Arial" w:cs="Arial" w:eastAsia="Arial" w:hAnsi="Arial"/>
                <w:sz w:val="18"/>
                <w:szCs w:val="18"/>
                <w:color w:val="auto"/>
              </w:rPr>
              <w:t>148,319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8.61</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83.256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r>
      <w:tr>
        <w:trPr>
          <w:trHeight w:val="256"/>
        </w:trPr>
        <w:tc>
          <w:tcPr>
            <w:tcW w:w="42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9"/>
                <w:szCs w:val="29"/>
                <w:color w:val="auto"/>
                <w:vertAlign w:val="superscript"/>
              </w:rPr>
              <w:t>(1)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(132,076)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12.25</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w:t>
            </w:r>
          </w:p>
        </w:tc>
      </w:tr>
      <w:tr>
        <w:trPr>
          <w:trHeight w:val="256"/>
        </w:trPr>
        <w:tc>
          <w:tcPr>
            <w:tcW w:w="4220" w:type="dxa"/>
            <w:vAlign w:val="bottom"/>
          </w:tcPr>
          <w:p>
            <w:pPr>
              <w:spacing w:after="0" w:line="256"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9"/>
                <w:szCs w:val="29"/>
                <w:color w:val="auto"/>
                <w:vertAlign w:val="superscript"/>
              </w:rPr>
              <w:t>(1)</w:t>
            </w:r>
          </w:p>
        </w:tc>
        <w:tc>
          <w:tcPr>
            <w:tcW w:w="1340" w:type="dxa"/>
            <w:vAlign w:val="bottom"/>
          </w:tcPr>
          <w:p>
            <w:pPr>
              <w:jc w:val="right"/>
              <w:spacing w:after="0"/>
              <w:rPr>
                <w:sz w:val="20"/>
                <w:szCs w:val="20"/>
                <w:color w:val="auto"/>
              </w:rPr>
            </w:pPr>
            <w:r>
              <w:rPr>
                <w:rFonts w:ascii="Arial" w:cs="Arial" w:eastAsia="Arial" w:hAnsi="Arial"/>
                <w:sz w:val="18"/>
                <w:szCs w:val="18"/>
                <w:color w:val="auto"/>
              </w:rPr>
              <w:t>(7,693)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10.72</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r>
      <w:tr>
        <w:trPr>
          <w:trHeight w:val="215"/>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r>
      <w:tr>
        <w:trPr>
          <w:trHeight w:val="20"/>
        </w:trPr>
        <w:tc>
          <w:tcPr>
            <w:tcW w:w="42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8"/>
                <w:szCs w:val="18"/>
                <w:color w:val="auto"/>
              </w:rPr>
              <w:t>Outstanding, May 5, 2018</w:t>
            </w:r>
          </w:p>
        </w:tc>
        <w:tc>
          <w:tcPr>
            <w:tcW w:w="1340" w:type="dxa"/>
            <w:vAlign w:val="bottom"/>
          </w:tcPr>
          <w:p>
            <w:pPr>
              <w:jc w:val="right"/>
              <w:spacing w:after="0"/>
              <w:rPr>
                <w:sz w:val="20"/>
                <w:szCs w:val="20"/>
                <w:color w:val="auto"/>
              </w:rPr>
            </w:pPr>
            <w:r>
              <w:rPr>
                <w:rFonts w:ascii="Arial" w:cs="Arial" w:eastAsia="Arial" w:hAnsi="Arial"/>
                <w:sz w:val="18"/>
                <w:szCs w:val="18"/>
                <w:color w:val="auto"/>
              </w:rPr>
              <w:t>370,089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9.58</w:t>
            </w:r>
          </w:p>
        </w:tc>
        <w:tc>
          <w:tcPr>
            <w:tcW w:w="1320" w:type="dxa"/>
            <w:vAlign w:val="bottom"/>
          </w:tcPr>
          <w:p>
            <w:pPr>
              <w:jc w:val="right"/>
              <w:spacing w:after="0"/>
              <w:rPr>
                <w:sz w:val="20"/>
                <w:szCs w:val="20"/>
                <w:color w:val="auto"/>
              </w:rPr>
            </w:pPr>
            <w:r>
              <w:rPr>
                <w:rFonts w:ascii="Arial" w:cs="Arial" w:eastAsia="Arial" w:hAnsi="Arial"/>
                <w:sz w:val="18"/>
                <w:szCs w:val="18"/>
                <w:color w:val="auto"/>
              </w:rPr>
              <w:t>315,268</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r>
      <w:tr>
        <w:trPr>
          <w:trHeight w:val="20"/>
        </w:trPr>
        <w:tc>
          <w:tcPr>
            <w:tcW w:w="4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340" w:right="120" w:hanging="18"/>
        <w:spacing w:after="0" w:line="276" w:lineRule="auto"/>
        <w:tabs>
          <w:tab w:leader="none" w:pos="585" w:val="left"/>
        </w:tabs>
        <w:numPr>
          <w:ilvl w:val="0"/>
          <w:numId w:val="4"/>
        </w:numPr>
        <w:rPr>
          <w:rFonts w:ascii="Arial" w:cs="Arial" w:eastAsia="Arial" w:hAnsi="Arial"/>
          <w:sz w:val="17"/>
          <w:szCs w:val="17"/>
          <w:color w:val="auto"/>
        </w:rPr>
      </w:pPr>
      <w:r>
        <w:rPr>
          <w:rFonts w:ascii="Arial" w:cs="Arial" w:eastAsia="Arial" w:hAnsi="Arial"/>
          <w:sz w:val="17"/>
          <w:szCs w:val="17"/>
          <w:color w:val="auto"/>
        </w:rPr>
        <w:t>- Restricted stock for the five weeks ended February 3, 2018 included the following activity: granted 3,479 shares with a weighted average grant date fair value of $9.25, vested 129 shares with a weighted average grant date fair value of $11.65 and forfeited 7,477 shares with a weighted average grant date fair value of $10.70. No performance shares activity occurred for the five weeks ended February 3, 2018.</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40" w:firstLine="323"/>
        <w:spacing w:after="0" w:line="276" w:lineRule="auto"/>
        <w:rPr>
          <w:sz w:val="20"/>
          <w:szCs w:val="20"/>
          <w:color w:val="auto"/>
        </w:rPr>
      </w:pPr>
      <w:r>
        <w:rPr>
          <w:rFonts w:ascii="Arial" w:cs="Arial" w:eastAsia="Arial" w:hAnsi="Arial"/>
          <w:sz w:val="18"/>
          <w:szCs w:val="18"/>
          <w:color w:val="auto"/>
        </w:rPr>
        <w:t>The total fair value of shares vested during the thirteen weeks ended May 5, 2018 and April 29, 2017 was $1.7 million and $1.5 million, respectively and immaterial for the five weeks ended February 3, 2018.</w:t>
      </w:r>
    </w:p>
    <w:p>
      <w:pPr>
        <w:spacing w:after="0" w:line="170"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In March 2018, the Company awarded three-year performance-based restricted stock subject to the achievement of pre-established consolidated total pre-tax income growth objectives for fiscal 2018, 2019 and 2020. In addition, the Company awarded three-year performance-based restricted stock subject to the achievement of pre-established consolidated revenue growth objectives for fiscal 2018, 2019 and 2020. These shares have a payout opportunity ranging from 25% to 200% of the target number of shares. In 2017, the Company awarded three-year performance-based restricted stock subject to the achievement of pre-established pre-tax income growth objectives for 2017, 2018 and 2019. In 2016, the Company awarded three-year performance-based restricted stock subject to the achievement of pre-established cumulative total revenue goals for fiscal 2016, 2017 and 2018.</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outstanding performance shares as of May 5, 2018 and February 3, 2018 consist of the following:</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May 5 ,2018</w:t>
            </w:r>
          </w:p>
        </w:tc>
        <w:tc>
          <w:tcPr>
            <w:tcW w:w="200" w:type="dxa"/>
            <w:vAlign w:val="bottom"/>
          </w:tcPr>
          <w:p>
            <w:pPr>
              <w:spacing w:after="0"/>
              <w:rPr>
                <w:sz w:val="20"/>
                <w:szCs w:val="20"/>
                <w:color w:val="auto"/>
              </w:rPr>
            </w:pPr>
          </w:p>
        </w:tc>
        <w:tc>
          <w:tcPr>
            <w:tcW w:w="15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7"/>
              </w:rPr>
              <w:t>February 3, 2018</w:t>
            </w:r>
          </w:p>
        </w:tc>
        <w:tc>
          <w:tcPr>
            <w:tcW w:w="100" w:type="dxa"/>
            <w:vAlign w:val="bottom"/>
          </w:tcPr>
          <w:p>
            <w:pPr>
              <w:spacing w:after="0"/>
              <w:rPr>
                <w:sz w:val="20"/>
                <w:szCs w:val="20"/>
                <w:color w:val="auto"/>
              </w:rPr>
            </w:pPr>
          </w:p>
        </w:tc>
      </w:tr>
      <w:tr>
        <w:trPr>
          <w:trHeight w:val="209"/>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Earned shares subject to time-based restrictions at actual</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6,325</w:t>
            </w:r>
          </w:p>
        </w:tc>
      </w:tr>
      <w:tr>
        <w:trPr>
          <w:trHeight w:val="215"/>
        </w:trPr>
        <w:tc>
          <w:tcPr>
            <w:tcW w:w="6880" w:type="dxa"/>
            <w:vAlign w:val="bottom"/>
            <w:gridSpan w:val="2"/>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Unearned shares subject to performance-based restrictions at target:</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40" w:type="dxa"/>
            <w:vAlign w:val="bottom"/>
          </w:tcPr>
          <w:p>
            <w:pPr>
              <w:jc w:val="right"/>
              <w:spacing w:after="0"/>
              <w:rPr>
                <w:sz w:val="20"/>
                <w:szCs w:val="20"/>
                <w:color w:val="auto"/>
              </w:rPr>
            </w:pPr>
            <w:r>
              <w:rPr>
                <w:rFonts w:ascii="Arial" w:cs="Arial" w:eastAsia="Arial" w:hAnsi="Arial"/>
                <w:sz w:val="18"/>
                <w:szCs w:val="18"/>
                <w:color w:val="auto"/>
              </w:rPr>
              <w:t>2015</w:t>
            </w:r>
          </w:p>
        </w:tc>
        <w:tc>
          <w:tcPr>
            <w:tcW w:w="6340" w:type="dxa"/>
            <w:vAlign w:val="bottom"/>
          </w:tcPr>
          <w:p>
            <w:pPr>
              <w:ind w:left="20"/>
              <w:spacing w:after="0"/>
              <w:rPr>
                <w:sz w:val="20"/>
                <w:szCs w:val="20"/>
                <w:color w:val="auto"/>
              </w:rPr>
            </w:pPr>
            <w:r>
              <w:rPr>
                <w:rFonts w:ascii="Arial" w:cs="Arial" w:eastAsia="Arial" w:hAnsi="Arial"/>
                <w:sz w:val="18"/>
                <w:szCs w:val="18"/>
                <w:color w:val="auto"/>
              </w:rPr>
              <w:t>- 2017 consolidated total revenues</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r>
      <w:tr>
        <w:trPr>
          <w:trHeight w:val="215"/>
        </w:trPr>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- 2018 consolidated cumulative total revenues</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148,115</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149,393</w:t>
            </w:r>
          </w:p>
        </w:tc>
      </w:tr>
      <w:tr>
        <w:trPr>
          <w:trHeight w:val="215"/>
        </w:trPr>
        <w:tc>
          <w:tcPr>
            <w:tcW w:w="540" w:type="dxa"/>
            <w:vAlign w:val="bottom"/>
          </w:tcPr>
          <w:p>
            <w:pPr>
              <w:jc w:val="right"/>
              <w:spacing w:after="0"/>
              <w:rPr>
                <w:sz w:val="20"/>
                <w:szCs w:val="20"/>
                <w:color w:val="auto"/>
              </w:rPr>
            </w:pPr>
            <w:r>
              <w:rPr>
                <w:rFonts w:ascii="Arial" w:cs="Arial" w:eastAsia="Arial" w:hAnsi="Arial"/>
                <w:sz w:val="18"/>
                <w:szCs w:val="18"/>
                <w:color w:val="auto"/>
              </w:rPr>
              <w:t>2017</w:t>
            </w:r>
          </w:p>
        </w:tc>
        <w:tc>
          <w:tcPr>
            <w:tcW w:w="6340" w:type="dxa"/>
            <w:vAlign w:val="bottom"/>
          </w:tcPr>
          <w:p>
            <w:pPr>
              <w:ind w:left="20"/>
              <w:spacing w:after="0"/>
              <w:rPr>
                <w:sz w:val="20"/>
                <w:szCs w:val="20"/>
                <w:color w:val="auto"/>
              </w:rPr>
            </w:pPr>
            <w:r>
              <w:rPr>
                <w:rFonts w:ascii="Arial" w:cs="Arial" w:eastAsia="Arial" w:hAnsi="Arial"/>
                <w:sz w:val="18"/>
                <w:szCs w:val="18"/>
                <w:color w:val="auto"/>
              </w:rPr>
              <w:t>- 2019 consolidated pre-tax income growth objectives</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83,897</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83,897</w:t>
            </w:r>
          </w:p>
        </w:tc>
      </w:tr>
      <w:tr>
        <w:trPr>
          <w:trHeight w:val="215"/>
        </w:trPr>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- 2020 consolidated total revenues growth objectives</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20,756</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540" w:type="dxa"/>
            <w:vAlign w:val="bottom"/>
          </w:tcPr>
          <w:p>
            <w:pPr>
              <w:jc w:val="right"/>
              <w:spacing w:after="0"/>
              <w:rPr>
                <w:sz w:val="20"/>
                <w:szCs w:val="20"/>
                <w:color w:val="auto"/>
              </w:rPr>
            </w:pPr>
            <w:r>
              <w:rPr>
                <w:rFonts w:ascii="Arial" w:cs="Arial" w:eastAsia="Arial" w:hAnsi="Arial"/>
                <w:sz w:val="18"/>
                <w:szCs w:val="18"/>
                <w:color w:val="auto"/>
              </w:rPr>
              <w:t>2018</w:t>
            </w:r>
          </w:p>
        </w:tc>
        <w:tc>
          <w:tcPr>
            <w:tcW w:w="6340" w:type="dxa"/>
            <w:vAlign w:val="bottom"/>
          </w:tcPr>
          <w:p>
            <w:pPr>
              <w:ind w:left="20"/>
              <w:spacing w:after="0"/>
              <w:rPr>
                <w:sz w:val="20"/>
                <w:szCs w:val="20"/>
                <w:color w:val="auto"/>
              </w:rPr>
            </w:pPr>
            <w:r>
              <w:rPr>
                <w:rFonts w:ascii="Arial" w:cs="Arial" w:eastAsia="Arial" w:hAnsi="Arial"/>
                <w:sz w:val="18"/>
                <w:szCs w:val="18"/>
                <w:color w:val="auto"/>
              </w:rPr>
              <w:t>- 2020 consolidated pre-tax income growth objectives</w:t>
            </w:r>
          </w:p>
        </w:tc>
        <w:tc>
          <w:tcPr>
            <w:tcW w:w="1560" w:type="dxa"/>
            <w:vAlign w:val="bottom"/>
          </w:tcPr>
          <w:p>
            <w:pPr>
              <w:jc w:val="right"/>
              <w:spacing w:after="0"/>
              <w:rPr>
                <w:sz w:val="20"/>
                <w:szCs w:val="20"/>
                <w:color w:val="auto"/>
              </w:rPr>
            </w:pPr>
            <w:r>
              <w:rPr>
                <w:rFonts w:ascii="Arial" w:cs="Arial" w:eastAsia="Arial" w:hAnsi="Arial"/>
                <w:sz w:val="18"/>
                <w:szCs w:val="18"/>
                <w:color w:val="auto"/>
              </w:rPr>
              <w:t>62,500</w:t>
            </w:r>
          </w:p>
        </w:tc>
        <w:tc>
          <w:tcPr>
            <w:tcW w:w="20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shares outstanding, May 5, 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315,268</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289,615</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8" w:lineRule="exact"/>
        <w:rPr>
          <w:sz w:val="20"/>
          <w:szCs w:val="20"/>
          <w:color w:val="auto"/>
        </w:rPr>
      </w:pPr>
    </w:p>
    <w:p>
      <w:pPr>
        <w:ind w:right="40" w:firstLine="485"/>
        <w:spacing w:after="0" w:line="290" w:lineRule="auto"/>
        <w:rPr>
          <w:sz w:val="20"/>
          <w:szCs w:val="20"/>
          <w:color w:val="auto"/>
        </w:rPr>
      </w:pPr>
      <w:r>
        <w:rPr>
          <w:rFonts w:ascii="Arial" w:cs="Arial" w:eastAsia="Arial" w:hAnsi="Arial"/>
          <w:sz w:val="16"/>
          <w:szCs w:val="16"/>
          <w:color w:val="auto"/>
        </w:rPr>
        <w:t>For the thirteen weeks ended May 5, 2018, the effective tax rate was 45.2% compared to 40.6% for the thirteen weeks ended April 29, 2017. The fiscal 2018 effective tax differed from the statutory rate of 21% primarily due to a $0.1 million negative tax impact related to vested equity awards. The fiscal</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2017 effective tax rate differed from the statutory rate of 34% primarily due to a $0.2 million negative tax impact related to vested equity awards. For the five weeks ended February 3, 2018, the income tax provision was a benefit of $0.2 million with an effective tax rate of 17.8% compared to an income tax benefit of $0.4 million with an effective tax rate of 35.8% for the four weeks ended January 28, 2017 (See Note 12 —Transition Period Financial Information for additional information).</w:t>
      </w:r>
    </w:p>
    <w:p>
      <w:pPr>
        <w:spacing w:after="0" w:line="193" w:lineRule="exact"/>
        <w:rPr>
          <w:sz w:val="20"/>
          <w:szCs w:val="20"/>
          <w:color w:val="auto"/>
        </w:rPr>
      </w:pPr>
    </w:p>
    <w:p>
      <w:pPr>
        <w:ind w:left="140" w:right="220" w:firstLine="330"/>
        <w:spacing w:after="0" w:line="288" w:lineRule="auto"/>
        <w:rPr>
          <w:sz w:val="20"/>
          <w:szCs w:val="20"/>
          <w:color w:val="auto"/>
        </w:rPr>
      </w:pPr>
      <w:r>
        <w:rPr>
          <w:rFonts w:ascii="Arial" w:cs="Arial" w:eastAsia="Arial" w:hAnsi="Arial"/>
          <w:sz w:val="16"/>
          <w:szCs w:val="16"/>
          <w:color w:val="auto"/>
        </w:rPr>
        <w:t>On December 22, 2017, the Tax Cuts and Job Act ("Tax Reform Act") was enacted, which significantly changes U.S. tax law effective by, among other things, lowering corporate income tax statutory rate from 35% to 21%, implementing a territorial tax system and imposing a repatriation tax on deemed repatriated earnings of foreign subsidiaries. The Tax Reform Act was effective as of January 1, 2018. The Company recorded a provisional tax charge of $1.4 million for the re-measurement of its U.S. net deferred tax assets in fiscal 2017 but it does not anticipate a significant cost for the one-time transition tax on the deemed repatriation. The Global Intangible Low-Taxed Income ("GILTI") provisions of the Tax Reform Act require a company to include in its U.S. income tax return foreign subsidiary earnings in excess of an allowable return on the foreign subsidiary’s tangible assets. The Base-Eroding Anti-abuse Tax (“BEAT”) provisions of the Tax Reform Act assess tax on certain payments made by a U.S. company to a related foreign company. The Company does not expect the incremental tax cost due to GILTI or BEAT to be significant. In accordance with SAB 118 the financial reporting impact of the Tax Reform Act is expected to be completed in the fourth quarter of fiscal 2018.</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changes in stockholders’ equity (in thousands) for the periods ended May 5, 2018, April 29, 2017 and February 3, 2018:</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Thirteen week periods</w:t>
            </w:r>
          </w:p>
        </w:tc>
        <w:tc>
          <w:tcPr>
            <w:tcW w:w="360" w:type="dxa"/>
            <w:vAlign w:val="bottom"/>
          </w:tcPr>
          <w:p>
            <w:pPr>
              <w:spacing w:after="0"/>
              <w:rPr>
                <w:sz w:val="20"/>
                <w:szCs w:val="20"/>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88"/>
              </w:rPr>
              <w:t>Four or five week periods</w:t>
            </w:r>
          </w:p>
        </w:tc>
      </w:tr>
      <w:tr>
        <w:trPr>
          <w:trHeight w:val="190"/>
        </w:trPr>
        <w:tc>
          <w:tcPr>
            <w:tcW w:w="46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00"/>
              <w:spacing w:after="0" w:line="190" w:lineRule="exact"/>
              <w:rPr>
                <w:sz w:val="20"/>
                <w:szCs w:val="20"/>
                <w:color w:val="auto"/>
              </w:rPr>
            </w:pPr>
            <w:r>
              <w:rPr>
                <w:rFonts w:ascii="Arial" w:cs="Arial" w:eastAsia="Arial" w:hAnsi="Arial"/>
                <w:sz w:val="18"/>
                <w:szCs w:val="18"/>
                <w:b w:val="1"/>
                <w:bCs w:val="1"/>
                <w:color w:val="auto"/>
                <w:w w:val="92"/>
              </w:rPr>
              <w:t>February 3,</w:t>
            </w: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10"/>
              <w:spacing w:after="0" w:line="190" w:lineRule="exact"/>
              <w:rPr>
                <w:sz w:val="20"/>
                <w:szCs w:val="20"/>
                <w:color w:val="auto"/>
              </w:rPr>
            </w:pPr>
            <w:r>
              <w:rPr>
                <w:rFonts w:ascii="Arial" w:cs="Arial" w:eastAsia="Arial" w:hAnsi="Arial"/>
                <w:sz w:val="18"/>
                <w:szCs w:val="18"/>
                <w:b w:val="1"/>
                <w:bCs w:val="1"/>
                <w:color w:val="auto"/>
                <w:w w:val="90"/>
              </w:rPr>
              <w:t>January 28,</w:t>
            </w:r>
          </w:p>
        </w:tc>
        <w:tc>
          <w:tcPr>
            <w:tcW w:w="280" w:type="dxa"/>
            <w:vAlign w:val="bottom"/>
          </w:tcPr>
          <w:p>
            <w:pPr>
              <w:spacing w:after="0"/>
              <w:rPr>
                <w:sz w:val="16"/>
                <w:szCs w:val="16"/>
                <w:color w:val="auto"/>
              </w:rPr>
            </w:pPr>
          </w:p>
        </w:tc>
        <w:tc>
          <w:tcPr>
            <w:tcW w:w="1440" w:type="dxa"/>
            <w:vAlign w:val="bottom"/>
            <w:tcBorders>
              <w:top w:val="single" w:sz="8" w:color="auto"/>
            </w:tcBorders>
            <w:gridSpan w:val="3"/>
          </w:tcPr>
          <w:p>
            <w:pPr>
              <w:spacing w:after="0" w:line="190" w:lineRule="exact"/>
              <w:rPr>
                <w:sz w:val="20"/>
                <w:szCs w:val="20"/>
                <w:color w:val="auto"/>
              </w:rPr>
            </w:pPr>
            <w:r>
              <w:rPr>
                <w:rFonts w:ascii="Arial" w:cs="Arial" w:eastAsia="Arial" w:hAnsi="Arial"/>
                <w:sz w:val="18"/>
                <w:szCs w:val="18"/>
                <w:b w:val="1"/>
                <w:bCs w:val="1"/>
                <w:color w:val="auto"/>
              </w:rPr>
              <w:t>December 30,</w:t>
            </w:r>
          </w:p>
        </w:tc>
        <w:tc>
          <w:tcPr>
            <w:tcW w:w="1240" w:type="dxa"/>
            <w:vAlign w:val="bottom"/>
            <w:tcBorders>
              <w:top w:val="single" w:sz="8" w:color="auto"/>
            </w:tcBorders>
            <w:gridSpan w:val="2"/>
          </w:tcPr>
          <w:p>
            <w:pPr>
              <w:spacing w:after="0" w:line="190" w:lineRule="exact"/>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6"/>
                <w:szCs w:val="16"/>
                <w:color w:val="auto"/>
              </w:rPr>
            </w:pPr>
          </w:p>
        </w:tc>
      </w:tr>
      <w:tr>
        <w:trPr>
          <w:trHeight w:val="215"/>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2018 to</w:t>
            </w:r>
          </w:p>
        </w:tc>
        <w:tc>
          <w:tcPr>
            <w:tcW w:w="12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2017 to</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2017 to</w:t>
            </w:r>
          </w:p>
        </w:tc>
        <w:tc>
          <w:tcPr>
            <w:tcW w:w="660" w:type="dxa"/>
            <w:vAlign w:val="bottom"/>
          </w:tcPr>
          <w:p>
            <w:pPr>
              <w:spacing w:after="0"/>
              <w:rPr>
                <w:sz w:val="20"/>
                <w:szCs w:val="20"/>
                <w:color w:val="auto"/>
              </w:rPr>
            </w:pPr>
            <w:r>
              <w:rPr>
                <w:rFonts w:ascii="Arial" w:cs="Arial" w:eastAsia="Arial" w:hAnsi="Arial"/>
                <w:sz w:val="18"/>
                <w:szCs w:val="18"/>
                <w:b w:val="1"/>
                <w:bCs w:val="1"/>
                <w:color w:val="auto"/>
              </w:rPr>
              <w:t>2016 to</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February 3,</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January 28,</w:t>
            </w:r>
          </w:p>
        </w:tc>
      </w:tr>
      <w:tr>
        <w:trPr>
          <w:trHeight w:val="234"/>
        </w:trPr>
        <w:tc>
          <w:tcPr>
            <w:tcW w:w="4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May 5, 2018</w:t>
            </w:r>
          </w:p>
        </w:tc>
        <w:tc>
          <w:tcPr>
            <w:tcW w:w="20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April 29, 2017</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2018</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112,102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99,514</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107,315</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99,112</w:t>
            </w:r>
          </w:p>
        </w:tc>
      </w:tr>
      <w:tr>
        <w:trPr>
          <w:trHeight w:val="215"/>
        </w:trPr>
        <w:tc>
          <w:tcPr>
            <w:tcW w:w="460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1,192</w:t>
            </w:r>
          </w:p>
        </w:tc>
        <w:tc>
          <w:tcPr>
            <w:tcW w:w="3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214</w:t>
            </w:r>
          </w:p>
        </w:tc>
        <w:tc>
          <w:tcPr>
            <w:tcW w:w="6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r>
      <w:tr>
        <w:trPr>
          <w:trHeight w:val="215"/>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under employee stock plans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4600" w:type="dxa"/>
            <w:vAlign w:val="bottom"/>
          </w:tcPr>
          <w:p>
            <w:pPr>
              <w:ind w:left="160"/>
              <w:spacing w:after="0"/>
              <w:rPr>
                <w:sz w:val="20"/>
                <w:szCs w:val="20"/>
                <w:color w:val="auto"/>
              </w:rPr>
            </w:pPr>
            <w:r>
              <w:rPr>
                <w:rFonts w:ascii="Arial" w:cs="Arial" w:eastAsia="Arial" w:hAnsi="Arial"/>
                <w:sz w:val="18"/>
                <w:szCs w:val="18"/>
                <w:color w:val="auto"/>
              </w:rPr>
              <w:t>Adoption of new accounting standards</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9,253</w:t>
            </w:r>
          </w:p>
        </w:tc>
        <w:tc>
          <w:tcPr>
            <w:tcW w:w="6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822</w:t>
            </w:r>
          </w:p>
        </w:tc>
      </w:tr>
      <w:tr>
        <w:trPr>
          <w:trHeight w:val="215"/>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repurchase and retirement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(4,597)</w:t>
            </w:r>
          </w:p>
        </w:tc>
        <w:tc>
          <w:tcPr>
            <w:tcW w:w="6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460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436</w:t>
            </w:r>
          </w:p>
        </w:tc>
        <w:tc>
          <w:tcPr>
            <w:tcW w:w="3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762</w:t>
            </w:r>
          </w:p>
        </w:tc>
        <w:tc>
          <w:tcPr>
            <w:tcW w:w="6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r>
      <w:tr>
        <w:trPr>
          <w:trHeight w:val="215"/>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(845)</w:t>
            </w:r>
          </w:p>
        </w:tc>
        <w:tc>
          <w:tcPr>
            <w:tcW w:w="6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(760)</w:t>
            </w:r>
          </w:p>
        </w:tc>
      </w:tr>
      <w:tr>
        <w:trPr>
          <w:trHeight w:val="215"/>
        </w:trPr>
        <w:tc>
          <w:tcPr>
            <w:tcW w:w="4600" w:type="dxa"/>
            <w:vAlign w:val="bottom"/>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111,417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103,412</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112,102</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99,514</w:t>
            </w: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right="460" w:firstLine="323"/>
        <w:spacing w:after="0" w:line="340" w:lineRule="auto"/>
        <w:rPr>
          <w:sz w:val="20"/>
          <w:szCs w:val="20"/>
          <w:color w:val="auto"/>
        </w:rPr>
      </w:pPr>
      <w:r>
        <w:rPr>
          <w:rFonts w:ascii="Arial" w:cs="Arial" w:eastAsia="Arial" w:hAnsi="Arial"/>
          <w:sz w:val="16"/>
          <w:szCs w:val="16"/>
          <w:color w:val="auto"/>
        </w:rPr>
        <w:t>In August 2017, the Company’s Board of Directors authorized a share repurchase program of up to $20 million. From the date of such authorization through May 5, 2018, the Company has repurchased 1.1 million shares at an average price of $8.86 per share for an aggregate amount of $10.0 million.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per Share</w:t>
      </w:r>
    </w:p>
    <w:p>
      <w:pPr>
        <w:spacing w:after="0" w:line="228" w:lineRule="exact"/>
        <w:rPr>
          <w:sz w:val="20"/>
          <w:szCs w:val="20"/>
          <w:color w:val="auto"/>
        </w:rPr>
      </w:pPr>
    </w:p>
    <w:p>
      <w:pPr>
        <w:ind w:right="100" w:firstLine="323"/>
        <w:spacing w:after="0" w:line="262" w:lineRule="auto"/>
        <w:rPr>
          <w:sz w:val="20"/>
          <w:szCs w:val="20"/>
          <w:color w:val="auto"/>
        </w:rPr>
      </w:pPr>
      <w:r>
        <w:rPr>
          <w:rFonts w:ascii="Arial" w:cs="Arial" w:eastAsia="Arial" w:hAnsi="Arial"/>
          <w:sz w:val="18"/>
          <w:szCs w:val="18"/>
          <w:color w:val="auto"/>
        </w:rPr>
        <w:t>The Company uses the two-class method to compute basic and diluted net income or loss per common share. In periods of net loss, no effect is given to the Company’s participating securities as they do not contractually participate in the losses of the Company. The following table sets forth the computation of basic and diluted net income per share (in thousands, except share and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20" w:type="dxa"/>
            <w:vAlign w:val="bottom"/>
            <w:gridSpan w:val="6"/>
          </w:tcPr>
          <w:p>
            <w:pPr>
              <w:ind w:left="58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5 weeks ended</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80"/>
              <w:spacing w:after="0" w:line="190" w:lineRule="exact"/>
              <w:rPr>
                <w:sz w:val="20"/>
                <w:szCs w:val="20"/>
                <w:color w:val="auto"/>
              </w:rPr>
            </w:pPr>
            <w:r>
              <w:rPr>
                <w:rFonts w:ascii="Arial" w:cs="Arial" w:eastAsia="Arial" w:hAnsi="Arial"/>
                <w:sz w:val="18"/>
                <w:szCs w:val="18"/>
                <w:b w:val="1"/>
                <w:bCs w:val="1"/>
                <w:color w:val="auto"/>
              </w:rPr>
              <w:t>May 5,</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430"/>
              <w:spacing w:after="0" w:line="190" w:lineRule="exact"/>
              <w:rPr>
                <w:sz w:val="20"/>
                <w:szCs w:val="20"/>
                <w:color w:val="auto"/>
              </w:rPr>
            </w:pPr>
            <w:r>
              <w:rPr>
                <w:rFonts w:ascii="Arial" w:cs="Arial" w:eastAsia="Arial" w:hAnsi="Arial"/>
                <w:sz w:val="18"/>
                <w:szCs w:val="18"/>
                <w:b w:val="1"/>
                <w:bCs w:val="1"/>
                <w:color w:val="auto"/>
              </w:rPr>
              <w:t>April 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20"/>
              <w:spacing w:after="0" w:line="190" w:lineRule="exact"/>
              <w:rPr>
                <w:sz w:val="20"/>
                <w:szCs w:val="20"/>
                <w:color w:val="auto"/>
              </w:rPr>
            </w:pPr>
            <w:r>
              <w:rPr>
                <w:rFonts w:ascii="Arial" w:cs="Arial" w:eastAsia="Arial" w:hAnsi="Arial"/>
                <w:sz w:val="18"/>
                <w:szCs w:val="18"/>
                <w:b w:val="1"/>
                <w:bCs w:val="1"/>
                <w:color w:val="auto"/>
                <w:w w:val="92"/>
              </w:rPr>
              <w:t>February 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17"/>
                <w:szCs w:val="17"/>
                <w:color w:val="auto"/>
              </w:rPr>
            </w:pPr>
          </w:p>
        </w:tc>
        <w:tc>
          <w:tcPr>
            <w:tcW w:w="4540" w:type="dxa"/>
            <w:vAlign w:val="bottom"/>
          </w:tcPr>
          <w:p>
            <w:pPr>
              <w:ind w:left="320"/>
              <w:spacing w:after="0" w:line="201" w:lineRule="exact"/>
              <w:rPr>
                <w:sz w:val="20"/>
                <w:szCs w:val="20"/>
                <w:color w:val="auto"/>
              </w:rPr>
            </w:pPr>
            <w:r>
              <w:rPr>
                <w:rFonts w:ascii="Arial" w:cs="Arial" w:eastAsia="Arial" w:hAnsi="Arial"/>
                <w:sz w:val="18"/>
                <w:szCs w:val="18"/>
                <w:color w:val="auto"/>
              </w:rPr>
              <w:t>Net income (loss) before allocation of earnings</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354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to participating securities</w:t>
            </w:r>
          </w:p>
        </w:tc>
        <w:tc>
          <w:tcPr>
            <w:tcW w:w="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gridSpan w:val="2"/>
            <w:vMerge w:val="continue"/>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2,629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7"/>
              </w:rPr>
              <w:t>Less: Earnings allocated to participating securities</w:t>
            </w:r>
          </w:p>
        </w:tc>
        <w:tc>
          <w:tcPr>
            <w:tcW w:w="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2,569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vMerge w:val="restart"/>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8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DENOMINATOR:</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17"/>
                <w:szCs w:val="17"/>
                <w:color w:val="auto"/>
              </w:rPr>
            </w:pPr>
          </w:p>
        </w:tc>
        <w:tc>
          <w:tcPr>
            <w:tcW w:w="45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0"/>
              </w:rPr>
              <w:t>Weighted average number of common shares outstanding</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14,582,573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basic</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15,561,804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14,860,511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4540" w:type="dxa"/>
            <w:vAlign w:val="bottom"/>
          </w:tcPr>
          <w:p>
            <w:pPr>
              <w:ind w:left="640"/>
              <w:spacing w:after="0"/>
              <w:rPr>
                <w:sz w:val="20"/>
                <w:szCs w:val="20"/>
                <w:color w:val="auto"/>
              </w:rPr>
            </w:pPr>
            <w:r>
              <w:rPr>
                <w:rFonts w:ascii="Arial" w:cs="Arial" w:eastAsia="Arial" w:hAnsi="Arial"/>
                <w:sz w:val="18"/>
                <w:szCs w:val="18"/>
                <w:color w:val="auto"/>
              </w:rPr>
              <w:t>Dilutive effect of share-based awards:</w:t>
            </w: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140,416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4540" w:type="dxa"/>
            <w:vAlign w:val="bottom"/>
            <w:shd w:val="clear" w:color="auto" w:fill="CCEEFF"/>
          </w:tcPr>
          <w:p>
            <w:pPr>
              <w:ind w:left="320"/>
              <w:spacing w:after="0" w:line="195" w:lineRule="exact"/>
              <w:rPr>
                <w:sz w:val="20"/>
                <w:szCs w:val="20"/>
                <w:color w:val="auto"/>
              </w:rPr>
            </w:pPr>
            <w:r>
              <w:rPr>
                <w:rFonts w:ascii="Arial" w:cs="Arial" w:eastAsia="Arial" w:hAnsi="Arial"/>
                <w:sz w:val="18"/>
                <w:szCs w:val="18"/>
                <w:color w:val="auto"/>
                <w:w w:val="90"/>
              </w:rPr>
              <w:t>Weighted average number of common shares outstanding</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14,722,989</w:t>
            </w:r>
          </w:p>
        </w:tc>
        <w:tc>
          <w:tcPr>
            <w:tcW w:w="100" w:type="dxa"/>
            <w:vAlign w:val="bottom"/>
            <w:vMerge w:val="restart"/>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15,695,322</w:t>
            </w:r>
          </w:p>
        </w:tc>
        <w:tc>
          <w:tcPr>
            <w:tcW w:w="100" w:type="dxa"/>
            <w:vAlign w:val="bottom"/>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14,860,511</w:t>
            </w:r>
          </w:p>
        </w:tc>
        <w:tc>
          <w:tcPr>
            <w:tcW w:w="100" w:type="dxa"/>
            <w:vAlign w:val="bottom"/>
            <w:vMerge w:val="restart"/>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540" w:type="dxa"/>
            <w:vAlign w:val="bottom"/>
            <w:tcBorders>
              <w:bottom w:val="single" w:sz="8" w:color="CCEEFF"/>
            </w:tcBorders>
            <w:shd w:val="clear" w:color="auto" w:fill="CCEEFF"/>
          </w:tcPr>
          <w:p>
            <w:pPr>
              <w:ind w:left="480"/>
              <w:spacing w:after="0" w:line="189" w:lineRule="exact"/>
              <w:rPr>
                <w:sz w:val="20"/>
                <w:szCs w:val="20"/>
                <w:color w:val="auto"/>
              </w:rPr>
            </w:pPr>
            <w:r>
              <w:rPr>
                <w:rFonts w:ascii="Arial" w:cs="Arial" w:eastAsia="Arial" w:hAnsi="Arial"/>
                <w:sz w:val="18"/>
                <w:szCs w:val="18"/>
                <w:color w:val="auto"/>
              </w:rPr>
              <w:t>- dilutive</w:t>
            </w: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980" w:type="dxa"/>
            <w:vAlign w:val="bottom"/>
          </w:tcPr>
          <w:p>
            <w:pPr>
              <w:spacing w:after="0"/>
              <w:rPr>
                <w:sz w:val="15"/>
                <w:szCs w:val="15"/>
                <w:color w:val="auto"/>
              </w:rPr>
            </w:pPr>
          </w:p>
        </w:tc>
        <w:tc>
          <w:tcPr>
            <w:tcW w:w="4540" w:type="dxa"/>
            <w:vAlign w:val="bottom"/>
          </w:tcPr>
          <w:p>
            <w:pPr>
              <w:ind w:left="160"/>
              <w:spacing w:after="0" w:line="182" w:lineRule="exact"/>
              <w:rPr>
                <w:sz w:val="20"/>
                <w:szCs w:val="20"/>
                <w:color w:val="auto"/>
              </w:rPr>
            </w:pPr>
            <w:r>
              <w:rPr>
                <w:rFonts w:ascii="Arial" w:cs="Arial" w:eastAsia="Arial" w:hAnsi="Arial"/>
                <w:sz w:val="18"/>
                <w:szCs w:val="18"/>
                <w:color w:val="auto"/>
                <w:w w:val="91"/>
              </w:rPr>
              <w:t>Basic income (loss) per common share attributable to Build-</w:t>
            </w:r>
          </w:p>
        </w:tc>
        <w:tc>
          <w:tcPr>
            <w:tcW w:w="460" w:type="dxa"/>
            <w:vAlign w:val="bottom"/>
            <w:gridSpan w:val="2"/>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0.02</w:t>
            </w: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0.17</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4540" w:type="dxa"/>
            <w:vAlign w:val="bottom"/>
          </w:tcPr>
          <w:p>
            <w:pPr>
              <w:ind w:left="320"/>
              <w:spacing w:after="0" w:line="189" w:lineRule="exact"/>
              <w:rPr>
                <w:sz w:val="20"/>
                <w:szCs w:val="20"/>
                <w:color w:val="auto"/>
              </w:rPr>
            </w:pPr>
            <w:r>
              <w:rPr>
                <w:rFonts w:ascii="Arial" w:cs="Arial" w:eastAsia="Arial" w:hAnsi="Arial"/>
                <w:sz w:val="18"/>
                <w:szCs w:val="18"/>
                <w:color w:val="auto"/>
              </w:rPr>
              <w:t>A-Bear Workshop, Inc. stockholders</w:t>
            </w:r>
          </w:p>
        </w:tc>
        <w:tc>
          <w:tcPr>
            <w:tcW w:w="46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80" w:type="dxa"/>
            <w:vAlign w:val="bottom"/>
          </w:tcPr>
          <w:p>
            <w:pPr>
              <w:spacing w:after="0"/>
              <w:rPr>
                <w:sz w:val="15"/>
                <w:szCs w:val="15"/>
                <w:color w:val="auto"/>
              </w:rPr>
            </w:pPr>
          </w:p>
        </w:tc>
        <w:tc>
          <w:tcPr>
            <w:tcW w:w="454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Diluted income (loss) per common share attributable</w:t>
            </w:r>
          </w:p>
        </w:tc>
        <w:tc>
          <w:tcPr>
            <w:tcW w:w="460" w:type="dxa"/>
            <w:vAlign w:val="bottom"/>
            <w:gridSpan w:val="2"/>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0.02</w:t>
            </w: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54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to Build-A-Bear Workshop, Inc. stockholders</w:t>
            </w:r>
          </w:p>
        </w:tc>
        <w:tc>
          <w:tcPr>
            <w:tcW w:w="460" w:type="dxa"/>
            <w:vAlign w:val="bottom"/>
            <w:gridSpan w:val="2"/>
            <w:vMerge w:val="continue"/>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980" w:type="dxa"/>
            <w:vAlign w:val="bottom"/>
          </w:tcPr>
          <w:p>
            <w:pPr>
              <w:spacing w:after="0"/>
              <w:rPr>
                <w:sz w:val="24"/>
                <w:szCs w:val="24"/>
                <w:color w:val="auto"/>
              </w:rPr>
            </w:pPr>
          </w:p>
        </w:tc>
        <w:tc>
          <w:tcPr>
            <w:tcW w:w="45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12</w:t>
            </w: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80" w:type="dxa"/>
            <w:vAlign w:val="bottom"/>
            <w:tcBorders>
              <w:bottom w:val="single" w:sz="8" w:color="auto"/>
            </w:tcBorders>
          </w:tcPr>
          <w:p>
            <w:pPr>
              <w:spacing w:after="0"/>
              <w:rPr>
                <w:sz w:val="9"/>
                <w:szCs w:val="9"/>
                <w:color w:val="auto"/>
              </w:rPr>
            </w:pPr>
          </w:p>
        </w:tc>
        <w:tc>
          <w:tcPr>
            <w:tcW w:w="4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80" w:firstLine="323"/>
        <w:spacing w:after="0" w:line="310" w:lineRule="auto"/>
        <w:rPr>
          <w:sz w:val="20"/>
          <w:szCs w:val="20"/>
          <w:color w:val="auto"/>
        </w:rPr>
      </w:pPr>
      <w:r>
        <w:rPr>
          <w:rFonts w:ascii="Arial" w:cs="Arial" w:eastAsia="Arial" w:hAnsi="Arial"/>
          <w:sz w:val="16"/>
          <w:szCs w:val="16"/>
          <w:color w:val="auto"/>
        </w:rPr>
        <w:t>In calculating diluted income per share for the thirteen week period ended May 5, 2018, options to purchase 478,996 shares of common stock, that were outstanding at the end of the period were not included in the computation of diluted income per share due to their anti-dilutive effect. For the thirteen week period ended April 29, 2017, the number of options to purchase common shares that were excluded from the calculation was 353,328 shares.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(Loss)</w:t>
      </w:r>
    </w:p>
    <w:p>
      <w:pPr>
        <w:spacing w:after="0" w:line="228" w:lineRule="exact"/>
        <w:rPr>
          <w:sz w:val="20"/>
          <w:szCs w:val="20"/>
          <w:color w:val="auto"/>
        </w:rPr>
      </w:pPr>
    </w:p>
    <w:p>
      <w:pPr>
        <w:ind w:firstLine="323"/>
        <w:spacing w:after="0" w:line="258" w:lineRule="auto"/>
        <w:rPr>
          <w:sz w:val="20"/>
          <w:szCs w:val="20"/>
          <w:color w:val="auto"/>
        </w:rPr>
      </w:pPr>
      <w:r>
        <w:rPr>
          <w:rFonts w:ascii="Arial" w:cs="Arial" w:eastAsia="Arial" w:hAnsi="Arial"/>
          <w:sz w:val="18"/>
          <w:szCs w:val="18"/>
          <w:color w:val="auto"/>
        </w:rPr>
        <w:t>The difference between comprehensive income or loss and net income or loss results from foreign currency translation adjustments on the balance sheets of subsidiaries whose functional currency is not the U.S. Dollar. The accumulated other comprehensive income (loss) balance at May 5, 2018 and April 29, 2017 was comprised entirely of foreign currency translation. For the thirteen weeks ended May 5, 2018 and April 29, 2017, and the five weeks ended February 3, 2018, there were no reclassifications out of accumulated other comprehensive loss.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228" w:lineRule="exact"/>
        <w:rPr>
          <w:sz w:val="20"/>
          <w:szCs w:val="20"/>
          <w:color w:val="auto"/>
        </w:rPr>
      </w:pPr>
    </w:p>
    <w:p>
      <w:pPr>
        <w:ind w:right="60" w:firstLine="323"/>
        <w:spacing w:after="0" w:line="269" w:lineRule="auto"/>
        <w:rPr>
          <w:sz w:val="20"/>
          <w:szCs w:val="20"/>
          <w:color w:val="auto"/>
        </w:rPr>
      </w:pPr>
      <w:r>
        <w:rPr>
          <w:rFonts w:ascii="Arial" w:cs="Arial" w:eastAsia="Arial" w:hAnsi="Arial"/>
          <w:sz w:val="17"/>
          <w:szCs w:val="17"/>
          <w:color w:val="auto"/>
        </w:rPr>
        <w:t>The Company’s operations are conducted through three operating segments consisting of direct-to-consumer (DTC), commercial and international franchising. The DTC segment includes the operating activities of corporately-managed stores in the United States, Canada, the United Kingdom, Ireland, Denmark and China and other retail delivery operations, including the Company’s ecommerce sites and temporary stores. The international franchising segment includes the licensing activities of the Company’s franchisees with store locations in Europe (outside of the United Kingdom, Ireland and Denmark), Asia, Australia, the Middle East, Africa and Mexico. The commercial segment includes the Company’s transactions with other businesses, mainly comprised of licensing the Company’s intellectual properties for third party use and wholesale activities.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Direct-to-</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International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Consumer</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Commercial</w:t>
            </w:r>
          </w:p>
        </w:tc>
        <w:tc>
          <w:tcPr>
            <w:tcW w:w="10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Franchising</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0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May 5, 2018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81,425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740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83,184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income before income taxes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3,030</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3,030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4,116</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Thirteen weeks ended April 29, 2017</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88,743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91,203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3,478</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4,424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3,889</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3,907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Five weeks ended February 3, 2018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29,586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279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30,223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income before income taxes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1,270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Assets as of:</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May 5, 2018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161,497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172,654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April 29, 2017</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183,278</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191,377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13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69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30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ind w:right="240" w:firstLine="565"/>
        <w:spacing w:after="0" w:line="310"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each offers.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144" w:lineRule="exact"/>
        <w:rPr>
          <w:sz w:val="20"/>
          <w:szCs w:val="20"/>
          <w:color w:val="auto"/>
        </w:rPr>
      </w:pPr>
    </w:p>
    <w:tbl>
      <w:tblPr>
        <w:tblLayout w:type="fixed"/>
        <w:tblInd w:w="1300" w:type="dxa"/>
        <w:tblCellMar>
          <w:top w:w="0" w:type="dxa"/>
          <w:left w:w="0" w:type="dxa"/>
          <w:bottom w:w="0" w:type="dxa"/>
          <w:right w:w="0" w:type="dxa"/>
        </w:tblCellMar>
      </w:tblPr>
      <w:tr>
        <w:trPr>
          <w:trHeight w:val="219"/>
        </w:trPr>
        <w:tc>
          <w:tcPr>
            <w:tcW w:w="3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North</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70"/>
        </w:trPr>
        <w:tc>
          <w:tcPr>
            <w:tcW w:w="3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ind w:right="240"/>
              <w:spacing w:after="0" w:line="270" w:lineRule="exact"/>
              <w:rPr>
                <w:sz w:val="20"/>
                <w:szCs w:val="20"/>
                <w:color w:val="auto"/>
              </w:rPr>
            </w:pPr>
            <w:r>
              <w:rPr>
                <w:rFonts w:ascii="Arial" w:cs="Arial" w:eastAsia="Arial" w:hAnsi="Arial"/>
                <w:sz w:val="18"/>
                <w:szCs w:val="18"/>
                <w:b w:val="1"/>
                <w:bCs w:val="1"/>
                <w:color w:val="auto"/>
                <w:w w:val="88"/>
              </w:rPr>
              <w:t xml:space="preserve">America </w:t>
            </w:r>
            <w:r>
              <w:rPr>
                <w:rFonts w:ascii="Arial" w:cs="Arial" w:eastAsia="Arial" w:hAnsi="Arial"/>
                <w:sz w:val="29"/>
                <w:szCs w:val="29"/>
                <w:b w:val="1"/>
                <w:bCs w:val="1"/>
                <w:color w:val="auto"/>
                <w:w w:val="88"/>
                <w:vertAlign w:val="superscript"/>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jc w:val="right"/>
              <w:ind w:right="460"/>
              <w:spacing w:after="0" w:line="270" w:lineRule="exact"/>
              <w:rPr>
                <w:sz w:val="20"/>
                <w:szCs w:val="20"/>
                <w:color w:val="auto"/>
              </w:rPr>
            </w:pPr>
            <w:r>
              <w:rPr>
                <w:rFonts w:ascii="Arial" w:cs="Arial" w:eastAsia="Arial" w:hAnsi="Arial"/>
                <w:sz w:val="18"/>
                <w:szCs w:val="18"/>
                <w:b w:val="1"/>
                <w:bCs w:val="1"/>
                <w:color w:val="auto"/>
                <w:w w:val="92"/>
              </w:rPr>
              <w:t xml:space="preserve">Europe </w:t>
            </w:r>
            <w:r>
              <w:rPr>
                <w:rFonts w:ascii="Arial" w:cs="Arial" w:eastAsia="Arial" w:hAnsi="Arial"/>
                <w:sz w:val="29"/>
                <w:szCs w:val="29"/>
                <w:b w:val="1"/>
                <w:bCs w:val="1"/>
                <w:color w:val="auto"/>
                <w:w w:val="92"/>
                <w:vertAlign w:val="superscript"/>
              </w:rPr>
              <w:t>(2)</w:t>
            </w:r>
          </w:p>
        </w:tc>
        <w:tc>
          <w:tcPr>
            <w:tcW w:w="200" w:type="dxa"/>
            <w:vAlign w:val="bottom"/>
          </w:tcPr>
          <w:p>
            <w:pPr>
              <w:spacing w:after="0"/>
              <w:rPr>
                <w:sz w:val="23"/>
                <w:szCs w:val="23"/>
                <w:color w:val="auto"/>
              </w:rPr>
            </w:pPr>
          </w:p>
        </w:tc>
        <w:tc>
          <w:tcPr>
            <w:tcW w:w="1200" w:type="dxa"/>
            <w:vAlign w:val="bottom"/>
            <w:gridSpan w:val="2"/>
          </w:tcPr>
          <w:p>
            <w:pPr>
              <w:ind w:left="120"/>
              <w:spacing w:after="0" w:line="270" w:lineRule="exact"/>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9"/>
                <w:szCs w:val="29"/>
                <w:b w:val="1"/>
                <w:bCs w:val="1"/>
                <w:color w:val="auto"/>
                <w:vertAlign w:val="superscript"/>
              </w:rPr>
              <w:t>(3)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May 5, 2018</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37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69,968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12,826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83,184</w:t>
            </w:r>
          </w:p>
        </w:tc>
      </w:tr>
      <w:tr>
        <w:trPr>
          <w:trHeight w:val="215"/>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76,410</w:t>
            </w:r>
          </w:p>
        </w:tc>
      </w:tr>
      <w:tr>
        <w:trPr>
          <w:trHeight w:val="215"/>
        </w:trPr>
        <w:tc>
          <w:tcPr>
            <w:tcW w:w="3760" w:type="dxa"/>
            <w:vAlign w:val="bottom"/>
          </w:tcPr>
          <w:p>
            <w:pPr>
              <w:spacing w:after="0"/>
              <w:rPr>
                <w:sz w:val="20"/>
                <w:szCs w:val="20"/>
                <w:color w:val="auto"/>
              </w:rPr>
            </w:pPr>
            <w:r>
              <w:rPr>
                <w:rFonts w:ascii="Arial" w:cs="Arial" w:eastAsia="Arial" w:hAnsi="Arial"/>
                <w:sz w:val="18"/>
                <w:szCs w:val="18"/>
                <w:color w:val="auto"/>
              </w:rPr>
              <w:t>Thirteen weeks ended April 29, 2017</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76,743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14,036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91,203</w:t>
            </w:r>
          </w:p>
        </w:tc>
      </w:tr>
      <w:tr>
        <w:trPr>
          <w:trHeight w:val="215"/>
        </w:trPr>
        <w:tc>
          <w:tcPr>
            <w:tcW w:w="37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64,641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9,261</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73,937</w:t>
            </w:r>
          </w:p>
        </w:tc>
      </w:tr>
      <w:tr>
        <w:trPr>
          <w:trHeight w:val="215"/>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Five weeks ended February 3, 2018</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7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24,575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5,471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30,223</w:t>
            </w:r>
          </w:p>
        </w:tc>
      </w:tr>
    </w:tbl>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1600" w:hanging="300"/>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international franchising revenue in Mexico</w:t>
      </w:r>
    </w:p>
    <w:p>
      <w:pPr>
        <w:spacing w:after="0" w:line="8" w:lineRule="exact"/>
        <w:rPr>
          <w:rFonts w:ascii="Arial" w:cs="Arial" w:eastAsia="Arial" w:hAnsi="Arial"/>
          <w:sz w:val="18"/>
          <w:szCs w:val="18"/>
          <w:color w:val="auto"/>
        </w:rPr>
      </w:pPr>
    </w:p>
    <w:p>
      <w:pPr>
        <w:ind w:left="1600" w:hanging="300"/>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Europe includes the United Kingdom, Ireland, Denmark and international franchising revenue in Europe</w:t>
      </w:r>
    </w:p>
    <w:p>
      <w:pPr>
        <w:spacing w:after="0" w:line="8" w:lineRule="exact"/>
        <w:rPr>
          <w:rFonts w:ascii="Arial" w:cs="Arial" w:eastAsia="Arial" w:hAnsi="Arial"/>
          <w:sz w:val="18"/>
          <w:szCs w:val="18"/>
          <w:color w:val="auto"/>
        </w:rPr>
      </w:pPr>
    </w:p>
    <w:p>
      <w:pPr>
        <w:ind w:left="1600" w:hanging="300"/>
        <w:spacing w:after="0"/>
        <w:tabs>
          <w:tab w:leader="none" w:pos="1600" w:val="left"/>
        </w:tabs>
        <w:numPr>
          <w:ilvl w:val="1"/>
          <w:numId w:val="5"/>
        </w:numPr>
        <w:rPr>
          <w:rFonts w:ascii="Arial" w:cs="Arial" w:eastAsia="Arial" w:hAnsi="Arial"/>
          <w:sz w:val="17"/>
          <w:szCs w:val="17"/>
          <w:color w:val="auto"/>
        </w:rPr>
      </w:pPr>
      <w:r>
        <w:rPr>
          <w:rFonts w:ascii="Arial" w:cs="Arial" w:eastAsia="Arial" w:hAnsi="Arial"/>
          <w:sz w:val="17"/>
          <w:szCs w:val="17"/>
          <w:color w:val="auto"/>
        </w:rPr>
        <w:t>Other includes international franchising revenue outside of North America and Europe and a corporately-managed store in China</w:t>
      </w:r>
    </w:p>
    <w:p>
      <w:pPr>
        <w:spacing w:after="0" w:line="200" w:lineRule="exact"/>
        <w:rPr>
          <w:rFonts w:ascii="Arial" w:cs="Arial" w:eastAsia="Arial" w:hAnsi="Arial"/>
          <w:sz w:val="17"/>
          <w:szCs w:val="17"/>
          <w:color w:val="auto"/>
        </w:rPr>
      </w:pPr>
    </w:p>
    <w:p>
      <w:pPr>
        <w:spacing w:after="0" w:line="258" w:lineRule="exact"/>
        <w:rPr>
          <w:rFonts w:ascii="Arial" w:cs="Arial" w:eastAsia="Arial" w:hAnsi="Arial"/>
          <w:sz w:val="17"/>
          <w:szCs w:val="17"/>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8" w:lineRule="exact"/>
        <w:rPr>
          <w:sz w:val="20"/>
          <w:szCs w:val="20"/>
          <w:color w:val="auto"/>
        </w:rPr>
      </w:pPr>
    </w:p>
    <w:p>
      <w:pPr>
        <w:ind w:firstLine="485"/>
        <w:spacing w:after="0" w:line="287" w:lineRule="auto"/>
        <w:rPr>
          <w:sz w:val="20"/>
          <w:szCs w:val="20"/>
          <w:color w:val="auto"/>
        </w:rPr>
      </w:pPr>
      <w:r>
        <w:rPr>
          <w:rFonts w:ascii="Arial" w:cs="Arial" w:eastAsia="Arial" w:hAnsi="Arial"/>
          <w:sz w:val="16"/>
          <w:szCs w:val="16"/>
          <w:color w:val="auto"/>
        </w:rPr>
        <w:t>In the normal course of business, the Company is subject to regular examination by various taxing authorities for years not closed by the statute of limitations. If one or more of these examinations has an unfavorable resolution, it is possible that the results of operations, liquidity or financial position of the Company could be materially affected in any particular period. The Company accrues a liability for this type of contingency when it believes that it is both probable that a liability has been incurred and that it can reasonably estimate the amount of the loss. Gain contingencies are recorded when the underlying uncertainty has been settled. Assessments made by the United Kingdom customs authority in 2012 have been appealed by the Company, which has paid the disputed duty, strictly under protest, pending the outcome of the continuing dispute, and this is included in receivables in the DTC segment. The United Kingdom customs authority is contesting the Company's appeal. The Company maintains a provision against the related receivable, based on a current evaluation of collectability, using the latest facts available in the dispute. As of May 5, 2018, the Company had a gross receivable balance of $3.8 million and a reserve of $3.0 million, leaving a net receivable of $0.8 million. However, the Company continues to vigorously dispute the customs audit findings and believes that the outcome of this dispute will not have a material adverse impact on the results of operations, liquidity or financial position of the Company.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Transition Period Financial Information</w:t>
      </w:r>
    </w:p>
    <w:p>
      <w:pPr>
        <w:spacing w:after="0" w:line="228" w:lineRule="exact"/>
        <w:rPr>
          <w:sz w:val="20"/>
          <w:szCs w:val="20"/>
          <w:color w:val="auto"/>
        </w:rPr>
      </w:pPr>
    </w:p>
    <w:p>
      <w:pPr>
        <w:ind w:firstLine="323"/>
        <w:spacing w:after="0" w:line="258" w:lineRule="auto"/>
        <w:rPr>
          <w:sz w:val="20"/>
          <w:szCs w:val="20"/>
          <w:color w:val="auto"/>
        </w:rPr>
      </w:pPr>
      <w:r>
        <w:rPr>
          <w:rFonts w:ascii="Arial" w:cs="Arial" w:eastAsia="Arial" w:hAnsi="Arial"/>
          <w:sz w:val="18"/>
          <w:szCs w:val="18"/>
          <w:color w:val="auto"/>
        </w:rPr>
        <w:t>In January 2018, the Company's Board of Directors approved a change in the Company’s fiscal year-end, which previously ended on the Saturday closest to December 31, to the Saturday closest to January 31. Accordingly, the Company is presenting unaudited financial statements for the one fiscal month transition period, December 31, 2017 through February 3, 2018. The following table provides certain unaudited comparative financial information for the same period of the prior year (in thousands, expect share and per share amounts):</w:t>
      </w: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2"/>
              <w:spacing w:after="0"/>
              <w:rPr>
                <w:sz w:val="20"/>
                <w:szCs w:val="20"/>
                <w:color w:val="auto"/>
              </w:rPr>
            </w:pPr>
            <w:r>
              <w:rPr>
                <w:rFonts w:ascii="Arial" w:cs="Arial" w:eastAsia="Arial" w:hAnsi="Arial"/>
                <w:sz w:val="18"/>
                <w:szCs w:val="18"/>
                <w:b w:val="1"/>
                <w:bCs w:val="1"/>
                <w:color w:val="auto"/>
                <w:w w:val="88"/>
              </w:rPr>
              <w:t>5 Weeks</w:t>
            </w:r>
          </w:p>
        </w:tc>
        <w:tc>
          <w:tcPr>
            <w:tcW w:w="8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4 Weeks</w:t>
            </w:r>
          </w:p>
        </w:tc>
      </w:tr>
      <w:tr>
        <w:trPr>
          <w:trHeight w:val="215"/>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02"/>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Ended</w:t>
            </w:r>
          </w:p>
        </w:tc>
      </w:tr>
      <w:tr>
        <w:trPr>
          <w:trHeight w:val="215"/>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02"/>
              <w:spacing w:after="0"/>
              <w:rPr>
                <w:sz w:val="20"/>
                <w:szCs w:val="20"/>
                <w:color w:val="auto"/>
              </w:rPr>
            </w:pPr>
            <w:r>
              <w:rPr>
                <w:rFonts w:ascii="Arial" w:cs="Arial" w:eastAsia="Arial" w:hAnsi="Arial"/>
                <w:sz w:val="18"/>
                <w:szCs w:val="18"/>
                <w:b w:val="1"/>
                <w:bCs w:val="1"/>
                <w:color w:val="auto"/>
                <w:w w:val="92"/>
              </w:rPr>
              <w:t>February 3,</w:t>
            </w:r>
          </w:p>
        </w:tc>
        <w:tc>
          <w:tcPr>
            <w:tcW w:w="8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January 28,</w:t>
            </w:r>
          </w:p>
        </w:tc>
      </w:tr>
      <w:tr>
        <w:trPr>
          <w:trHeight w:val="219"/>
        </w:trPr>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r>
      <w:tr>
        <w:trPr>
          <w:trHeight w:val="230"/>
        </w:trPr>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202"/>
              <w:spacing w:after="0"/>
              <w:rPr>
                <w:sz w:val="20"/>
                <w:szCs w:val="20"/>
                <w:color w:val="auto"/>
              </w:rPr>
            </w:pPr>
            <w:r>
              <w:rPr>
                <w:rFonts w:ascii="Arial" w:cs="Arial" w:eastAsia="Arial" w:hAnsi="Arial"/>
                <w:sz w:val="18"/>
                <w:szCs w:val="18"/>
                <w:color w:val="auto"/>
                <w:w w:val="90"/>
              </w:rPr>
              <w:t>(unaudited)</w:t>
            </w:r>
          </w:p>
        </w:tc>
        <w:tc>
          <w:tcPr>
            <w:tcW w:w="80" w:type="dxa"/>
            <w:vAlign w:val="bottom"/>
          </w:tcPr>
          <w:p>
            <w:pPr>
              <w:spacing w:after="0"/>
              <w:rPr>
                <w:sz w:val="19"/>
                <w:szCs w:val="19"/>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(unaudited)</w:t>
            </w:r>
          </w:p>
        </w:tc>
      </w:tr>
      <w:tr>
        <w:trPr>
          <w:trHeight w:val="209"/>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income</w:t>
            </w:r>
          </w:p>
        </w:tc>
        <w:tc>
          <w:tcPr>
            <w:tcW w:w="1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18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22"/>
              <w:spacing w:after="0"/>
              <w:rPr>
                <w:sz w:val="20"/>
                <w:szCs w:val="20"/>
                <w:color w:val="auto"/>
              </w:rPr>
            </w:pPr>
            <w:r>
              <w:rPr>
                <w:rFonts w:ascii="Arial" w:cs="Arial" w:eastAsia="Arial" w:hAnsi="Arial"/>
                <w:sz w:val="18"/>
                <w:szCs w:val="18"/>
                <w:color w:val="auto"/>
              </w:rPr>
              <w:t>30,223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24,130</w:t>
            </w:r>
          </w:p>
        </w:tc>
      </w:tr>
      <w:tr>
        <w:trPr>
          <w:trHeight w:val="209"/>
        </w:trPr>
        <w:tc>
          <w:tcPr>
            <w:tcW w:w="61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Consolidated gross profit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9"/>
        </w:trPr>
        <w:tc>
          <w:tcPr>
            <w:tcW w:w="618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18"/>
                <w:szCs w:val="18"/>
                <w:color w:val="auto"/>
              </w:rPr>
            </w:pPr>
          </w:p>
        </w:tc>
        <w:tc>
          <w:tcPr>
            <w:tcW w:w="1700" w:type="dxa"/>
            <w:vAlign w:val="bottom"/>
            <w:gridSpan w:val="2"/>
          </w:tcPr>
          <w:p>
            <w:pPr>
              <w:jc w:val="right"/>
              <w:ind w:right="122"/>
              <w:spacing w:after="0"/>
              <w:rPr>
                <w:sz w:val="20"/>
                <w:szCs w:val="20"/>
                <w:color w:val="auto"/>
              </w:rPr>
            </w:pPr>
            <w:r>
              <w:rPr>
                <w:rFonts w:ascii="Arial" w:cs="Arial" w:eastAsia="Arial" w:hAnsi="Arial"/>
                <w:sz w:val="18"/>
                <w:szCs w:val="18"/>
                <w:color w:val="auto"/>
              </w:rPr>
              <w:t>14,920</w:t>
            </w:r>
          </w:p>
        </w:tc>
        <w:tc>
          <w:tcPr>
            <w:tcW w:w="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11,231</w:t>
            </w:r>
          </w:p>
        </w:tc>
      </w:tr>
      <w:tr>
        <w:trPr>
          <w:trHeight w:val="215"/>
        </w:trPr>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6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180" w:type="dxa"/>
            <w:vAlign w:val="bottom"/>
          </w:tcPr>
          <w:p>
            <w:pPr>
              <w:ind w:left="160"/>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8"/>
                <w:szCs w:val="18"/>
                <w:color w:val="auto"/>
              </w:rPr>
            </w:pPr>
          </w:p>
        </w:tc>
        <w:tc>
          <w:tcPr>
            <w:tcW w:w="1700" w:type="dxa"/>
            <w:vAlign w:val="bottom"/>
            <w:gridSpan w:val="2"/>
          </w:tcPr>
          <w:p>
            <w:pPr>
              <w:jc w:val="right"/>
              <w:ind w:right="62"/>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(1,184)</w:t>
            </w:r>
          </w:p>
        </w:tc>
      </w:tr>
      <w:tr>
        <w:trPr>
          <w:trHeight w:val="215"/>
        </w:trPr>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benefit expense</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w:t>
            </w:r>
          </w:p>
        </w:tc>
      </w:tr>
      <w:tr>
        <w:trPr>
          <w:trHeight w:val="20"/>
        </w:trPr>
        <w:tc>
          <w:tcPr>
            <w:tcW w:w="6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tcBorders>
              <w:bottom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2"/>
        </w:trPr>
        <w:tc>
          <w:tcPr>
            <w:tcW w:w="6180" w:type="dxa"/>
            <w:vAlign w:val="bottom"/>
          </w:tcPr>
          <w:p>
            <w:pPr>
              <w:ind w:left="160"/>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(845</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40"/>
              <w:spacing w:after="0" w:line="202" w:lineRule="exact"/>
              <w:rPr>
                <w:sz w:val="20"/>
                <w:szCs w:val="20"/>
                <w:color w:val="auto"/>
              </w:rPr>
            </w:pPr>
            <w:r>
              <w:rPr>
                <w:rFonts w:ascii="Arial" w:cs="Arial" w:eastAsia="Arial" w:hAnsi="Arial"/>
                <w:sz w:val="14"/>
                <w:szCs w:val="14"/>
                <w:color w:val="auto"/>
              </w:rPr>
              <w:t>(760</w:t>
            </w:r>
            <w:r>
              <w:rPr>
                <w:rFonts w:ascii="Arial" w:cs="Arial" w:eastAsia="Arial" w:hAnsi="Arial"/>
                <w:sz w:val="23"/>
                <w:szCs w:val="23"/>
                <w:color w:val="auto"/>
                <w:vertAlign w:val="subscript"/>
              </w:rPr>
              <w:t>)</w:t>
            </w:r>
          </w:p>
        </w:tc>
      </w:tr>
      <w:tr>
        <w:trPr>
          <w:trHeight w:val="20"/>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6180" w:type="dxa"/>
            <w:vAlign w:val="bottom"/>
          </w:tcPr>
          <w:p>
            <w:pPr>
              <w:spacing w:after="0"/>
              <w:rPr>
                <w:sz w:val="20"/>
                <w:szCs w:val="20"/>
                <w:color w:val="auto"/>
              </w:rPr>
            </w:pPr>
            <w:r>
              <w:rPr>
                <w:rFonts w:ascii="Arial" w:cs="Arial" w:eastAsia="Arial" w:hAnsi="Arial"/>
                <w:sz w:val="18"/>
                <w:szCs w:val="18"/>
                <w:color w:val="auto"/>
              </w:rPr>
              <w:t>Loss per common share</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r>
      <w:tr>
        <w:trPr>
          <w:trHeight w:val="230"/>
        </w:trPr>
        <w:tc>
          <w:tcPr>
            <w:tcW w:w="6180" w:type="dxa"/>
            <w:vAlign w:val="bottom"/>
          </w:tcPr>
          <w:p>
            <w:pPr>
              <w:ind w:left="160"/>
              <w:spacing w:after="0"/>
              <w:rPr>
                <w:sz w:val="20"/>
                <w:szCs w:val="20"/>
                <w:color w:val="auto"/>
              </w:rPr>
            </w:pPr>
            <w:r>
              <w:rPr>
                <w:rFonts w:ascii="Arial" w:cs="Arial" w:eastAsia="Arial" w:hAnsi="Arial"/>
                <w:sz w:val="18"/>
                <w:szCs w:val="18"/>
                <w:color w:val="auto"/>
              </w:rPr>
              <w:t>Shares used in computing per share amounts - basic and diluted</w:t>
            </w:r>
          </w:p>
        </w:tc>
        <w:tc>
          <w:tcPr>
            <w:tcW w:w="100" w:type="dxa"/>
            <w:vAlign w:val="bottom"/>
          </w:tcPr>
          <w:p>
            <w:pPr>
              <w:spacing w:after="0"/>
              <w:rPr>
                <w:sz w:val="19"/>
                <w:szCs w:val="19"/>
                <w:color w:val="auto"/>
              </w:rPr>
            </w:pPr>
          </w:p>
        </w:tc>
        <w:tc>
          <w:tcPr>
            <w:tcW w:w="1700" w:type="dxa"/>
            <w:vAlign w:val="bottom"/>
            <w:gridSpan w:val="2"/>
          </w:tcPr>
          <w:p>
            <w:pPr>
              <w:jc w:val="right"/>
              <w:ind w:right="122"/>
              <w:spacing w:after="0"/>
              <w:rPr>
                <w:sz w:val="20"/>
                <w:szCs w:val="20"/>
                <w:color w:val="auto"/>
              </w:rPr>
            </w:pPr>
            <w:r>
              <w:rPr>
                <w:rFonts w:ascii="Arial" w:cs="Arial" w:eastAsia="Arial" w:hAnsi="Arial"/>
                <w:sz w:val="18"/>
                <w:szCs w:val="18"/>
                <w:color w:val="auto"/>
              </w:rPr>
              <w:t>14,860,511</w:t>
            </w:r>
          </w:p>
        </w:tc>
        <w:tc>
          <w:tcPr>
            <w:tcW w:w="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15,526,642</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228" w:lineRule="exact"/>
        <w:rPr>
          <w:sz w:val="20"/>
          <w:szCs w:val="20"/>
          <w:color w:val="auto"/>
        </w:rPr>
      </w:pPr>
    </w:p>
    <w:p>
      <w:pPr>
        <w:ind w:right="220" w:firstLine="323"/>
        <w:spacing w:after="0" w:line="276" w:lineRule="auto"/>
        <w:rPr>
          <w:sz w:val="20"/>
          <w:szCs w:val="20"/>
          <w:color w:val="auto"/>
        </w:rPr>
      </w:pPr>
      <w:r>
        <w:rPr>
          <w:rFonts w:ascii="Arial" w:cs="Arial" w:eastAsia="Arial" w:hAnsi="Arial"/>
          <w:sz w:val="18"/>
          <w:szCs w:val="18"/>
          <w:color w:val="auto"/>
        </w:rPr>
        <w:t>In the period from May 5, 2018 through June 11, 2018, the Company repurchased approximately 41,000 shares or $0.3 million under share repurchase programs authorized in 2017. As of June 11, 2018, there was approximately $9.7 million of availability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the Company’s annual report on Form 10-K for the year ended December 30, 2017, as filed with the SEC, and include the following:</w:t>
      </w:r>
    </w:p>
    <w:p>
      <w:pPr>
        <w:spacing w:after="0" w:line="188" w:lineRule="exact"/>
        <w:rPr>
          <w:sz w:val="20"/>
          <w:szCs w:val="20"/>
          <w:color w:val="auto"/>
        </w:rPr>
      </w:pPr>
    </w:p>
    <w:p>
      <w:pPr>
        <w:ind w:left="660" w:right="340" w:hanging="329"/>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 upon the shopping malls in which we are located to attract guests to our stores and a decline in mall traffic could adversely affect our financial performance and profitability;</w:t>
      </w:r>
    </w:p>
    <w:p>
      <w:pPr>
        <w:ind w:left="660" w:right="40" w:hanging="329"/>
        <w:spacing w:after="0" w:line="24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spacing w:after="0" w:line="1" w:lineRule="exact"/>
        <w:rPr>
          <w:rFonts w:ascii="Arial" w:cs="Arial" w:eastAsia="Arial" w:hAnsi="Arial"/>
          <w:sz w:val="18"/>
          <w:szCs w:val="18"/>
          <w:color w:val="auto"/>
        </w:rPr>
      </w:pPr>
    </w:p>
    <w:p>
      <w:pPr>
        <w:ind w:left="660" w:right="200" w:hanging="329"/>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interests change rapidly and our success depends on the ongoing effectiveness of our marketing and online initiatives to build consumer affinity for our brand, drive consumer demand for key products and generate traffic for our stores;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hanging="329"/>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decline in general global economic conditions could lead to disproportionately reduced consumer demand for our products, which represent relatively discretionary spending, and have an adverse effect on our liquidity and profitability;</w:t>
      </w:r>
    </w:p>
    <w:p>
      <w:pPr>
        <w:jc w:val="both"/>
        <w:ind w:left="660" w:right="40" w:hanging="329"/>
        <w:spacing w:after="0" w:line="24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merchandise is manufactured by foreign manufacturers and we transact business in various foreign countries; therefore, the availability and costs of our products, as well as our product pricing, may be negatively affected by risks associated with international manufacturing and trade and foreign currency fluctuations;</w:t>
      </w:r>
    </w:p>
    <w:p>
      <w:pPr>
        <w:spacing w:after="0" w:line="1" w:lineRule="exact"/>
        <w:rPr>
          <w:rFonts w:ascii="Arial" w:cs="Arial" w:eastAsia="Arial" w:hAnsi="Arial"/>
          <w:sz w:val="18"/>
          <w:szCs w:val="18"/>
          <w:color w:val="auto"/>
        </w:rPr>
      </w:pPr>
    </w:p>
    <w:p>
      <w:pPr>
        <w:ind w:left="660" w:right="360" w:hanging="329"/>
        <w:spacing w:after="0" w:line="24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renew, renegotiate or replace our store leases or enter into leases for new stores on favorable terms, or if we violate any of the terms of our current leases, our growth and profitability could be harmed;</w:t>
      </w:r>
    </w:p>
    <w:p>
      <w:pPr>
        <w:spacing w:after="0" w:line="1" w:lineRule="exact"/>
        <w:rPr>
          <w:rFonts w:ascii="Arial" w:cs="Arial" w:eastAsia="Arial" w:hAnsi="Arial"/>
          <w:sz w:val="18"/>
          <w:szCs w:val="18"/>
          <w:color w:val="auto"/>
        </w:rPr>
      </w:pPr>
    </w:p>
    <w:p>
      <w:pPr>
        <w:ind w:left="660" w:right="40" w:hanging="329"/>
        <w:spacing w:after="0" w:line="24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and damage to our reputation;</w:t>
      </w:r>
    </w:p>
    <w:p>
      <w:pPr>
        <w:spacing w:after="0" w:line="1" w:lineRule="exact"/>
        <w:rPr>
          <w:rFonts w:ascii="Arial" w:cs="Arial" w:eastAsia="Arial" w:hAnsi="Arial"/>
          <w:sz w:val="18"/>
          <w:szCs w:val="18"/>
          <w:color w:val="auto"/>
        </w:rPr>
      </w:pPr>
    </w:p>
    <w:p>
      <w:pPr>
        <w:ind w:left="660" w:right="420" w:hanging="329"/>
        <w:spacing w:after="0" w:line="24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evolve our store locations to align with market trends or to effectively manage our overall portfolio of stores which could adversely affect our ability to grow and could significantly harm our profitability;</w:t>
      </w:r>
    </w:p>
    <w:p>
      <w:pPr>
        <w:spacing w:after="0" w:line="1" w:lineRule="exact"/>
        <w:rPr>
          <w:rFonts w:ascii="Arial" w:cs="Arial" w:eastAsia="Arial" w:hAnsi="Arial"/>
          <w:sz w:val="18"/>
          <w:szCs w:val="18"/>
          <w:color w:val="auto"/>
        </w:rPr>
      </w:pPr>
    </w:p>
    <w:p>
      <w:pPr>
        <w:ind w:left="660" w:right="160" w:hanging="329"/>
        <w:spacing w:after="0" w:line="24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operate successfully if we lose key personnel, are unable to hire qualified additional personnel, or experience turnover of our management team;</w:t>
      </w:r>
    </w:p>
    <w:p>
      <w:pPr>
        <w:spacing w:after="0" w:line="1" w:lineRule="exact"/>
        <w:rPr>
          <w:rFonts w:ascii="Arial" w:cs="Arial" w:eastAsia="Arial" w:hAnsi="Arial"/>
          <w:sz w:val="18"/>
          <w:szCs w:val="18"/>
          <w:color w:val="auto"/>
        </w:rPr>
      </w:pPr>
    </w:p>
    <w:p>
      <w:pPr>
        <w:ind w:left="660" w:right="160" w:hanging="329"/>
        <w:spacing w:after="0" w:line="28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 w:lineRule="exact"/>
        <w:rPr>
          <w:rFonts w:ascii="Arial" w:cs="Arial" w:eastAsia="Arial" w:hAnsi="Arial"/>
          <w:sz w:val="16"/>
          <w:szCs w:val="16"/>
          <w:color w:val="auto"/>
        </w:rPr>
      </w:pPr>
    </w:p>
    <w:p>
      <w:pPr>
        <w:ind w:left="660" w:hanging="3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corporately-managed locations profitably;</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8" w:lineRule="exact"/>
        <w:rPr>
          <w:rFonts w:ascii="Arial" w:cs="Arial" w:eastAsia="Arial" w:hAnsi="Arial"/>
          <w:sz w:val="18"/>
          <w:szCs w:val="18"/>
          <w:color w:val="auto"/>
        </w:rPr>
      </w:pPr>
    </w:p>
    <w:p>
      <w:pPr>
        <w:ind w:left="660" w:right="320" w:hanging="329"/>
        <w:spacing w:after="0" w:line="24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a few vendors to supply substantially all of our merchandise, and significant price increases or any disruption in their ability to deliver merchandise could harm our ability to source products and supply inventory to our stores;</w:t>
      </w:r>
    </w:p>
    <w:p>
      <w:pPr>
        <w:spacing w:after="0" w:line="1" w:lineRule="exact"/>
        <w:rPr>
          <w:rFonts w:ascii="Arial" w:cs="Arial" w:eastAsia="Arial" w:hAnsi="Arial"/>
          <w:sz w:val="18"/>
          <w:szCs w:val="18"/>
          <w:color w:val="auto"/>
        </w:rPr>
      </w:pPr>
    </w:p>
    <w:p>
      <w:pPr>
        <w:ind w:left="660" w:right="80" w:hanging="329"/>
        <w:spacing w:after="0" w:line="24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 w:lineRule="exact"/>
        <w:rPr>
          <w:rFonts w:ascii="Arial" w:cs="Arial" w:eastAsia="Arial" w:hAnsi="Arial"/>
          <w:sz w:val="18"/>
          <w:szCs w:val="18"/>
          <w:color w:val="auto"/>
        </w:rPr>
      </w:pPr>
    </w:p>
    <w:p>
      <w:pPr>
        <w:ind w:left="660" w:right="60" w:hanging="329"/>
        <w:spacing w:after="0" w:line="24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suffer negative publicity or be sued if the manufacturers of our merchandise violate labor laws or engage in practices that consumers believe are unethical;</w:t>
      </w:r>
    </w:p>
    <w:p>
      <w:pPr>
        <w:spacing w:after="0" w:line="1" w:lineRule="exact"/>
        <w:rPr>
          <w:rFonts w:ascii="Arial" w:cs="Arial" w:eastAsia="Arial" w:hAnsi="Arial"/>
          <w:sz w:val="18"/>
          <w:szCs w:val="18"/>
          <w:color w:val="auto"/>
        </w:rPr>
      </w:pPr>
    </w:p>
    <w:p>
      <w:pPr>
        <w:ind w:left="660" w:right="160" w:hanging="329"/>
        <w:spacing w:after="0" w:line="28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company-owned distribution center which services the majority of our stores in North America and our third-party distribution center providers used in the western United States and Europe may experience disruptions in their ability to support our stores or they may operate inefficiently;</w:t>
      </w:r>
    </w:p>
    <w:p>
      <w:pPr>
        <w:spacing w:after="0" w:line="1" w:lineRule="exact"/>
        <w:rPr>
          <w:rFonts w:ascii="Arial" w:cs="Arial" w:eastAsia="Arial" w:hAnsi="Arial"/>
          <w:sz w:val="16"/>
          <w:szCs w:val="16"/>
          <w:color w:val="auto"/>
        </w:rPr>
      </w:pPr>
    </w:p>
    <w:p>
      <w:pPr>
        <w:ind w:left="660" w:hanging="3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profitability could be adversely affected by fluctuations in petroleum products prices;</w:t>
      </w:r>
    </w:p>
    <w:p>
      <w:pPr>
        <w:spacing w:after="0" w:line="8" w:lineRule="exact"/>
        <w:rPr>
          <w:rFonts w:ascii="Arial" w:cs="Arial" w:eastAsia="Arial" w:hAnsi="Arial"/>
          <w:sz w:val="18"/>
          <w:szCs w:val="18"/>
          <w:color w:val="auto"/>
        </w:rPr>
      </w:pPr>
    </w:p>
    <w:p>
      <w:pPr>
        <w:ind w:left="660" w:right="480" w:hanging="329"/>
        <w:spacing w:after="0" w:line="264"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ind w:left="660" w:hanging="3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may be adversely impacted at any time by a significant variety of competitive threats;</w:t>
      </w:r>
    </w:p>
    <w:p>
      <w:pPr>
        <w:spacing w:after="0" w:line="8" w:lineRule="exact"/>
        <w:rPr>
          <w:rFonts w:ascii="Arial" w:cs="Arial" w:eastAsia="Arial" w:hAnsi="Arial"/>
          <w:sz w:val="18"/>
          <w:szCs w:val="18"/>
          <w:color w:val="auto"/>
        </w:rPr>
      </w:pPr>
    </w:p>
    <w:p>
      <w:pPr>
        <w:ind w:left="660" w:right="60" w:hanging="329"/>
        <w:spacing w:after="0" w:line="24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suffer negative publicity or a decrease in sales or profitability if the products from other companies that we sell in our stores do not meet our quality standards or fail to achieve our sales expectations;</w:t>
      </w:r>
    </w:p>
    <w:p>
      <w:pPr>
        <w:spacing w:after="0" w:line="1" w:lineRule="exact"/>
        <w:rPr>
          <w:rFonts w:ascii="Arial" w:cs="Arial" w:eastAsia="Arial" w:hAnsi="Arial"/>
          <w:sz w:val="18"/>
          <w:szCs w:val="18"/>
          <w:color w:val="auto"/>
        </w:rPr>
      </w:pPr>
    </w:p>
    <w:p>
      <w:pPr>
        <w:ind w:left="660" w:right="140" w:hanging="329"/>
        <w:spacing w:after="0" w:line="24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unsuccessful in acquiring businesses or engaging in other strategic transactions, which may negatively affect our financial condition and profitability;</w:t>
      </w:r>
    </w:p>
    <w:p>
      <w:pPr>
        <w:spacing w:after="0" w:line="1" w:lineRule="exact"/>
        <w:rPr>
          <w:rFonts w:ascii="Arial" w:cs="Arial" w:eastAsia="Arial" w:hAnsi="Arial"/>
          <w:sz w:val="18"/>
          <w:szCs w:val="18"/>
          <w:color w:val="auto"/>
        </w:rPr>
      </w:pPr>
    </w:p>
    <w:p>
      <w:pPr>
        <w:ind w:left="660" w:right="40" w:hanging="329"/>
        <w:spacing w:after="0" w:line="24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operating results could reduce our cash flow and we may be unable to repurchase shares at all or at the times or in the amounts we desire or the results of the share repurchase program may not be as beneficial as we would like;</w:t>
      </w:r>
    </w:p>
    <w:p>
      <w:pPr>
        <w:spacing w:after="0" w:line="1" w:lineRule="exact"/>
        <w:rPr>
          <w:rFonts w:ascii="Arial" w:cs="Arial" w:eastAsia="Arial" w:hAnsi="Arial"/>
          <w:sz w:val="18"/>
          <w:szCs w:val="18"/>
          <w:color w:val="auto"/>
        </w:rPr>
      </w:pPr>
    </w:p>
    <w:p>
      <w:pPr>
        <w:ind w:left="660" w:hanging="3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limited public float and trading volume for our common stock may have an adverse impact and cause significant fluctuation of market price; and</w:t>
      </w:r>
    </w:p>
    <w:p>
      <w:pPr>
        <w:spacing w:after="0" w:line="31" w:lineRule="exact"/>
        <w:rPr>
          <w:rFonts w:ascii="Arial" w:cs="Arial" w:eastAsia="Arial" w:hAnsi="Arial"/>
          <w:sz w:val="16"/>
          <w:szCs w:val="16"/>
          <w:color w:val="auto"/>
        </w:rPr>
      </w:pPr>
    </w:p>
    <w:p>
      <w:pPr>
        <w:ind w:left="660" w:right="440" w:hanging="329"/>
        <w:spacing w:after="0" w:line="28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8" w:lineRule="exact"/>
        <w:rPr>
          <w:sz w:val="20"/>
          <w:szCs w:val="20"/>
          <w:color w:val="auto"/>
        </w:rPr>
      </w:pPr>
    </w:p>
    <w:p>
      <w:pPr>
        <w:ind w:right="40" w:firstLine="323"/>
        <w:spacing w:after="0" w:line="256" w:lineRule="auto"/>
        <w:rPr>
          <w:sz w:val="20"/>
          <w:szCs w:val="20"/>
          <w:color w:val="auto"/>
        </w:rPr>
      </w:pPr>
      <w:r>
        <w:rPr>
          <w:rFonts w:ascii="Arial" w:cs="Arial" w:eastAsia="Arial" w:hAnsi="Arial"/>
          <w:sz w:val="18"/>
          <w:szCs w:val="18"/>
          <w:color w:val="auto"/>
        </w:rPr>
        <w:t>We are the only global company that offers an interactive “make your own stuffed animal” retail entertainment experience under the Build-A-Bear Workshop brand, in which guests participate in the stuffing, fluffing, dressing, accessorizing and naming of their own teddy bears and other stuffed animals. As of May 5, 2018, we operated 352 stores globally and had 96 franchised stores operating internationally under the Build-A-Bear Workshop brand. In addition to our stores, we sell products on our company-owned ecommerce sites, third party ecommerce marketplaces, franchisee sites and through third party retail locations under wholesale agreements.</w:t>
      </w:r>
    </w:p>
    <w:p>
      <w:pPr>
        <w:spacing w:after="0" w:line="188" w:lineRule="exact"/>
        <w:rPr>
          <w:sz w:val="20"/>
          <w:szCs w:val="20"/>
          <w:color w:val="auto"/>
        </w:rPr>
      </w:pPr>
    </w:p>
    <w:p>
      <w:pPr>
        <w:jc w:val="both"/>
        <w:ind w:right="20" w:firstLine="323"/>
        <w:spacing w:after="0" w:line="255" w:lineRule="auto"/>
        <w:rPr>
          <w:sz w:val="20"/>
          <w:szCs w:val="20"/>
          <w:color w:val="auto"/>
        </w:rPr>
      </w:pPr>
      <w:r>
        <w:rPr>
          <w:rFonts w:ascii="Arial" w:cs="Arial" w:eastAsia="Arial" w:hAnsi="Arial"/>
          <w:sz w:val="18"/>
          <w:szCs w:val="18"/>
          <w:color w:val="auto"/>
        </w:rPr>
        <w:t>Our company has been executing a multi-year turnaround plan that was initiated in 2013 to improve both sales and profitability with the goal of achieving sustained profitability. In the first quarter of 2018, we continue to evolve and execute our strategic plan with key initiatives in the areas outlined below, which are intended to drive long-term shareholder value:</w:t>
      </w:r>
    </w:p>
    <w:p>
      <w:pPr>
        <w:spacing w:after="0" w:line="1" w:lineRule="exact"/>
        <w:rPr>
          <w:sz w:val="20"/>
          <w:szCs w:val="20"/>
          <w:color w:val="auto"/>
        </w:rPr>
      </w:pPr>
    </w:p>
    <w:p>
      <w:pPr>
        <w:ind w:left="600" w:hanging="108"/>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of our experiential retail model to diversify and expand the impact and reach of our brand globally</w:t>
      </w:r>
    </w:p>
    <w:p>
      <w:pPr>
        <w:spacing w:after="0" w:line="8" w:lineRule="exact"/>
        <w:rPr>
          <w:rFonts w:ascii="Arial" w:cs="Arial" w:eastAsia="Arial" w:hAnsi="Arial"/>
          <w:sz w:val="18"/>
          <w:szCs w:val="18"/>
          <w:color w:val="auto"/>
        </w:rPr>
      </w:pPr>
    </w:p>
    <w:p>
      <w:pPr>
        <w:ind w:left="600" w:hanging="108"/>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Simultaneously, we expect to also leverage the power of our brand and intellectual properties to build margin accretive revenue streams</w:t>
      </w:r>
    </w:p>
    <w:p>
      <w:pPr>
        <w:spacing w:after="0" w:line="19" w:lineRule="exact"/>
        <w:rPr>
          <w:rFonts w:ascii="Arial" w:cs="Arial" w:eastAsia="Arial" w:hAnsi="Arial"/>
          <w:sz w:val="17"/>
          <w:szCs w:val="17"/>
          <w:color w:val="auto"/>
        </w:rPr>
      </w:pPr>
    </w:p>
    <w:p>
      <w:pPr>
        <w:ind w:right="160" w:firstLine="492"/>
        <w:spacing w:after="0" w:line="259" w:lineRule="auto"/>
        <w:tabs>
          <w:tab w:leader="none" w:pos="592"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Improve long-term profitability through the execution of these strategies as well as disciplined expense management and on-going efforts in process and systems upgrades.</w:t>
      </w:r>
    </w:p>
    <w:p>
      <w:pPr>
        <w:spacing w:after="0" w:line="178" w:lineRule="exact"/>
        <w:rPr>
          <w:sz w:val="20"/>
          <w:szCs w:val="20"/>
          <w:color w:val="auto"/>
        </w:rPr>
      </w:pPr>
    </w:p>
    <w:p>
      <w:pPr>
        <w:ind w:right="40" w:firstLine="323"/>
        <w:spacing w:after="0" w:line="249" w:lineRule="auto"/>
        <w:rPr>
          <w:sz w:val="20"/>
          <w:szCs w:val="20"/>
          <w:color w:val="auto"/>
        </w:rPr>
      </w:pPr>
      <w:r>
        <w:rPr>
          <w:rFonts w:ascii="Arial" w:cs="Arial" w:eastAsia="Arial" w:hAnsi="Arial"/>
          <w:sz w:val="22"/>
          <w:szCs w:val="22"/>
          <w:color w:val="auto"/>
        </w:rPr>
        <w:t>We operate in three segments that share the same infrastructure, including management, systems, merchandising and marketing, and generate revenues as follows:</w:t>
      </w:r>
    </w:p>
    <w:p>
      <w:pPr>
        <w:spacing w:after="0" w:line="182" w:lineRule="exact"/>
        <w:rPr>
          <w:sz w:val="20"/>
          <w:szCs w:val="20"/>
          <w:color w:val="auto"/>
        </w:rPr>
      </w:pPr>
    </w:p>
    <w:p>
      <w:pPr>
        <w:ind w:left="500" w:right="400" w:hanging="331"/>
        <w:spacing w:after="0" w:line="258"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Direct-to-consumer (“DTC”) – Corporately-managed retail stores located in the United States, Canada, Puerto Rico, the United Kingdom, Ireland, Denmark and China and two ecommerce sites;</w:t>
      </w:r>
    </w:p>
    <w:p>
      <w:pPr>
        <w:ind w:left="500" w:right="500" w:hanging="331"/>
        <w:spacing w:after="0" w:line="249"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 – Transactions with other businesses, mainly comprised of wholesale product sales and licensing our intellectual property, including entertainment properties, for third-party use; and</w:t>
      </w:r>
    </w:p>
    <w:p>
      <w:pPr>
        <w:spacing w:after="0" w:line="1" w:lineRule="exact"/>
        <w:rPr>
          <w:rFonts w:ascii="Arial" w:cs="Arial" w:eastAsia="Arial" w:hAnsi="Arial"/>
          <w:sz w:val="18"/>
          <w:szCs w:val="18"/>
          <w:color w:val="auto"/>
        </w:rPr>
      </w:pPr>
    </w:p>
    <w:p>
      <w:pPr>
        <w:ind w:left="500" w:hanging="331"/>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Franchising – Royalties and other revenue from international operations under franchise agreements.</w:t>
      </w:r>
    </w:p>
    <w:p>
      <w:pPr>
        <w:spacing w:after="0" w:line="236" w:lineRule="exact"/>
        <w:rPr>
          <w:sz w:val="20"/>
          <w:szCs w:val="20"/>
          <w:color w:val="auto"/>
        </w:rPr>
      </w:pPr>
    </w:p>
    <w:p>
      <w:pPr>
        <w:ind w:right="160" w:firstLine="323"/>
        <w:spacing w:after="0" w:line="340" w:lineRule="auto"/>
        <w:rPr>
          <w:sz w:val="20"/>
          <w:szCs w:val="20"/>
          <w:color w:val="auto"/>
        </w:rPr>
      </w:pPr>
      <w:r>
        <w:rPr>
          <w:rFonts w:ascii="Arial" w:cs="Arial" w:eastAsia="Arial" w:hAnsi="Arial"/>
          <w:sz w:val="16"/>
          <w:szCs w:val="16"/>
          <w:color w:val="auto"/>
        </w:rPr>
        <w:t>Selected financial data attributable to each segment for the thirteen week periods ended May 5, 2018 and April 29, 2017 and the five week period ended February 3, 2018 are set forth in the notes to our condensed consolidated financial statements included elsewhere in this Quarterly Report on Form 10-Q.</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improve consolidated sales and profit through the following key initiatives:</w:t>
      </w:r>
    </w:p>
    <w:p>
      <w:pPr>
        <w:spacing w:after="0" w:line="23" w:lineRule="exact"/>
        <w:rPr>
          <w:sz w:val="20"/>
          <w:szCs w:val="20"/>
          <w:color w:val="auto"/>
        </w:rPr>
      </w:pPr>
    </w:p>
    <w:p>
      <w:pPr>
        <w:ind w:left="460" w:right="20" w:hanging="250"/>
        <w:spacing w:after="0" w:line="251" w:lineRule="auto"/>
        <w:tabs>
          <w:tab w:leader="none" w:pos="46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Development of our experiential retail model to diversify and expand the impact and reach of our brand globally:</w:t>
      </w:r>
      <w:r>
        <w:rPr>
          <w:rFonts w:ascii="Arial" w:cs="Arial" w:eastAsia="Arial" w:hAnsi="Arial"/>
          <w:sz w:val="18"/>
          <w:szCs w:val="18"/>
          <w:color w:val="auto"/>
        </w:rPr>
        <w:t xml:space="preserve"> We expect to continue to diversify our real estate portfolio to focus on places where families are increasingly going to shop or going for entertainment. We have been actively identifying and securing more tourist locations. We also expect to continue to diversify our store portfolio inclusive of a new, lower capital, more flexible “concourse shop” model. We expect to continue to make improvements to our aged store fleet by leveraging the new Discovery format in conjunction with select natural lease events. Overall, these locations continue to perform ahead of heritage locations in both sales and profitability. In addition, we expect to continue to grow ecommerce sales. We expect to expand globally through existing and new franchise agreements including the recently added franchise in China.</w:t>
      </w:r>
    </w:p>
    <w:p>
      <w:pPr>
        <w:spacing w:after="0" w:line="192" w:lineRule="exact"/>
        <w:rPr>
          <w:rFonts w:ascii="Arial" w:cs="Arial" w:eastAsia="Arial" w:hAnsi="Arial"/>
          <w:sz w:val="18"/>
          <w:szCs w:val="18"/>
          <w:color w:val="auto"/>
        </w:rPr>
      </w:pPr>
    </w:p>
    <w:p>
      <w:pPr>
        <w:ind w:left="420" w:hanging="251"/>
        <w:spacing w:after="0" w:line="290"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Leverage the power of our brand and intellectual properties to build margin accretive revenue streams:</w:t>
      </w:r>
      <w:r>
        <w:rPr>
          <w:rFonts w:ascii="Arial" w:cs="Arial" w:eastAsia="Arial" w:hAnsi="Arial"/>
          <w:sz w:val="16"/>
          <w:szCs w:val="16"/>
          <w:color w:val="auto"/>
        </w:rPr>
        <w:t xml:space="preserve"> To meet the needs of our core consumer base (girls and boys ages 3 to 12) while systematically building secondary consumer segments (including collectors, gift-givers and teen-plus target), we expect to continue to develop and expand offerings of successful intellectual properties balanced with core products and a comprehensive program of key licensed products. We expect to leverage the power of both our Build-A-Bear brand as well as our other intellectual properties to further develop our outbound licensed programs and expand these and other margin accretive revenue streams. We also expect to build the entertainment aspects of our business model as we continue to develop content to connect with consumers beyond our retail stores including mobile apps, music videos and other entertainment opportunities to increase engagement, improve efficiency and lead to profitable sales growth.</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400" w:hanging="231"/>
        <w:spacing w:after="0" w:line="258"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Long-Term Profitability Improvement:</w:t>
      </w:r>
      <w:r>
        <w:rPr>
          <w:rFonts w:ascii="Arial" w:cs="Arial" w:eastAsia="Arial" w:hAnsi="Arial"/>
          <w:sz w:val="18"/>
          <w:szCs w:val="18"/>
          <w:color w:val="auto"/>
        </w:rPr>
        <w:t xml:space="preserve"> We are focused on improving profitability through the execution of our stated strategies detailed above as well as disciplined expense management and on-going efforts in process and systems upgrades. While we continue to monitor consolidated comparable sales as an important metric in our business, we believe that total revenue growth and profitability improvement are more indicative of the progress in our business initiatives on a go forward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Stores:</w:t>
      </w:r>
    </w:p>
    <w:p>
      <w:pPr>
        <w:spacing w:after="0" w:line="224" w:lineRule="exact"/>
        <w:rPr>
          <w:sz w:val="20"/>
          <w:szCs w:val="20"/>
          <w:color w:val="auto"/>
        </w:rPr>
      </w:pPr>
    </w:p>
    <w:p>
      <w:pPr>
        <w:ind w:right="560" w:firstLine="323"/>
        <w:spacing w:after="0" w:line="276" w:lineRule="auto"/>
        <w:rPr>
          <w:sz w:val="20"/>
          <w:szCs w:val="20"/>
          <w:color w:val="auto"/>
        </w:rPr>
      </w:pPr>
      <w:r>
        <w:rPr>
          <w:rFonts w:ascii="Arial" w:cs="Arial" w:eastAsia="Arial" w:hAnsi="Arial"/>
          <w:sz w:val="18"/>
          <w:szCs w:val="18"/>
          <w:color w:val="auto"/>
        </w:rPr>
        <w:t>The table below sets forth the number of Build-A-Bear Workshop corporately-managed stores in North America, Europe and Asia for the periods presented:</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8"/>
                <w:szCs w:val="18"/>
                <w:b w:val="1"/>
                <w:bCs w:val="1"/>
                <w:color w:val="auto"/>
                <w:w w:val="99"/>
              </w:rPr>
              <w:t>Thirteen Weeks Ended</w:t>
            </w: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4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May 5, 2018</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rPr>
              <w:t>April 29, 2017</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0"/>
        </w:trPr>
        <w:tc>
          <w:tcPr>
            <w:tcW w:w="1440" w:type="dxa"/>
            <w:vAlign w:val="bottom"/>
          </w:tcPr>
          <w:p>
            <w:pPr>
              <w:spacing w:after="0"/>
              <w:rPr>
                <w:sz w:val="16"/>
                <w:szCs w:val="16"/>
                <w:color w:val="auto"/>
              </w:rPr>
            </w:pPr>
          </w:p>
        </w:tc>
        <w:tc>
          <w:tcPr>
            <w:tcW w:w="1220" w:type="dxa"/>
            <w:vAlign w:val="bottom"/>
            <w:gridSpan w:val="2"/>
          </w:tcPr>
          <w:p>
            <w:pPr>
              <w:jc w:val="center"/>
              <w:ind w:right="240"/>
              <w:spacing w:after="0" w:line="190" w:lineRule="exact"/>
              <w:rPr>
                <w:sz w:val="20"/>
                <w:szCs w:val="20"/>
                <w:color w:val="auto"/>
              </w:rPr>
            </w:pPr>
            <w:r>
              <w:rPr>
                <w:rFonts w:ascii="Arial" w:cs="Arial" w:eastAsia="Arial" w:hAnsi="Arial"/>
                <w:sz w:val="18"/>
                <w:szCs w:val="18"/>
                <w:b w:val="1"/>
                <w:bCs w:val="1"/>
                <w:color w:val="auto"/>
                <w:w w:val="95"/>
              </w:rPr>
              <w:t>North</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480"/>
              <w:spacing w:after="0" w:line="190" w:lineRule="exact"/>
              <w:rPr>
                <w:sz w:val="20"/>
                <w:szCs w:val="20"/>
                <w:color w:val="auto"/>
              </w:rPr>
            </w:pPr>
            <w:r>
              <w:rPr>
                <w:rFonts w:ascii="Arial" w:cs="Arial" w:eastAsia="Arial" w:hAnsi="Arial"/>
                <w:sz w:val="18"/>
                <w:szCs w:val="18"/>
                <w:b w:val="1"/>
                <w:bCs w:val="1"/>
                <w:color w:val="auto"/>
              </w:rPr>
              <w:t>North</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14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America</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Europe</w:t>
            </w:r>
          </w:p>
        </w:tc>
        <w:tc>
          <w:tcPr>
            <w:tcW w:w="780" w:type="dxa"/>
            <w:vAlign w:val="bottom"/>
          </w:tcPr>
          <w:p>
            <w:pPr>
              <w:ind w:left="320"/>
              <w:spacing w:after="0"/>
              <w:rPr>
                <w:sz w:val="20"/>
                <w:szCs w:val="20"/>
                <w:color w:val="auto"/>
              </w:rPr>
            </w:pPr>
            <w:r>
              <w:rPr>
                <w:rFonts w:ascii="Arial" w:cs="Arial" w:eastAsia="Arial" w:hAnsi="Arial"/>
                <w:sz w:val="18"/>
                <w:szCs w:val="18"/>
                <w:b w:val="1"/>
                <w:bCs w:val="1"/>
                <w:color w:val="auto"/>
              </w:rPr>
              <w:t>Asia</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America</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Europe</w:t>
            </w:r>
          </w:p>
        </w:tc>
        <w:tc>
          <w:tcPr>
            <w:tcW w:w="1180" w:type="dxa"/>
            <w:vAlign w:val="bottom"/>
            <w:gridSpan w:val="2"/>
          </w:tcPr>
          <w:p>
            <w:pPr>
              <w:ind w:left="320"/>
              <w:spacing w:after="0"/>
              <w:rPr>
                <w:sz w:val="20"/>
                <w:szCs w:val="20"/>
                <w:color w:val="auto"/>
              </w:rPr>
            </w:pPr>
            <w:r>
              <w:rPr>
                <w:rFonts w:ascii="Arial" w:cs="Arial" w:eastAsia="Arial" w:hAnsi="Arial"/>
                <w:sz w:val="18"/>
                <w:szCs w:val="18"/>
                <w:b w:val="1"/>
                <w:bCs w:val="1"/>
                <w:color w:val="auto"/>
              </w:rPr>
              <w:t>Asia</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194"/>
        </w:trPr>
        <w:tc>
          <w:tcPr>
            <w:tcW w:w="14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Beginning of</w:t>
            </w: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Opened</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5"/>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Closed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14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440" w:type="dxa"/>
            <w:vAlign w:val="bottom"/>
          </w:tcPr>
          <w:p>
            <w:pPr>
              <w:spacing w:after="0"/>
              <w:rPr>
                <w:sz w:val="20"/>
                <w:szCs w:val="20"/>
                <w:color w:val="auto"/>
              </w:rPr>
            </w:pPr>
            <w:r>
              <w:rPr>
                <w:rFonts w:ascii="Arial" w:cs="Arial" w:eastAsia="Arial" w:hAnsi="Arial"/>
                <w:sz w:val="18"/>
                <w:szCs w:val="18"/>
                <w:color w:val="auto"/>
              </w:rPr>
              <w:t>End of period</w:t>
            </w:r>
          </w:p>
        </w:tc>
        <w:tc>
          <w:tcPr>
            <w:tcW w:w="100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r>
      <w:tr>
        <w:trPr>
          <w:trHeight w:val="20"/>
        </w:trPr>
        <w:tc>
          <w:tcPr>
            <w:tcW w:w="1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firstLine="323"/>
        <w:spacing w:after="0" w:line="254" w:lineRule="auto"/>
        <w:rPr>
          <w:sz w:val="20"/>
          <w:szCs w:val="20"/>
          <w:color w:val="auto"/>
        </w:rPr>
      </w:pPr>
      <w:r>
        <w:rPr>
          <w:rFonts w:ascii="Arial" w:cs="Arial" w:eastAsia="Arial" w:hAnsi="Arial"/>
          <w:sz w:val="18"/>
          <w:szCs w:val="18"/>
          <w:color w:val="auto"/>
        </w:rPr>
        <w:t>During 2018, we expect to continue to make improvements to an aged store fleet by leveraging the new Discovery format in conjunction with select natural lease events. For the thirteen weeks ended May 5, 2018, 32% of our store base was in an updated Discovery design. We also expect to close certain stores in accordance with natural lease events as an ongoing part of our real estate management and day-to-day operational plans. Current plans include expansion into more non-traditional locations, made possible in part by concourse shops. Concourse shops are stand-alone retail units that occupy approximately 200 square feet designed to be operated in open, concourse areas of malls or other covered pedestrian areas. We currently expect to have 40 to 45 concourse shops open by the end of fiscal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Revenue:</w:t>
      </w:r>
    </w:p>
    <w:p>
      <w:pPr>
        <w:spacing w:after="0" w:line="224" w:lineRule="exact"/>
        <w:rPr>
          <w:sz w:val="20"/>
          <w:szCs w:val="20"/>
          <w:color w:val="auto"/>
        </w:rPr>
      </w:pPr>
    </w:p>
    <w:p>
      <w:pPr>
        <w:ind w:firstLine="323"/>
        <w:spacing w:after="0" w:line="262"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merchandise characteristics and guest experience as our corporately-managed stores. As of May 5, 2018, we had nine master franchise agreements, which typically grant franchise rights for a particular country or group of countries, covering an aggregate of 17 countries.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franchised stores opened and closed for the periods presented below are summarized as follows:</w:t>
      </w:r>
    </w:p>
    <w:p>
      <w:pPr>
        <w:spacing w:after="0" w:line="220"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2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93"/>
              </w:rPr>
              <w:t>May 5, 2018</w:t>
            </w:r>
          </w:p>
        </w:tc>
        <w:tc>
          <w:tcPr>
            <w:tcW w:w="3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April 29, 2017</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020" w:type="dxa"/>
            <w:vAlign w:val="bottom"/>
            <w:gridSpan w:val="2"/>
          </w:tcPr>
          <w:p>
            <w:pPr>
              <w:ind w:left="160"/>
              <w:spacing w:after="0"/>
              <w:rPr>
                <w:sz w:val="20"/>
                <w:szCs w:val="20"/>
                <w:color w:val="auto"/>
              </w:rPr>
            </w:pPr>
            <w:r>
              <w:rPr>
                <w:rFonts w:ascii="Arial" w:cs="Arial" w:eastAsia="Arial" w:hAnsi="Arial"/>
                <w:sz w:val="18"/>
                <w:szCs w:val="18"/>
                <w:color w:val="auto"/>
              </w:rPr>
              <w:t>Opened</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Closed</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7040" w:type="dxa"/>
            <w:vAlign w:val="bottom"/>
            <w:gridSpan w:val="3"/>
          </w:tcPr>
          <w:p>
            <w:pPr>
              <w:spacing w:after="0"/>
              <w:rPr>
                <w:sz w:val="20"/>
                <w:szCs w:val="20"/>
                <w:color w:val="auto"/>
              </w:rPr>
            </w:pPr>
            <w:r>
              <w:rPr>
                <w:rFonts w:ascii="Arial" w:cs="Arial" w:eastAsia="Arial" w:hAnsi="Arial"/>
                <w:sz w:val="18"/>
                <w:szCs w:val="18"/>
                <w:color w:val="auto"/>
              </w:rPr>
              <w:t>End of period</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23"/>
        <w:spacing w:after="0" w:line="295" w:lineRule="auto"/>
        <w:rPr>
          <w:sz w:val="20"/>
          <w:szCs w:val="20"/>
          <w:color w:val="auto"/>
        </w:rPr>
      </w:pPr>
      <w:r>
        <w:rPr>
          <w:rFonts w:ascii="Arial" w:cs="Arial" w:eastAsia="Arial" w:hAnsi="Arial"/>
          <w:sz w:val="16"/>
          <w:szCs w:val="16"/>
          <w:color w:val="auto"/>
        </w:rPr>
        <w:t>In the ordinary course of business, we anticipate signing additional master franchise agreements and terminating other such agreements. We believe there is a market potential for approximately 300 international stores outside of the United States, Canada, the United Kingdom and Ireland. We continue to expect franchisees to leverage the new formats that have been developed for our corporately-managed operations and sourcing changes that have significantly reduced the capital and expenses required to open stores. We expect to continue to develop market expansion through both new and existing franchisees in 2018 and beyond. For example, our new China franchise partner operates two locations and plans up to 10 more locations in fiscal year 2018.</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8" w:lineRule="exact"/>
        <w:rPr>
          <w:sz w:val="20"/>
          <w:szCs w:val="20"/>
          <w:color w:val="auto"/>
        </w:rPr>
      </w:pPr>
    </w:p>
    <w:p>
      <w:pPr>
        <w:jc w:val="both"/>
        <w:ind w:right="500" w:firstLine="323"/>
        <w:spacing w:after="0" w:line="262" w:lineRule="auto"/>
        <w:rPr>
          <w:sz w:val="20"/>
          <w:szCs w:val="20"/>
          <w:color w:val="auto"/>
        </w:rPr>
      </w:pPr>
      <w:r>
        <w:rPr>
          <w:rFonts w:ascii="Arial" w:cs="Arial" w:eastAsia="Arial" w:hAnsi="Arial"/>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as well as immaterial rounding:</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gridSpan w:val="4"/>
          </w:tcPr>
          <w:p>
            <w:pPr>
              <w:ind w:left="88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5 weeks ending</w:t>
            </w:r>
          </w:p>
        </w:tc>
      </w:tr>
      <w:tr>
        <w:trPr>
          <w:trHeight w:val="190"/>
        </w:trPr>
        <w:tc>
          <w:tcPr>
            <w:tcW w:w="55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3"/>
          </w:tcPr>
          <w:p>
            <w:pPr>
              <w:ind w:left="640"/>
              <w:spacing w:after="0" w:line="190" w:lineRule="exact"/>
              <w:rPr>
                <w:sz w:val="20"/>
                <w:szCs w:val="20"/>
                <w:color w:val="auto"/>
              </w:rPr>
            </w:pPr>
            <w:r>
              <w:rPr>
                <w:rFonts w:ascii="Arial" w:cs="Arial" w:eastAsia="Arial" w:hAnsi="Arial"/>
                <w:sz w:val="18"/>
                <w:szCs w:val="18"/>
                <w:b w:val="1"/>
                <w:bCs w:val="1"/>
                <w:color w:val="auto"/>
              </w:rPr>
              <w:t>May 5,</w:t>
            </w:r>
          </w:p>
        </w:tc>
        <w:tc>
          <w:tcPr>
            <w:tcW w:w="1400" w:type="dxa"/>
            <w:vAlign w:val="bottom"/>
            <w:tcBorders>
              <w:top w:val="single" w:sz="8" w:color="auto"/>
            </w:tcBorders>
          </w:tcPr>
          <w:p>
            <w:pPr>
              <w:jc w:val="center"/>
              <w:ind w:right="10"/>
              <w:spacing w:after="0" w:line="190" w:lineRule="exact"/>
              <w:rPr>
                <w:sz w:val="20"/>
                <w:szCs w:val="20"/>
                <w:color w:val="auto"/>
              </w:rPr>
            </w:pPr>
            <w:r>
              <w:rPr>
                <w:rFonts w:ascii="Arial" w:cs="Arial" w:eastAsia="Arial" w:hAnsi="Arial"/>
                <w:sz w:val="18"/>
                <w:szCs w:val="18"/>
                <w:b w:val="1"/>
                <w:bCs w:val="1"/>
                <w:color w:val="auto"/>
                <w:w w:val="92"/>
              </w:rPr>
              <w:t>April 29,</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10"/>
              <w:spacing w:after="0" w:line="190" w:lineRule="exact"/>
              <w:rPr>
                <w:sz w:val="20"/>
                <w:szCs w:val="20"/>
                <w:color w:val="auto"/>
              </w:rPr>
            </w:pPr>
            <w:r>
              <w:rPr>
                <w:rFonts w:ascii="Arial" w:cs="Arial" w:eastAsia="Arial" w:hAnsi="Arial"/>
                <w:sz w:val="18"/>
                <w:szCs w:val="18"/>
                <w:b w:val="1"/>
                <w:bCs w:val="1"/>
                <w:color w:val="auto"/>
                <w:w w:val="92"/>
              </w:rPr>
              <w:t>February 3,</w:t>
            </w:r>
          </w:p>
        </w:tc>
        <w:tc>
          <w:tcPr>
            <w:tcW w:w="100" w:type="dxa"/>
            <w:vAlign w:val="bottom"/>
          </w:tcPr>
          <w:p>
            <w:pPr>
              <w:spacing w:after="0"/>
              <w:rPr>
                <w:sz w:val="16"/>
                <w:szCs w:val="16"/>
                <w:color w:val="auto"/>
              </w:rPr>
            </w:pPr>
          </w:p>
        </w:tc>
      </w:tr>
      <w:tr>
        <w:trPr>
          <w:trHeight w:val="234"/>
        </w:trPr>
        <w:tc>
          <w:tcPr>
            <w:tcW w:w="5540" w:type="dxa"/>
            <w:vAlign w:val="bottom"/>
          </w:tcPr>
          <w:p>
            <w:pPr>
              <w:spacing w:after="0"/>
              <w:rPr>
                <w:sz w:val="20"/>
                <w:szCs w:val="20"/>
                <w:color w:val="auto"/>
              </w:rPr>
            </w:pPr>
          </w:p>
        </w:tc>
        <w:tc>
          <w:tcPr>
            <w:tcW w:w="19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6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r>
      <w:tr>
        <w:trPr>
          <w:trHeight w:val="209"/>
        </w:trPr>
        <w:tc>
          <w:tcPr>
            <w:tcW w:w="5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54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97.9%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97.3%</w:t>
            </w:r>
          </w:p>
        </w:tc>
        <w:tc>
          <w:tcPr>
            <w:tcW w:w="162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97.9%</w:t>
            </w:r>
          </w:p>
        </w:tc>
        <w:tc>
          <w:tcPr>
            <w:tcW w:w="100" w:type="dxa"/>
            <w:vAlign w:val="bottom"/>
          </w:tcPr>
          <w:p>
            <w:pPr>
              <w:spacing w:after="0"/>
              <w:rPr>
                <w:sz w:val="18"/>
                <w:szCs w:val="18"/>
                <w:color w:val="auto"/>
              </w:rPr>
            </w:pPr>
          </w:p>
        </w:tc>
      </w:tr>
      <w:tr>
        <w:trPr>
          <w:trHeight w:val="215"/>
        </w:trPr>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revenue</w:t>
            </w:r>
          </w:p>
        </w:tc>
        <w:tc>
          <w:tcPr>
            <w:tcW w:w="19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162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87"/>
              </w:rPr>
              <w:t>1.2%</w:t>
            </w:r>
          </w:p>
        </w:tc>
        <w:tc>
          <w:tcPr>
            <w:tcW w:w="100" w:type="dxa"/>
            <w:vAlign w:val="bottom"/>
            <w:shd w:val="clear" w:color="auto" w:fill="CCEEFF"/>
          </w:tcPr>
          <w:p>
            <w:pPr>
              <w:spacing w:after="0"/>
              <w:rPr>
                <w:sz w:val="18"/>
                <w:szCs w:val="18"/>
                <w:color w:val="auto"/>
              </w:rPr>
            </w:pPr>
          </w:p>
        </w:tc>
      </w:tr>
      <w:tr>
        <w:trPr>
          <w:trHeight w:val="235"/>
        </w:trPr>
        <w:tc>
          <w:tcPr>
            <w:tcW w:w="5540" w:type="dxa"/>
            <w:vAlign w:val="bottom"/>
          </w:tcPr>
          <w:p>
            <w:pPr>
              <w:ind w:left="160"/>
              <w:spacing w:after="0"/>
              <w:rPr>
                <w:sz w:val="20"/>
                <w:szCs w:val="20"/>
                <w:color w:val="auto"/>
              </w:rPr>
            </w:pPr>
            <w:r>
              <w:rPr>
                <w:rFonts w:ascii="Arial" w:cs="Arial" w:eastAsia="Arial" w:hAnsi="Arial"/>
                <w:sz w:val="18"/>
                <w:szCs w:val="18"/>
                <w:color w:val="auto"/>
              </w:rPr>
              <w:t>International franchising</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0.5%</w:t>
            </w:r>
          </w:p>
        </w:tc>
        <w:tc>
          <w:tcPr>
            <w:tcW w:w="220" w:type="dxa"/>
            <w:vAlign w:val="bottom"/>
            <w:gridSpan w:val="2"/>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0.9%</w:t>
            </w:r>
          </w:p>
        </w:tc>
        <w:tc>
          <w:tcPr>
            <w:tcW w:w="100" w:type="dxa"/>
            <w:vAlign w:val="bottom"/>
          </w:tcPr>
          <w:p>
            <w:pPr>
              <w:spacing w:after="0"/>
              <w:rPr>
                <w:sz w:val="20"/>
                <w:szCs w:val="20"/>
                <w:color w:val="auto"/>
              </w:rPr>
            </w:pPr>
          </w:p>
        </w:tc>
      </w:tr>
      <w:tr>
        <w:trPr>
          <w:trHeight w:val="202"/>
        </w:trPr>
        <w:tc>
          <w:tcPr>
            <w:tcW w:w="5540" w:type="dxa"/>
            <w:vAlign w:val="bottom"/>
            <w:tcBorders>
              <w:top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100.0%</w:t>
            </w:r>
          </w:p>
        </w:tc>
        <w:tc>
          <w:tcPr>
            <w:tcW w:w="1620" w:type="dxa"/>
            <w:vAlign w:val="bottom"/>
            <w:tcBorders>
              <w:top w:val="single" w:sz="8" w:color="CCEEFF"/>
            </w:tcBorders>
            <w:gridSpan w:val="3"/>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100.0%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5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554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Cost of merchandise sold - retail </w:t>
            </w:r>
            <w:r>
              <w:rPr>
                <w:rFonts w:ascii="Arial" w:cs="Arial" w:eastAsia="Arial" w:hAnsi="Arial"/>
                <w:sz w:val="29"/>
                <w:szCs w:val="29"/>
                <w:color w:val="auto"/>
                <w:vertAlign w:val="superscript"/>
              </w:rPr>
              <w:t>(1)</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55.7%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52.3%</w:t>
            </w:r>
          </w:p>
        </w:tc>
        <w:tc>
          <w:tcPr>
            <w:tcW w:w="162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54.3%</w:t>
            </w:r>
          </w:p>
        </w:tc>
        <w:tc>
          <w:tcPr>
            <w:tcW w:w="100" w:type="dxa"/>
            <w:vAlign w:val="bottom"/>
          </w:tcPr>
          <w:p>
            <w:pPr>
              <w:spacing w:after="0"/>
              <w:rPr>
                <w:sz w:val="22"/>
                <w:szCs w:val="22"/>
                <w:color w:val="auto"/>
              </w:rPr>
            </w:pPr>
          </w:p>
        </w:tc>
      </w:tr>
      <w:tr>
        <w:trPr>
          <w:trHeight w:val="256"/>
        </w:trPr>
        <w:tc>
          <w:tcPr>
            <w:tcW w:w="55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Cost of merchandise sold - commercial </w:t>
            </w:r>
            <w:r>
              <w:rPr>
                <w:rFonts w:ascii="Arial" w:cs="Arial" w:eastAsia="Arial" w:hAnsi="Arial"/>
                <w:sz w:val="29"/>
                <w:szCs w:val="29"/>
                <w:color w:val="auto"/>
                <w:vertAlign w:val="superscript"/>
              </w:rPr>
              <w:t>(1)</w:t>
            </w:r>
          </w:p>
        </w:tc>
        <w:tc>
          <w:tcPr>
            <w:tcW w:w="19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47.0%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54.0%</w:t>
            </w:r>
          </w:p>
        </w:tc>
        <w:tc>
          <w:tcPr>
            <w:tcW w:w="162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93"/>
              </w:rPr>
              <w:t>72.3%</w:t>
            </w:r>
          </w:p>
        </w:tc>
        <w:tc>
          <w:tcPr>
            <w:tcW w:w="100" w:type="dxa"/>
            <w:vAlign w:val="bottom"/>
            <w:shd w:val="clear" w:color="auto" w:fill="CCEEFF"/>
          </w:tcPr>
          <w:p>
            <w:pPr>
              <w:spacing w:after="0"/>
              <w:rPr>
                <w:sz w:val="22"/>
                <w:szCs w:val="22"/>
                <w:color w:val="auto"/>
              </w:rPr>
            </w:pPr>
          </w:p>
        </w:tc>
      </w:tr>
      <w:tr>
        <w:trPr>
          <w:trHeight w:val="256"/>
        </w:trPr>
        <w:tc>
          <w:tcPr>
            <w:tcW w:w="554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Cost of merchandise sold - int'l franchising </w:t>
            </w:r>
            <w:r>
              <w:rPr>
                <w:rFonts w:ascii="Arial" w:cs="Arial" w:eastAsia="Arial" w:hAnsi="Arial"/>
                <w:sz w:val="29"/>
                <w:szCs w:val="29"/>
                <w:color w:val="auto"/>
                <w:vertAlign w:val="superscript"/>
              </w:rPr>
              <w:t>(1)</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44.9%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620" w:type="dxa"/>
            <w:vAlign w:val="bottom"/>
            <w:gridSpan w:val="3"/>
          </w:tcPr>
          <w:p>
            <w:pPr>
              <w:jc w:val="center"/>
              <w:ind w:left="130"/>
              <w:spacing w:after="0"/>
              <w:rPr>
                <w:sz w:val="20"/>
                <w:szCs w:val="20"/>
                <w:color w:val="auto"/>
              </w:rPr>
            </w:pPr>
            <w:r>
              <w:rPr>
                <w:rFonts w:ascii="Arial" w:cs="Arial" w:eastAsia="Arial" w:hAnsi="Arial"/>
                <w:sz w:val="18"/>
                <w:szCs w:val="18"/>
                <w:color w:val="auto"/>
                <w:w w:val="87"/>
              </w:rPr>
              <w:t>0.0%</w:t>
            </w:r>
          </w:p>
        </w:tc>
        <w:tc>
          <w:tcPr>
            <w:tcW w:w="100" w:type="dxa"/>
            <w:vAlign w:val="bottom"/>
          </w:tcPr>
          <w:p>
            <w:pPr>
              <w:spacing w:after="0"/>
              <w:rPr>
                <w:sz w:val="22"/>
                <w:szCs w:val="22"/>
                <w:color w:val="auto"/>
              </w:rPr>
            </w:pPr>
          </w:p>
        </w:tc>
      </w:tr>
      <w:tr>
        <w:trPr>
          <w:trHeight w:val="215"/>
        </w:trPr>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19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43.7%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43.0%</w:t>
            </w:r>
          </w:p>
        </w:tc>
        <w:tc>
          <w:tcPr>
            <w:tcW w:w="162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93"/>
              </w:rPr>
              <w:t>49.4%</w:t>
            </w:r>
          </w:p>
        </w:tc>
        <w:tc>
          <w:tcPr>
            <w:tcW w:w="100" w:type="dxa"/>
            <w:vAlign w:val="bottom"/>
            <w:shd w:val="clear" w:color="auto" w:fill="CCEEFF"/>
          </w:tcPr>
          <w:p>
            <w:pPr>
              <w:spacing w:after="0"/>
              <w:rPr>
                <w:sz w:val="18"/>
                <w:szCs w:val="18"/>
                <w:color w:val="auto"/>
              </w:rPr>
            </w:pPr>
          </w:p>
        </w:tc>
      </w:tr>
      <w:tr>
        <w:trPr>
          <w:trHeight w:val="235"/>
        </w:trPr>
        <w:tc>
          <w:tcPr>
            <w:tcW w:w="554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20"/>
                <w:szCs w:val="20"/>
                <w:color w:val="auto"/>
              </w:rPr>
            </w:pPr>
          </w:p>
        </w:tc>
        <w:tc>
          <w:tcPr>
            <w:tcW w:w="150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87"/>
              </w:rPr>
              <w:t>0.0%</w:t>
            </w:r>
          </w:p>
        </w:tc>
        <w:tc>
          <w:tcPr>
            <w:tcW w:w="100" w:type="dxa"/>
            <w:vAlign w:val="bottom"/>
          </w:tcPr>
          <w:p>
            <w:pPr>
              <w:spacing w:after="0"/>
              <w:rPr>
                <w:sz w:val="20"/>
                <w:szCs w:val="20"/>
                <w:color w:val="auto"/>
              </w:rPr>
            </w:pPr>
          </w:p>
        </w:tc>
      </w:tr>
      <w:tr>
        <w:trPr>
          <w:trHeight w:val="202"/>
        </w:trPr>
        <w:tc>
          <w:tcPr>
            <w:tcW w:w="5540" w:type="dxa"/>
            <w:vAlign w:val="bottom"/>
            <w:tcBorders>
              <w:top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99.2%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95.1%</w:t>
            </w:r>
          </w:p>
        </w:tc>
        <w:tc>
          <w:tcPr>
            <w:tcW w:w="1620" w:type="dxa"/>
            <w:vAlign w:val="bottom"/>
            <w:tcBorders>
              <w:top w:val="single" w:sz="8" w:color="CCEEFF"/>
            </w:tcBorders>
            <w:gridSpan w:val="3"/>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103.4%</w:t>
            </w: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5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5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19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w:t>
            </w:r>
          </w:p>
        </w:tc>
        <w:tc>
          <w:tcPr>
            <w:tcW w:w="162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90"/>
              </w:rPr>
              <w:t>(3.4)%</w:t>
            </w:r>
          </w:p>
        </w:tc>
        <w:tc>
          <w:tcPr>
            <w:tcW w:w="100" w:type="dxa"/>
            <w:vAlign w:val="bottom"/>
            <w:shd w:val="clear" w:color="auto" w:fill="CCEEFF"/>
          </w:tcPr>
          <w:p>
            <w:pPr>
              <w:spacing w:after="0"/>
              <w:rPr>
                <w:sz w:val="18"/>
                <w:szCs w:val="18"/>
                <w:color w:val="auto"/>
              </w:rPr>
            </w:pPr>
          </w:p>
        </w:tc>
      </w:tr>
      <w:tr>
        <w:trPr>
          <w:trHeight w:val="235"/>
        </w:trPr>
        <w:tc>
          <w:tcPr>
            <w:tcW w:w="554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0.4%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2.0%</w:t>
            </w:r>
          </w:p>
        </w:tc>
        <w:tc>
          <w:tcPr>
            <w:tcW w:w="120" w:type="dxa"/>
            <w:vAlign w:val="bottom"/>
          </w:tcPr>
          <w:p>
            <w:pPr>
              <w:spacing w:after="0"/>
              <w:rPr>
                <w:sz w:val="20"/>
                <w:szCs w:val="20"/>
                <w:color w:val="auto"/>
              </w:rPr>
            </w:pPr>
          </w:p>
        </w:tc>
        <w:tc>
          <w:tcPr>
            <w:tcW w:w="150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0"/>
              </w:rPr>
              <w:t>(0.6)%</w:t>
            </w:r>
          </w:p>
        </w:tc>
        <w:tc>
          <w:tcPr>
            <w:tcW w:w="100" w:type="dxa"/>
            <w:vAlign w:val="bottom"/>
          </w:tcPr>
          <w:p>
            <w:pPr>
              <w:spacing w:after="0"/>
              <w:rPr>
                <w:sz w:val="20"/>
                <w:szCs w:val="20"/>
                <w:color w:val="auto"/>
              </w:rPr>
            </w:pPr>
          </w:p>
        </w:tc>
      </w:tr>
      <w:tr>
        <w:trPr>
          <w:trHeight w:val="242"/>
        </w:trPr>
        <w:tc>
          <w:tcPr>
            <w:tcW w:w="5540" w:type="dxa"/>
            <w:vAlign w:val="bottom"/>
            <w:tcBorders>
              <w:top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CCEEFF"/>
            </w:tcBorders>
            <w:shd w:val="clear" w:color="auto" w:fill="CCEEFF"/>
          </w:tcPr>
          <w:p>
            <w:pPr>
              <w:spacing w:after="0"/>
              <w:rPr>
                <w:sz w:val="21"/>
                <w:szCs w:val="21"/>
                <w:color w:val="auto"/>
              </w:rPr>
            </w:pPr>
          </w:p>
        </w:tc>
        <w:tc>
          <w:tcPr>
            <w:tcW w:w="182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0.4%</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2.9%</w:t>
            </w:r>
          </w:p>
        </w:tc>
        <w:tc>
          <w:tcPr>
            <w:tcW w:w="1620" w:type="dxa"/>
            <w:vAlign w:val="bottom"/>
            <w:tcBorders>
              <w:top w:val="single" w:sz="8" w:color="CCEEFF"/>
            </w:tcBorders>
            <w:gridSpan w:val="3"/>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0"/>
              </w:rPr>
              <w:t>(2.8)%</w:t>
            </w:r>
          </w:p>
        </w:tc>
        <w:tc>
          <w:tcPr>
            <w:tcW w:w="100" w:type="dxa"/>
            <w:vAlign w:val="bottom"/>
            <w:tcBorders>
              <w:top w:val="single" w:sz="8" w:color="CCEEFF"/>
            </w:tcBorders>
            <w:shd w:val="clear" w:color="auto" w:fill="CCEEFF"/>
          </w:tcPr>
          <w:p>
            <w:pPr>
              <w:spacing w:after="0"/>
              <w:rPr>
                <w:sz w:val="21"/>
                <w:szCs w:val="21"/>
                <w:color w:val="auto"/>
              </w:rPr>
            </w:pPr>
          </w:p>
        </w:tc>
      </w:tr>
      <w:tr>
        <w:trPr>
          <w:trHeight w:val="196"/>
        </w:trPr>
        <w:tc>
          <w:tcPr>
            <w:tcW w:w="55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5"/>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Consolidated Gross Margin</w:t>
            </w:r>
          </w:p>
        </w:tc>
        <w:tc>
          <w:tcPr>
            <w:tcW w:w="19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44.5%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47.9%</w:t>
            </w:r>
          </w:p>
        </w:tc>
        <w:tc>
          <w:tcPr>
            <w:tcW w:w="162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93"/>
              </w:rPr>
              <w:t>46.0%</w:t>
            </w:r>
          </w:p>
        </w:tc>
        <w:tc>
          <w:tcPr>
            <w:tcW w:w="100" w:type="dxa"/>
            <w:vAlign w:val="bottom"/>
            <w:shd w:val="clear" w:color="auto" w:fill="CCEEFF"/>
          </w:tcPr>
          <w:p>
            <w:pPr>
              <w:spacing w:after="0"/>
              <w:rPr>
                <w:sz w:val="18"/>
                <w:szCs w:val="18"/>
                <w:color w:val="auto"/>
              </w:rPr>
            </w:pPr>
          </w:p>
        </w:tc>
      </w:tr>
      <w:tr>
        <w:trPr>
          <w:trHeight w:val="389"/>
        </w:trPr>
        <w:tc>
          <w:tcPr>
            <w:tcW w:w="5540" w:type="dxa"/>
            <w:vAlign w:val="bottom"/>
          </w:tcPr>
          <w:p>
            <w:pPr>
              <w:spacing w:after="0"/>
              <w:rPr>
                <w:sz w:val="20"/>
                <w:szCs w:val="20"/>
                <w:color w:val="auto"/>
              </w:rPr>
            </w:pPr>
            <w:r>
              <w:rPr>
                <w:rFonts w:ascii="Arial" w:cs="Arial" w:eastAsia="Arial" w:hAnsi="Arial"/>
                <w:sz w:val="18"/>
                <w:szCs w:val="18"/>
                <w:color w:val="auto"/>
              </w:rPr>
              <w:t xml:space="preserve">Retail Gross Margin </w:t>
            </w:r>
            <w:r>
              <w:rPr>
                <w:rFonts w:ascii="Arial" w:cs="Arial" w:eastAsia="Arial" w:hAnsi="Arial"/>
                <w:sz w:val="29"/>
                <w:szCs w:val="29"/>
                <w:color w:val="auto"/>
                <w:vertAlign w:val="superscript"/>
              </w:rPr>
              <w:t>(2)</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44.3%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47.7%</w:t>
            </w:r>
          </w:p>
        </w:tc>
        <w:tc>
          <w:tcPr>
            <w:tcW w:w="162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45.7%</w:t>
            </w:r>
          </w:p>
        </w:tc>
        <w:tc>
          <w:tcPr>
            <w:tcW w:w="100" w:type="dxa"/>
            <w:vAlign w:val="bottom"/>
          </w:tcPr>
          <w:p>
            <w:pPr>
              <w:spacing w:after="0"/>
              <w:rPr>
                <w:sz w:val="24"/>
                <w:szCs w:val="24"/>
                <w:color w:val="auto"/>
              </w:rPr>
            </w:pPr>
          </w:p>
        </w:tc>
      </w:tr>
    </w:tbl>
    <w:p>
      <w:pPr>
        <w:spacing w:after="0" w:line="68" w:lineRule="exact"/>
        <w:rPr>
          <w:sz w:val="20"/>
          <w:szCs w:val="20"/>
          <w:color w:val="auto"/>
        </w:rPr>
      </w:pPr>
    </w:p>
    <w:p>
      <w:pPr>
        <w:ind w:left="340" w:right="120" w:hanging="332"/>
        <w:spacing w:after="0" w:line="273"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Cost of merchandise sold – retail is expressed as a percentage of net retail sales. Cost of merchandise sold – commercial is expressed as a percentage of commercial revenue. Cost of merchandise sold – int’l franchising is expressed as a percentage of franchise fee revenue.</w:t>
      </w:r>
    </w:p>
    <w:p>
      <w:pPr>
        <w:ind w:left="340" w:right="100" w:hanging="332"/>
        <w:spacing w:after="0" w:line="187" w:lineRule="auto"/>
        <w:tabs>
          <w:tab w:leader="none" w:pos="340" w:val="left"/>
        </w:tabs>
        <w:numPr>
          <w:ilvl w:val="0"/>
          <w:numId w:val="13"/>
        </w:numPr>
        <w:rPr>
          <w:rFonts w:ascii="Arial" w:cs="Arial" w:eastAsia="Arial" w:hAnsi="Arial"/>
          <w:sz w:val="32"/>
          <w:szCs w:val="32"/>
          <w:color w:val="auto"/>
          <w:vertAlign w:val="subscript"/>
        </w:rPr>
      </w:pPr>
      <w:r>
        <w:rPr>
          <w:rFonts w:ascii="Arial" w:cs="Arial" w:eastAsia="Arial" w:hAnsi="Arial"/>
          <w:sz w:val="16"/>
          <w:szCs w:val="16"/>
          <w:color w:val="auto"/>
        </w:rPr>
        <w:t>Retail gross margin represents net retail sales less cost of merchandise sold - retail; retail gross margin percentage represents retail gross margin divided by net retail sales.</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May 5, 2018 compared to thirteen weeks ended April 29, 2017</w:t>
      </w:r>
    </w:p>
    <w:p>
      <w:pPr>
        <w:spacing w:after="0" w:line="224" w:lineRule="exact"/>
        <w:rPr>
          <w:sz w:val="20"/>
          <w:szCs w:val="20"/>
          <w:color w:val="auto"/>
        </w:rPr>
      </w:pPr>
    </w:p>
    <w:p>
      <w:pPr>
        <w:ind w:firstLine="242"/>
        <w:spacing w:after="0" w:line="276"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for the thirteen weeks ended May 5, 2018 were $81.4 million, compared to $88.7 million for the thirteen weeks ended April</w:t>
      </w:r>
      <w:r>
        <w:rPr>
          <w:rFonts w:ascii="Arial" w:cs="Arial" w:eastAsia="Arial" w:hAnsi="Arial"/>
          <w:sz w:val="18"/>
          <w:szCs w:val="18"/>
          <w:i w:val="1"/>
          <w:iCs w:val="1"/>
          <w:color w:val="auto"/>
        </w:rPr>
        <w:t xml:space="preserve"> </w:t>
      </w:r>
      <w:r>
        <w:rPr>
          <w:rFonts w:ascii="Arial" w:cs="Arial" w:eastAsia="Arial" w:hAnsi="Arial"/>
          <w:sz w:val="18"/>
          <w:szCs w:val="18"/>
          <w:color w:val="auto"/>
        </w:rPr>
        <w:t>29, 2017, a decrease of $7.3 million, or 8.2%. The components of this decrease are as follows: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Thirteen Weeks</w:t>
            </w:r>
          </w:p>
        </w:tc>
      </w:tr>
      <w:tr>
        <w:trPr>
          <w:trHeight w:val="215"/>
        </w:trPr>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Ended</w:t>
            </w:r>
          </w:p>
        </w:tc>
      </w:tr>
      <w:tr>
        <w:trPr>
          <w:trHeight w:val="234"/>
        </w:trPr>
        <w:tc>
          <w:tcPr>
            <w:tcW w:w="8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May 5, 2018</w:t>
            </w:r>
          </w:p>
        </w:tc>
      </w:tr>
      <w:tr>
        <w:trPr>
          <w:trHeight w:val="209"/>
        </w:trPr>
        <w:tc>
          <w:tcPr>
            <w:tcW w:w="8640" w:type="dxa"/>
            <w:vAlign w:val="bottom"/>
          </w:tcPr>
          <w:p>
            <w:pPr>
              <w:spacing w:after="0"/>
              <w:rPr>
                <w:sz w:val="18"/>
                <w:szCs w:val="18"/>
                <w:color w:val="auto"/>
              </w:rPr>
            </w:pPr>
          </w:p>
        </w:tc>
        <w:tc>
          <w:tcPr>
            <w:tcW w:w="1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100" w:type="dxa"/>
            <w:vAlign w:val="bottom"/>
          </w:tcPr>
          <w:p>
            <w:pPr>
              <w:spacing w:after="0"/>
              <w:rPr>
                <w:sz w:val="18"/>
                <w:szCs w:val="18"/>
                <w:color w:val="auto"/>
              </w:rPr>
            </w:pPr>
          </w:p>
        </w:tc>
      </w:tr>
      <w:tr>
        <w:trPr>
          <w:trHeight w:val="215"/>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Decrease in existing store and ecommerce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r>
      <w:tr>
        <w:trPr>
          <w:trHeight w:val="215"/>
        </w:trPr>
        <w:tc>
          <w:tcPr>
            <w:tcW w:w="8640" w:type="dxa"/>
            <w:vAlign w:val="bottom"/>
          </w:tcPr>
          <w:p>
            <w:pPr>
              <w:spacing w:after="0"/>
              <w:rPr>
                <w:sz w:val="20"/>
                <w:szCs w:val="20"/>
                <w:color w:val="auto"/>
              </w:rPr>
            </w:pPr>
            <w:r>
              <w:rPr>
                <w:rFonts w:ascii="Arial" w:cs="Arial" w:eastAsia="Arial" w:hAnsi="Arial"/>
                <w:sz w:val="18"/>
                <w:szCs w:val="18"/>
                <w:color w:val="auto"/>
              </w:rPr>
              <w:t>Impact of store closures</w:t>
            </w:r>
          </w:p>
        </w:tc>
        <w:tc>
          <w:tcPr>
            <w:tcW w:w="1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15"/>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new stores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5"/>
        </w:trPr>
        <w:tc>
          <w:tcPr>
            <w:tcW w:w="864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1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5"/>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 estimates, including breakage</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0"/>
        </w:trPr>
        <w:tc>
          <w:tcPr>
            <w:tcW w:w="8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0"/>
        </w:trPr>
        <w:tc>
          <w:tcPr>
            <w:tcW w:w="8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40" w:firstLine="323"/>
        <w:spacing w:after="0" w:line="256" w:lineRule="auto"/>
        <w:rPr>
          <w:sz w:val="20"/>
          <w:szCs w:val="20"/>
          <w:color w:val="auto"/>
        </w:rPr>
      </w:pPr>
      <w:r>
        <w:rPr>
          <w:rFonts w:ascii="Arial" w:cs="Arial" w:eastAsia="Arial" w:hAnsi="Arial"/>
          <w:sz w:val="18"/>
          <w:szCs w:val="18"/>
          <w:color w:val="auto"/>
        </w:rPr>
        <w:t>The revenue decrease included the $0.6 million impact from adoption of the new revenue recognition standard (See Note 1 — Basis of Presentation and Note 2 — Revenue for additional information). In addition, our most productive store closed in January 2018. Toys "R" Us began to conduct liquidation proceedings in the thirteen weeks ended May 5, 2018 which we believed negatively impacted sales at our stores, particularly those in closer proximity to a liquidating Toys "R" Us location. We realized increases in key operational metrics including conversion, dollars-per-transaction and units per transaction in the quarter.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Commercial revenue was $1.0 million for the thirteen weeks ended May 5, 2018 compared to $2.0 million for the thirteen weeks ended April 29,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$1.0 million decrease related primarily to the nature and timing of the prior year's wholesale orders.</w:t>
      </w:r>
    </w:p>
    <w:p>
      <w:pPr>
        <w:spacing w:after="0" w:line="209" w:lineRule="exact"/>
        <w:rPr>
          <w:sz w:val="20"/>
          <w:szCs w:val="20"/>
          <w:color w:val="auto"/>
        </w:rPr>
      </w:pPr>
    </w:p>
    <w:p>
      <w:pPr>
        <w:ind w:right="40" w:firstLine="323"/>
        <w:spacing w:after="0" w:line="258"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was $36.0 million for the thirteen weeks ended May 5, 2018 compared to $42.3 million for the thirteen weeks</w:t>
      </w:r>
      <w:r>
        <w:rPr>
          <w:rFonts w:ascii="Arial" w:cs="Arial" w:eastAsia="Arial" w:hAnsi="Arial"/>
          <w:sz w:val="18"/>
          <w:szCs w:val="18"/>
          <w:i w:val="1"/>
          <w:iCs w:val="1"/>
          <w:color w:val="auto"/>
        </w:rPr>
        <w:t xml:space="preserve"> </w:t>
      </w:r>
      <w:r>
        <w:rPr>
          <w:rFonts w:ascii="Arial" w:cs="Arial" w:eastAsia="Arial" w:hAnsi="Arial"/>
          <w:sz w:val="18"/>
          <w:szCs w:val="18"/>
          <w:color w:val="auto"/>
        </w:rPr>
        <w:t>ended April 29, 2017, a decrease of $6.2 million, or 14.8%. As a percentage of net retail sales, retail gross margin was 44.3% for the thirteen weeks ended May 5, 2018 compared to 47.7% for the thirteen weeks ended April 29, 2017. This 340 basis-point gross margin decrease was largely driven by deleverage of fixed occupancy costs and partially offset by a 30 basis-point expansion in merchandise margin.</w:t>
      </w:r>
    </w:p>
    <w:p>
      <w:pPr>
        <w:spacing w:after="0" w:line="187" w:lineRule="exact"/>
        <w:rPr>
          <w:sz w:val="20"/>
          <w:szCs w:val="20"/>
          <w:color w:val="auto"/>
        </w:rPr>
      </w:pPr>
    </w:p>
    <w:p>
      <w:pPr>
        <w:ind w:right="80" w:firstLine="323"/>
        <w:spacing w:after="0" w:line="256"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("SGA") were $36.3 million for the thirteen weeks ended May 5,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$39.2 million for the thirteen weeks ended April 29, 2017, a decrease of $2.9 million, or 7.4%. The decrease in SGA was primarily due to lower performance-based compensation expense, reduced advertising spend and a reduction in store preopening expenses. As a percentage of total revenues, SGA increased to 43.7% for the thirteen weeks ended May 5, 2018, compared to 43.0% for the thirteen weeks ended April 29, 2017, an increase of 70 basis-points.</w:t>
      </w:r>
    </w:p>
    <w:p>
      <w:pPr>
        <w:spacing w:after="0" w:line="188" w:lineRule="exact"/>
        <w:rPr>
          <w:sz w:val="20"/>
          <w:szCs w:val="20"/>
          <w:color w:val="auto"/>
        </w:rPr>
      </w:pPr>
    </w:p>
    <w:p>
      <w:pPr>
        <w:ind w:right="200" w:firstLine="323"/>
        <w:spacing w:after="0" w:line="276"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expense (income) was less than $0.1 million for both the thirteen weeks ended May 5, 2018 and April 29,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ind w:right="20" w:firstLine="323"/>
        <w:spacing w:after="0" w:line="256"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Income tax expense was $0.3 million with a tax rate of 45.2% for the thirteen weeks ended May 5, 2018 compared to $1.8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with a tax rate of 40.6% for the thirteen weeks ended April 29, 2017. The fiscal 2018 effective tax rate differed from the statutory rate of 21% primarily due to a $0.1 million negative tax impact related to vested equity awards. The fiscal 2017 effective tax rate differed from the statutory rate of 34% primarily due to a $0.2 million negative tax impact related to vested equity awards. The statutory rate decreased to 21% as a result of the enactment of the Tax Cut and Jobs Act on December 22, 2017.</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Five weeks ended February 3, 2018 compared to the four weeks ended January 28, 2017</w:t>
      </w:r>
    </w:p>
    <w:p>
      <w:pPr>
        <w:spacing w:after="0" w:line="224" w:lineRule="exact"/>
        <w:rPr>
          <w:sz w:val="20"/>
          <w:szCs w:val="20"/>
          <w:color w:val="auto"/>
        </w:rPr>
      </w:pPr>
    </w:p>
    <w:p>
      <w:pPr>
        <w:ind w:firstLine="323"/>
        <w:spacing w:after="0" w:line="253" w:lineRule="auto"/>
        <w:rPr>
          <w:sz w:val="20"/>
          <w:szCs w:val="20"/>
          <w:color w:val="auto"/>
        </w:rPr>
      </w:pPr>
      <w:r>
        <w:rPr>
          <w:rFonts w:ascii="Arial" w:cs="Arial" w:eastAsia="Arial" w:hAnsi="Arial"/>
          <w:sz w:val="18"/>
          <w:szCs w:val="18"/>
          <w:color w:val="auto"/>
        </w:rPr>
        <w:t>Total revenues were $30.2 million for the five weeks ended February 3, 2018, as compared to $24.1 million for the four weeks ended January 28, 2017. The increase of $6.1 million, or 25.3%, was primarily driven by one extra week of revenue. Consolidated gross profit was $13.9 million for the five weeks ended February 3, 2018, as compared to $10.0 million for the four weeks ended January 28, 2017, an increase of $3.9 million, or 38.4%. Retail gross margin was $13.5 million for the five weeks ended February 3, 2018 compared to $9.9 million for the four weeks ended January 28, 2017, an increase of $3.6 million, or 37.0%. As a percentage of net retail sales, retail gross margin was 45.7% for the five weeks ended February 3, 2018 compared to 41.2% for the four weeks ended January 28, 2017. This 450 basis-point gross margin increase was primarily driven by the impact of one extra week of revenue on fixed occupancy costs and a 160 basis-point improvement in merchandise margin. Merchandise margin benefited from lower discounts, selective price increases and sourcing efficiencies.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 and Quarterly Results</w:t>
      </w:r>
    </w:p>
    <w:p>
      <w:pPr>
        <w:spacing w:after="0" w:line="228" w:lineRule="exact"/>
        <w:rPr>
          <w:sz w:val="20"/>
          <w:szCs w:val="20"/>
          <w:color w:val="auto"/>
        </w:rPr>
      </w:pPr>
    </w:p>
    <w:p>
      <w:pPr>
        <w:ind w:right="60" w:firstLine="323"/>
        <w:spacing w:after="0" w:line="292" w:lineRule="auto"/>
        <w:rPr>
          <w:sz w:val="20"/>
          <w:szCs w:val="20"/>
          <w:color w:val="auto"/>
        </w:rPr>
      </w:pPr>
      <w:r>
        <w:rPr>
          <w:rFonts w:ascii="Arial" w:cs="Arial" w:eastAsia="Arial" w:hAnsi="Arial"/>
          <w:sz w:val="16"/>
          <w:szCs w:val="16"/>
          <w:color w:val="auto"/>
        </w:rPr>
        <w:t>Our operating results for one period may not be indicative of results for other periods, and may fluctuate significantly because of a variety of factors, including, but not limited to: (1) changes in general economic conditions and consumer spending patterns; (2) increases or decreases in our existing store and ecommerce sales; (3) fluctuations in the profitability of our stores; (4) changes in foreign currency exchange rates; (5) the timing and frequency of the sales of licensed products tied to major theatrical releases, our marketing initiatives, including national media and other public relations events; (6) the timing of our store openings and closings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164" w:lineRule="exact"/>
        <w:rPr>
          <w:sz w:val="20"/>
          <w:szCs w:val="20"/>
          <w:color w:val="auto"/>
        </w:rPr>
      </w:pPr>
    </w:p>
    <w:p>
      <w:pPr>
        <w:ind w:right="40" w:firstLine="323"/>
        <w:spacing w:after="0" w:line="278" w:lineRule="auto"/>
        <w:rPr>
          <w:sz w:val="20"/>
          <w:szCs w:val="20"/>
          <w:color w:val="auto"/>
        </w:rPr>
      </w:pPr>
      <w:r>
        <w:rPr>
          <w:rFonts w:ascii="Arial" w:cs="Arial" w:eastAsia="Arial" w:hAnsi="Arial"/>
          <w:sz w:val="17"/>
          <w:szCs w:val="17"/>
          <w:color w:val="auto"/>
        </w:rPr>
        <w:t>The timing of store closures, remodels and 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71" w:lineRule="exact"/>
        <w:rPr>
          <w:sz w:val="20"/>
          <w:szCs w:val="20"/>
          <w:color w:val="auto"/>
        </w:rPr>
      </w:pPr>
    </w:p>
    <w:p>
      <w:pPr>
        <w:ind w:right="20" w:firstLine="323"/>
        <w:spacing w:after="0" w:line="278" w:lineRule="auto"/>
        <w:rPr>
          <w:sz w:val="20"/>
          <w:szCs w:val="20"/>
          <w:color w:val="auto"/>
        </w:rPr>
      </w:pPr>
      <w:r>
        <w:rPr>
          <w:rFonts w:ascii="Arial" w:cs="Arial" w:eastAsia="Arial" w:hAnsi="Arial"/>
          <w:sz w:val="17"/>
          <w:szCs w:val="17"/>
          <w:color w:val="auto"/>
        </w:rPr>
        <w:t>As a retailer that has toy products as part of our revenue model,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For example, the 2014 fiscal fourth quarter had 14 weeks and the transition period ended February 3, 2018 had five weeks.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8" w:lineRule="exact"/>
        <w:rPr>
          <w:sz w:val="20"/>
          <w:szCs w:val="20"/>
          <w:color w:val="auto"/>
        </w:rPr>
      </w:pPr>
    </w:p>
    <w:p>
      <w:pPr>
        <w:jc w:val="both"/>
        <w:ind w:right="180" w:firstLine="323"/>
        <w:spacing w:after="0" w:line="262" w:lineRule="auto"/>
        <w:rPr>
          <w:sz w:val="20"/>
          <w:szCs w:val="20"/>
          <w:color w:val="auto"/>
        </w:rPr>
      </w:pPr>
      <w:r>
        <w:rPr>
          <w:rFonts w:ascii="Arial" w:cs="Arial" w:eastAsia="Arial" w:hAnsi="Arial"/>
          <w:sz w:val="18"/>
          <w:szCs w:val="18"/>
          <w:color w:val="auto"/>
        </w:rPr>
        <w:t>Our cash requirements are primarily for the relocation and remodeling of existing stores in our new design, opening of new stores, information systems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83" w:lineRule="exact"/>
        <w:rPr>
          <w:sz w:val="20"/>
          <w:szCs w:val="20"/>
          <w:color w:val="auto"/>
        </w:rPr>
      </w:pPr>
    </w:p>
    <w:p>
      <w:pPr>
        <w:ind w:firstLine="323"/>
        <w:spacing w:after="0" w:line="258"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provided by operating activities was $1.4 million for the thirteen weeks ended May 5, 2018, compared to $6.8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April 29, 2017, a decrease of $5.4 million. Generally, changes in cash from operating activities are driven by changes in net income and changes in operating assets and liabilities. This decrease in cash from operating activities over the year ago period was primarily due to the timing of inventory and payroll payments.</w:t>
      </w:r>
    </w:p>
    <w:p>
      <w:pPr>
        <w:spacing w:after="0" w:line="187" w:lineRule="exact"/>
        <w:rPr>
          <w:sz w:val="20"/>
          <w:szCs w:val="20"/>
          <w:color w:val="auto"/>
        </w:rPr>
      </w:pPr>
    </w:p>
    <w:p>
      <w:pPr>
        <w:ind w:right="20" w:firstLine="404"/>
        <w:spacing w:after="0" w:line="25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was $3.0 million for the thirteen weeks ended May 5, 2018, as compared to $3.8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April 29, 2017, a decrease of $0.8 million. Cash used in investing activities during the thirteen weeks ended May 5, 2018 primarily related to store construction and upgrades and purchases of information technology infrastructure and the benefit of an insurance claim. Cash used in investing activities during the thirteen weeks ended April 29, 2017 primarily related to store construction and upgrades and purchases of information technology infrastructure.</w:t>
      </w:r>
    </w:p>
    <w:p>
      <w:pPr>
        <w:spacing w:after="0" w:line="188" w:lineRule="exact"/>
        <w:rPr>
          <w:sz w:val="20"/>
          <w:szCs w:val="20"/>
          <w:color w:val="auto"/>
        </w:rPr>
      </w:pPr>
    </w:p>
    <w:p>
      <w:pPr>
        <w:ind w:right="140" w:firstLine="404"/>
        <w:spacing w:after="0" w:line="278"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Financing activities used cash of $1.2 million for the thirteen weeks ended May 5, 2018, as purchases of our common stock used</w:t>
      </w:r>
      <w:r>
        <w:rPr>
          <w:rFonts w:ascii="Arial" w:cs="Arial" w:eastAsia="Arial" w:hAnsi="Arial"/>
          <w:sz w:val="17"/>
          <w:szCs w:val="17"/>
          <w:i w:val="1"/>
          <w:iCs w:val="1"/>
          <w:color w:val="auto"/>
        </w:rPr>
        <w:t xml:space="preserve"> </w:t>
      </w:r>
      <w:r>
        <w:rPr>
          <w:rFonts w:ascii="Arial" w:cs="Arial" w:eastAsia="Arial" w:hAnsi="Arial"/>
          <w:sz w:val="17"/>
          <w:szCs w:val="17"/>
          <w:color w:val="auto"/>
        </w:rPr>
        <w:t>cash of $0.7 million and exercises of employee stock options, net of shares used for withholding tax payments used $0.4 million. In the thirteen weeks ended April 29, 2017, financing activities used cash of $0.4 million, as exercises of employee stock options, net of shares used for withholding tax payments used $0.4 million. No borrowings were made under our line of credit in either the thirteen weeks ended May 5, 2018 or April 29, 2017.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40" w:firstLine="404"/>
        <w:spacing w:after="0" w:line="295" w:lineRule="auto"/>
        <w:rPr>
          <w:sz w:val="20"/>
          <w:szCs w:val="20"/>
          <w:color w:val="auto"/>
        </w:rPr>
      </w:pPr>
      <w:r>
        <w:rPr>
          <w:rFonts w:ascii="Arial" w:cs="Arial" w:eastAsia="Arial" w:hAnsi="Arial"/>
          <w:sz w:val="16"/>
          <w:szCs w:val="16"/>
          <w:i w:val="1"/>
          <w:iCs w:val="1"/>
          <w:color w:val="auto"/>
        </w:rPr>
        <w:t xml:space="preserve">Five weeks ended February 3, 2018: </w:t>
      </w:r>
      <w:r>
        <w:rPr>
          <w:rFonts w:ascii="Arial" w:cs="Arial" w:eastAsia="Arial" w:hAnsi="Arial"/>
          <w:sz w:val="16"/>
          <w:szCs w:val="16"/>
          <w:color w:val="auto"/>
        </w:rPr>
        <w:t>Cash used by operating activities was $2.9 million for the five weeks ended February 3, 2018. Generally,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in cash from operating activities are driven by changes in net income and changes in operating assets and liabilities. This decrease in cash from operating activities over the year ago period was primarily due to the timing of inventory and payroll payments. Cash used in investing activities was $1.3 million for the five weeks ended February 3, 2018 and primarily related to store construction and upgrades and purchases of information technology infrastructure. Financing activities used cash of $4.7 million for the five weeks ended February 3, 2018, as purchases of our common stock used cash of $4.7 million.</w:t>
      </w:r>
    </w:p>
    <w:p>
      <w:pPr>
        <w:spacing w:after="0" w:line="161" w:lineRule="exact"/>
        <w:rPr>
          <w:sz w:val="20"/>
          <w:szCs w:val="20"/>
          <w:color w:val="auto"/>
        </w:rPr>
      </w:pPr>
    </w:p>
    <w:p>
      <w:pPr>
        <w:ind w:firstLine="323"/>
        <w:spacing w:after="0" w:line="285" w:lineRule="auto"/>
        <w:rPr>
          <w:sz w:val="20"/>
          <w:szCs w:val="20"/>
          <w:color w:val="auto"/>
        </w:rPr>
      </w:pP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As of May 5, 2018, we had a consolidated cash balance of $18.9 million and more than half of this balance was domiciled outside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We also have a line of credit, which we can use to finance capital expenditures and working capital needs throughout the year. On May 4, 2017, we amended the credit agreement extending the expiration date to December 31, 2018 and increasing the amount of permitted lease and rental payments for personal property from $100,000 to $1.0 million. The bank line provides availability of $35.0 million. Borrowings under the credit agreement are secured by our assets and a pledge of 66% of our ownership interest in certain of our foreign subsidiaries. The credit agreement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May 5, 2018: (i) we were in compliance with all covenants; (ii) there were no borrowings under our line of credit; and (iii) there was approximately $35.0 million available for borrowing under the line of credit. This balance is expected to fluctuate throughout the remainder of the year and is expected to be repaid before the end of the fiscal year.</w:t>
      </w:r>
    </w:p>
    <w:p>
      <w:pPr>
        <w:spacing w:after="0" w:line="174" w:lineRule="exact"/>
        <w:rPr>
          <w:sz w:val="20"/>
          <w:szCs w:val="20"/>
          <w:color w:val="auto"/>
        </w:rPr>
      </w:pPr>
    </w:p>
    <w:p>
      <w:pPr>
        <w:ind w:right="160" w:firstLine="323"/>
        <w:spacing w:after="0" w:line="262" w:lineRule="auto"/>
        <w:rPr>
          <w:sz w:val="20"/>
          <w:szCs w:val="20"/>
          <w:color w:val="auto"/>
        </w:rPr>
      </w:pPr>
      <w:r>
        <w:rPr>
          <w:rFonts w:ascii="Arial" w:cs="Arial" w:eastAsia="Arial" w:hAnsi="Arial"/>
          <w:sz w:val="18"/>
          <w:szCs w:val="18"/>
          <w:color w:val="auto"/>
        </w:rPr>
        <w:t>In fiscal 2018, we expect to spend a total of $15 to $18 million on capital expenditures. Capital spending through the thirteen weeks ended May 5, 2018 totaled $3.0 million, on track with our full year plans. Capital spending in fiscal 2018 is expected to primarily support our store activity, including both remodels and new stores and investments in information technology infrastructure.</w:t>
      </w:r>
    </w:p>
    <w:p>
      <w:pPr>
        <w:spacing w:after="0" w:line="183" w:lineRule="exact"/>
        <w:rPr>
          <w:sz w:val="20"/>
          <w:szCs w:val="20"/>
          <w:color w:val="auto"/>
        </w:rPr>
      </w:pPr>
    </w:p>
    <w:p>
      <w:pPr>
        <w:ind w:right="160" w:firstLine="323"/>
        <w:spacing w:after="0" w:line="276"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2018.</w:t>
      </w:r>
    </w:p>
    <w:p>
      <w:pPr>
        <w:spacing w:after="0" w:line="170" w:lineRule="exact"/>
        <w:rPr>
          <w:sz w:val="20"/>
          <w:szCs w:val="20"/>
          <w:color w:val="auto"/>
        </w:rPr>
      </w:pPr>
    </w:p>
    <w:p>
      <w:pPr>
        <w:ind w:right="20" w:firstLine="323"/>
        <w:spacing w:after="0" w:line="271" w:lineRule="auto"/>
        <w:rPr>
          <w:sz w:val="20"/>
          <w:szCs w:val="20"/>
          <w:color w:val="auto"/>
        </w:rPr>
      </w:pPr>
      <w:r>
        <w:rPr>
          <w:rFonts w:ascii="Arial" w:cs="Arial" w:eastAsia="Arial" w:hAnsi="Arial"/>
          <w:sz w:val="17"/>
          <w:szCs w:val="17"/>
          <w:color w:val="auto"/>
        </w:rPr>
        <w:t>In August 2017, our Board of Directors authorized a share repurchase program of up to $20 million. This program authorized us to purchase up to $20 million of our common stock in the open market (including through 10b5-1 trading plans), or through privately negotiated transactions. The primary source of funding for the program is expected to be cash on hand. The timing and amount of share repurchases, if any, will depend on price, market conditions, applicable regulatory requirements, and other factors. The program authorizes us to repurchase shares through September 30, 2020, and does not require us to repurchase any specific number of shares, and may be modified, suspended or terminated at any time without prior notice. Shares repurchased under the program will be subsequently retired. Under this program through May 5, 2018, we repurchased approximately 1.1 million shares at an average price of $8.86 per share for an aggregate amount of $10.0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8" w:lineRule="exact"/>
        <w:rPr>
          <w:sz w:val="20"/>
          <w:szCs w:val="20"/>
          <w:color w:val="auto"/>
        </w:rPr>
      </w:pPr>
    </w:p>
    <w:p>
      <w:pPr>
        <w:ind w:right="200" w:firstLine="323"/>
        <w:spacing w:after="0" w:line="276"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8" w:lineRule="exact"/>
        <w:rPr>
          <w:sz w:val="20"/>
          <w:szCs w:val="20"/>
          <w:color w:val="auto"/>
        </w:rPr>
      </w:pPr>
    </w:p>
    <w:p>
      <w:pPr>
        <w:ind w:right="160" w:firstLine="323"/>
        <w:spacing w:after="0" w:line="258"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180" w:firstLine="323"/>
        <w:spacing w:after="0" w:line="258"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inventory, long-lived assets,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87" w:lineRule="exact"/>
        <w:rPr>
          <w:sz w:val="20"/>
          <w:szCs w:val="20"/>
          <w:color w:val="auto"/>
        </w:rPr>
      </w:pPr>
    </w:p>
    <w:p>
      <w:pPr>
        <w:jc w:val="both"/>
        <w:ind w:right="100" w:firstLine="323"/>
        <w:spacing w:after="0" w:line="285" w:lineRule="auto"/>
        <w:rPr>
          <w:sz w:val="20"/>
          <w:szCs w:val="20"/>
          <w:color w:val="auto"/>
        </w:rPr>
      </w:pPr>
      <w:r>
        <w:rPr>
          <w:rFonts w:ascii="Arial" w:cs="Arial" w:eastAsia="Arial" w:hAnsi="Arial"/>
          <w:sz w:val="17"/>
          <w:szCs w:val="17"/>
          <w:color w:val="auto"/>
        </w:rPr>
        <w:t>Our critical accounting policies and estimates are discussed in and should be read in conjunction with our Annual Report on Form 10-K, as filed with the Securities and Exchange Commission (SEC) on March 15, 2018, which includes audited consolidated financial statements for our 2017, 2016 and 2015 fiscal years. There have been no material changes to the critical accounting estimates disclosed in the 2017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See Note 1 – Recently Issued Accounting Pronouncements of the Condensed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8" w:lineRule="exact"/>
        <w:rPr>
          <w:sz w:val="20"/>
          <w:szCs w:val="20"/>
          <w:color w:val="auto"/>
        </w:rPr>
      </w:pPr>
    </w:p>
    <w:p>
      <w:pPr>
        <w:ind w:right="20" w:firstLine="323"/>
        <w:spacing w:after="0" w:line="276"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disclosed in our Annual Report on Form 10-K for the year ended December 30, 2017 as filed with the SEC on March 15,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8" w:lineRule="exact"/>
        <w:rPr>
          <w:sz w:val="20"/>
          <w:szCs w:val="20"/>
          <w:color w:val="auto"/>
        </w:rPr>
      </w:pPr>
    </w:p>
    <w:p>
      <w:pPr>
        <w:ind w:right="80" w:firstLine="323"/>
        <w:spacing w:after="0" w:line="253" w:lineRule="auto"/>
        <w:rPr>
          <w:sz w:val="20"/>
          <w:szCs w:val="20"/>
          <w:color w:val="auto"/>
        </w:rPr>
      </w:pPr>
      <w:r>
        <w:rPr>
          <w:rFonts w:ascii="Arial" w:cs="Arial" w:eastAsia="Arial" w:hAnsi="Arial"/>
          <w:sz w:val="18"/>
          <w:szCs w:val="18"/>
          <w:color w:val="auto"/>
        </w:rPr>
        <w:t>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May 5, 2018, the end of the period covered by this Quarterly Report.</w:t>
      </w:r>
    </w:p>
    <w:p>
      <w:pPr>
        <w:spacing w:after="0" w:line="192" w:lineRule="exact"/>
        <w:rPr>
          <w:sz w:val="20"/>
          <w:szCs w:val="20"/>
          <w:color w:val="auto"/>
        </w:rPr>
      </w:pPr>
    </w:p>
    <w:p>
      <w:pPr>
        <w:ind w:firstLine="323"/>
        <w:spacing w:after="0" w:line="286"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2" w:lineRule="exact"/>
        <w:rPr>
          <w:sz w:val="20"/>
          <w:szCs w:val="20"/>
          <w:color w:val="auto"/>
        </w:rPr>
      </w:pPr>
    </w:p>
    <w:p>
      <w:pPr>
        <w:ind w:right="560" w:firstLine="323"/>
        <w:spacing w:after="0" w:line="278"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The Company’s management, with the participation of the Company’s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Chief Financial Officer,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20" w:right="360" w:firstLine="323"/>
        <w:spacing w:after="0" w:line="262" w:lineRule="auto"/>
        <w:rPr>
          <w:sz w:val="20"/>
          <w:szCs w:val="20"/>
          <w:color w:val="auto"/>
        </w:rPr>
      </w:pPr>
      <w:r>
        <w:rPr>
          <w:rFonts w:ascii="Arial" w:cs="Arial" w:eastAsia="Arial" w:hAnsi="Arial"/>
          <w:sz w:val="18"/>
          <w:szCs w:val="18"/>
          <w:color w:val="auto"/>
        </w:rPr>
        <w:t>During the first quarter of fiscal 2018, we began the implementation of a new enterprise resource planning (ERP) system by transitioning our corporate operations, including corporate general ledger, corporate procurement and payments, and corporate cash management functions to the new ERP system.</w:t>
      </w:r>
    </w:p>
    <w:p>
      <w:pPr>
        <w:spacing w:after="0" w:line="183" w:lineRule="exact"/>
        <w:rPr>
          <w:sz w:val="20"/>
          <w:szCs w:val="20"/>
          <w:color w:val="auto"/>
        </w:rPr>
      </w:pPr>
    </w:p>
    <w:p>
      <w:pPr>
        <w:ind w:right="180" w:firstLine="323"/>
        <w:spacing w:after="0" w:line="254" w:lineRule="auto"/>
        <w:rPr>
          <w:sz w:val="20"/>
          <w:szCs w:val="20"/>
          <w:color w:val="auto"/>
        </w:rPr>
      </w:pPr>
      <w:r>
        <w:rPr>
          <w:rFonts w:ascii="Arial" w:cs="Arial" w:eastAsia="Arial" w:hAnsi="Arial"/>
          <w:sz w:val="18"/>
          <w:szCs w:val="18"/>
          <w:color w:val="auto"/>
        </w:rPr>
        <w:t>We have modified our existing internal controls infrastructure, as well as added other processes and internal controls, to adapt to our new ERP system as well as take advantage of the increased functionality of the new system. The transition of our remaining operations to our new ERP system will occur in phases in fiscal 2018. We believe that the new ERP system and related changes to processes and the design of our internal controls will enhance our internal control over financial reporting while providing us with the ability to scale our business. We believe we have taken the necessary steps to monitor and maintain appropriate internal control over financial reporting during the first 13 weeks of fiscal 2018 and we will continue to evaluate the operating effectiveness of related key controls during subsequent periods.</w:t>
      </w:r>
    </w:p>
    <w:p>
      <w:pPr>
        <w:spacing w:after="0" w:line="193" w:lineRule="exact"/>
        <w:rPr>
          <w:sz w:val="20"/>
          <w:szCs w:val="20"/>
          <w:color w:val="auto"/>
        </w:rPr>
      </w:pPr>
    </w:p>
    <w:p>
      <w:pPr>
        <w:ind w:left="20" w:right="20" w:firstLine="323"/>
        <w:spacing w:after="0" w:line="262" w:lineRule="auto"/>
        <w:rPr>
          <w:sz w:val="20"/>
          <w:szCs w:val="20"/>
          <w:color w:val="auto"/>
        </w:rPr>
      </w:pPr>
      <w:r>
        <w:rPr>
          <w:rFonts w:ascii="Arial" w:cs="Arial" w:eastAsia="Arial" w:hAnsi="Arial"/>
          <w:sz w:val="18"/>
          <w:szCs w:val="18"/>
          <w:color w:val="auto"/>
        </w:rPr>
        <w:t>With the exception of the implementation of our ERP solution, no change in our internal control over financial reporting occurred during the fiscal quarter ended May 5, 2018 that has materially affected, or is reasonably likely to materially affect, our internal control over financial reporting. Based on that evaluation, there has been no such change during the period covered by this report.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1A. Risk Factors</w:t>
      </w:r>
    </w:p>
    <w:p>
      <w:pPr>
        <w:spacing w:after="0" w:line="228" w:lineRule="exact"/>
        <w:rPr>
          <w:sz w:val="20"/>
          <w:szCs w:val="20"/>
          <w:color w:val="auto"/>
        </w:rPr>
      </w:pPr>
    </w:p>
    <w:p>
      <w:pPr>
        <w:ind w:left="20" w:right="100" w:firstLine="323"/>
        <w:spacing w:after="0" w:line="276" w:lineRule="auto"/>
        <w:rPr>
          <w:sz w:val="20"/>
          <w:szCs w:val="20"/>
          <w:color w:val="auto"/>
        </w:rPr>
      </w:pPr>
      <w:r>
        <w:rPr>
          <w:rFonts w:ascii="Arial" w:cs="Arial" w:eastAsia="Arial" w:hAnsi="Arial"/>
          <w:sz w:val="18"/>
          <w:szCs w:val="18"/>
          <w:color w:val="auto"/>
        </w:rPr>
        <w:t>There have been no changes to our Risk Factors as disclosed in our Annual Report on Form 10-K for the year ended December 30, 2017 as filed with the Securities and Exchange Commission on March 15, 2018.</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(d)</w:t>
            </w:r>
          </w:p>
        </w:tc>
      </w:tr>
      <w:tr>
        <w:trPr>
          <w:trHeight w:val="215"/>
        </w:trPr>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r>
      <w:tr>
        <w:trPr>
          <w:trHeight w:val="215"/>
        </w:trPr>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r>
      <w:tr>
        <w:trPr>
          <w:trHeight w:val="215"/>
        </w:trPr>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(or</w:t>
            </w:r>
          </w:p>
        </w:tc>
      </w:tr>
      <w:tr>
        <w:trPr>
          <w:trHeight w:val="215"/>
        </w:trPr>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Approximate</w:t>
            </w:r>
          </w:p>
        </w:tc>
      </w:tr>
      <w:tr>
        <w:trPr>
          <w:trHeight w:val="215"/>
        </w:trPr>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Number</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Dollar Value)</w:t>
            </w:r>
          </w:p>
        </w:tc>
      </w:tr>
      <w:tr>
        <w:trPr>
          <w:trHeight w:val="215"/>
        </w:trPr>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of</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of</w:t>
            </w:r>
          </w:p>
        </w:tc>
      </w:tr>
      <w:tr>
        <w:trPr>
          <w:trHeight w:val="215"/>
        </w:trPr>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Shares (or</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(or</w:t>
            </w:r>
          </w:p>
        </w:tc>
      </w:tr>
      <w:tr>
        <w:trPr>
          <w:trHeight w:val="215"/>
        </w:trPr>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Units)</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Units)</w:t>
            </w:r>
          </w:p>
        </w:tc>
      </w:tr>
      <w:tr>
        <w:trPr>
          <w:trHeight w:val="215"/>
        </w:trPr>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Purchased as</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that May Yet</w:t>
            </w:r>
          </w:p>
        </w:tc>
      </w:tr>
      <w:tr>
        <w:trPr>
          <w:trHeight w:val="220"/>
        </w:trPr>
        <w:tc>
          <w:tcPr>
            <w:tcW w:w="606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w:t>
            </w:r>
          </w:p>
        </w:tc>
        <w:tc>
          <w:tcPr>
            <w:tcW w:w="14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(b)</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Part of</w:t>
            </w:r>
          </w:p>
        </w:tc>
        <w:tc>
          <w:tcPr>
            <w:tcW w:w="10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Be</w:t>
            </w:r>
          </w:p>
        </w:tc>
      </w:tr>
      <w:tr>
        <w:trPr>
          <w:trHeight w:val="215"/>
        </w:trPr>
        <w:tc>
          <w:tcPr>
            <w:tcW w:w="60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Publicly</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r>
      <w:tr>
        <w:trPr>
          <w:trHeight w:val="215"/>
        </w:trPr>
        <w:tc>
          <w:tcPr>
            <w:tcW w:w="60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Price Paid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Under</w:t>
            </w:r>
          </w:p>
        </w:tc>
      </w:tr>
      <w:tr>
        <w:trPr>
          <w:trHeight w:val="215"/>
        </w:trPr>
        <w:tc>
          <w:tcPr>
            <w:tcW w:w="606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(or Units)</w:t>
            </w: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 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Plans or</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Plans or</w:t>
            </w:r>
          </w:p>
        </w:tc>
      </w:tr>
      <w:tr>
        <w:trPr>
          <w:trHeight w:val="269"/>
        </w:trPr>
        <w:tc>
          <w:tcPr>
            <w:tcW w:w="606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16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4"/>
              </w:rPr>
              <w:t xml:space="preserve">Purchased </w:t>
            </w:r>
            <w:r>
              <w:rPr>
                <w:rFonts w:ascii="Arial" w:cs="Arial" w:eastAsia="Arial" w:hAnsi="Arial"/>
                <w:sz w:val="29"/>
                <w:szCs w:val="29"/>
                <w:b w:val="1"/>
                <w:bCs w:val="1"/>
                <w:color w:val="auto"/>
                <w:w w:val="84"/>
                <w:vertAlign w:val="superscript"/>
              </w:rPr>
              <w:t>(1)</w:t>
            </w:r>
          </w:p>
        </w:tc>
        <w:tc>
          <w:tcPr>
            <w:tcW w:w="2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7"/>
              </w:rPr>
              <w:t>(or Unit)</w:t>
            </w:r>
          </w:p>
        </w:tc>
        <w:tc>
          <w:tcPr>
            <w:tcW w:w="220" w:type="dxa"/>
            <w:vAlign w:val="bottom"/>
          </w:tcPr>
          <w:p>
            <w:pPr>
              <w:spacing w:after="0"/>
              <w:rPr>
                <w:sz w:val="23"/>
                <w:szCs w:val="23"/>
                <w:color w:val="auto"/>
              </w:rPr>
            </w:pPr>
          </w:p>
        </w:tc>
        <w:tc>
          <w:tcPr>
            <w:tcW w:w="112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5"/>
              </w:rPr>
              <w:t xml:space="preserve">Programs </w:t>
            </w:r>
            <w:r>
              <w:rPr>
                <w:rFonts w:ascii="Arial" w:cs="Arial" w:eastAsia="Arial" w:hAnsi="Arial"/>
                <w:sz w:val="29"/>
                <w:szCs w:val="29"/>
                <w:b w:val="1"/>
                <w:bCs w:val="1"/>
                <w:color w:val="auto"/>
                <w:w w:val="85"/>
                <w:vertAlign w:val="superscript"/>
              </w:rPr>
              <w:t>(2)</w:t>
            </w:r>
          </w:p>
        </w:tc>
        <w:tc>
          <w:tcPr>
            <w:tcW w:w="220" w:type="dxa"/>
            <w:vAlign w:val="bottom"/>
          </w:tcPr>
          <w:p>
            <w:pPr>
              <w:spacing w:after="0"/>
              <w:rPr>
                <w:sz w:val="23"/>
                <w:szCs w:val="23"/>
                <w:color w:val="auto"/>
              </w:rPr>
            </w:pPr>
          </w:p>
        </w:tc>
        <w:tc>
          <w:tcPr>
            <w:tcW w:w="1140" w:type="dxa"/>
            <w:vAlign w:val="bottom"/>
            <w:tcBorders>
              <w:bottom w:val="single" w:sz="8" w:color="auto"/>
            </w:tcBorders>
            <w:gridSpan w:val="2"/>
          </w:tcPr>
          <w:p>
            <w:pPr>
              <w:jc w:val="center"/>
              <w:spacing w:after="0" w:line="269" w:lineRule="exact"/>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29"/>
                <w:szCs w:val="29"/>
                <w:b w:val="1"/>
                <w:bCs w:val="1"/>
                <w:color w:val="auto"/>
                <w:w w:val="86"/>
                <w:vertAlign w:val="superscript"/>
              </w:rPr>
              <w:t>(2)</w:t>
            </w:r>
          </w:p>
        </w:tc>
        <w:tc>
          <w:tcPr>
            <w:tcW w:w="100" w:type="dxa"/>
            <w:vAlign w:val="bottom"/>
          </w:tcPr>
          <w:p>
            <w:pPr>
              <w:spacing w:after="0"/>
              <w:rPr>
                <w:sz w:val="23"/>
                <w:szCs w:val="23"/>
                <w:color w:val="auto"/>
              </w:rPr>
            </w:pPr>
          </w:p>
        </w:tc>
      </w:tr>
      <w:tr>
        <w:trPr>
          <w:trHeight w:val="249"/>
        </w:trPr>
        <w:tc>
          <w:tcPr>
            <w:tcW w:w="6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 31, 2017 – Feb. 3, 2018 (transition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528,228</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528,228</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10,727,311</w:t>
            </w:r>
          </w:p>
        </w:tc>
      </w:tr>
      <w:tr>
        <w:trPr>
          <w:trHeight w:val="196"/>
        </w:trPr>
        <w:tc>
          <w:tcPr>
            <w:tcW w:w="606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5"/>
        </w:trPr>
        <w:tc>
          <w:tcPr>
            <w:tcW w:w="6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Feb. 4, 2018 – Mar. 3, 2018</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87,913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9,993,666</w:t>
            </w:r>
          </w:p>
        </w:tc>
        <w:tc>
          <w:tcPr>
            <w:tcW w:w="100" w:type="dxa"/>
            <w:vAlign w:val="bottom"/>
            <w:shd w:val="clear" w:color="auto" w:fill="CCEEFF"/>
          </w:tcPr>
          <w:p>
            <w:pPr>
              <w:spacing w:after="0"/>
              <w:rPr>
                <w:sz w:val="18"/>
                <w:szCs w:val="18"/>
                <w:color w:val="auto"/>
              </w:rPr>
            </w:pPr>
          </w:p>
        </w:tc>
      </w:tr>
      <w:tr>
        <w:trPr>
          <w:trHeight w:val="215"/>
        </w:trPr>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Mar. 4, 2018 – Apr. 7, 2018</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45,098</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8.86</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9,993,666</w:t>
            </w:r>
          </w:p>
        </w:tc>
        <w:tc>
          <w:tcPr>
            <w:tcW w:w="100" w:type="dxa"/>
            <w:vAlign w:val="bottom"/>
          </w:tcPr>
          <w:p>
            <w:pPr>
              <w:spacing w:after="0"/>
              <w:rPr>
                <w:sz w:val="18"/>
                <w:szCs w:val="18"/>
                <w:color w:val="auto"/>
              </w:rPr>
            </w:pPr>
          </w:p>
        </w:tc>
      </w:tr>
      <w:tr>
        <w:trPr>
          <w:trHeight w:val="215"/>
        </w:trPr>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Apr. 8, 2017 – May 5, 2018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9,993,666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133,011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87,913</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9,993,666</w:t>
            </w:r>
          </w:p>
        </w:tc>
        <w:tc>
          <w:tcPr>
            <w:tcW w:w="10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360" w:right="200" w:hanging="332"/>
        <w:spacing w:after="0" w:line="255"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ind w:left="360" w:right="100" w:hanging="332"/>
        <w:spacing w:after="0" w:line="252"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August 2017, the Board of Directors adopted a share repurchase program authorizing the repurchase of up to $20 million of our common stock. This program authorizes the Company to repurchase shares through September 30, 2020 and does not require the Company to repurchase any specific number of shares, and may be modified, suspended or terminated at any time without prior notice. Shares repurchased under the program will be subsequently retired.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82550</wp:posOffset>
            </wp:positionV>
            <wp:extent cx="72472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gridSpan w:val="14"/>
          </w:tcPr>
          <w:p>
            <w:pPr>
              <w:ind w:left="10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384"/>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9980" w:type="dxa"/>
            <w:vAlign w:val="bottom"/>
            <w:tcBorders>
              <w:bottom w:val="single" w:sz="8" w:color="0000EE"/>
            </w:tcBorders>
            <w:gridSpan w:val="15"/>
          </w:tcPr>
          <w:p>
            <w:pPr>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Agreement and Plan of Merger dated April 3, 2000 between Build-A-Bear Workshop, L.L.C. and the Registrant (incorporated by reference</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60" w:type="dxa"/>
            <w:vAlign w:val="bottom"/>
            <w:gridSpan w:val="20"/>
          </w:tcPr>
          <w:p>
            <w:pPr>
              <w:spacing w:after="0" w:line="195" w:lineRule="exact"/>
              <w:rPr>
                <w:rFonts w:ascii="Arial" w:cs="Arial" w:eastAsia="Arial" w:hAnsi="Arial"/>
                <w:sz w:val="18"/>
                <w:szCs w:val="18"/>
                <w:color w:val="0000EE"/>
              </w:rPr>
            </w:pPr>
            <w:hyperlink r:id="rId42">
              <w:r>
                <w:rPr>
                  <w:rFonts w:ascii="Arial" w:cs="Arial" w:eastAsia="Arial" w:hAnsi="Arial"/>
                  <w:sz w:val="18"/>
                  <w:szCs w:val="18"/>
                  <w:color w:val="0000EE"/>
                </w:rPr>
                <w:t>from Exhibit 2.1 to our Registration Statement on Form S-1, filed on August 12, 2004, Registration No. 333-118142)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w w:val="94"/>
              </w:rPr>
            </w:pPr>
            <w:hyperlink r:id="rId43">
              <w:r>
                <w:rPr>
                  <w:rFonts w:ascii="Arial" w:cs="Arial" w:eastAsia="Arial" w:hAnsi="Arial"/>
                  <w:sz w:val="18"/>
                  <w:szCs w:val="18"/>
                  <w:color w:val="0000EE"/>
                  <w:w w:val="94"/>
                </w:rPr>
                <w:t>Third Amended and Restated Certificate of Incorporation (incorporated by reference from Exhibit 3.1 of our Current Report on Form 8-K,</w:t>
              </w:r>
            </w:hyperlink>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filed on November 11, 2004)</w:t>
              </w:r>
            </w:hyperlink>
          </w:p>
        </w:tc>
        <w:tc>
          <w:tcPr>
            <w:tcW w:w="7840" w:type="dxa"/>
            <w:vAlign w:val="bottom"/>
            <w:tcBorders>
              <w:top w:val="single" w:sz="8" w:color="0000EE"/>
            </w:tcBorders>
            <w:gridSpan w:val="11"/>
          </w:tcPr>
          <w:p>
            <w:pPr>
              <w:spacing w:after="0"/>
              <w:rPr>
                <w:sz w:val="16"/>
                <w:szCs w:val="16"/>
                <w:color w:val="auto"/>
              </w:rPr>
            </w:pPr>
          </w:p>
        </w:tc>
        <w:tc>
          <w:tcPr>
            <w:tcW w:w="34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w w:val="91"/>
              </w:rPr>
            </w:pPr>
            <w:hyperlink r:id="rId44">
              <w:r>
                <w:rPr>
                  <w:rFonts w:ascii="Arial" w:cs="Arial" w:eastAsia="Arial" w:hAnsi="Arial"/>
                  <w:sz w:val="18"/>
                  <w:szCs w:val="18"/>
                  <w:color w:val="0000EE"/>
                  <w:w w:val="91"/>
                </w:rPr>
                <w:t>Amended and Restated Bylaws, as amended through February 23, 2016 (incorporated by reference from Exhibit 3.1 of our Current Report on</w:t>
              </w:r>
            </w:hyperlink>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Borders>
              <w:top w:val="single" w:sz="8" w:color="0000EE"/>
              <w:bottom w:val="single" w:sz="8" w:color="0000EE"/>
            </w:tcBorders>
            <w:gridSpan w:val="4"/>
          </w:tcPr>
          <w:p>
            <w:pPr>
              <w:spacing w:after="0" w:line="195"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Form 8-K, filed on February 24, 2016)</w:t>
              </w:r>
            </w:hyperlink>
          </w:p>
        </w:tc>
        <w:tc>
          <w:tcPr>
            <w:tcW w:w="7360" w:type="dxa"/>
            <w:vAlign w:val="bottom"/>
            <w:tcBorders>
              <w:top w:val="single" w:sz="8" w:color="0000EE"/>
            </w:tcBorders>
            <w:gridSpan w:val="13"/>
          </w:tcPr>
          <w:p>
            <w:pPr>
              <w:spacing w:after="0"/>
              <w:rPr>
                <w:sz w:val="16"/>
                <w:szCs w:val="16"/>
                <w:color w:val="auto"/>
              </w:rPr>
            </w:pP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220" w:type="dxa"/>
            <w:vAlign w:val="bottom"/>
            <w:tcBorders>
              <w:bottom w:val="single" w:sz="8" w:color="0000EE"/>
            </w:tcBorders>
            <w:gridSpan w:val="19"/>
          </w:tcPr>
          <w:p>
            <w:pPr>
              <w:spacing w:after="0"/>
              <w:rPr>
                <w:rFonts w:ascii="Arial" w:cs="Arial" w:eastAsia="Arial" w:hAnsi="Arial"/>
                <w:sz w:val="18"/>
                <w:szCs w:val="18"/>
                <w:color w:val="0000EE"/>
                <w:w w:val="91"/>
              </w:rPr>
            </w:pPr>
            <w:hyperlink r:id="rId45">
              <w:r>
                <w:rPr>
                  <w:rFonts w:ascii="Arial" w:cs="Arial" w:eastAsia="Arial" w:hAnsi="Arial"/>
                  <w:sz w:val="18"/>
                  <w:szCs w:val="18"/>
                  <w:color w:val="0000EE"/>
                  <w:w w:val="91"/>
                </w:rPr>
                <w:t>Specimen Stock Certificate (incorporated by reference from Exhibit 4.1 to Amendment No. 3 to our Registration Statement on Form S-1, filed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tcBorders>
              <w:bottom w:val="single" w:sz="8" w:color="0000EE"/>
            </w:tcBorders>
            <w:gridSpan w:val="6"/>
          </w:tcPr>
          <w:p>
            <w:pPr>
              <w:spacing w:after="0" w:line="195" w:lineRule="exact"/>
              <w:rPr>
                <w:rFonts w:ascii="Arial" w:cs="Arial" w:eastAsia="Arial" w:hAnsi="Arial"/>
                <w:sz w:val="18"/>
                <w:szCs w:val="18"/>
                <w:color w:val="0000EE"/>
                <w:w w:val="89"/>
              </w:rPr>
            </w:pPr>
            <w:hyperlink r:id="rId45">
              <w:r>
                <w:rPr>
                  <w:rFonts w:ascii="Arial" w:cs="Arial" w:eastAsia="Arial" w:hAnsi="Arial"/>
                  <w:sz w:val="18"/>
                  <w:szCs w:val="18"/>
                  <w:color w:val="0000EE"/>
                  <w:w w:val="89"/>
                </w:rPr>
                <w:t>on October 1, 2004, Registration No. 333-118142)</w:t>
              </w:r>
            </w:hyperlink>
          </w:p>
        </w:tc>
        <w:tc>
          <w:tcPr>
            <w:tcW w:w="664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104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w w:val="95"/>
              </w:rPr>
            </w:pPr>
            <w:hyperlink r:id="rId46">
              <w:r>
                <w:rPr>
                  <w:rFonts w:ascii="Arial" w:cs="Arial" w:eastAsia="Arial" w:hAnsi="Arial"/>
                  <w:sz w:val="18"/>
                  <w:szCs w:val="18"/>
                  <w:color w:val="0000EE"/>
                  <w:w w:val="95"/>
                </w:rPr>
                <w:t>Description of Build-A-Bear Workshop, Inc. Cash Bonus Program for Chiefs (incorporated by reference from Exhibit 10.1 to our Current</w:t>
              </w:r>
            </w:hyperlink>
          </w:p>
        </w:tc>
        <w:tc>
          <w:tcPr>
            <w:tcW w:w="0" w:type="dxa"/>
            <w:vAlign w:val="bottom"/>
          </w:tcPr>
          <w:p>
            <w:pPr>
              <w:spacing w:after="0"/>
              <w:rPr>
                <w:sz w:val="1"/>
                <w:szCs w:val="1"/>
                <w:color w:val="auto"/>
              </w:rPr>
            </w:pPr>
          </w:p>
        </w:tc>
      </w:tr>
      <w:tr>
        <w:trPr>
          <w:trHeight w:val="128"/>
        </w:trPr>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60" w:type="dxa"/>
            <w:vAlign w:val="bottom"/>
            <w:tcBorders>
              <w:top w:val="single" w:sz="8" w:color="0000EE"/>
            </w:tcBorders>
            <w:gridSpan w:val="13"/>
            <w:vMerge w:val="restart"/>
          </w:tcPr>
          <w:p>
            <w:pPr>
              <w:spacing w:after="0" w:line="195" w:lineRule="exact"/>
              <w:rPr>
                <w:rFonts w:ascii="Arial" w:cs="Arial" w:eastAsia="Arial" w:hAnsi="Arial"/>
                <w:sz w:val="18"/>
                <w:szCs w:val="18"/>
                <w:color w:val="0000EE"/>
              </w:rPr>
            </w:pPr>
            <w:hyperlink r:id="rId46">
              <w:r>
                <w:rPr>
                  <w:rFonts w:ascii="Arial" w:cs="Arial" w:eastAsia="Arial" w:hAnsi="Arial"/>
                  <w:sz w:val="18"/>
                  <w:szCs w:val="18"/>
                  <w:color w:val="0000EE"/>
                </w:rPr>
                <w:t>Report on Form 8-K, filed on March 21, 2018)</w:t>
              </w:r>
            </w:hyperlink>
          </w:p>
        </w:tc>
        <w:tc>
          <w:tcPr>
            <w:tcW w:w="400" w:type="dxa"/>
            <w:vAlign w:val="bottom"/>
            <w:gridSpan w:val="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60" w:type="dxa"/>
            <w:vAlign w:val="bottom"/>
            <w:gridSpan w:val="13"/>
            <w:vMerge w:val="continue"/>
          </w:tcPr>
          <w:p>
            <w:pPr>
              <w:spacing w:after="0"/>
              <w:rPr>
                <w:sz w:val="5"/>
                <w:szCs w:val="5"/>
                <w:color w:val="auto"/>
              </w:rPr>
            </w:pPr>
          </w:p>
        </w:tc>
        <w:tc>
          <w:tcPr>
            <w:tcW w:w="4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4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8"/>
          </w:tcPr>
          <w:p>
            <w:pP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Form of Restricted Stock &amp; Non-Qualified Option Agreement under the Registrant's 2017 Omnibus Incentive Plan (incorporated by reference</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740" w:type="dxa"/>
            <w:vAlign w:val="bottom"/>
            <w:gridSpan w:val="8"/>
            <w:vMerge w:val="restart"/>
          </w:tcPr>
          <w:p>
            <w:pPr>
              <w:spacing w:after="0" w:line="195"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from Exhibit 10.2 to our Current Report on Form 8-K, filed on March 21, 2018)</w:t>
              </w:r>
            </w:hyperlink>
          </w:p>
        </w:tc>
        <w:tc>
          <w:tcPr>
            <w:tcW w:w="4520" w:type="dxa"/>
            <w:vAlign w:val="bottom"/>
            <w:gridSpan w:val="1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740" w:type="dxa"/>
            <w:vAlign w:val="bottom"/>
            <w:tcBorders>
              <w:bottom w:val="single" w:sz="8" w:color="0000EE"/>
            </w:tcBorders>
            <w:gridSpan w:val="8"/>
            <w:vMerge w:val="continue"/>
          </w:tcPr>
          <w:p>
            <w:pPr>
              <w:spacing w:after="0"/>
              <w:rPr>
                <w:sz w:val="5"/>
                <w:szCs w:val="5"/>
                <w:color w:val="auto"/>
              </w:rPr>
            </w:pPr>
          </w:p>
        </w:tc>
        <w:tc>
          <w:tcPr>
            <w:tcW w:w="452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1"/>
        </w:trPr>
        <w:tc>
          <w:tcPr>
            <w:tcW w:w="104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0260" w:type="dxa"/>
            <w:vAlign w:val="bottom"/>
            <w:tcBorders>
              <w:bottom w:val="single" w:sz="8" w:color="0000EE"/>
            </w:tcBorders>
            <w:gridSpan w:val="20"/>
          </w:tcPr>
          <w:p>
            <w:pP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Description of Build-A-Bear Workshop, Inc. Three-Year Performance-Based Cash Program for Chiefs (incorporated by reference from Exhibit</w:t>
              </w:r>
            </w:hyperlink>
          </w:p>
        </w:tc>
        <w:tc>
          <w:tcPr>
            <w:tcW w:w="0" w:type="dxa"/>
            <w:vAlign w:val="bottom"/>
          </w:tcPr>
          <w:p>
            <w:pPr>
              <w:spacing w:after="0"/>
              <w:rPr>
                <w:sz w:val="1"/>
                <w:szCs w:val="1"/>
                <w:color w:val="auto"/>
              </w:rPr>
            </w:pPr>
          </w:p>
        </w:tc>
      </w:tr>
      <w:tr>
        <w:trPr>
          <w:trHeight w:val="128"/>
        </w:trPr>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260" w:type="dxa"/>
            <w:vAlign w:val="bottom"/>
            <w:gridSpan w:val="20"/>
            <w:vMerge w:val="restart"/>
          </w:tcPr>
          <w:p>
            <w:pPr>
              <w:spacing w:after="0" w:line="195" w:lineRule="exact"/>
              <w:rPr>
                <w:rFonts w:ascii="Arial" w:cs="Arial" w:eastAsia="Arial" w:hAnsi="Arial"/>
                <w:sz w:val="18"/>
                <w:szCs w:val="18"/>
                <w:color w:val="0000EE"/>
              </w:rPr>
            </w:pPr>
            <w:hyperlink r:id="rId48">
              <w:r>
                <w:rPr>
                  <w:rFonts w:ascii="Arial" w:cs="Arial" w:eastAsia="Arial" w:hAnsi="Arial"/>
                  <w:sz w:val="18"/>
                  <w:szCs w:val="18"/>
                  <w:color w:val="0000EE"/>
                </w:rPr>
                <w:t>10.</w:t>
              </w:r>
              <w:r>
                <w:rPr>
                  <w:rFonts w:ascii="Arial" w:cs="Arial" w:eastAsia="Arial" w:hAnsi="Arial"/>
                  <w:sz w:val="18"/>
                  <w:szCs w:val="18"/>
                  <w:u w:val="single" w:color="auto"/>
                  <w:color w:val="0000EE"/>
                </w:rPr>
                <w:t>3</w:t>
              </w:r>
              <w:r>
                <w:rPr>
                  <w:rFonts w:ascii="Arial" w:cs="Arial" w:eastAsia="Arial" w:hAnsi="Arial"/>
                  <w:sz w:val="18"/>
                  <w:szCs w:val="18"/>
                  <w:color w:val="0000EE"/>
                </w:rPr>
                <w:t xml:space="preserve"> to our Current Report on Form 8-K, filed on March 21, 2018)</w:t>
              </w:r>
            </w:hyperlink>
          </w:p>
        </w:tc>
        <w:tc>
          <w:tcPr>
            <w:tcW w:w="0" w:type="dxa"/>
            <w:vAlign w:val="bottom"/>
          </w:tcPr>
          <w:p>
            <w:pPr>
              <w:spacing w:after="0"/>
              <w:rPr>
                <w:sz w:val="1"/>
                <w:szCs w:val="1"/>
                <w:color w:val="auto"/>
              </w:rPr>
            </w:pPr>
          </w:p>
        </w:tc>
      </w:tr>
      <w:tr>
        <w:trPr>
          <w:trHeight w:val="67"/>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6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40" w:type="dxa"/>
            <w:vAlign w:val="bottom"/>
            <w:gridSpan w:val="5"/>
            <w:shd w:val="clear" w:color="auto" w:fill="0000EE"/>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Rule 13a-14(a)/15d-14(a) certification (pursuant to Section 302 of the Sarbanes-Oxley Act of 2002, executed by the President and Chief</w:t>
              </w:r>
            </w:hyperlink>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60" w:type="dxa"/>
            <w:vAlign w:val="bottom"/>
            <w:tcBorders>
              <w:top w:val="single" w:sz="8" w:color="0000EE"/>
            </w:tcBorders>
            <w:gridSpan w:val="12"/>
          </w:tcPr>
          <w:p>
            <w:pPr>
              <w:spacing w:after="0" w:line="195" w:lineRule="exact"/>
              <w:rPr>
                <w:rFonts w:ascii="Arial" w:cs="Arial" w:eastAsia="Arial" w:hAnsi="Arial"/>
                <w:sz w:val="18"/>
                <w:szCs w:val="18"/>
                <w:color w:val="0000EE"/>
              </w:rPr>
            </w:pPr>
            <w:hyperlink w:anchor="page27">
              <w:r>
                <w:rPr>
                  <w:rFonts w:ascii="Arial" w:cs="Arial" w:eastAsia="Arial" w:hAnsi="Arial"/>
                  <w:sz w:val="18"/>
                  <w:szCs w:val="18"/>
                  <w:color w:val="0000EE"/>
                </w:rPr>
                <w:t>Executive Officer)</w:t>
              </w:r>
            </w:hyperlink>
          </w:p>
        </w:tc>
        <w:tc>
          <w:tcPr>
            <w:tcW w:w="50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0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Rule 13a-14(a)/15d-14(a) certification (pursuant to Section 302 of the Sarbanes-Oxley Act of 2002, executed by the Chief Financial Officer)</w:t>
              </w:r>
            </w:hyperlink>
          </w:p>
        </w:tc>
        <w:tc>
          <w:tcPr>
            <w:tcW w:w="0" w:type="dxa"/>
            <w:vAlign w:val="bottom"/>
          </w:tcPr>
          <w:p>
            <w:pPr>
              <w:spacing w:after="0"/>
              <w:rPr>
                <w:sz w:val="1"/>
                <w:szCs w:val="1"/>
                <w:color w:val="auto"/>
              </w:rPr>
            </w:pP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6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Section 1350 Certification (pursuant to Section 906 of the Sarbanes-Oxley Act of 2002, executed by the President and Chief Executive</w:t>
              </w:r>
            </w:hyperlink>
          </w:p>
        </w:tc>
        <w:tc>
          <w:tcPr>
            <w:tcW w:w="400" w:type="dxa"/>
            <w:vAlign w:val="bottom"/>
            <w:tcBorders>
              <w:top w:val="single" w:sz="8" w:color="0000EE"/>
            </w:tcBorders>
            <w:gridSpan w:val="5"/>
          </w:tcPr>
          <w:p>
            <w:pPr>
              <w:spacing w:after="0"/>
              <w:rPr>
                <w:sz w:val="24"/>
                <w:szCs w:val="24"/>
                <w:color w:val="auto"/>
              </w:rPr>
            </w:pPr>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60" w:type="dxa"/>
            <w:vAlign w:val="bottom"/>
            <w:gridSpan w:val="20"/>
          </w:tcPr>
          <w:p>
            <w:pPr>
              <w:spacing w:after="0" w:line="195" w:lineRule="exact"/>
              <w:rPr>
                <w:rFonts w:ascii="Arial" w:cs="Arial" w:eastAsia="Arial" w:hAnsi="Arial"/>
                <w:sz w:val="18"/>
                <w:szCs w:val="18"/>
                <w:color w:val="0000EE"/>
              </w:rPr>
            </w:pPr>
            <w:hyperlink w:anchor="page29">
              <w:r>
                <w:rPr>
                  <w:rFonts w:ascii="Arial" w:cs="Arial" w:eastAsia="Arial" w:hAnsi="Arial"/>
                  <w:sz w:val="18"/>
                  <w:szCs w:val="18"/>
                  <w:color w:val="0000EE"/>
                </w:rPr>
                <w:t>Officer)</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60" w:type="dxa"/>
            <w:vAlign w:val="bottom"/>
            <w:gridSpan w:val="9"/>
          </w:tcPr>
          <w:p>
            <w:pPr>
              <w:spacing w:after="0" w:line="20" w:lineRule="exact"/>
              <w:rPr>
                <w:sz w:val="1"/>
                <w:szCs w:val="1"/>
                <w:color w:val="auto"/>
              </w:rPr>
            </w:pPr>
          </w:p>
        </w:tc>
        <w:tc>
          <w:tcPr>
            <w:tcW w:w="10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Section 1350 Certification (pursuant to Section 906 of the Sarbanes-Oxley Act of 2002, executed by the Chief Financial Officer)</w:t>
              </w:r>
            </w:hyperlink>
          </w:p>
        </w:tc>
        <w:tc>
          <w:tcPr>
            <w:tcW w:w="0" w:type="dxa"/>
            <w:vAlign w:val="bottom"/>
          </w:tcPr>
          <w:p>
            <w:pPr>
              <w:spacing w:after="0"/>
              <w:rPr>
                <w:sz w:val="1"/>
                <w:szCs w:val="1"/>
                <w:color w:val="auto"/>
              </w:rPr>
            </w:pPr>
          </w:p>
        </w:tc>
      </w:tr>
      <w:tr>
        <w:trPr>
          <w:trHeight w:val="451"/>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922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XBRL Instance</w:t>
            </w:r>
          </w:p>
        </w:tc>
        <w:tc>
          <w:tcPr>
            <w:tcW w:w="10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10260" w:type="dxa"/>
            <w:vAlign w:val="bottom"/>
            <w:gridSpan w:val="20"/>
          </w:tcPr>
          <w:p>
            <w:pPr>
              <w:spacing w:after="0"/>
              <w:rPr>
                <w:sz w:val="20"/>
                <w:szCs w:val="20"/>
                <w:color w:val="auto"/>
              </w:rPr>
            </w:pPr>
            <w:r>
              <w:rPr>
                <w:rFonts w:ascii="Arial" w:cs="Arial" w:eastAsia="Arial" w:hAnsi="Arial"/>
                <w:sz w:val="18"/>
                <w:szCs w:val="18"/>
                <w:color w:val="auto"/>
              </w:rPr>
              <w:t>XBRL Extension Schema</w:t>
            </w:r>
          </w:p>
        </w:tc>
        <w:tc>
          <w:tcPr>
            <w:tcW w:w="0" w:type="dxa"/>
            <w:vAlign w:val="bottom"/>
          </w:tcPr>
          <w:p>
            <w:pPr>
              <w:spacing w:after="0"/>
              <w:rPr>
                <w:sz w:val="1"/>
                <w:szCs w:val="1"/>
                <w:color w:val="auto"/>
              </w:rPr>
            </w:pPr>
          </w:p>
        </w:tc>
      </w:tr>
      <w:tr>
        <w:trPr>
          <w:trHeight w:val="431"/>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10260" w:type="dxa"/>
            <w:vAlign w:val="bottom"/>
            <w:gridSpan w:val="20"/>
          </w:tcPr>
          <w:p>
            <w:pPr>
              <w:spacing w:after="0"/>
              <w:rPr>
                <w:sz w:val="20"/>
                <w:szCs w:val="20"/>
                <w:color w:val="auto"/>
              </w:rPr>
            </w:pPr>
            <w:r>
              <w:rPr>
                <w:rFonts w:ascii="Arial" w:cs="Arial" w:eastAsia="Arial" w:hAnsi="Arial"/>
                <w:sz w:val="18"/>
                <w:szCs w:val="18"/>
                <w:color w:val="auto"/>
              </w:rPr>
              <w:t>XBRL Extension Calculation</w:t>
            </w:r>
          </w:p>
        </w:tc>
        <w:tc>
          <w:tcPr>
            <w:tcW w:w="0" w:type="dxa"/>
            <w:vAlign w:val="bottom"/>
          </w:tcPr>
          <w:p>
            <w:pPr>
              <w:spacing w:after="0"/>
              <w:rPr>
                <w:sz w:val="1"/>
                <w:szCs w:val="1"/>
                <w:color w:val="auto"/>
              </w:rPr>
            </w:pPr>
          </w:p>
        </w:tc>
      </w:tr>
      <w:tr>
        <w:trPr>
          <w:trHeight w:val="431"/>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10260" w:type="dxa"/>
            <w:vAlign w:val="bottom"/>
            <w:gridSpan w:val="20"/>
          </w:tcPr>
          <w:p>
            <w:pPr>
              <w:spacing w:after="0"/>
              <w:rPr>
                <w:sz w:val="20"/>
                <w:szCs w:val="20"/>
                <w:color w:val="auto"/>
              </w:rPr>
            </w:pPr>
            <w:r>
              <w:rPr>
                <w:rFonts w:ascii="Arial" w:cs="Arial" w:eastAsia="Arial" w:hAnsi="Arial"/>
                <w:sz w:val="18"/>
                <w:szCs w:val="18"/>
                <w:color w:val="auto"/>
              </w:rPr>
              <w:t>XBRL Extension Definition</w:t>
            </w:r>
          </w:p>
        </w:tc>
        <w:tc>
          <w:tcPr>
            <w:tcW w:w="0" w:type="dxa"/>
            <w:vAlign w:val="bottom"/>
          </w:tcPr>
          <w:p>
            <w:pPr>
              <w:spacing w:after="0"/>
              <w:rPr>
                <w:sz w:val="1"/>
                <w:szCs w:val="1"/>
                <w:color w:val="auto"/>
              </w:rPr>
            </w:pPr>
          </w:p>
        </w:tc>
      </w:tr>
      <w:tr>
        <w:trPr>
          <w:trHeight w:val="431"/>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10260" w:type="dxa"/>
            <w:vAlign w:val="bottom"/>
            <w:gridSpan w:val="20"/>
          </w:tcPr>
          <w:p>
            <w:pPr>
              <w:spacing w:after="0"/>
              <w:rPr>
                <w:sz w:val="20"/>
                <w:szCs w:val="20"/>
                <w:color w:val="auto"/>
              </w:rPr>
            </w:pPr>
            <w:r>
              <w:rPr>
                <w:rFonts w:ascii="Arial" w:cs="Arial" w:eastAsia="Arial" w:hAnsi="Arial"/>
                <w:sz w:val="18"/>
                <w:szCs w:val="18"/>
                <w:color w:val="auto"/>
              </w:rPr>
              <w:t>XBRL Extension Label</w:t>
            </w:r>
          </w:p>
        </w:tc>
        <w:tc>
          <w:tcPr>
            <w:tcW w:w="0" w:type="dxa"/>
            <w:vAlign w:val="bottom"/>
          </w:tcPr>
          <w:p>
            <w:pPr>
              <w:spacing w:after="0"/>
              <w:rPr>
                <w:sz w:val="1"/>
                <w:szCs w:val="1"/>
                <w:color w:val="auto"/>
              </w:rPr>
            </w:pPr>
          </w:p>
        </w:tc>
      </w:tr>
      <w:tr>
        <w:trPr>
          <w:trHeight w:val="431"/>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10260" w:type="dxa"/>
            <w:vAlign w:val="bottom"/>
            <w:gridSpan w:val="20"/>
          </w:tcPr>
          <w:p>
            <w:pPr>
              <w:spacing w:after="0"/>
              <w:rPr>
                <w:sz w:val="20"/>
                <w:szCs w:val="20"/>
                <w:color w:val="auto"/>
              </w:rPr>
            </w:pPr>
            <w:r>
              <w:rPr>
                <w:rFonts w:ascii="Arial" w:cs="Arial" w:eastAsia="Arial" w:hAnsi="Arial"/>
                <w:sz w:val="18"/>
                <w:szCs w:val="18"/>
                <w:color w:val="auto"/>
              </w:rPr>
              <w:t>XBRL Extension Presentation</w:t>
            </w:r>
          </w:p>
        </w:tc>
        <w:tc>
          <w:tcPr>
            <w:tcW w:w="0" w:type="dxa"/>
            <w:vAlign w:val="bottom"/>
          </w:tcPr>
          <w:p>
            <w:pPr>
              <w:spacing w:after="0"/>
              <w:rPr>
                <w:sz w:val="1"/>
                <w:szCs w:val="1"/>
                <w:color w:val="auto"/>
              </w:rPr>
            </w:pPr>
          </w:p>
        </w:tc>
      </w:tr>
      <w:tr>
        <w:trPr>
          <w:trHeight w:val="431"/>
        </w:trPr>
        <w:tc>
          <w:tcPr>
            <w:tcW w:w="1040" w:type="dxa"/>
            <w:vAlign w:val="bottom"/>
          </w:tcPr>
          <w:p>
            <w:pPr>
              <w:spacing w:after="0"/>
              <w:rPr>
                <w:sz w:val="24"/>
                <w:szCs w:val="24"/>
                <w:color w:val="auto"/>
              </w:rPr>
            </w:pPr>
          </w:p>
        </w:tc>
        <w:tc>
          <w:tcPr>
            <w:tcW w:w="4880" w:type="dxa"/>
            <w:vAlign w:val="bottom"/>
            <w:gridSpan w:val="8"/>
          </w:tcPr>
          <w:p>
            <w:pPr>
              <w:jc w:val="right"/>
              <w:ind w:right="30"/>
              <w:spacing w:after="0"/>
              <w:rPr>
                <w:sz w:val="20"/>
                <w:szCs w:val="20"/>
                <w:color w:val="auto"/>
              </w:rPr>
            </w:pPr>
            <w:r>
              <w:rPr>
                <w:rFonts w:ascii="Arial" w:cs="Arial" w:eastAsia="Arial" w:hAnsi="Arial"/>
                <w:sz w:val="18"/>
                <w:szCs w:val="18"/>
                <w:color w:val="auto"/>
              </w:rPr>
              <w:t>25</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8"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2018</w:t>
      </w:r>
    </w:p>
    <w:p>
      <w:pPr>
        <w:spacing w:after="0" w:line="200" w:lineRule="exact"/>
        <w:rPr>
          <w:sz w:val="20"/>
          <w:szCs w:val="20"/>
          <w:color w:val="auto"/>
        </w:rPr>
      </w:pPr>
    </w:p>
    <w:p>
      <w:pPr>
        <w:spacing w:after="0" w:line="23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(Registrant)</w:t>
      </w:r>
    </w:p>
    <w:p>
      <w:pPr>
        <w:spacing w:after="0" w:line="20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14605</wp:posOffset>
            </wp:positionV>
            <wp:extent cx="30422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04228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Sharon John</w:t>
      </w:r>
    </w:p>
    <w:p>
      <w:pPr>
        <w:spacing w:after="0" w:line="22"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President and Chief Executive Officer (on behalf of the registrant</w:t>
      </w:r>
    </w:p>
    <w:p>
      <w:pPr>
        <w:spacing w:after="0" w:line="3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and as principal executive officer)</w:t>
      </w:r>
    </w:p>
    <w:p>
      <w:pPr>
        <w:spacing w:after="0" w:line="20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14605</wp:posOffset>
            </wp:positionV>
            <wp:extent cx="30422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04228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Voin Todorovic</w:t>
      </w:r>
    </w:p>
    <w:p>
      <w:pPr>
        <w:spacing w:after="0" w:line="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8"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(on behalf of the registrant and as principal financial officer)</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118"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4" w:lineRule="exact"/>
        <w:rPr>
          <w:sz w:val="20"/>
          <w:szCs w:val="20"/>
          <w:color w:val="auto"/>
        </w:rPr>
      </w:pPr>
    </w:p>
    <w:p>
      <w:pPr>
        <w:ind w:left="880" w:hanging="428"/>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3" w:lineRule="exact"/>
        <w:rPr>
          <w:rFonts w:ascii="Arial" w:cs="Arial" w:eastAsia="Arial" w:hAnsi="Arial"/>
          <w:sz w:val="18"/>
          <w:szCs w:val="18"/>
          <w:color w:val="auto"/>
        </w:rPr>
      </w:pPr>
    </w:p>
    <w:p>
      <w:pPr>
        <w:jc w:val="both"/>
        <w:ind w:left="880" w:right="100" w:hanging="428"/>
        <w:spacing w:after="0" w:line="262"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right="60" w:hanging="428"/>
        <w:spacing w:after="0" w:line="306"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880" w:right="100" w:hanging="428"/>
        <w:spacing w:after="0" w:line="262"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440" w:right="200" w:hanging="436"/>
        <w:spacing w:after="0" w:line="262" w:lineRule="auto"/>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440" w:right="120" w:hanging="436"/>
        <w:spacing w:after="0" w:line="262" w:lineRule="auto"/>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440" w:right="300" w:hanging="436"/>
        <w:spacing w:after="0" w:line="340" w:lineRule="auto"/>
        <w:tabs>
          <w:tab w:leader="none" w:pos="14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440" w:right="280" w:hanging="436"/>
        <w:spacing w:after="0" w:line="262" w:lineRule="auto"/>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880" w:right="60" w:hanging="428"/>
        <w:spacing w:after="0" w:line="340"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440" w:right="540" w:hanging="436"/>
        <w:spacing w:after="0" w:line="340" w:lineRule="auto"/>
        <w:tabs>
          <w:tab w:leader="none" w:pos="14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440" w:right="220" w:hanging="436"/>
        <w:spacing w:after="0" w:line="276" w:lineRule="auto"/>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14605</wp:posOffset>
            </wp:positionV>
            <wp:extent cx="32562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Sharon John</w:t>
      </w:r>
    </w:p>
    <w:p>
      <w:pPr>
        <w:spacing w:after="0" w:line="2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President and Chief Executive Officer</w:t>
      </w:r>
    </w:p>
    <w:p>
      <w:pPr>
        <w:spacing w:after="0" w:line="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Build-A-Bear Workshop, Inc.</w:t>
      </w:r>
    </w:p>
    <w:p>
      <w:pPr>
        <w:spacing w:after="0" w:line="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2018</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4" w:lineRule="exact"/>
        <w:rPr>
          <w:sz w:val="20"/>
          <w:szCs w:val="20"/>
          <w:color w:val="auto"/>
        </w:rPr>
      </w:pPr>
    </w:p>
    <w:p>
      <w:pPr>
        <w:ind w:left="880" w:hanging="428"/>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3" w:lineRule="exact"/>
        <w:rPr>
          <w:rFonts w:ascii="Arial" w:cs="Arial" w:eastAsia="Arial" w:hAnsi="Arial"/>
          <w:sz w:val="18"/>
          <w:szCs w:val="18"/>
          <w:color w:val="auto"/>
        </w:rPr>
      </w:pPr>
    </w:p>
    <w:p>
      <w:pPr>
        <w:jc w:val="both"/>
        <w:ind w:left="880" w:right="100" w:hanging="428"/>
        <w:spacing w:after="0" w:line="262"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right="60" w:hanging="428"/>
        <w:spacing w:after="0" w:line="306"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880" w:right="100" w:hanging="428"/>
        <w:spacing w:after="0" w:line="262"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440" w:right="200" w:hanging="436"/>
        <w:spacing w:after="0" w:line="262" w:lineRule="auto"/>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440" w:right="120" w:hanging="436"/>
        <w:spacing w:after="0" w:line="262" w:lineRule="auto"/>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440" w:right="300" w:hanging="436"/>
        <w:spacing w:after="0" w:line="340" w:lineRule="auto"/>
        <w:tabs>
          <w:tab w:leader="none" w:pos="14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440" w:right="280" w:hanging="436"/>
        <w:spacing w:after="0" w:line="262" w:lineRule="auto"/>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880" w:right="60" w:hanging="428"/>
        <w:spacing w:after="0" w:line="340"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440" w:right="540" w:hanging="436"/>
        <w:spacing w:after="0" w:line="340" w:lineRule="auto"/>
        <w:tabs>
          <w:tab w:leader="none" w:pos="14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440" w:right="220" w:hanging="436"/>
        <w:spacing w:after="0" w:line="276" w:lineRule="auto"/>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14605</wp:posOffset>
            </wp:positionV>
            <wp:extent cx="32562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Voin Todorovic</w:t>
      </w:r>
    </w:p>
    <w:p>
      <w:pPr>
        <w:spacing w:after="0" w:line="2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pacing w:after="0" w:line="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Build-A-Bear Workshop, Inc.</w:t>
      </w:r>
    </w:p>
    <w:p>
      <w:pPr>
        <w:spacing w:after="0" w:line="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2018</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May 5, 2018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3"/>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3" w:lineRule="exact"/>
        <w:rPr>
          <w:rFonts w:ascii="Arial" w:cs="Arial" w:eastAsia="Arial" w:hAnsi="Arial"/>
          <w:sz w:val="18"/>
          <w:szCs w:val="18"/>
          <w:color w:val="auto"/>
        </w:rPr>
      </w:pPr>
    </w:p>
    <w:p>
      <w:pPr>
        <w:ind w:left="700" w:hanging="253"/>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14605</wp:posOffset>
            </wp:positionV>
            <wp:extent cx="32562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Sharon John</w:t>
      </w:r>
    </w:p>
    <w:p>
      <w:pPr>
        <w:spacing w:after="0" w:line="2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President and Chief Executive Officer</w:t>
      </w:r>
    </w:p>
    <w:p>
      <w:pPr>
        <w:spacing w:after="0" w:line="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Build-A-Bear Workshop, Inc.</w:t>
      </w:r>
    </w:p>
    <w:p>
      <w:pPr>
        <w:spacing w:after="0" w:line="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2018</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May 5, 2018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3"/>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3" w:lineRule="exact"/>
        <w:rPr>
          <w:rFonts w:ascii="Arial" w:cs="Arial" w:eastAsia="Arial" w:hAnsi="Arial"/>
          <w:sz w:val="18"/>
          <w:szCs w:val="18"/>
          <w:color w:val="auto"/>
        </w:rPr>
      </w:pPr>
    </w:p>
    <w:p>
      <w:pPr>
        <w:ind w:left="700" w:hanging="253"/>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14605</wp:posOffset>
            </wp:positionV>
            <wp:extent cx="32562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Voin Todorovic</w:t>
      </w:r>
    </w:p>
    <w:p>
      <w:pPr>
        <w:spacing w:after="0" w:line="2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pacing w:after="0" w:line="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Build-A-Bear Workshop, Inc</w:t>
      </w:r>
      <w:r>
        <w:rPr>
          <w:rFonts w:ascii="Arial" w:cs="Arial" w:eastAsia="Arial" w:hAnsi="Arial"/>
          <w:sz w:val="18"/>
          <w:szCs w:val="18"/>
          <w:i w:val="1"/>
          <w:iCs w:val="1"/>
          <w:color w:val="auto"/>
        </w:rPr>
        <w:t>.</w:t>
      </w:r>
    </w:p>
    <w:p>
      <w:pPr>
        <w:spacing w:after="0" w:line="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lvl w:ilvl="1">
      <w:lvlJc w:val="left"/>
      <w:lvlText w:val="(%2)"/>
      <w:numFmt w:val="decimal"/>
      <w:start w:val="1"/>
    </w:lvl>
  </w:abstractNum>
  <w:abstractNum w:abstractNumId="5">
    <w:nsid w:val="66EF438D"/>
    <w:multiLevelType w:val="hybridMultilevel"/>
    <w:lvl w:ilvl="0">
      <w:lvlJc w:val="left"/>
      <w:lvlText w:val="%1."/>
      <w:numFmt w:val="decimal"/>
      <w:start w:val="11"/>
    </w:lvl>
    <w:lvl w:ilvl="1">
      <w:lvlJc w:val="left"/>
      <w:lvlText w:val="%2"/>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lvl w:ilvl="1">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42" Type="http://schemas.openxmlformats.org/officeDocument/2006/relationships/hyperlink" Target="http://www.sec.gov/Archives/edgar/data/1113809/000095013704006634/c86750exv2w1.txt" TargetMode="External"/><Relationship Id="rId43" Type="http://schemas.openxmlformats.org/officeDocument/2006/relationships/hyperlink" Target="http://www.sec.gov/Archives/edgar/data/1113809/000095013804000748/exh3-1.htm" TargetMode="External"/><Relationship Id="rId44" Type="http://schemas.openxmlformats.org/officeDocument/2006/relationships/hyperlink" Target="http://www.sec.gov/Archives/edgar/data/1113809/000115752316004713/a51286063ex3_1.htm" TargetMode="External"/><Relationship Id="rId45" Type="http://schemas.openxmlformats.org/officeDocument/2006/relationships/hyperlink" Target="http://www.sec.gov/Archives/edgar/data/1113809/000095013704008227/c86750a3exv4w1.txt" TargetMode="External"/><Relationship Id="rId46" Type="http://schemas.openxmlformats.org/officeDocument/2006/relationships/hyperlink" Target="http://www.sec.gov/Archives/edgar/data/1113809/000143774918005168/ex_108425.htm" TargetMode="External"/><Relationship Id="rId47" Type="http://schemas.openxmlformats.org/officeDocument/2006/relationships/hyperlink" Target="http://www.sec.gov/Archives/edgar/data/1113809/000143774918005168/ex_108426.htm" TargetMode="External"/><Relationship Id="rId48" Type="http://schemas.openxmlformats.org/officeDocument/2006/relationships/hyperlink" Target="http://www.sec.gov/Archives/edgar/data/1113809/000143774918005168/ex_1084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2019-12-28T21:11:42Z</dcterms:created>
  <dcterms:modified xsi:type="dcterms:W3CDTF">2019-12-28T21:11:42Z</dcterms:modified>
</cp:coreProperties>
</file>