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4,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10, 2024, there were 13,805,082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April 29,</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44,327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32,819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64,024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66,489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12,046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13,503</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126,118</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72,783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73,780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53,897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265,276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261,710</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16,170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19,552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27,272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24,276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16,620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18,637</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78,673</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92,448</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56,906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59,030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May 4, 2024, February 3, 2024 and April 29, 2023</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13,914,176, 14,172,362, and 14,938,825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64,065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70,324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(12,153)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(12,177)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76,290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50,676</w:t>
            </w: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272,325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261,710</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May 4,</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107,868</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120,050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50,904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64,903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11,459</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14,608</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800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3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0.98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13,925,957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14,457,858</w:t>
            </w: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14,006,400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14,974,930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May 4,</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11,459</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5,264</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(6,265)</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(3,065)</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proceeds from the exercise of employee equity awards, net of tax</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(3,099)</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(25,103)</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38,233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37,840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38,233</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32,819</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3, 2024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3, 2024, which were included in the Company’s Annual Report on Form 10-K filed with the SEC on April 18, 2024.</w:t>
      </w:r>
    </w:p>
    <w:p>
      <w:pPr>
        <w:spacing w:after="0" w:line="19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3,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94% of consolidated revenue for the first quarter of fiscal 2024.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 Subsequent to stores reopening following shutdowns caused by COVID,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at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2023 would have resulted in a change in breakage revenue of $1.0 million.</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weeks ended May 4, 2024 are not material to the financial statements.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thirteen weeks ended May 4, 2024 and April 29, 2023, respectively, the Company had an allowance for credit losses of $6.9 million and $6.3 million.</w:t>
      </w:r>
    </w:p>
    <w:p>
      <w:pPr>
        <w:sectPr>
          <w:pgSz w:w="11900" w:h="16838" w:orient="portrait"/>
          <w:cols w:equalWidth="0" w:num="1">
            <w:col w:w="11240"/>
          </w:cols>
          <w:pgMar w:left="320" w:top="121" w:right="339" w:bottom="578"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weeks ended May 4, 2024 and April 29, 2023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09"/>
        </w:trPr>
        <w:tc>
          <w:tcPr>
            <w:tcW w:w="5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8,982</w:t>
            </w:r>
          </w:p>
        </w:tc>
      </w:tr>
      <w:tr>
        <w:trPr>
          <w:trHeight w:val="216"/>
        </w:trPr>
        <w:tc>
          <w:tcPr>
            <w:tcW w:w="5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2,126</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11,123</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680" w:hanging="47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weeks ended May 4, 2024 and April 29, 2023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9,684</w:t>
            </w:r>
          </w:p>
        </w:tc>
      </w:tr>
    </w:tbl>
    <w:p>
      <w:pPr>
        <w:spacing w:after="0" w:line="198" w:lineRule="exact"/>
        <w:rPr>
          <w:sz w:val="20"/>
          <w:szCs w:val="20"/>
          <w:color w:val="auto"/>
        </w:rPr>
      </w:pPr>
    </w:p>
    <w:p>
      <w:pPr>
        <w:jc w:val="both"/>
        <w:ind w:left="160" w:right="280" w:firstLine="486"/>
        <w:spacing w:after="0" w:line="266" w:lineRule="auto"/>
        <w:rPr>
          <w:sz w:val="20"/>
          <w:szCs w:val="20"/>
          <w:color w:val="auto"/>
        </w:rPr>
      </w:pPr>
      <w:r>
        <w:rPr>
          <w:rFonts w:ascii="Times New Roman" w:cs="Times New Roman" w:eastAsia="Times New Roman" w:hAnsi="Times New Roman"/>
          <w:sz w:val="18"/>
          <w:szCs w:val="18"/>
          <w:color w:val="auto"/>
        </w:rPr>
        <w:t>As of May 4, 2024 and April 29, 2023, the weighted-average remaining operating lease term was 4.8 years and 4.0 years, respectively, and the weighted-average discount rate was 6.9% and 6.3%, respectively, for operating leases recognized on the Company's condensed consolidated balance sheets.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4, 2024 and the thirteen weeks ended April 29, 2023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left="500" w:right="420" w:firstLine="162"/>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23,716</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20,758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13,428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9,758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27,133</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101,091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(19,909)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81,182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(24,276)</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56,906</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4, 2024, the Company had additional executed leases that had not yet commenced with operating lease liabilities of $33.8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fiscal 2024 and fiscal 2025 with lease terms of two to twenty years.</w:t>
      </w:r>
    </w:p>
    <w:p>
      <w:pPr>
        <w:sectPr>
          <w:pgSz w:w="11900" w:h="16838" w:orient="portrait"/>
          <w:cols w:equalWidth="0" w:num="1">
            <w:col w:w="11160"/>
          </w:cols>
          <w:pgMar w:left="320" w:top="121" w:right="419" w:bottom="1440" w:gutter="0" w:footer="0" w:header="0"/>
        </w:sect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April 29,</w:t>
            </w:r>
          </w:p>
        </w:tc>
      </w:tr>
      <w:tr>
        <w:trPr>
          <w:trHeight w:val="238"/>
        </w:trPr>
        <w:tc>
          <w:tcPr>
            <w:tcW w:w="396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8,380</w:t>
            </w:r>
          </w:p>
        </w:tc>
      </w:tr>
      <w:tr>
        <w:trPr>
          <w:trHeight w:val="20"/>
        </w:trPr>
        <w:tc>
          <w:tcPr>
            <w:tcW w:w="3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12,046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13,503</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April 29,</w:t>
            </w:r>
          </w:p>
        </w:tc>
      </w:tr>
      <w:tr>
        <w:trPr>
          <w:trHeight w:val="238"/>
        </w:trPr>
        <w:tc>
          <w:tcPr>
            <w:tcW w:w="396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4,785</w:t>
            </w:r>
          </w:p>
        </w:tc>
      </w:tr>
      <w:tr>
        <w:trPr>
          <w:trHeight w:val="20"/>
        </w:trPr>
        <w:tc>
          <w:tcPr>
            <w:tcW w:w="3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6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April 29,</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12,602</w:t>
            </w:r>
          </w:p>
        </w:tc>
      </w:tr>
      <w:tr>
        <w:trPr>
          <w:trHeight w:val="230"/>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2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7,524</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2,148</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19,552</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27,272</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accrued costs associated with a legal reserve accrual.</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“Annual Meeting”),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thirteen weeks ended May 4, 2024 and April 29, 2023, selling, general and administrative expense included stock-based compensation expense of $0.4 million and $1.1 million, respectively. As of May 4, 2024, there was $4.1 million of total unrecognized compensation expense related to unvested restricted stock awards which is expected to be recognized over a weighted-average period of 2.1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thirteen weeks ended May 4, 2024:</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May 4,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thirteen weeks ended May 4, 2024:</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February 4, 2024 (1)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122,609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185,082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39,270</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62,456</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(59,237)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53,095</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(3,333)</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24.75</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May 4, 2024 (1)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191,110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thirteen weeks ended May 4, 2024 and April 29, 2023 was $2.1 million and $1.6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May 4, 2024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54,596</w:t>
            </w:r>
          </w:p>
        </w:tc>
      </w:tr>
      <w:tr>
        <w:trPr>
          <w:trHeight w:val="230"/>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18,198</w:t>
            </w: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36,309</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19,551</w:t>
            </w: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6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- 2026 consolidated, cumulative earnings before interest, taxes, depreciation and</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40,596</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2024</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21,860</w:t>
            </w:r>
          </w:p>
        </w:tc>
      </w:tr>
      <w:tr>
        <w:trPr>
          <w:trHeight w:val="209"/>
        </w:trPr>
        <w:tc>
          <w:tcPr>
            <w:tcW w:w="74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May 4,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191,110</w:t>
            </w:r>
          </w:p>
        </w:tc>
        <w:tc>
          <w:tcPr>
            <w:tcW w:w="8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ectPr>
          <w:pgSz w:w="11900" w:h="16838" w:orient="portrait"/>
          <w:cols w:equalWidth="0" w:num="1">
            <w:col w:w="11200"/>
          </w:cols>
          <w:pgMar w:left="320" w:top="121" w:right="379" w:bottom="33" w:gutter="0" w:footer="0" w:header="0"/>
        </w:sectPr>
      </w:pPr>
    </w:p>
    <w:bookmarkStart w:id="11" w:name="page12"/>
    <w:bookmarkEnd w:id="11"/>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was 23.8% for the thirteen weeks ended May 4, 2024, compared to 24.5% for the thirteen weeks ended April 29, 2023. In the first quarter of fiscal 2024, the effective tax rate differed from the statutory rate of 21% primarily due to state income tax expense partially offset by the tax impact of equity awards vesting. In the fourth quarter of fiscal 2023, the Company reversed the valuation allowance on deferred tax assets expected to be realized in the U.K. In the first quarter of fiscal 2024, the Company remains in a full valuation in certain other foreign jurisdictions. In the first quarter of fiscal 2023, the effective tax rate differed from the statutory rate of 21% primarily due to state income tax. In addition, the Company remained in a full valuation in certain foreign jurisdictions, including the UK.</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May 4, 2024 and April 29,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1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thirteen weeks ended May 4, 2024</w:t>
            </w:r>
          </w:p>
        </w:tc>
        <w:tc>
          <w:tcPr>
            <w:tcW w:w="100" w:type="dxa"/>
            <w:vAlign w:val="bottom"/>
          </w:tcPr>
          <w:p>
            <w:pPr>
              <w:spacing w:after="0"/>
              <w:rPr>
                <w:sz w:val="18"/>
                <w:szCs w:val="18"/>
                <w:color w:val="auto"/>
              </w:rPr>
            </w:pPr>
          </w:p>
        </w:tc>
        <w:tc>
          <w:tcPr>
            <w:tcW w:w="3920" w:type="dxa"/>
            <w:vAlign w:val="bottom"/>
            <w:gridSpan w:val="1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thirteen weeks ended April 29, 2023</w:t>
            </w:r>
          </w:p>
        </w:tc>
        <w:tc>
          <w:tcPr>
            <w:tcW w:w="0" w:type="dxa"/>
            <w:vAlign w:val="bottom"/>
          </w:tcPr>
          <w:p>
            <w:pPr>
              <w:spacing w:after="0"/>
              <w:rPr>
                <w:sz w:val="1"/>
                <w:szCs w:val="1"/>
                <w:color w:val="auto"/>
              </w:rPr>
            </w:pPr>
          </w:p>
        </w:tc>
      </w:tr>
      <w:tr>
        <w:trPr>
          <w:trHeight w:val="395"/>
        </w:trPr>
        <w:tc>
          <w:tcPr>
            <w:tcW w:w="3100" w:type="dxa"/>
            <w:vAlign w:val="bottom"/>
          </w:tcPr>
          <w:p>
            <w:pPr>
              <w:spacing w:after="0"/>
              <w:rPr>
                <w:sz w:val="24"/>
                <w:szCs w:val="24"/>
                <w:color w:val="auto"/>
              </w:rPr>
            </w:pP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$ 66,330</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(12,082)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$ 129,662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$ 69,868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(12,274)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61,375</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$ 119,117</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Adoption of new accounting standard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$ 66,330</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(12,082)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$ 129,662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$ 69,868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(12,274)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60,590</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$ 118,332</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(7,591)</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(22,048)</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(22,048)</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11,459</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11,459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14,608</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$ 64,065</w:t>
            </w:r>
          </w:p>
        </w:tc>
        <w:tc>
          <w:tcPr>
            <w:tcW w:w="1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(12,153)</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76,290</w:t>
            </w: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$ 128,341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$ 70,324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 (12,177)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50,676</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$ 108,972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4, 2024, the Company utilized $9.2 million in cash to repurchase 343,406 shares under its $50.0 million program that was authorized by its Board of Directors on August 31, 2022. The Company's Board of Directors also authorized a quarterly cash dividend of $0.20 per share that was paid on April 11, 2024, to all stockholders of record as of March 28, 2024.</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thirteen weeks ended April 29, 2023, the Company recorded credit impairment charges of $0.8 million on trade receivables into retained earnings as a result of the adoption of ASC 326 - Credit Impairment. During the thirteen weeks ended April 29, 2023, the Company utilized $3.1 million in cash to repurchase 132,385 shares under its $50.0 million program that was authorized by its Board of Directors on August 31, 2022. The Company's Board of Directors also authorized a special cash dividend of $1.50 per share that was paid on April 6, 2023, to all stockholders of record as of March 23,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56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May 4,</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14,608</w:t>
            </w:r>
          </w:p>
        </w:tc>
      </w:tr>
      <w:tr>
        <w:trPr>
          <w:trHeight w:val="216"/>
        </w:trPr>
        <w:tc>
          <w:tcPr>
            <w:tcW w:w="5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13,925,957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14,457,858</w:t>
            </w: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517,072</w:t>
            </w:r>
          </w:p>
        </w:tc>
      </w:tr>
      <w:tr>
        <w:trPr>
          <w:trHeight w:val="20"/>
        </w:trPr>
        <w:tc>
          <w:tcPr>
            <w:tcW w:w="5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14,006,400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14,974,930</w:t>
            </w:r>
          </w:p>
        </w:tc>
      </w:tr>
      <w:tr>
        <w:trPr>
          <w:trHeight w:val="197"/>
        </w:trPr>
        <w:tc>
          <w:tcPr>
            <w:tcW w:w="56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net income per common share</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1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0.98</w:t>
            </w:r>
          </w:p>
        </w:tc>
      </w:tr>
      <w:tr>
        <w:trPr>
          <w:trHeight w:val="20"/>
        </w:trPr>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calculating the diluted income per share for the thirteen weeks ended May 4, 2024 and April 29, 2023, respectively, there were 8,199</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and 9,069 shares of common stock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May 4, 2024 and April 29, 2023 was comprised entirely of foreign currency translation. For the thirteen weeks ended May 4, 2024 and April 29, 2023, the Company had no reclassifications out of accumulated other comprehensive loss.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w:t>
      </w:r>
    </w:p>
    <w:p>
      <w:pPr>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May 4, 2024</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114,730</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15,029</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April 29, 2023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120,050</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15,955</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19,353</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3,065</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3,080</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4,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254,951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265,276</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3, 2024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262,299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272,325</w:t>
            </w: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29, 2023</w:t>
            </w: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253,338</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261,710</w:t>
            </w:r>
          </w:p>
        </w:tc>
      </w:tr>
    </w:tbl>
    <w:p>
      <w:pPr>
        <w:spacing w:after="0" w:line="17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America (1)</w:t>
            </w:r>
          </w:p>
        </w:tc>
        <w:tc>
          <w:tcPr>
            <w:tcW w:w="1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Thirteen weeks ended May 4, 2024</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114,730</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April 29, 2023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106,864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12,658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120,050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May 4, 2024, the Company had a gross receivable balance of $4.8 million and a reserve of $3.7 million, leaving a net receivable of $1.1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3, 2024,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6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34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w:t>
      </w:r>
    </w:p>
    <w:p>
      <w:pPr>
        <w:spacing w:after="0" w:line="9" w:lineRule="exact"/>
        <w:rPr>
          <w:rFonts w:ascii="Times New Roman" w:cs="Times New Roman" w:eastAsia="Times New Roman" w:hAnsi="Times New Roman"/>
          <w:sz w:val="18"/>
          <w:szCs w:val="18"/>
          <w:color w:val="auto"/>
        </w:rPr>
      </w:pPr>
    </w:p>
    <w:p>
      <w:pPr>
        <w:ind w:left="48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right="32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987"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87"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20" w:right="20"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Build-A-Bear has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We believe the hands-on and interactive nature of our experience locations, our personal service model and engaging digital shopping experiences result in guests forming an emotional connection with our brand, which differentiates it in the marketplace. Over the last 27 years, Build-A-Bear has become a brand with high consumer awareness, positive affinity, and strong retail influence by leveraging our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 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187" w:lineRule="exact"/>
        <w:rPr>
          <w:sz w:val="20"/>
          <w:szCs w:val="20"/>
          <w:color w:val="auto"/>
        </w:rPr>
      </w:pPr>
    </w:p>
    <w:p>
      <w:pPr>
        <w:ind w:left="20" w:right="80" w:firstLine="648"/>
        <w:spacing w:after="0" w:line="256" w:lineRule="auto"/>
        <w:rPr>
          <w:sz w:val="20"/>
          <w:szCs w:val="20"/>
          <w:color w:val="auto"/>
        </w:rPr>
      </w:pPr>
      <w:r>
        <w:rPr>
          <w:rFonts w:ascii="Times New Roman" w:cs="Times New Roman" w:eastAsia="Times New Roman" w:hAnsi="Times New Roman"/>
          <w:sz w:val="18"/>
          <w:szCs w:val="18"/>
          <w:color w:val="auto"/>
        </w:rPr>
        <w:t>We primarily operate through a vertical retail channel with corporately-managed stores that feature a unique combination of experience and product in which guests can “make their own stuffed animals.” We also operate e-commerce sites that focus on gift-giving, collectible merchandise and licensed products that appeal to consumers that have an affinity for characters from a range of entertainment, sports, art, and gaming properties.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87" w:lineRule="exact"/>
        <w:rPr>
          <w:sz w:val="20"/>
          <w:szCs w:val="20"/>
          <w:color w:val="auto"/>
        </w:rPr>
      </w:pPr>
    </w:p>
    <w:p>
      <w:pPr>
        <w:ind w:left="20" w:right="20" w:firstLine="648"/>
        <w:spacing w:after="0" w:line="256" w:lineRule="auto"/>
        <w:rPr>
          <w:sz w:val="20"/>
          <w:szCs w:val="20"/>
          <w:color w:val="auto"/>
        </w:rPr>
      </w:pPr>
      <w:r>
        <w:rPr>
          <w:rFonts w:ascii="Times New Roman" w:cs="Times New Roman" w:eastAsia="Times New Roman" w:hAnsi="Times New Roman"/>
          <w:sz w:val="18"/>
          <w:szCs w:val="18"/>
          <w:color w:val="auto"/>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spacing w:after="0" w:line="187" w:lineRule="exact"/>
        <w:rPr>
          <w:sz w:val="20"/>
          <w:szCs w:val="20"/>
          <w:color w:val="auto"/>
        </w:rPr>
      </w:pPr>
    </w:p>
    <w:p>
      <w:pPr>
        <w:ind w:left="20" w:right="20" w:firstLine="648"/>
        <w:spacing w:after="0" w:line="258" w:lineRule="auto"/>
        <w:rPr>
          <w:sz w:val="20"/>
          <w:szCs w:val="20"/>
          <w:color w:val="auto"/>
        </w:rPr>
      </w:pPr>
      <w:r>
        <w:rPr>
          <w:rFonts w:ascii="Times New Roman" w:cs="Times New Roman" w:eastAsia="Times New Roman" w:hAnsi="Times New Roman"/>
          <w:sz w:val="18"/>
          <w:szCs w:val="18"/>
          <w:color w:val="auto"/>
        </w:rPr>
        <w:t>As of May 4, 2024, we had 357 corporately-managed stores globally and 4 seasonal locations, 97 partner-operated locations operating through our "third-party retail" model in which we sell our products on a wholesale basis to other companies that execute our retail experience, and 77 international franchised stores,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83" w:lineRule="exact"/>
        <w:rPr>
          <w:sz w:val="20"/>
          <w:szCs w:val="20"/>
          <w:color w:val="auto"/>
        </w:rPr>
      </w:pPr>
    </w:p>
    <w:p>
      <w:pPr>
        <w:ind w:left="20" w:right="40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43" w:lineRule="exact"/>
        <w:rPr>
          <w:sz w:val="20"/>
          <w:szCs w:val="20"/>
          <w:color w:val="auto"/>
        </w:rPr>
      </w:pPr>
    </w:p>
    <w:p>
      <w:pPr>
        <w:ind w:left="500" w:hanging="162"/>
        <w:spacing w:after="0"/>
        <w:tabs>
          <w:tab w:leader="none" w:pos="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Corporately-managed retail stores located in the U.S., Canada, the U.K., and Ireland and two e-commerce sites;</w:t>
      </w:r>
    </w:p>
    <w:p>
      <w:pPr>
        <w:spacing w:after="0" w:line="28" w:lineRule="exact"/>
        <w:rPr>
          <w:rFonts w:ascii="Times New Roman" w:cs="Times New Roman" w:eastAsia="Times New Roman" w:hAnsi="Times New Roman"/>
          <w:sz w:val="22"/>
          <w:szCs w:val="22"/>
          <w:color w:val="auto"/>
        </w:rPr>
      </w:pPr>
    </w:p>
    <w:p>
      <w:pPr>
        <w:ind w:left="500" w:right="80" w:hanging="162"/>
        <w:spacing w:after="0" w:line="224" w:lineRule="auto"/>
        <w:tabs>
          <w:tab w:leader="none" w:pos="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500" w:hanging="162"/>
        <w:spacing w:after="0" w:line="204" w:lineRule="auto"/>
        <w:tabs>
          <w:tab w:leader="none" w:pos="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left="20" w:right="18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weeks ended May 4, 2024 and April 29, 2023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firstLine="648"/>
        <w:spacing w:after="0" w:line="254"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26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8" w:lineRule="exact"/>
        <w:rPr>
          <w:sz w:val="20"/>
          <w:szCs w:val="20"/>
          <w:color w:val="auto"/>
        </w:rPr>
      </w:pPr>
    </w:p>
    <w:p>
      <w:pPr>
        <w:ind w:left="20" w:right="8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initiatives and investments that were put in place prior to the pandemic, and in many cases, we accelerated during the pandemic, are driving improved results, as we delivered growth in total revenues and profit in fiscal 2023. To continue to drive revenue and profit growth, we remain focused on our strategic priorities, which are centered primarily on three key areas:</w:t>
      </w:r>
    </w:p>
    <w:p>
      <w:pPr>
        <w:spacing w:after="0" w:line="176" w:lineRule="exact"/>
        <w:rPr>
          <w:sz w:val="20"/>
          <w:szCs w:val="20"/>
          <w:color w:val="auto"/>
        </w:rPr>
      </w:pPr>
    </w:p>
    <w:p>
      <w:pPr>
        <w:ind w:left="580" w:right="80" w:hanging="228"/>
        <w:spacing w:after="0" w:line="258"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global expansion of our unique experience locations.</w:t>
      </w:r>
      <w:r>
        <w:rPr>
          <w:rFonts w:ascii="Times New Roman" w:cs="Times New Roman" w:eastAsia="Times New Roman" w:hAnsi="Times New Roman"/>
          <w:sz w:val="18"/>
          <w:szCs w:val="18"/>
          <w:color w:val="auto"/>
        </w:rPr>
        <w:t xml:space="preserve"> During fiscal 2023, we opened a net 37 Build-A-Bear Workshop retail experience locations, through a combination of corporately-managed, third-party operated, and franchise business models. In fiscal 2024, we expect net new unit growth of at least 50 locations in North America and internationally through our three store business models. We have made a concerted effort to shift to non-traditional locations, including family-centric tourist and hospitality sites, as well as partner-operated and franchise locations, and now have more than 35% of total stores in non-traditional settings. While tourist sites have been and will remain a critical part of our location</w:t>
      </w:r>
    </w:p>
    <w:p>
      <w:pPr>
        <w:sectPr>
          <w:pgSz w:w="11900" w:h="16838" w:orient="portrait"/>
          <w:cols w:equalWidth="0" w:num="1">
            <w:col w:w="11240"/>
          </w:cols>
          <w:pgMar w:left="300" w:top="121" w:right="359" w:bottom="0" w:gutter="0" w:footer="0" w:header="0"/>
        </w:sectPr>
      </w:pPr>
    </w:p>
    <w:bookmarkStart w:id="18" w:name="page19"/>
    <w:bookmarkEnd w:id="18"/>
    <w:p>
      <w:pPr>
        <w:ind w:left="228" w:right="140"/>
        <w:spacing w:after="0" w:line="289" w:lineRule="auto"/>
        <w:rPr>
          <w:sz w:val="20"/>
          <w:szCs w:val="20"/>
          <w:color w:val="auto"/>
        </w:rPr>
      </w:pPr>
      <w:r>
        <w:rPr>
          <w:rFonts w:ascii="Times New Roman" w:cs="Times New Roman" w:eastAsia="Times New Roman" w:hAnsi="Times New Roman"/>
          <w:sz w:val="17"/>
          <w:szCs w:val="17"/>
          <w:color w:val="auto"/>
        </w:rPr>
        <w:t>expansion strategy, recent research data supports our opportunity to reengage in profitable expansion in traditional locations on a more localized level, particularly given the numerous and flexible corporate store models we have developed in the past few years. We also continue to develop innovative experiences to expand our brand reach, including Build-A-Bear vending machines, also known as ATMs or automatic teddy machines.</w:t>
      </w:r>
    </w:p>
    <w:p>
      <w:pPr>
        <w:spacing w:after="0" w:line="158" w:lineRule="exact"/>
        <w:rPr>
          <w:sz w:val="20"/>
          <w:szCs w:val="20"/>
          <w:color w:val="auto"/>
        </w:rPr>
      </w:pPr>
    </w:p>
    <w:p>
      <w:pPr>
        <w:ind w:left="228" w:right="40" w:hanging="228"/>
        <w:spacing w:after="0" w:line="273" w:lineRule="auto"/>
        <w:tabs>
          <w:tab w:leader="none" w:pos="22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Accelerate our comprehensive digital transformation.</w:t>
      </w:r>
      <w:r>
        <w:rPr>
          <w:rFonts w:ascii="Times New Roman" w:cs="Times New Roman" w:eastAsia="Times New Roman" w:hAnsi="Times New Roman"/>
          <w:sz w:val="17"/>
          <w:szCs w:val="17"/>
          <w:color w:val="auto"/>
        </w:rPr>
        <w:t xml:space="preserve"> In addition to growing our e-commerce channel, this includes our marketing and loyalty programs, including our Count Your Candles offer, and content and entertainment initiatives, such as our first-ever animated theatrical film in 2023 “Glisten and the Merry Mission.” Our digital transformation is designed to elevate our business efficiency, integrate our customer communications to acquire new customers and increase purchase occasions, and expand our total addressable market by reaching beyond our core kid base and to continue to acquire new tween, teen and adult consumers by new offerings including gifting and personalization programs. Our 2023 e-commerce sales, inclusive of softness during the year, have tripled since 2018, which was prior to the implementation of key digital initiatives. In early 2024, we created a new position of Chief Customer &amp; Digital Officer to further align our operating structure with our digital strategy.</w:t>
      </w:r>
    </w:p>
    <w:p>
      <w:pPr>
        <w:spacing w:after="0" w:line="171" w:lineRule="exact"/>
        <w:rPr>
          <w:rFonts w:ascii="Times New Roman" w:cs="Times New Roman" w:eastAsia="Times New Roman" w:hAnsi="Times New Roman"/>
          <w:sz w:val="17"/>
          <w:szCs w:val="17"/>
          <w:color w:val="auto"/>
        </w:rPr>
      </w:pPr>
    </w:p>
    <w:p>
      <w:pPr>
        <w:ind w:left="228" w:hanging="228"/>
        <w:spacing w:after="0" w:line="254"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8"/>
          <w:szCs w:val="18"/>
          <w:color w:val="auto"/>
        </w:rPr>
        <w:t xml:space="preserve"> As corporate store operating margins have remained robust from higher levels of revenue combined with disciplined expense management, particularly considering recent inflationary pressures, wage increases and supply chain challenges, and as we continue to evolve our real estate portfolio with new locations and formats, plus shift to asset-light business models, the company’s cash flows have meaningfully improved. This higher-level of cash flows has been used to increase support for key initiatives to deliver long-term profitable growth, while also returning capital to shareholders through dividends and share repurchases. The Company returned capital to shareholders through two special dividends paid December 27, 2021, and April 6, 2023, totaling $42 million, through share repurchases from a $25 million stock repurchase program that was adopted in November 2021, and through a $50 million stock repurchase program announced in August 2022. The Company announced a new dividend program on March 13, 2024, declaring an initial quarterly cash dividend of $0.20 per share that was paid in April 2024 totaling $2.9 million.</w:t>
      </w:r>
    </w:p>
    <w:p>
      <w:pPr>
        <w:spacing w:after="0" w:line="188"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21" w:right="37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20" w:right="5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2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00" w:firstLine="648"/>
        <w:spacing w:after="0" w:line="261" w:lineRule="auto"/>
        <w:rPr>
          <w:sz w:val="20"/>
          <w:szCs w:val="20"/>
          <w:color w:val="auto"/>
        </w:rPr>
      </w:pPr>
      <w:r>
        <w:rPr>
          <w:rFonts w:ascii="Times New Roman" w:cs="Times New Roman" w:eastAsia="Times New Roman" w:hAnsi="Times New Roman"/>
          <w:sz w:val="18"/>
          <w:szCs w:val="18"/>
          <w:color w:val="auto"/>
        </w:rPr>
        <w:t>As of May 4, 2024, 51%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Retail 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80" w:type="dxa"/>
            <w:vAlign w:val="bottom"/>
          </w:tcPr>
          <w:p>
            <w:pPr>
              <w:spacing w:after="0"/>
              <w:rPr>
                <w:sz w:val="18"/>
                <w:szCs w:val="18"/>
                <w:color w:val="auto"/>
              </w:rPr>
            </w:pPr>
          </w:p>
        </w:tc>
      </w:tr>
      <w:tr>
        <w:trPr>
          <w:trHeight w:val="21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486"/>
        <w:spacing w:after="0" w:line="258" w:lineRule="auto"/>
        <w:rPr>
          <w:sz w:val="20"/>
          <w:szCs w:val="20"/>
          <w:color w:val="auto"/>
        </w:rPr>
      </w:pPr>
      <w:r>
        <w:rPr>
          <w:rFonts w:ascii="Times New Roman" w:cs="Times New Roman" w:eastAsia="Times New Roman" w:hAnsi="Times New Roman"/>
          <w:sz w:val="18"/>
          <w:szCs w:val="18"/>
          <w:color w:val="auto"/>
        </w:rPr>
        <w:t>Through our third-party retail model, there were 97 stores in operation at the end of the first quarter of 2024 with relationships that included Carnival Cruise Line, Great Wolf Lodge Resorts, Landry's and Girl Scouts of the USA. The third-party retail model is capital light for us, with the partner company building out and operating the workshops including providing the real estate location and covering the cost of labor and inventory, which is purchased on a wholesale basis. These locations are heavily-weighted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jc w:val="both"/>
        <w:ind w:left="20" w:right="1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May 4, 2024, we had 5 master franchise agreements, which typically grant franchise rights for a particular country or group of countries, covering an aggregate of 8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80" w:type="dxa"/>
            <w:vAlign w:val="bottom"/>
          </w:tcPr>
          <w:p>
            <w:pPr>
              <w:spacing w:after="0"/>
              <w:rPr>
                <w:sz w:val="18"/>
                <w:szCs w:val="18"/>
                <w:color w:val="auto"/>
              </w:rPr>
            </w:pPr>
          </w:p>
        </w:tc>
      </w:tr>
      <w:tr>
        <w:trPr>
          <w:trHeight w:val="21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6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240"/>
          </w:cols>
          <w:pgMar w:left="300" w:top="121" w:right="35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84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5580" w:type="dxa"/>
            <w:vAlign w:val="bottom"/>
          </w:tcPr>
          <w:p>
            <w:pPr>
              <w:spacing w:after="0"/>
              <w:rPr>
                <w:sz w:val="16"/>
                <w:szCs w:val="16"/>
                <w:color w:val="auto"/>
              </w:rPr>
            </w:pPr>
          </w:p>
        </w:tc>
        <w:tc>
          <w:tcPr>
            <w:tcW w:w="1060" w:type="dxa"/>
            <w:vAlign w:val="bottom"/>
          </w:tcPr>
          <w:p>
            <w:pPr>
              <w:jc w:val="center"/>
              <w:ind w:left="3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lef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April 29,</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5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100.0</w:t>
            </w:r>
          </w:p>
        </w:tc>
      </w:tr>
      <w:tr>
        <w:trPr>
          <w:trHeight w:val="209"/>
        </w:trPr>
        <w:tc>
          <w:tcPr>
            <w:tcW w:w="55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6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42.3</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55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70.4</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55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54.2</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r>
      <w:tr>
        <w:trPr>
          <w:trHeight w:val="197"/>
        </w:trPr>
        <w:tc>
          <w:tcPr>
            <w:tcW w:w="55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Gross Margin (2)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bl>
    <w:p>
      <w:pPr>
        <w:spacing w:after="0" w:line="198" w:lineRule="exact"/>
        <w:rPr>
          <w:sz w:val="20"/>
          <w:szCs w:val="20"/>
          <w:color w:val="auto"/>
        </w:rPr>
      </w:pPr>
    </w:p>
    <w:p>
      <w:pPr>
        <w:ind w:left="380" w:right="60" w:hanging="372"/>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20" w:hanging="372"/>
        <w:spacing w:after="0" w:line="26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4, 2024 compared to thirteen weeks ended April 29,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decreased 4.4%, primarily driven by a 6.9% decrease in North America and partially offset by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 increase in Europe. Although a decline was expected as a result of economic uncertainty and business volatility from our ongoing marketing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transitions, the impacts were greater than expected, with web demand (online orders fulfilled from either the Company’s warehouse or its stores)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 significant contributor to our total revenue decline. Additionally, the decrease also resulted from the expected negative timing due to the calendar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shift (53rd week shift) along with a decrease in commercial revenue due to timing of product shipments to wholesale customers compared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prior year.</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May 4, 2024 were $107.9 million, compared to $112.1 million for the thirteen weeks ended April 29, 2023, a decrease of $4.2 million, or 3.8%, compared to the prior year period. The components of this decrease are as follows (dollars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53rd week shift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18"/>
          <w:szCs w:val="18"/>
          <w:color w:val="auto"/>
        </w:rPr>
        <w:t>The retail revenue decrease was primarily the result of a decline in web demand resulting in decrease sales through existing stores and our webstore and expected negative timing due to the calendar shift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 shift). Additionally, we experience small declines in both traffic and dollars per transaction impacting retail revenue for the fiscal quarter. The decline in web demand continued into the second quarter and is expected to have a negative impact on sales made through our existing stores and webstore.</w:t>
      </w:r>
    </w:p>
    <w:p>
      <w:pPr>
        <w:spacing w:after="0" w:line="20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Commercial revenue was $6.0 million for the thirteen weeks ended May 4, 2024 compared to $6.7 million for the thirteen weeks ended April 29, 2023. The $0.7 million decrease is primarily the result of timing of product shipments to wholesale customers compared to the same period prior year.</w:t>
      </w:r>
    </w:p>
    <w:p>
      <w:pPr>
        <w:sectPr>
          <w:pgSz w:w="11900" w:h="16838" w:orient="portrait"/>
          <w:cols w:equalWidth="0" w:num="1">
            <w:col w:w="11160"/>
          </w:cols>
          <w:pgMar w:left="320" w:top="121" w:right="419" w:bottom="100" w:gutter="0" w:footer="0" w:header="0"/>
        </w:sectPr>
      </w:pPr>
    </w:p>
    <w:bookmarkStart w:id="21" w:name="page22"/>
    <w:bookmarkEnd w:id="21"/>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$0.9 million for the thirteen weeks ended May 4, 2024 compared to $1.3 million for the thirteen weeks ended April 29, 2023. The change is the result of the timing of product shipments.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decreased $2.7 million to $58.5 million from $61.2 million for the thirteen weeks ended April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retail gross margin rate decreased 40 basis points compared to the prior year primarily driven by higher freight and occupancy costs offset by a decrease in merchandise cost compared to the fiscal 2023 first quarter.</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$47.6 million, or 41.5% of consolidated revenue, for the thirteen weeks ended May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$45.6 million, or 38.0% of consolidated revenue, for the thirteen weeks ended April 29, 2023. The increase in overall expense was driven by higher wage rates, expense timing and general inflationary pressures.</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$426,000 for the thirteen weeks ended May 4, 2024 compared to interest income of $76,000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April 29, 2023. The increase in interest income compared to the prior year is the result of the Company's cash management strategy to invest cash on-hand in short-term, highly liquid investments.</w:t>
      </w:r>
    </w:p>
    <w:p>
      <w:pPr>
        <w:spacing w:after="0" w:line="17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$3.6 million with a tax rate of 23.8% for the thirteen weeks ended May 4, 2024,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$4.7 million with a tax rate of 24.5% for the thirteen weeks ended April 29, 2023. In the first quarter of fiscal 2024, the effective tax rate differed from the statutory rate of 21% primarily due to state income tax expense partially offset by the tax impact of equity awards vesting. In the fourth quarter of fiscal 2023, the Company reversed the valuation allowance on deferred tax assets expected to be realized in the U.K. In the first quarter of fiscal 2024, the Company remains in a full valuation in certain other foreign jurisdictions. In the first quarter of fiscal 2023, the effective tax rate differed from the statutory rate of 21% primarily due to state income tax expense. In addition, the Company remained in a full valuation in certain foreign jurisdictions, including the UK.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9"/>
        </w:trPr>
        <w:tc>
          <w:tcPr>
            <w:tcW w:w="5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19,353</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3,080</w:t>
            </w: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22,357</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May 4, 2024 decreased $4.1 million, or 18.3% to $18.3 million from $22.4 million for the thirteen weeks ended April 29, 2023. The decrease in EBITDA is driven by an increase in SG&amp;A expenses due to higher wages, expense timing, and general inflationary pressures coupled with a slight decrease in retail gross margin.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2023 fiscal fourth quarter was 14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May 4, 2024, we had a consolidated cash balance of $38.2 million, 83%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2024 we have used cash on-hand to invest in short-term, highly liquid investments with original maturities of three months or less resulting in interest income of $0.4 million during the thirteen weeks ended May 4,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56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May 4,</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10,365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18,786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(13,978)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(25,103)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$8.4 million for the thirteen weeks ended May 4,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April 29, 2023. This decrease in cash from operating activities was primarily driven by decreased sales volume, resulting in lower net income, coupled with an increase in cash spent on inventory purchases.</w:t>
      </w:r>
    </w:p>
    <w:p>
      <w:pPr>
        <w:spacing w:after="0" w:line="17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decreased $0.6 million for the thirteen weeks ended May 4, 2024, as compared to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April 29, 2023. This decrease in cash used in investing activities was primarily driven by lower spending on capital expenditures related to information technology projects.</w:t>
      </w:r>
    </w:p>
    <w:p>
      <w:pPr>
        <w:spacing w:after="0" w:line="17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$11.1 million for the thirteen weeks ended May 4,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April 29, 2023. This decrease in cash used in financing activities was driven primarily by the payment in 2023 fiscal first quarter of a special cash dividend of $22.1 million compared to a quarterly dividend of $2.9 million in the 2024 fiscal first quarter. This was partially offset by an increase in repurchases of our common stock during the thirteen weeks ended May 4, 2024.</w:t>
      </w:r>
    </w:p>
    <w:p>
      <w:pPr>
        <w:sectPr>
          <w:pgSz w:w="11900" w:h="16838" w:orient="portrait"/>
          <w:cols w:equalWidth="0" w:num="1">
            <w:col w:w="11220"/>
          </w:cols>
          <w:pgMar w:left="320" w:top="121" w:right="359" w:bottom="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May 4, 2024, borrowings under the agreement would bear interest at</w:t>
      </w:r>
    </w:p>
    <w:p>
      <w:pPr>
        <w:ind w:firstLine="8"/>
        <w:spacing w:after="0" w:line="253"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determined under the agreement, or (b) the borrower's option, at a rate based on SOFR, plus in either case a margin based on average undrawn availability as determined in accordance with the agreement. As of May 4, 2024, our borrowing base was $25.0 million. As a result of a $250,000 letter of credit outstanding against the line of credit, approximately $24.7 million was available for borrowing as of May 4, 2024. We had no outstanding borrowings as of May 4, 2024.</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During fiscal 2023 and into fiscal 2024,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Business rates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thirteen weeks ended May 4, 2024 totaled $2.4 million for information technology projects and new store openings, and we expect to spend approximately $18 to $20 million on capital expenditures in fiscal 2024.</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Total inventory at quarter end was $64.0 million, a decrease of $2.5 million or 4% from the end of the fiscal 2023 first quarter. We are comfortable with the level and composition of our inventory.</w:t>
      </w:r>
    </w:p>
    <w:p>
      <w:pPr>
        <w:spacing w:after="0" w:line="162" w:lineRule="exact"/>
        <w:rPr>
          <w:sz w:val="20"/>
          <w:szCs w:val="20"/>
          <w:color w:val="auto"/>
        </w:rPr>
      </w:pPr>
    </w:p>
    <w:p>
      <w:pPr>
        <w:ind w:left="160" w:right="6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May 4, 2024, we had purchase obligations totaling approximately $82.4 million, of which $24.4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utilized $9.2 million in cash to repurchase 343,406 shares during the thirteen weeks ended May 4, 2024 compared to using $3.1 million in cash to repurchase 132,385 shares during the thirteen weeks ended April 29, 2023. Since the end of the first fiscal quarter, we utilized $3.8 million in cash to repurchase 131,419 shares leaving $13.2 millionavailable under the current $50.0 million stock repurchase program adopted on August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inflation is well above recent levels and global interest rates have risen in an effort to curb inflation. The impact of inflation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was seen throughout fiscal 2023 and continued to adversely affect our business in fiscal 2024, mainly through rising store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costs. However, we continue to take mitigating actions, such as select strategic price increases on highly sought-after products and leveraging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costs. We expect the inflationary pressures experienced thus far in fiscal 2024 to continue throughout the rest of fiscal 2024,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wage increases. We continue to monitor the impact of inflation on our business operations on an ongoing basis and may need to adjust our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to mitigate the impacts of changes to the rate of inflation during 2024 or in future years. Future volatility of general price inflation and the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on costs and availability of materials, costs for shipping and warehousing and other operational overhead could adversely affect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Inflationary pressures may be exacerbated by higher transportation costs due to war and other geopolitical conflicts, such as the current 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 conflict, tension between China and Taiwan, and the Israel-Hamas conflict. We cannot provide an estimate or range of impact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may have on our future results of operations. However, if we are unable to recover the impact of these costs through price increases to our guests,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consumer spending decreases as a result of inflation, our business, results of operations, financial condition and cash flows may be adversely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 addition, ongoing inflation in product costs may result in lower gross margin rates if we elect to maintain higher inventory reserves to mitigate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higher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February 3, 2024 as filed with the SEC on April 18, 2024, which includes audited consolidated financial statements for our 2023 and 2022 fiscal years. There have been no material changes to the critical accounting estimates disclosed in the 2023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4, 2024,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80" w:type="dxa"/>
            <w:vAlign w:val="bottom"/>
          </w:tcPr>
          <w:p>
            <w:pPr>
              <w:spacing w:after="0"/>
              <w:rPr>
                <w:sz w:val="20"/>
                <w:szCs w:val="20"/>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4, 2024 - March 2, 2024</w:t>
            </w: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78,835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22.74</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24,312,850</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 2024 - April 6, 2024</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53,801</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53,801</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22,939,713</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7, 2024 - May 4, 2024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210,770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16,944,485</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412,688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27.26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343,406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16,944,485</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160" w:hanging="349"/>
        <w:spacing w:after="0" w:line="255"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2022, the Board of Directors adopted a share repurchase program authorizing the repurchase of up to</w:t>
      </w:r>
    </w:p>
    <w:p>
      <w:pPr>
        <w:spacing w:after="0" w:line="9" w:lineRule="exact"/>
        <w:rPr>
          <w:rFonts w:ascii="Times New Roman" w:cs="Times New Roman" w:eastAsia="Times New Roman" w:hAnsi="Times New Roman"/>
          <w:sz w:val="18"/>
          <w:szCs w:val="18"/>
          <w:color w:val="auto"/>
        </w:rPr>
      </w:pPr>
    </w:p>
    <w:p>
      <w:pPr>
        <w:ind w:left="1480" w:righ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our common stock. This program authorizes the Company to repurchase shares through August 31, 2025 and does not require the Company to repurchase any specific number of shares, and may be modified, suspended or terminated at any time without prior noticed. Shares repurchased under the program will be subsequently retired.</w:t>
      </w: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29" w:lineRule="exact"/>
        <w:rPr>
          <w:sz w:val="20"/>
          <w:szCs w:val="20"/>
          <w:color w:val="auto"/>
        </w:rPr>
      </w:pPr>
    </w:p>
    <w:p>
      <w:pPr>
        <w:ind w:left="160" w:firstLine="648"/>
        <w:spacing w:after="0" w:line="261" w:lineRule="auto"/>
        <w:rPr>
          <w:sz w:val="20"/>
          <w:szCs w:val="20"/>
          <w:color w:val="auto"/>
        </w:rPr>
      </w:pPr>
      <w:r>
        <w:rPr>
          <w:rFonts w:ascii="Times New Roman" w:cs="Times New Roman" w:eastAsia="Times New Roman" w:hAnsi="Times New Roman"/>
          <w:sz w:val="18"/>
          <w:szCs w:val="18"/>
          <w:color w:val="auto"/>
        </w:rPr>
        <w:t>On March 22, 2024, Sharon John, President and Chief Executive Officer of the Company, adopted a trading arrangement for the sale of the Company’s common stock (a “Rule 10b5-1 Trading Plan”) that is intended to satisfy the affirmative defense conditions of Securities Exchange Act Rule 10b5-1(c). Ms. John’s Rule 10b5-1 Trading Plan, which expires December 6, 2024, provides for the sale of up to 91,034 shares of common stock pursuant to the terms of the plan.</w:t>
      </w:r>
    </w:p>
    <w:p>
      <w:pPr>
        <w:spacing w:after="0" w:line="180" w:lineRule="exact"/>
        <w:rPr>
          <w:sz w:val="20"/>
          <w:szCs w:val="20"/>
          <w:color w:val="auto"/>
        </w:rPr>
      </w:pPr>
    </w:p>
    <w:p>
      <w:pPr>
        <w:ind w:left="160" w:right="20" w:firstLine="648"/>
        <w:spacing w:after="0" w:line="266" w:lineRule="auto"/>
        <w:rPr>
          <w:sz w:val="20"/>
          <w:szCs w:val="20"/>
          <w:color w:val="auto"/>
        </w:rPr>
      </w:pPr>
      <w:r>
        <w:rPr>
          <w:rFonts w:ascii="Times New Roman" w:cs="Times New Roman" w:eastAsia="Times New Roman" w:hAnsi="Times New Roman"/>
          <w:sz w:val="18"/>
          <w:szCs w:val="18"/>
          <w:color w:val="auto"/>
        </w:rPr>
        <w:t>On April 8, 2024, Voin Todorovic, Chief Financial Officer of the Company, adopted a Rule 10b5-1 Trading Plan that is intended to satisfy the affirmative defense conditions of Securities Exchange Act Rule 10b5-1(c). Mr. Todorovic’s Rule 10b5-1 Trading Plan, which expires January 31, 2025, provides for the sale of up to 22,929 shares of common stock pursuant to the terms of the plan.</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60"/>
        <w:spacing w:after="0" w:line="282" w:lineRule="auto"/>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Agreement and Plan of Merger dated April 3, 2000 between Build-A-Bear Workshop, L.L.C. and the Registrant (incorporated by reference</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from Exhibit 2.1 to our Registration Statement on Form S-1, filed on August 12, 2004, Registration No. 333-118142)</w:t>
        </w:r>
      </w:hyperlink>
    </w:p>
    <w:p>
      <w:pPr>
        <w:spacing w:after="0" w:line="162"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Third Amended and Restated Certificate of Incorporation (incorporated by reference from Exhibit 3.1 of our Current Report on Form 8-K,</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filed on November 11, 2004)</w:t>
        </w:r>
      </w:hyperlink>
    </w:p>
    <w:p>
      <w:pPr>
        <w:spacing w:after="0" w:line="16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Amended and Restated Bylaws, as amended through February 23, 2016 (incorporated by reference from Exhibit 3.1 of our Current Report on</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Form 8-K, filed on February 24, 2016)</w:t>
        </w:r>
      </w:hyperlink>
    </w:p>
    <w:p>
      <w:pPr>
        <w:spacing w:after="0" w:line="162"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Specimen Stock Certificate (incorporated by reference from Exhibit 4.1 to Amendment No. 3 to our Registration Statement on Form S-1,</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filed on October 1, 2004, Registration No. 333-118142)</w:t>
        </w:r>
      </w:hyperlink>
    </w:p>
    <w:p>
      <w:pPr>
        <w:spacing w:after="0" w:line="162" w:lineRule="exact"/>
        <w:rPr>
          <w:sz w:val="20"/>
          <w:szCs w:val="20"/>
          <w:color w:val="auto"/>
        </w:rPr>
      </w:pPr>
    </w:p>
    <w:p>
      <w:pPr>
        <w:ind w:right="180"/>
        <w:spacing w:after="0" w:line="282"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Separation Agreement and General Release by and between Jennifer Kretchmar and Build-A-Bear Workshop, Inc., dated February 4, 2024</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(incorporated by reference from Exhibit 10.1 of the Current Report on Form 8-K, filed on February 5, 2024)</w:t>
        </w:r>
      </w:hyperlink>
    </w:p>
    <w:p>
      <w:pPr>
        <w:spacing w:after="0" w:line="162" w:lineRule="exact"/>
        <w:rPr>
          <w:sz w:val="20"/>
          <w:szCs w:val="20"/>
          <w:color w:val="auto"/>
        </w:rPr>
      </w:pPr>
    </w:p>
    <w:p>
      <w:pPr>
        <w:ind w:right="460"/>
        <w:spacing w:after="0" w:line="282" w:lineRule="auto"/>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Consulting Agreement by and between Jennifer Kretchmar and Build-A-Bear Workshop, Inc., dated February 4, 2024 (incorporated by</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reference from Exhibit 10.2 of the Current Report on Form 8-K, filed on February 5, 2024)</w:t>
        </w:r>
      </w:hyperlink>
    </w:p>
    <w:p>
      <w:pPr>
        <w:spacing w:after="0" w:line="148" w:lineRule="exact"/>
        <w:rPr>
          <w:sz w:val="20"/>
          <w:szCs w:val="20"/>
          <w:color w:val="auto"/>
        </w:rPr>
      </w:pPr>
    </w:p>
    <w:p>
      <w:pPr>
        <w:sectPr>
          <w:pgSz w:w="11900" w:h="16838" w:orient="portrait"/>
          <w:cols w:equalWidth="0" w:num="2">
            <w:col w:w="420" w:space="600"/>
            <w:col w:w="1018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10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Description of Build-A-Bear Workshop, Inc. Cash Bonus Program for Executive Officers (incorporated by reference from Exhibit 10.1 of the</w:t>
              </w:r>
            </w:hyperlink>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3880" w:type="dxa"/>
            <w:vAlign w:val="bottom"/>
            <w:gridSpan w:val="3"/>
            <w:vMerge w:val="restart"/>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Current Report on Form 8-K, filed on April 19, 2024)</w:t>
              </w:r>
            </w:hyperlink>
          </w:p>
        </w:tc>
        <w:tc>
          <w:tcPr>
            <w:tcW w:w="630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3880" w:type="dxa"/>
            <w:vAlign w:val="bottom"/>
            <w:tcBorders>
              <w:bottom w:val="single" w:sz="8" w:color="0000EE"/>
            </w:tcBorders>
            <w:gridSpan w:val="3"/>
            <w:vMerge w:val="continue"/>
          </w:tcPr>
          <w:p>
            <w:pPr>
              <w:spacing w:after="0"/>
              <w:rPr>
                <w:sz w:val="5"/>
                <w:szCs w:val="5"/>
                <w:color w:val="auto"/>
              </w:rPr>
            </w:pPr>
          </w:p>
        </w:tc>
        <w:tc>
          <w:tcPr>
            <w:tcW w:w="63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Restricted Stock Agreement under the Registrant’s Amended and Restated 2020 Omnibus Incentive Plan (incorporated by reference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10180" w:type="dxa"/>
            <w:vAlign w:val="bottom"/>
            <w:gridSpan w:val="10"/>
            <w:vMerge w:val="restart"/>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from Exhibit 10.2 of the Current Report on Form 8-K, filed on April 19, 2024)</w:t>
              </w:r>
            </w:hyperlink>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01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60" w:type="dxa"/>
            <w:vAlign w:val="bottom"/>
            <w:gridSpan w:val="5"/>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700" w:firstLine="8"/>
        <w:spacing w:after="0" w:line="261"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ectPr>
          <w:pgSz w:w="11900" w:h="16838" w:orient="portrait"/>
          <w:cols w:equalWidth="0" w:num="1">
            <w:col w:w="11200"/>
          </w:cols>
          <w:pgMar w:left="320" w:top="121" w:right="379" w:bottom="1440" w:gutter="0" w:footer="0" w:header="0"/>
          <w:type w:val="continuous"/>
        </w:sect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2024</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21"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2024</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2024</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May 4, 2024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2024</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May 4, 2024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lvl w:ilvl="1">
      <w:lvlJc w:val="left"/>
      <w:lvlText w:val="(%2)"/>
      <w:numFmt w:val="decimal"/>
      <w:start w:val="1"/>
    </w:lvl>
  </w:abstractNum>
  <w:abstractNum w:abstractNumId="5">
    <w:nsid w:val="DED7263"/>
    <w:multiLevelType w:val="hybridMultilevel"/>
    <w:lvl w:ilvl="0">
      <w:lvlJc w:val="left"/>
      <w:lvlText w:val="%1."/>
      <w:numFmt w:val="decimal"/>
      <w:start w:val="5"/>
    </w:lvl>
    <w:lvl w:ilvl="1">
      <w:lvlJc w:val="left"/>
      <w:lvlText w:val="%2"/>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lvl w:ilvl="1">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39" Type="http://schemas.openxmlformats.org/officeDocument/2006/relationships/hyperlink" Target="http://www.sec.gov/Archives/edgar/data/1113809/000095013704006634/c86750exv2w1.txt" TargetMode="External"/><Relationship Id="rId40" Type="http://schemas.openxmlformats.org/officeDocument/2006/relationships/hyperlink" Target="http://www.sec.gov/Archives/edgar/data/1113809/000095013804000748/exh3-1.htm" TargetMode="External"/><Relationship Id="rId41" Type="http://schemas.openxmlformats.org/officeDocument/2006/relationships/hyperlink" Target="http://www.sec.gov/Archives/edgar/data/1113809/000115752316004713/a51286063ex3_1.htm" TargetMode="External"/><Relationship Id="rId42" Type="http://schemas.openxmlformats.org/officeDocument/2006/relationships/hyperlink" Target="http://www.sec.gov/Archives/edgar/data/1113809/000095013704008227/c86750a3exv4w1.txt" TargetMode="External"/><Relationship Id="rId43" Type="http://schemas.openxmlformats.org/officeDocument/2006/relationships/hyperlink" Target="http://www.sec.gov/Archives/edgar/data/1113809/000143774924003129/ex_622486.htm" TargetMode="External"/><Relationship Id="rId44" Type="http://schemas.openxmlformats.org/officeDocument/2006/relationships/hyperlink" Target="http://www.sec.gov/Archives/edgar/data/1113809/000143774924003129/ex_622487.htm" TargetMode="External"/><Relationship Id="rId45" Type="http://schemas.openxmlformats.org/officeDocument/2006/relationships/hyperlink" Target="http://www.sec.gov/Archives/edgar/data/1113809/000143774924012573/ex_656233.htm" TargetMode="External"/><Relationship Id="rId46" Type="http://schemas.openxmlformats.org/officeDocument/2006/relationships/hyperlink" Target="http://www.sec.gov/Archives/edgar/data/1113809/000143774924012573/ex_6562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2024-06-13T08:19:23Z</dcterms:created>
  <dcterms:modified xsi:type="dcterms:W3CDTF">2024-06-13T08:19:23Z</dcterms:modified>
</cp:coreProperties>
</file>