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206375</wp:posOffset>
            </wp:positionH>
            <wp:positionV relativeFrom="page">
              <wp:posOffset>155575</wp:posOffset>
            </wp:positionV>
            <wp:extent cx="71532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98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232"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22"/>
          <w:szCs w:val="22"/>
          <w:color w:val="auto"/>
        </w:rPr>
        <w:t>Under the Securities Exchange Act of 1934</w:t>
      </w:r>
    </w:p>
    <w:p>
      <w:pPr>
        <w:spacing w:after="0" w:line="14"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22"/>
          <w:szCs w:val="22"/>
          <w:color w:val="auto"/>
        </w:rPr>
        <w:t>(Amendment No. 1)</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u w:val="single" w:color="auto"/>
          <w:color w:val="auto"/>
        </w:rPr>
        <w:t>Build-A-Bear Workshop, Inc.</w:t>
      </w:r>
    </w:p>
    <w:p>
      <w:pPr>
        <w:spacing w:after="0" w:line="40"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178"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22"/>
          <w:szCs w:val="22"/>
          <w:b w:val="1"/>
          <w:bCs w:val="1"/>
          <w:u w:val="single" w:color="auto"/>
          <w:color w:val="auto"/>
        </w:rPr>
        <w:t>Common Stock, par value $0.01 per share</w:t>
      </w:r>
    </w:p>
    <w:p>
      <w:pPr>
        <w:spacing w:after="0" w:line="18"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178"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22"/>
          <w:szCs w:val="22"/>
          <w:b w:val="1"/>
          <w:bCs w:val="1"/>
          <w:u w:val="single" w:color="auto"/>
          <w:color w:val="auto"/>
        </w:rPr>
        <w:t>120076104</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(CUSIP Number)</w:t>
      </w:r>
    </w:p>
    <w:p>
      <w:pPr>
        <w:spacing w:after="0" w:line="200" w:lineRule="exact"/>
        <w:rPr>
          <w:sz w:val="24"/>
          <w:szCs w:val="24"/>
          <w:color w:val="auto"/>
        </w:rPr>
      </w:pP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 Carlo Cannell</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Cannell Capital LLC</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245 Meriwether Circle</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Alta, WY 83414</w:t>
      </w:r>
    </w:p>
    <w:p>
      <w:pPr>
        <w:jc w:val="center"/>
        <w:spacing w:after="0" w:line="230" w:lineRule="auto"/>
        <w:rPr>
          <w:sz w:val="20"/>
          <w:szCs w:val="20"/>
          <w:color w:val="auto"/>
        </w:rPr>
      </w:pPr>
      <w:r>
        <w:rPr>
          <w:rFonts w:ascii="Times New Roman" w:cs="Times New Roman" w:eastAsia="Times New Roman" w:hAnsi="Times New Roman"/>
          <w:sz w:val="22"/>
          <w:szCs w:val="22"/>
          <w:b w:val="1"/>
          <w:bCs w:val="1"/>
          <w:u w:val="single" w:color="auto"/>
          <w:color w:val="auto"/>
        </w:rPr>
        <w:t>(307) 733-2284</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(Name, Address and Telephone Number of Person Authorized to Receive Notices and Communications)</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August 25, 2022</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182"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If the filing person has previously filed a statement on Schedule 13G to report the acquisition that is the subject of this Schedule 13D, and is filing this schedule because of 240.13d-1(e), 240.13d-1(f) or 240.13d-1(g), check the following box [ ].</w:t>
      </w:r>
    </w:p>
    <w:p>
      <w:pPr>
        <w:spacing w:after="0" w:line="158" w:lineRule="exact"/>
        <w:rPr>
          <w:sz w:val="24"/>
          <w:szCs w:val="24"/>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Note: Schedules filed in paper format shall include a signed original and five copies of the schedule, including all exhibits. See 240.13d-7(b) for other parties to whom copies are to be sent.</w:t>
      </w:r>
    </w:p>
    <w:p>
      <w:pPr>
        <w:spacing w:after="0" w:line="158"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3"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153275" cy="46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457"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t>SCHEDULE 13D</w:t>
      </w:r>
    </w:p>
    <w:p>
      <w:pPr>
        <w:spacing w:after="0" w:line="218"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1780" w:type="dxa"/>
            <w:vAlign w:val="bottom"/>
            <w:tcBorders>
              <w:top w:val="single" w:sz="8" w:color="auto"/>
              <w:lef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w:t>
            </w:r>
          </w:p>
        </w:tc>
        <w:tc>
          <w:tcPr>
            <w:tcW w:w="2720" w:type="dxa"/>
            <w:vAlign w:val="bottom"/>
            <w:tcBorders>
              <w:top w:val="single" w:sz="8" w:color="auto"/>
              <w:right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120076104</w:t>
            </w:r>
          </w:p>
        </w:tc>
      </w:tr>
      <w:tr>
        <w:trPr>
          <w:trHeight w:val="68"/>
        </w:trPr>
        <w:tc>
          <w:tcPr>
            <w:tcW w:w="1780" w:type="dxa"/>
            <w:vAlign w:val="bottom"/>
            <w:tcBorders>
              <w:left w:val="single" w:sz="8" w:color="auto"/>
              <w:bottom w:val="single" w:sz="8" w:color="auto"/>
            </w:tcBorders>
          </w:tcPr>
          <w:p>
            <w:pPr>
              <w:spacing w:after="0"/>
              <w:rPr>
                <w:sz w:val="5"/>
                <w:szCs w:val="5"/>
                <w:color w:val="auto"/>
              </w:rPr>
            </w:pPr>
          </w:p>
        </w:tc>
        <w:tc>
          <w:tcPr>
            <w:tcW w:w="2720" w:type="dxa"/>
            <w:vAlign w:val="bottom"/>
            <w:tcBorders>
              <w:bottom w:val="single" w:sz="8" w:color="auto"/>
              <w:right w:val="single" w:sz="8" w:color="auto"/>
            </w:tcBorders>
          </w:tcPr>
          <w:p>
            <w:pPr>
              <w:spacing w:after="0"/>
              <w:rPr>
                <w:sz w:val="5"/>
                <w:szCs w:val="5"/>
                <w:color w:val="auto"/>
              </w:rPr>
            </w:pPr>
          </w:p>
        </w:tc>
      </w:tr>
    </w:tbl>
    <w:p>
      <w:pPr>
        <w:spacing w:after="0" w:line="238" w:lineRule="exact"/>
        <w:rPr>
          <w:sz w:val="20"/>
          <w:szCs w:val="20"/>
          <w:color w:val="auto"/>
        </w:rPr>
      </w:pPr>
    </w:p>
    <w:p>
      <w:pPr>
        <w:ind w:left="800" w:hanging="707"/>
        <w:spacing w:after="0"/>
        <w:tabs>
          <w:tab w:leader="none" w:pos="80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b w:val="1"/>
          <w:bCs w:val="1"/>
          <w:color w:val="auto"/>
        </w:rPr>
      </w:pPr>
    </w:p>
    <w:p>
      <w:pPr>
        <w:ind w:left="800" w:right="4840"/>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I.R.S. IDENTIFICATION NOS. OF ABOVE PERSONS (ENTITIES ONLY) Cannell Capital LLC</w:t>
      </w:r>
    </w:p>
    <w:p>
      <w:pPr>
        <w:ind w:left="800" w:right="6300"/>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I.R.S. Identification Nos. of above persons (entities only) 94-3366999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-704215</wp:posOffset>
            </wp:positionV>
            <wp:extent cx="7132320" cy="68237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6823710"/>
                    </a:xfrm>
                    <a:prstGeom prst="rect">
                      <a:avLst/>
                    </a:prstGeom>
                    <a:noFill/>
                  </pic:spPr>
                </pic:pic>
              </a:graphicData>
            </a:graphic>
          </wp:anchor>
        </w:drawing>
      </w:r>
    </w:p>
    <w:p>
      <w:pPr>
        <w:spacing w:after="0" w:line="175" w:lineRule="exact"/>
        <w:rPr>
          <w:sz w:val="20"/>
          <w:szCs w:val="20"/>
          <w:color w:val="auto"/>
        </w:rPr>
      </w:pPr>
    </w:p>
    <w:p>
      <w:pPr>
        <w:ind w:left="800" w:hanging="707"/>
        <w:spacing w:after="0"/>
        <w:tabs>
          <w:tab w:leader="none" w:pos="80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w:t>
      </w:r>
    </w:p>
    <w:p>
      <w:pPr>
        <w:spacing w:after="0" w:line="225" w:lineRule="exact"/>
        <w:rPr>
          <w:rFonts w:ascii="Times New Roman" w:cs="Times New Roman" w:eastAsia="Times New Roman" w:hAnsi="Times New Roman"/>
          <w:sz w:val="18"/>
          <w:szCs w:val="18"/>
          <w:b w:val="1"/>
          <w:bCs w:val="1"/>
          <w:color w:val="auto"/>
        </w:rPr>
      </w:pPr>
    </w:p>
    <w:p>
      <w:pPr>
        <w:ind w:left="1360" w:hanging="281"/>
        <w:spacing w:after="0"/>
        <w:tabs>
          <w:tab w:leader="none" w:pos="13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7" w:lineRule="exact"/>
        <w:rPr>
          <w:rFonts w:ascii="Times New Roman" w:cs="Times New Roman" w:eastAsia="Times New Roman" w:hAnsi="Times New Roman"/>
          <w:sz w:val="18"/>
          <w:szCs w:val="18"/>
          <w:color w:val="auto"/>
        </w:rPr>
      </w:pPr>
    </w:p>
    <w:p>
      <w:pPr>
        <w:ind w:left="1380" w:hanging="301"/>
        <w:spacing w:after="0"/>
        <w:tabs>
          <w:tab w:leader="none" w:pos="13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800" w:hanging="707"/>
        <w:spacing w:after="0"/>
        <w:tabs>
          <w:tab w:leader="none" w:pos="8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00" w:lineRule="exact"/>
        <w:rPr>
          <w:sz w:val="20"/>
          <w:szCs w:val="20"/>
          <w:color w:val="auto"/>
        </w:rPr>
      </w:pPr>
    </w:p>
    <w:p>
      <w:pPr>
        <w:spacing w:after="0" w:line="250" w:lineRule="exact"/>
        <w:rPr>
          <w:sz w:val="20"/>
          <w:szCs w:val="20"/>
          <w:color w:val="auto"/>
        </w:rPr>
      </w:pPr>
    </w:p>
    <w:p>
      <w:pPr>
        <w:ind w:left="800" w:hanging="707"/>
        <w:spacing w:after="0"/>
        <w:tabs>
          <w:tab w:leader="none" w:pos="8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SOURCE OF FUNDS (See Instructions)</w:t>
      </w:r>
    </w:p>
    <w:p>
      <w:pPr>
        <w:spacing w:after="0" w:line="2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WC/OO</w:t>
      </w:r>
    </w:p>
    <w:p>
      <w:pPr>
        <w:spacing w:after="0" w:line="27" w:lineRule="exact"/>
        <w:rPr>
          <w:sz w:val="20"/>
          <w:szCs w:val="20"/>
          <w:color w:val="auto"/>
        </w:rPr>
      </w:pPr>
    </w:p>
    <w:p>
      <w:pPr>
        <w:ind w:left="800" w:hanging="707"/>
        <w:spacing w:after="0"/>
        <w:tabs>
          <w:tab w:leader="none" w:pos="8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2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800" w:hanging="707"/>
        <w:spacing w:after="0"/>
        <w:tabs>
          <w:tab w:leader="none" w:pos="8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2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USA</w:t>
      </w:r>
    </w:p>
    <w:p>
      <w:pPr>
        <w:spacing w:after="0" w:line="27" w:lineRule="exact"/>
        <w:rPr>
          <w:sz w:val="20"/>
          <w:szCs w:val="20"/>
          <w:color w:val="auto"/>
        </w:rPr>
      </w:pPr>
    </w:p>
    <w:tbl>
      <w:tblPr>
        <w:tblLayout w:type="fixed"/>
        <w:tblInd w:w="100" w:type="dxa"/>
        <w:tblCellMar>
          <w:top w:w="0" w:type="dxa"/>
          <w:left w:w="0" w:type="dxa"/>
          <w:bottom w:w="0" w:type="dxa"/>
          <w:right w:w="0" w:type="dxa"/>
        </w:tblCellMar>
      </w:tblPr>
      <w:tr>
        <w:trPr>
          <w:trHeight w:val="270"/>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4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7</w:t>
            </w:r>
          </w:p>
        </w:tc>
        <w:tc>
          <w:tcPr>
            <w:tcW w:w="9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91"/>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440" w:type="dxa"/>
            <w:vAlign w:val="bottom"/>
          </w:tcPr>
          <w:p>
            <w:pPr>
              <w:spacing w:after="0"/>
              <w:rPr>
                <w:sz w:val="24"/>
                <w:szCs w:val="24"/>
                <w:color w:val="auto"/>
              </w:rPr>
            </w:pPr>
          </w:p>
        </w:tc>
        <w:tc>
          <w:tcPr>
            <w:tcW w:w="93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1,667,034</w:t>
            </w:r>
          </w:p>
        </w:tc>
        <w:tc>
          <w:tcPr>
            <w:tcW w:w="0" w:type="dxa"/>
            <w:vAlign w:val="bottom"/>
          </w:tcPr>
          <w:p>
            <w:pPr>
              <w:spacing w:after="0"/>
              <w:rPr>
                <w:sz w:val="1"/>
                <w:szCs w:val="1"/>
                <w:color w:val="auto"/>
              </w:rPr>
            </w:pPr>
          </w:p>
        </w:tc>
      </w:tr>
      <w:tr>
        <w:trPr>
          <w:trHeight w:val="95"/>
        </w:trPr>
        <w:tc>
          <w:tcPr>
            <w:tcW w:w="1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93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34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8</w:t>
            </w:r>
          </w:p>
        </w:tc>
        <w:tc>
          <w:tcPr>
            <w:tcW w:w="9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473"/>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40" w:type="dxa"/>
            <w:vAlign w:val="bottom"/>
          </w:tcPr>
          <w:p>
            <w:pPr>
              <w:spacing w:after="0"/>
              <w:rPr>
                <w:sz w:val="24"/>
                <w:szCs w:val="24"/>
                <w:color w:val="auto"/>
              </w:rPr>
            </w:pPr>
          </w:p>
        </w:tc>
        <w:tc>
          <w:tcPr>
            <w:tcW w:w="9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134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4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9</w:t>
            </w:r>
          </w:p>
        </w:tc>
        <w:tc>
          <w:tcPr>
            <w:tcW w:w="9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432"/>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REPORTING</w:t>
            </w:r>
          </w:p>
        </w:tc>
        <w:tc>
          <w:tcPr>
            <w:tcW w:w="440" w:type="dxa"/>
            <w:vAlign w:val="bottom"/>
          </w:tcPr>
          <w:p>
            <w:pPr>
              <w:spacing w:after="0"/>
              <w:rPr>
                <w:sz w:val="24"/>
                <w:szCs w:val="24"/>
                <w:color w:val="auto"/>
              </w:rPr>
            </w:pPr>
          </w:p>
        </w:tc>
        <w:tc>
          <w:tcPr>
            <w:tcW w:w="9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1,667,034</w:t>
            </w:r>
          </w:p>
        </w:tc>
        <w:tc>
          <w:tcPr>
            <w:tcW w:w="0" w:type="dxa"/>
            <w:vAlign w:val="bottom"/>
          </w:tcPr>
          <w:p>
            <w:pPr>
              <w:spacing w:after="0"/>
              <w:rPr>
                <w:sz w:val="1"/>
                <w:szCs w:val="1"/>
                <w:color w:val="auto"/>
              </w:rPr>
            </w:pPr>
          </w:p>
        </w:tc>
      </w:tr>
      <w:tr>
        <w:trPr>
          <w:trHeight w:val="40"/>
        </w:trPr>
        <w:tc>
          <w:tcPr>
            <w:tcW w:w="134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4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10</w:t>
            </w:r>
          </w:p>
        </w:tc>
        <w:tc>
          <w:tcPr>
            <w:tcW w:w="9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08"/>
        </w:trPr>
        <w:tc>
          <w:tcPr>
            <w:tcW w:w="134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93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500"/>
        <w:spacing w:after="0"/>
        <w:tabs>
          <w:tab w:leader="none" w:pos="2040" w:val="left"/>
        </w:tabs>
        <w:rPr>
          <w:sz w:val="20"/>
          <w:szCs w:val="20"/>
          <w:color w:val="auto"/>
        </w:rPr>
      </w:pPr>
      <w:r>
        <w:rPr>
          <w:rFonts w:ascii="Times New Roman" w:cs="Times New Roman" w:eastAsia="Times New Roman" w:hAnsi="Times New Roman"/>
          <w:sz w:val="18"/>
          <w:szCs w:val="18"/>
          <w:color w:val="auto"/>
        </w:rPr>
        <w:t>WITH</w:t>
      </w:r>
      <w:r>
        <w:rPr>
          <w:sz w:val="20"/>
          <w:szCs w:val="20"/>
          <w:color w:val="auto"/>
        </w:rPr>
        <w:tab/>
      </w:r>
      <w:r>
        <w:rPr>
          <w:rFonts w:ascii="Times New Roman" w:cs="Times New Roman" w:eastAsia="Times New Roman" w:hAnsi="Times New Roman"/>
          <w:sz w:val="36"/>
          <w:szCs w:val="36"/>
          <w:color w:val="auto"/>
          <w:vertAlign w:val="superscript"/>
        </w:rPr>
        <w:t>0</w:t>
      </w:r>
    </w:p>
    <w:p>
      <w:pPr>
        <w:ind w:left="800" w:right="3880" w:hanging="707"/>
        <w:spacing w:after="0" w:line="374" w:lineRule="auto"/>
        <w:tabs>
          <w:tab w:leader="none" w:pos="8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 1,667,034</w:t>
      </w:r>
    </w:p>
    <w:p>
      <w:pPr>
        <w:spacing w:after="0" w:line="1" w:lineRule="exact"/>
        <w:rPr>
          <w:rFonts w:ascii="Times New Roman" w:cs="Times New Roman" w:eastAsia="Times New Roman" w:hAnsi="Times New Roman"/>
          <w:sz w:val="18"/>
          <w:szCs w:val="18"/>
          <w:b w:val="1"/>
          <w:bCs w:val="1"/>
          <w:color w:val="auto"/>
        </w:rPr>
      </w:pPr>
    </w:p>
    <w:p>
      <w:pPr>
        <w:ind w:left="800" w:hanging="707"/>
        <w:spacing w:after="0"/>
        <w:tabs>
          <w:tab w:leader="none" w:pos="8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BOX IF THE AGGREGATE AMOUNT IN ROW (11) EXCLUDES CERTAIN SHARES (See Instructions)</w:t>
      </w:r>
    </w:p>
    <w:p>
      <w:pPr>
        <w:spacing w:after="0" w:line="220"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800" w:right="5280" w:hanging="707"/>
        <w:spacing w:after="0" w:line="383" w:lineRule="auto"/>
        <w:tabs>
          <w:tab w:leader="none" w:pos="8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(11) 10.70%</w:t>
      </w:r>
    </w:p>
    <w:p>
      <w:pPr>
        <w:ind w:left="800" w:hanging="707"/>
        <w:spacing w:after="0"/>
        <w:tabs>
          <w:tab w:leader="none" w:pos="8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(See Instructions)</w:t>
      </w:r>
    </w:p>
    <w:p>
      <w:pPr>
        <w:spacing w:after="0" w:line="220" w:lineRule="exact"/>
        <w:rPr>
          <w:rFonts w:ascii="Times New Roman" w:cs="Times New Roman" w:eastAsia="Times New Roman" w:hAnsi="Times New Roman"/>
          <w:sz w:val="18"/>
          <w:szCs w:val="18"/>
          <w:b w:val="1"/>
          <w:bCs w:val="1"/>
          <w:color w:val="auto"/>
        </w:rPr>
      </w:pPr>
    </w:p>
    <w:p>
      <w:pPr>
        <w:ind w:left="8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247015</wp:posOffset>
            </wp:positionV>
            <wp:extent cx="7153275" cy="46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ind w:left="10660"/>
        <w:spacing w:after="0"/>
        <w:rPr>
          <w:sz w:val="20"/>
          <w:szCs w:val="20"/>
          <w:color w:val="auto"/>
        </w:rPr>
      </w:pPr>
      <w:r>
        <w:rPr>
          <w:rFonts w:ascii="Times New Roman" w:cs="Times New Roman" w:eastAsia="Times New Roman" w:hAnsi="Times New Roman"/>
          <w:sz w:val="21"/>
          <w:szCs w:val="21"/>
          <w:color w:val="auto"/>
        </w:rPr>
        <w:t>Page 2</w:t>
      </w:r>
    </w:p>
    <w:p>
      <w:pPr>
        <w:spacing w:after="0" w:line="218"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*Based on information set forth on the Form 10-Q of Build-A-Bear Workshop, Inc. (the "Company", "Registrant", or "BBW") as filed with the Securities and Exchange Commission on June 10, 2022, there were 15,586,751 shares of Common Stock with par value $0.01 (the "Shares"), of the Company issued and outstanding as of June 7, 2022.</w:t>
      </w:r>
    </w:p>
    <w:p>
      <w:pPr>
        <w:spacing w:after="0" w:line="17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As of August 25, 2022 (the "Reporting Date"), Tristan Partners, L.P. ("Tristan"), the Tristan Offshore Fund Ltd. ("Tristan Offshore"), Tonga Partners, L.P. ("Tonga") and sundry Separately Managed Accounts ("SMAs") and collectively with Tristan and Tristan Offshore and Tonga (the "Investment Vehicles"), held in the aggregate 1,667,034 Shares.</w:t>
      </w:r>
    </w:p>
    <w:p>
      <w:pPr>
        <w:spacing w:after="0" w:line="20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Cannell Capital LLC acts as the investment adviser to Tonga, Tristan, Tristan Offshore and the SMAs. Mr. J. Carlo Cannell is the sole managing member of Cannell Capital LLC. The Reporting Person possesses the sole power to vote and to direct the disposition of the Shares held by the Investment Vehicles.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1780" w:type="dxa"/>
            <w:vAlign w:val="bottom"/>
            <w:tcBorders>
              <w:top w:val="single" w:sz="8" w:color="auto"/>
              <w:lef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w:t>
            </w:r>
          </w:p>
        </w:tc>
        <w:tc>
          <w:tcPr>
            <w:tcW w:w="2720" w:type="dxa"/>
            <w:vAlign w:val="bottom"/>
            <w:tcBorders>
              <w:top w:val="single" w:sz="8" w:color="auto"/>
              <w:right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120076104</w:t>
            </w:r>
          </w:p>
        </w:tc>
      </w:tr>
      <w:tr>
        <w:trPr>
          <w:trHeight w:val="67"/>
        </w:trPr>
        <w:tc>
          <w:tcPr>
            <w:tcW w:w="1780" w:type="dxa"/>
            <w:vAlign w:val="bottom"/>
            <w:tcBorders>
              <w:left w:val="single" w:sz="8" w:color="auto"/>
              <w:bottom w:val="single" w:sz="8" w:color="auto"/>
            </w:tcBorders>
          </w:tcPr>
          <w:p>
            <w:pPr>
              <w:spacing w:after="0"/>
              <w:rPr>
                <w:sz w:val="5"/>
                <w:szCs w:val="5"/>
                <w:color w:val="auto"/>
              </w:rPr>
            </w:pPr>
          </w:p>
        </w:tc>
        <w:tc>
          <w:tcPr>
            <w:tcW w:w="2720" w:type="dxa"/>
            <w:vAlign w:val="bottom"/>
            <w:tcBorders>
              <w:bottom w:val="single" w:sz="8" w:color="auto"/>
              <w:right w:val="single" w:sz="8" w:color="auto"/>
            </w:tcBorders>
          </w:tcPr>
          <w:p>
            <w:pPr>
              <w:spacing w:after="0"/>
              <w:rPr>
                <w:sz w:val="5"/>
                <w:szCs w:val="5"/>
                <w:color w:val="auto"/>
              </w:rPr>
            </w:pPr>
          </w:p>
        </w:tc>
      </w:tr>
    </w:tbl>
    <w:p>
      <w:pPr>
        <w:spacing w:after="0" w:line="238" w:lineRule="exact"/>
        <w:rPr>
          <w:sz w:val="20"/>
          <w:szCs w:val="20"/>
          <w:color w:val="auto"/>
        </w:rPr>
      </w:pPr>
    </w:p>
    <w:p>
      <w:pPr>
        <w:ind w:left="800" w:hanging="707"/>
        <w:spacing w:after="0"/>
        <w:tabs>
          <w:tab w:leader="none" w:pos="8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b w:val="1"/>
          <w:bCs w:val="1"/>
          <w:color w:val="auto"/>
        </w:rPr>
      </w:pPr>
    </w:p>
    <w:p>
      <w:pPr>
        <w:ind w:left="800" w:right="4840"/>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I.R.S. IDENTIFICATION NOS. OF ABOVE PERSONS (ENTITIES ONLY) J. Carlo Cannell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65493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6549390"/>
                    </a:xfrm>
                    <a:prstGeom prst="rect">
                      <a:avLst/>
                    </a:prstGeom>
                    <a:noFill/>
                  </pic:spPr>
                </pic:pic>
              </a:graphicData>
            </a:graphic>
          </wp:anchor>
        </w:drawing>
      </w:r>
    </w:p>
    <w:p>
      <w:pPr>
        <w:spacing w:after="0" w:line="175" w:lineRule="exact"/>
        <w:rPr>
          <w:sz w:val="20"/>
          <w:szCs w:val="20"/>
          <w:color w:val="auto"/>
        </w:rPr>
      </w:pPr>
    </w:p>
    <w:p>
      <w:pPr>
        <w:ind w:left="800" w:hanging="707"/>
        <w:spacing w:after="0"/>
        <w:tabs>
          <w:tab w:leader="none" w:pos="8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w:t>
      </w:r>
    </w:p>
    <w:p>
      <w:pPr>
        <w:spacing w:after="0" w:line="225" w:lineRule="exact"/>
        <w:rPr>
          <w:rFonts w:ascii="Times New Roman" w:cs="Times New Roman" w:eastAsia="Times New Roman" w:hAnsi="Times New Roman"/>
          <w:sz w:val="18"/>
          <w:szCs w:val="18"/>
          <w:b w:val="1"/>
          <w:bCs w:val="1"/>
          <w:color w:val="auto"/>
        </w:rPr>
      </w:pPr>
    </w:p>
    <w:p>
      <w:pPr>
        <w:ind w:left="1360" w:hanging="281"/>
        <w:spacing w:after="0"/>
        <w:tabs>
          <w:tab w:leader="none" w:pos="13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7" w:lineRule="exact"/>
        <w:rPr>
          <w:rFonts w:ascii="Times New Roman" w:cs="Times New Roman" w:eastAsia="Times New Roman" w:hAnsi="Times New Roman"/>
          <w:sz w:val="18"/>
          <w:szCs w:val="18"/>
          <w:color w:val="auto"/>
        </w:rPr>
      </w:pPr>
    </w:p>
    <w:p>
      <w:pPr>
        <w:ind w:left="1380" w:hanging="301"/>
        <w:spacing w:after="0"/>
        <w:tabs>
          <w:tab w:leader="none" w:pos="13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800" w:hanging="707"/>
        <w:spacing w:after="0"/>
        <w:tabs>
          <w:tab w:leader="none" w:pos="80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00" w:lineRule="exact"/>
        <w:rPr>
          <w:sz w:val="20"/>
          <w:szCs w:val="20"/>
          <w:color w:val="auto"/>
        </w:rPr>
      </w:pPr>
    </w:p>
    <w:p>
      <w:pPr>
        <w:spacing w:after="0" w:line="250" w:lineRule="exact"/>
        <w:rPr>
          <w:sz w:val="20"/>
          <w:szCs w:val="20"/>
          <w:color w:val="auto"/>
        </w:rPr>
      </w:pPr>
    </w:p>
    <w:p>
      <w:pPr>
        <w:ind w:left="800" w:hanging="707"/>
        <w:spacing w:after="0"/>
        <w:tabs>
          <w:tab w:leader="none" w:pos="8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SOURCE OF FUNDS (See Instructions)</w:t>
      </w:r>
    </w:p>
    <w:p>
      <w:pPr>
        <w:spacing w:after="0" w:line="2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WC/OO</w:t>
      </w:r>
    </w:p>
    <w:p>
      <w:pPr>
        <w:spacing w:after="0" w:line="27" w:lineRule="exact"/>
        <w:rPr>
          <w:sz w:val="20"/>
          <w:szCs w:val="20"/>
          <w:color w:val="auto"/>
        </w:rPr>
      </w:pPr>
    </w:p>
    <w:p>
      <w:pPr>
        <w:ind w:left="800" w:hanging="707"/>
        <w:spacing w:after="0"/>
        <w:tabs>
          <w:tab w:leader="none" w:pos="80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2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800" w:hanging="707"/>
        <w:spacing w:after="0"/>
        <w:tabs>
          <w:tab w:leader="none" w:pos="80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2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USA</w:t>
      </w:r>
    </w:p>
    <w:p>
      <w:pPr>
        <w:spacing w:after="0" w:line="27" w:lineRule="exact"/>
        <w:rPr>
          <w:sz w:val="20"/>
          <w:szCs w:val="20"/>
          <w:color w:val="auto"/>
        </w:rPr>
      </w:pPr>
    </w:p>
    <w:tbl>
      <w:tblPr>
        <w:tblLayout w:type="fixed"/>
        <w:tblInd w:w="100" w:type="dxa"/>
        <w:tblCellMar>
          <w:top w:w="0" w:type="dxa"/>
          <w:left w:w="0" w:type="dxa"/>
          <w:bottom w:w="0" w:type="dxa"/>
          <w:right w:w="0" w:type="dxa"/>
        </w:tblCellMar>
      </w:tblPr>
      <w:tr>
        <w:trPr>
          <w:trHeight w:val="270"/>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4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7</w:t>
            </w:r>
          </w:p>
        </w:tc>
        <w:tc>
          <w:tcPr>
            <w:tcW w:w="9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92"/>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440" w:type="dxa"/>
            <w:vAlign w:val="bottom"/>
          </w:tcPr>
          <w:p>
            <w:pPr>
              <w:spacing w:after="0"/>
              <w:rPr>
                <w:sz w:val="24"/>
                <w:szCs w:val="24"/>
                <w:color w:val="auto"/>
              </w:rPr>
            </w:pPr>
          </w:p>
        </w:tc>
        <w:tc>
          <w:tcPr>
            <w:tcW w:w="93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1,667,034</w:t>
            </w:r>
          </w:p>
        </w:tc>
        <w:tc>
          <w:tcPr>
            <w:tcW w:w="0" w:type="dxa"/>
            <w:vAlign w:val="bottom"/>
          </w:tcPr>
          <w:p>
            <w:pPr>
              <w:spacing w:after="0"/>
              <w:rPr>
                <w:sz w:val="1"/>
                <w:szCs w:val="1"/>
                <w:color w:val="auto"/>
              </w:rPr>
            </w:pPr>
          </w:p>
        </w:tc>
      </w:tr>
      <w:tr>
        <w:trPr>
          <w:trHeight w:val="95"/>
        </w:trPr>
        <w:tc>
          <w:tcPr>
            <w:tcW w:w="1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93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34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8</w:t>
            </w:r>
          </w:p>
        </w:tc>
        <w:tc>
          <w:tcPr>
            <w:tcW w:w="9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473"/>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40" w:type="dxa"/>
            <w:vAlign w:val="bottom"/>
          </w:tcPr>
          <w:p>
            <w:pPr>
              <w:spacing w:after="0"/>
              <w:rPr>
                <w:sz w:val="24"/>
                <w:szCs w:val="24"/>
                <w:color w:val="auto"/>
              </w:rPr>
            </w:pPr>
          </w:p>
        </w:tc>
        <w:tc>
          <w:tcPr>
            <w:tcW w:w="9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134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4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9</w:t>
            </w:r>
          </w:p>
        </w:tc>
        <w:tc>
          <w:tcPr>
            <w:tcW w:w="9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432"/>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REPORTING</w:t>
            </w:r>
          </w:p>
        </w:tc>
        <w:tc>
          <w:tcPr>
            <w:tcW w:w="440" w:type="dxa"/>
            <w:vAlign w:val="bottom"/>
          </w:tcPr>
          <w:p>
            <w:pPr>
              <w:spacing w:after="0"/>
              <w:rPr>
                <w:sz w:val="24"/>
                <w:szCs w:val="24"/>
                <w:color w:val="auto"/>
              </w:rPr>
            </w:pPr>
          </w:p>
        </w:tc>
        <w:tc>
          <w:tcPr>
            <w:tcW w:w="9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1,667,034</w:t>
            </w:r>
          </w:p>
        </w:tc>
        <w:tc>
          <w:tcPr>
            <w:tcW w:w="0" w:type="dxa"/>
            <w:vAlign w:val="bottom"/>
          </w:tcPr>
          <w:p>
            <w:pPr>
              <w:spacing w:after="0"/>
              <w:rPr>
                <w:sz w:val="1"/>
                <w:szCs w:val="1"/>
                <w:color w:val="auto"/>
              </w:rPr>
            </w:pPr>
          </w:p>
        </w:tc>
      </w:tr>
      <w:tr>
        <w:trPr>
          <w:trHeight w:val="40"/>
        </w:trPr>
        <w:tc>
          <w:tcPr>
            <w:tcW w:w="134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4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10</w:t>
            </w:r>
          </w:p>
        </w:tc>
        <w:tc>
          <w:tcPr>
            <w:tcW w:w="9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08"/>
        </w:trPr>
        <w:tc>
          <w:tcPr>
            <w:tcW w:w="134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93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500"/>
        <w:spacing w:after="0"/>
        <w:tabs>
          <w:tab w:leader="none" w:pos="2040" w:val="left"/>
        </w:tabs>
        <w:rPr>
          <w:sz w:val="20"/>
          <w:szCs w:val="20"/>
          <w:color w:val="auto"/>
        </w:rPr>
      </w:pPr>
      <w:r>
        <w:rPr>
          <w:rFonts w:ascii="Times New Roman" w:cs="Times New Roman" w:eastAsia="Times New Roman" w:hAnsi="Times New Roman"/>
          <w:sz w:val="18"/>
          <w:szCs w:val="18"/>
          <w:color w:val="auto"/>
        </w:rPr>
        <w:t>WITH</w:t>
      </w:r>
      <w:r>
        <w:rPr>
          <w:sz w:val="20"/>
          <w:szCs w:val="20"/>
          <w:color w:val="auto"/>
        </w:rPr>
        <w:tab/>
      </w:r>
      <w:r>
        <w:rPr>
          <w:rFonts w:ascii="Times New Roman" w:cs="Times New Roman" w:eastAsia="Times New Roman" w:hAnsi="Times New Roman"/>
          <w:sz w:val="36"/>
          <w:szCs w:val="36"/>
          <w:color w:val="auto"/>
          <w:vertAlign w:val="superscript"/>
        </w:rPr>
        <w:t>0</w:t>
      </w:r>
    </w:p>
    <w:p>
      <w:pPr>
        <w:ind w:left="800" w:right="3880" w:hanging="707"/>
        <w:spacing w:after="0" w:line="374" w:lineRule="auto"/>
        <w:tabs>
          <w:tab w:leader="none" w:pos="80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 1,667,034</w:t>
      </w:r>
    </w:p>
    <w:p>
      <w:pPr>
        <w:spacing w:after="0" w:line="1" w:lineRule="exact"/>
        <w:rPr>
          <w:rFonts w:ascii="Times New Roman" w:cs="Times New Roman" w:eastAsia="Times New Roman" w:hAnsi="Times New Roman"/>
          <w:sz w:val="18"/>
          <w:szCs w:val="18"/>
          <w:b w:val="1"/>
          <w:bCs w:val="1"/>
          <w:color w:val="auto"/>
        </w:rPr>
      </w:pPr>
    </w:p>
    <w:p>
      <w:pPr>
        <w:ind w:left="800" w:hanging="707"/>
        <w:spacing w:after="0"/>
        <w:tabs>
          <w:tab w:leader="none" w:pos="80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BOX IF THE AGGREGATE AMOUNT IN ROW (11) EXCLUDES CERTAIN SHARES (See Instructions)</w:t>
      </w:r>
    </w:p>
    <w:p>
      <w:pPr>
        <w:spacing w:after="0" w:line="220"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800" w:right="5280" w:hanging="707"/>
        <w:spacing w:after="0" w:line="383" w:lineRule="auto"/>
        <w:tabs>
          <w:tab w:leader="none" w:pos="80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(11) 10.70%</w:t>
      </w:r>
    </w:p>
    <w:p>
      <w:pPr>
        <w:ind w:left="800" w:hanging="707"/>
        <w:spacing w:after="0"/>
        <w:tabs>
          <w:tab w:leader="none" w:pos="80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(See Instructions)</w:t>
      </w:r>
    </w:p>
    <w:p>
      <w:pPr>
        <w:spacing w:after="0" w:line="220" w:lineRule="exact"/>
        <w:rPr>
          <w:rFonts w:ascii="Times New Roman" w:cs="Times New Roman" w:eastAsia="Times New Roman" w:hAnsi="Times New Roman"/>
          <w:sz w:val="18"/>
          <w:szCs w:val="18"/>
          <w:b w:val="1"/>
          <w:bCs w:val="1"/>
          <w:color w:val="auto"/>
        </w:rPr>
      </w:pPr>
    </w:p>
    <w:p>
      <w:pPr>
        <w:ind w:left="8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247015</wp:posOffset>
            </wp:positionV>
            <wp:extent cx="7153275" cy="46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*Based on information set forth on the Form 10-Q of Build-A-Bear Workshop, Inc. (the "Company", "Registrant", or "BBW") as filed with the Securities and Exchange Commission on June 10, 2022, there were 15,586,751 shares of Common Stock with par value $0.01 (the "Shares"), of the Company issued and outstanding as of June 7, 2022.</w:t>
      </w:r>
    </w:p>
    <w:p>
      <w:pPr>
        <w:spacing w:after="0" w:line="17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As of August 25, 2022 (the "Reporting Date"), Tristan Partners, L.P. ("Tristan"), the Tristan Offshore Fund Ltd. ("Tristan Offshore"), Tonga Partners, L.P. ("Tonga") and sundry Separately Managed Accounts ("SMAs") and collectively with Tristan and Tristan Offshore and Tonga (the "Investment Vehicles"), held in the aggregate 1,667,034 Shares.</w:t>
      </w:r>
    </w:p>
    <w:p>
      <w:pPr>
        <w:spacing w:after="0" w:line="20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Cannell Capital LLC acts as the investment adviser to Tonga, Tristan, Tristan Offshore and the SMAs. Mr. J. Carlo Cannell is the sole managing member of Cannell Capital LLC. The Reporting Person possesses the sole power to vote and to direct the disposition of the Shares held by the Investment Vehicles.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153275" cy="46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color w:val="auto"/>
        </w:rPr>
        <w:t>Page 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  Security and Issuer</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title of the class of equity securities to which this Schedule 13D relates is the Common Stock par value $0.01 per share of Build-A-Bear Workshop, Inc., a Delaware corporation.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address of the principal executive offices of the Company is 415 South 18th Street, Saint Louis, MO 63103.</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  Identity and Background</w:t>
      </w:r>
    </w:p>
    <w:p>
      <w:pPr>
        <w:spacing w:after="0" w:line="210" w:lineRule="exact"/>
        <w:rPr>
          <w:sz w:val="20"/>
          <w:szCs w:val="20"/>
          <w:color w:val="auto"/>
        </w:rPr>
      </w:pPr>
    </w:p>
    <w:p>
      <w:pPr>
        <w:ind w:left="340"/>
        <w:spacing w:after="0"/>
        <w:tabs>
          <w:tab w:leader="none" w:pos="66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The name of the Reporting Person is J. Carlo Cannell (the "Reporting Person").</w:t>
      </w:r>
    </w:p>
    <w:p>
      <w:pPr>
        <w:spacing w:after="0" w:line="206" w:lineRule="exact"/>
        <w:rPr>
          <w:sz w:val="20"/>
          <w:szCs w:val="20"/>
          <w:color w:val="auto"/>
        </w:rPr>
      </w:pPr>
    </w:p>
    <w:p>
      <w:pPr>
        <w:jc w:val="both"/>
        <w:ind w:left="660" w:right="20"/>
        <w:spacing w:after="0" w:line="258" w:lineRule="auto"/>
        <w:rPr>
          <w:sz w:val="20"/>
          <w:szCs w:val="20"/>
          <w:color w:val="auto"/>
        </w:rPr>
      </w:pPr>
      <w:r>
        <w:rPr>
          <w:rFonts w:ascii="Times New Roman" w:cs="Times New Roman" w:eastAsia="Times New Roman" w:hAnsi="Times New Roman"/>
          <w:sz w:val="22"/>
          <w:szCs w:val="22"/>
          <w:color w:val="auto"/>
        </w:rPr>
        <w:t>The Reporting Person is the sole managing member of Cannell Capital LLC, an investment adviser to the following entities: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Tristan Partners, L.P.</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Tristan Offshore Fund, Ltd.</w:t>
      </w:r>
    </w:p>
    <w:p>
      <w:pPr>
        <w:ind w:left="660"/>
        <w:spacing w:after="0" w:line="230" w:lineRule="auto"/>
        <w:rPr>
          <w:sz w:val="20"/>
          <w:szCs w:val="20"/>
          <w:color w:val="auto"/>
        </w:rPr>
      </w:pPr>
      <w:r>
        <w:rPr>
          <w:rFonts w:ascii="Times New Roman" w:cs="Times New Roman" w:eastAsia="Times New Roman" w:hAnsi="Times New Roman"/>
          <w:sz w:val="22"/>
          <w:szCs w:val="22"/>
          <w:color w:val="auto"/>
        </w:rPr>
        <w:t>Tonga Partners, L.P.</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Separately Managed Accounts</w:t>
      </w:r>
    </w:p>
    <w:p>
      <w:pPr>
        <w:spacing w:after="0" w:line="182" w:lineRule="exact"/>
        <w:rPr>
          <w:sz w:val="20"/>
          <w:szCs w:val="20"/>
          <w:color w:val="auto"/>
        </w:rPr>
      </w:pPr>
    </w:p>
    <w:p>
      <w:pPr>
        <w:jc w:val="both"/>
        <w:ind w:left="660"/>
        <w:spacing w:after="0" w:line="239" w:lineRule="auto"/>
        <w:rPr>
          <w:sz w:val="20"/>
          <w:szCs w:val="20"/>
          <w:color w:val="auto"/>
        </w:rPr>
      </w:pPr>
      <w:r>
        <w:rPr>
          <w:rFonts w:ascii="Times New Roman" w:cs="Times New Roman" w:eastAsia="Times New Roman" w:hAnsi="Times New Roman"/>
          <w:sz w:val="22"/>
          <w:szCs w:val="22"/>
          <w:color w:val="auto"/>
        </w:rPr>
        <w:t>Set forth in the attached Annex "A" and incorporated herein by reference is a listing of the directors, general partners, managing members and controlling persons of the Reporting Person and the Investment Vehicles (collectively, the "Covered Persons"), and sets forth the principal occupation, citizenship and principal place of business of each Covered Person.</w:t>
      </w:r>
    </w:p>
    <w:p>
      <w:pPr>
        <w:spacing w:after="0" w:line="180"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business address of the Reporting Person is:</w:t>
      </w:r>
    </w:p>
    <w:p>
      <w:pPr>
        <w:spacing w:after="0" w:line="206" w:lineRule="exact"/>
        <w:rPr>
          <w:rFonts w:ascii="Times New Roman" w:cs="Times New Roman" w:eastAsia="Times New Roman" w:hAnsi="Times New Roman"/>
          <w:sz w:val="22"/>
          <w:szCs w:val="22"/>
          <w:color w:val="auto"/>
        </w:rPr>
      </w:pPr>
    </w:p>
    <w:p>
      <w:pPr>
        <w:ind w:left="660" w:right="8620"/>
        <w:spacing w:after="0" w:line="28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245 Meriwether Circle Alta, WY 83414</w:t>
      </w:r>
    </w:p>
    <w:p>
      <w:pPr>
        <w:spacing w:after="0" w:line="134" w:lineRule="exact"/>
        <w:rPr>
          <w:rFonts w:ascii="Times New Roman" w:cs="Times New Roman" w:eastAsia="Times New Roman" w:hAnsi="Times New Roman"/>
          <w:sz w:val="22"/>
          <w:szCs w:val="22"/>
          <w:color w:val="auto"/>
        </w:rPr>
      </w:pPr>
    </w:p>
    <w:p>
      <w:pPr>
        <w:ind w:left="660" w:hanging="328"/>
        <w:spacing w:after="0" w:line="258" w:lineRule="auto"/>
        <w:tabs>
          <w:tab w:leader="none" w:pos="6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business of the Reporting Person is the performance of investment management and advisory services. The principal business of the Investment Vehicles is investment in securities.</w:t>
      </w:r>
    </w:p>
    <w:p>
      <w:pPr>
        <w:spacing w:after="0" w:line="158" w:lineRule="exact"/>
        <w:rPr>
          <w:rFonts w:ascii="Times New Roman" w:cs="Times New Roman" w:eastAsia="Times New Roman" w:hAnsi="Times New Roman"/>
          <w:sz w:val="22"/>
          <w:szCs w:val="22"/>
          <w:color w:val="auto"/>
        </w:rPr>
      </w:pPr>
    </w:p>
    <w:p>
      <w:pPr>
        <w:ind w:left="660" w:right="20" w:hanging="328"/>
        <w:spacing w:after="0" w:line="258" w:lineRule="auto"/>
        <w:tabs>
          <w:tab w:leader="none" w:pos="6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Reporting Person, nor to the best of its knowledge, any of the Investment Vehicles, has, in the last five years, been convicted in a criminal proceeding (excluding traffic violations or similar misdemeanors).</w:t>
      </w:r>
    </w:p>
    <w:p>
      <w:pPr>
        <w:spacing w:after="0" w:line="158" w:lineRule="exact"/>
        <w:rPr>
          <w:rFonts w:ascii="Times New Roman" w:cs="Times New Roman" w:eastAsia="Times New Roman" w:hAnsi="Times New Roman"/>
          <w:sz w:val="22"/>
          <w:szCs w:val="22"/>
          <w:color w:val="auto"/>
        </w:rPr>
      </w:pPr>
    </w:p>
    <w:p>
      <w:pPr>
        <w:jc w:val="both"/>
        <w:ind w:left="660" w:hanging="328"/>
        <w:spacing w:after="0" w:line="239" w:lineRule="auto"/>
        <w:tabs>
          <w:tab w:leader="none" w:pos="6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Reporting Person, nor to the best of its knowledge, any of the Investment Vehicles, has, during the last five years, been a party to a civil proceeding of a judicial or administrative body of competent jurisdiction and as a result of such proceeding was or is subject to a judgement, decree or final order enjoining future violations of, or prohibiting or mandating activities subject to, federal or state securities laws or finding any violations with respect to such laws.</w:t>
      </w:r>
    </w:p>
    <w:p>
      <w:pPr>
        <w:spacing w:after="0" w:line="180"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place of organization of the Reporting Person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color w:val="auto"/>
        </w:rPr>
        <w:t>Page 5</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citizenship of each Covered Person is set forth on the attached Annex A and incorporated herein by reference.</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Mr. J. Carlo Cannell is the Managing Member of Cannell Capital LLC, a Wyoming limited liability company.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3.  Source and Amount of Funds or Other Considerations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securities to which this statement relates were acquired by the Reporting Person using the working capital of each</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Investment Vehicle as follows:</w:t>
      </w:r>
    </w:p>
    <w:p>
      <w:pPr>
        <w:spacing w:after="0" w:line="230" w:lineRule="auto"/>
        <w:rPr>
          <w:sz w:val="20"/>
          <w:szCs w:val="20"/>
          <w:color w:val="auto"/>
        </w:rPr>
      </w:pPr>
      <w:r>
        <w:rPr>
          <w:rFonts w:ascii="Times New Roman" w:cs="Times New Roman" w:eastAsia="Times New Roman" w:hAnsi="Times New Roman"/>
          <w:sz w:val="22"/>
          <w:szCs w:val="22"/>
          <w:color w:val="auto"/>
        </w:rPr>
        <w:t>Tristan Partners, L.P.: $4,901,989</w:t>
      </w:r>
    </w:p>
    <w:p>
      <w:pPr>
        <w:spacing w:after="0" w:line="231" w:lineRule="auto"/>
        <w:rPr>
          <w:sz w:val="20"/>
          <w:szCs w:val="20"/>
          <w:color w:val="auto"/>
        </w:rPr>
      </w:pPr>
      <w:r>
        <w:rPr>
          <w:rFonts w:ascii="Times New Roman" w:cs="Times New Roman" w:eastAsia="Times New Roman" w:hAnsi="Times New Roman"/>
          <w:sz w:val="22"/>
          <w:szCs w:val="22"/>
          <w:color w:val="auto"/>
        </w:rPr>
        <w:t>Tristan Offshore Fund, Ltd.: $2,157,114</w:t>
      </w:r>
    </w:p>
    <w:p>
      <w:pPr>
        <w:spacing w:after="0" w:line="230" w:lineRule="auto"/>
        <w:rPr>
          <w:sz w:val="20"/>
          <w:szCs w:val="20"/>
          <w:color w:val="auto"/>
        </w:rPr>
      </w:pPr>
      <w:r>
        <w:rPr>
          <w:rFonts w:ascii="Times New Roman" w:cs="Times New Roman" w:eastAsia="Times New Roman" w:hAnsi="Times New Roman"/>
          <w:sz w:val="22"/>
          <w:szCs w:val="22"/>
          <w:color w:val="auto"/>
        </w:rPr>
        <w:t>Tonga Partners, L.P.: $1,997,475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Separately Managed Accounts: $2,616,518</w:t>
      </w:r>
    </w:p>
    <w:p>
      <w:pPr>
        <w:spacing w:after="0" w:line="182" w:lineRule="exact"/>
        <w:rPr>
          <w:sz w:val="20"/>
          <w:szCs w:val="20"/>
          <w:color w:val="auto"/>
        </w:rPr>
      </w:pPr>
    </w:p>
    <w:p>
      <w:pPr>
        <w:ind w:right="2120"/>
        <w:spacing w:after="0" w:line="435" w:lineRule="auto"/>
        <w:rPr>
          <w:sz w:val="20"/>
          <w:szCs w:val="20"/>
          <w:color w:val="auto"/>
        </w:rPr>
      </w:pPr>
      <w:r>
        <w:rPr>
          <w:rFonts w:ascii="Times New Roman" w:cs="Times New Roman" w:eastAsia="Times New Roman" w:hAnsi="Times New Roman"/>
          <w:sz w:val="22"/>
          <w:szCs w:val="22"/>
          <w:color w:val="auto"/>
        </w:rPr>
        <w:t xml:space="preserve">The Investment Vehicles have invested an aggregate amount of approximately $11,673,096 in the Shares. </w:t>
      </w:r>
      <w:r>
        <w:rPr>
          <w:rFonts w:ascii="Times New Roman" w:cs="Times New Roman" w:eastAsia="Times New Roman" w:hAnsi="Times New Roman"/>
          <w:sz w:val="22"/>
          <w:szCs w:val="22"/>
          <w:b w:val="1"/>
          <w:bCs w:val="1"/>
          <w:color w:val="auto"/>
        </w:rPr>
        <w:t>Item 4. Purpose of Transaction</w:t>
      </w:r>
    </w:p>
    <w:p>
      <w:pPr>
        <w:spacing w:after="0" w:line="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Cannell Capital LLC, on behalf of the Investment Vehicles, identified the Company as an entity satisfying each of the Investment Vehicle's investment criteria. The Investment Vehicles acquired these shares in the ordinary course of business and not with the intent to change or influence control of the Company. The Investment Vehicles continue to hold the Shares as a long-term investment.</w:t>
      </w:r>
    </w:p>
    <w:p>
      <w:pPr>
        <w:spacing w:after="0" w:line="18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Mr. Cannell makes this filing to disclose a letter to the Board of Directors of the Company attached as Exhibit 99. Depending on various factors including, without limitation, the Company's financial position and investment strategy, the price levels of the Shares, conditions in the securities markets and general economic and industry conditions, Mr. Cannell may in the future take such actions with respect to their investment in the Company as they deem appropriate including, without limitation, engaging in communications with management and the Board of Directors of the Company, engaging in discussions with stockholders of the Company or other third parties about the Company and Mr. Cannell's investment, including potential business combinations or dispositions involving the Company or certain of its businesses, making recommendations or proposals to the Company concerning changes to the capitalization, ownership structure, board structure (including board composition), potential business combinations or dispositions involving the Company or certain of its businesses, or suggestions for improving the Company's financial and/or operational performance, purchasing additional Shares, selling some or all of their Shares, engaging in short selling of or any hedging or similar transaction with respect to the Shares, including swaps and other derivative instruments, or changing their intention with respect to any and all matters referred to in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153275" cy="469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2"/>
          <w:szCs w:val="22"/>
          <w:color w:val="auto"/>
        </w:rPr>
        <w:t>Page 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5.  Interest in Securities of the Issuer</w:t>
      </w:r>
    </w:p>
    <w:p>
      <w:pPr>
        <w:spacing w:after="0" w:line="210"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Based on information set forth on the Form 10-Q of Build-A-Bear Workshop, Inc. (the "Company", "Registrant", or "BBW") as filed with the Securities and Exchange Commission on June 9, 2022, there were 15,586,751 shares of Common Stock with par value $0.01 (the "Shares"), of the Company issued and outstanding as of June 7, 2022.</w:t>
      </w:r>
    </w:p>
    <w:p>
      <w:pPr>
        <w:spacing w:after="0" w:line="173" w:lineRule="exact"/>
        <w:rPr>
          <w:sz w:val="20"/>
          <w:szCs w:val="20"/>
          <w:color w:val="auto"/>
        </w:rPr>
      </w:pPr>
    </w:p>
    <w:p>
      <w:pPr>
        <w:ind w:firstLine="8"/>
        <w:spacing w:after="0" w:line="258" w:lineRule="auto"/>
        <w:tabs>
          <w:tab w:leader="none" w:pos="351"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August 25, 2022, for the purposes of Reg. Section 240.13d-3, Cannell Capital LLC may be deemed to beneficially own 1,667,034 Shares, or approximately 10.70% of the Shares deemed issued and outstanding as of the Reporting Date.</w:t>
      </w:r>
    </w:p>
    <w:p>
      <w:pPr>
        <w:spacing w:after="0" w:line="158" w:lineRule="exact"/>
        <w:rPr>
          <w:rFonts w:ascii="Times New Roman" w:cs="Times New Roman" w:eastAsia="Times New Roman" w:hAnsi="Times New Roman"/>
          <w:sz w:val="22"/>
          <w:szCs w:val="22"/>
          <w:color w:val="auto"/>
        </w:rPr>
      </w:pPr>
    </w:p>
    <w:p>
      <w:pPr>
        <w:ind w:firstLine="8"/>
        <w:spacing w:after="0" w:line="258" w:lineRule="auto"/>
        <w:tabs>
          <w:tab w:leader="none" w:pos="41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Cannell Capital LLC possesses the sole power to vote and to direct the disposition of the Shares held by the Investment Vehicles.</w:t>
      </w:r>
    </w:p>
    <w:p>
      <w:pPr>
        <w:spacing w:after="0" w:line="158" w:lineRule="exact"/>
        <w:rPr>
          <w:rFonts w:ascii="Times New Roman" w:cs="Times New Roman" w:eastAsia="Times New Roman" w:hAnsi="Times New Roman"/>
          <w:sz w:val="22"/>
          <w:szCs w:val="22"/>
          <w:color w:val="auto"/>
        </w:rPr>
      </w:pPr>
    </w:p>
    <w:p>
      <w:pPr>
        <w:jc w:val="both"/>
        <w:ind w:firstLine="8"/>
        <w:spacing w:after="0" w:line="239" w:lineRule="auto"/>
        <w:tabs>
          <w:tab w:leader="none" w:pos="383"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table details the transactions during the sixty days on or prior to the Reporting Date in Shares, or securities convertible into, exercisable for or exchangeable for Shares, by Cannell Capital LLC or any other person or entity controlled by him or any person or entity for which he possesses voting or investment control over the securities thereof (each of which was effected in an ordinary brokerage transaction by Cannell Capital LLC on behalf of the Investment Vehicles).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6.  Contracts, Arrangements, Understandings or Relationships with Respect to Securities of the Issuer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7.  Material to Be Filed as Exhibits</w:t>
      </w:r>
    </w:p>
    <w:p>
      <w:pPr>
        <w:spacing w:after="0" w:line="21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Exhibit 99</w:t>
      </w:r>
      <w:r>
        <w:rPr>
          <w:sz w:val="20"/>
          <w:szCs w:val="20"/>
          <w:color w:val="auto"/>
        </w:rPr>
        <w:tab/>
      </w:r>
      <w:r>
        <w:rPr>
          <w:rFonts w:ascii="Times New Roman" w:cs="Times New Roman" w:eastAsia="Times New Roman" w:hAnsi="Times New Roman"/>
          <w:sz w:val="17"/>
          <w:szCs w:val="17"/>
          <w:u w:val="single" w:color="auto"/>
          <w:color w:val="0000EE"/>
        </w:rPr>
        <w:t>August 25 letter from Mr. J. Carlo Cannell of Cannell Capital LLC to the Board of Directors of Build-A-Bear Workshop,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25, 2022</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66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 Carlo Cannell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 Carlo Cannell,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234950</wp:posOffset>
            </wp:positionV>
            <wp:extent cx="7153275" cy="469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 w:name="page8"/>
    <w:bookmarkEnd w:id="7"/>
    <w:p>
      <w:pPr>
        <w:ind w:left="10660"/>
        <w:spacing w:after="0"/>
        <w:rPr>
          <w:sz w:val="20"/>
          <w:szCs w:val="20"/>
          <w:color w:val="auto"/>
        </w:rPr>
      </w:pPr>
      <w:r>
        <w:rPr>
          <w:rFonts w:ascii="Times New Roman" w:cs="Times New Roman" w:eastAsia="Times New Roman" w:hAnsi="Times New Roman"/>
          <w:sz w:val="21"/>
          <w:szCs w:val="21"/>
          <w:color w:val="auto"/>
        </w:rPr>
        <w:t>Page 7</w:t>
      </w:r>
    </w:p>
    <w:p>
      <w:pPr>
        <w:spacing w:after="0" w:line="21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this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148590</wp:posOffset>
            </wp:positionV>
            <wp:extent cx="7153275" cy="469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3275" cy="27940"/>
                    </a:xfrm>
                    <a:prstGeom prst="rect">
                      <a:avLst/>
                    </a:prstGeom>
                    <a:noFill/>
                  </pic:spPr>
                </pic:pic>
              </a:graphicData>
            </a:graphic>
          </wp:anchor>
        </w:drawing>
        <w:drawing>
          <wp:anchor simplePos="0" relativeHeight="251657728" behindDoc="1" locked="0" layoutInCell="0" allowOverlap="1">
            <wp:simplePos x="0" y="0"/>
            <wp:positionH relativeFrom="page">
              <wp:posOffset>2496820</wp:posOffset>
            </wp:positionH>
            <wp:positionV relativeFrom="page">
              <wp:posOffset>474345</wp:posOffset>
            </wp:positionV>
            <wp:extent cx="2554605" cy="8661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2554605" cy="866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August 25, 2022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Board of Directors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Build-A-Bear Workshop, Inc.</w:t>
      </w:r>
    </w:p>
    <w:p>
      <w:pPr>
        <w:spacing w:after="0" w:line="230" w:lineRule="auto"/>
        <w:rPr>
          <w:sz w:val="20"/>
          <w:szCs w:val="20"/>
          <w:color w:val="auto"/>
        </w:rPr>
      </w:pPr>
      <w:r>
        <w:rPr>
          <w:rFonts w:ascii="Times New Roman" w:cs="Times New Roman" w:eastAsia="Times New Roman" w:hAnsi="Times New Roman"/>
          <w:sz w:val="22"/>
          <w:szCs w:val="22"/>
          <w:color w:val="auto"/>
        </w:rPr>
        <w:t>415 South 18th Street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Saint Louis, MO 63103</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Directors:</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Cannell Capital LLC ("CC"), the largest shareholder of Build-A-Bear Workshop, Inc. ("BBW" or the "Company") as of June 30, 2022, believes that BBW enjoys an ahistorical opportunity to add value for owners through a tender of its own stock and on July 21 demanded such.</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On July 22, BBW requested a reasonable amount of time to ruminate upon this demand. CC has waited 34 days. Now CC makes its position public since BBW has taken no action.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Fig. 1: Deaf Ears at BBW. Get Greedy When Others Panic. BOD Clueless.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153275" cy="42881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3275" cy="42881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color w:val="auto"/>
        </w:rPr>
        <w:t>Please consider the following as part of this request.</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The Company enjoys excess liquidity - $26 million of cash and no debt as of March 31, 2022 - and borrowing capacity of up to $25 million at about 5% interest (CC estimates). This arguable overcapitalization is increasing as BBW generated $20 million of free cash flow last year and CC expects our Company to generate at least $30 million more this year. Furthermore, BBW owns a 350,000 square-foot distribution center in Ohio that, if monetized via a sale leaseback transaction, would yield about $35 million.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BBW management may know how to manage stores, but the Board of Directors to whom management is supposed to report has done a poor job allocating owners' capital. See Figure 1.</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experience of CC is that when owners have little skin in the game - real skin which they buy and are not given - capital allocation resonates less. Officers and directors have bought little to no shares of BBW.</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BBW is significantly under-leveraged relative to its mall-based specialty retailer peers. Bath &amp; Body Works, Inc. (BBWI), for instance, carries net debt equal to 2x trailing twelve-month EBITDA.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Using sell-side consensus estimates, BBW's stock is trading at just 6x 2022 estimated EPS, its lowest level in about 18 years.</w:t>
      </w:r>
    </w:p>
    <w:p>
      <w:pPr>
        <w:spacing w:after="0" w:line="2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By our math, if BBW were to monetize its real estate assets and take net leverage to just 1x through a tender at $17 per share, 2022 earnings per share would grow 110% inclusive of incremental interest and leasing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53275" cy="469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 w:name="page11"/>
    <w:bookmarkEnd w:id="10"/>
    <w:p>
      <w:pPr>
        <w:ind w:right="1440"/>
        <w:spacing w:after="0" w:line="262" w:lineRule="auto"/>
        <w:rPr>
          <w:sz w:val="20"/>
          <w:szCs w:val="20"/>
          <w:color w:val="auto"/>
        </w:rPr>
      </w:pPr>
      <w:r>
        <w:rPr>
          <w:rFonts w:ascii="Times New Roman" w:cs="Times New Roman" w:eastAsia="Times New Roman" w:hAnsi="Times New Roman"/>
          <w:sz w:val="22"/>
          <w:szCs w:val="22"/>
          <w:b w:val="1"/>
          <w:bCs w:val="1"/>
          <w:u w:val="single" w:color="auto"/>
          <w:color w:val="auto"/>
        </w:rPr>
        <w:t xml:space="preserve">Fig. 2. BBW Buyback Calculus </w:t>
      </w:r>
      <w:r>
        <w:rPr>
          <w:rFonts w:ascii="Times New Roman" w:cs="Times New Roman" w:eastAsia="Times New Roman" w:hAnsi="Times New Roman"/>
          <w:sz w:val="22"/>
          <w:szCs w:val="22"/>
          <w:i w:val="1"/>
          <w:iCs w:val="1"/>
          <w:color w:val="auto"/>
        </w:rPr>
        <w:t>($ million, FY Jan)</w:t>
      </w:r>
    </w:p>
    <w:p>
      <w:pPr>
        <w:spacing w:after="0" w:line="1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Net Leverage Target</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on hand FQ1 2022</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Implied debt</w:t>
      </w:r>
    </w:p>
    <w:p>
      <w:pPr>
        <w:spacing w:after="0" w:line="36" w:lineRule="exact"/>
        <w:rPr>
          <w:sz w:val="20"/>
          <w:szCs w:val="20"/>
          <w:color w:val="auto"/>
        </w:rPr>
      </w:pPr>
    </w:p>
    <w:p>
      <w:pPr>
        <w:ind w:left="20" w:right="1420"/>
        <w:spacing w:after="0" w:line="329" w:lineRule="auto"/>
        <w:rPr>
          <w:sz w:val="20"/>
          <w:szCs w:val="20"/>
          <w:color w:val="auto"/>
        </w:rPr>
      </w:pPr>
      <w:r>
        <w:rPr>
          <w:rFonts w:ascii="Times New Roman" w:cs="Times New Roman" w:eastAsia="Times New Roman" w:hAnsi="Times New Roman"/>
          <w:sz w:val="18"/>
          <w:szCs w:val="18"/>
          <w:color w:val="auto"/>
        </w:rPr>
        <w:t>Estimated proceeds from sale leaseback Purchasing power</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Repurchase price</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Shares repurchased (million)</w:t>
      </w:r>
    </w:p>
    <w:p>
      <w:pPr>
        <w:spacing w:after="0" w:line="34" w:lineRule="exact"/>
        <w:rPr>
          <w:sz w:val="20"/>
          <w:szCs w:val="20"/>
          <w:color w:val="auto"/>
        </w:rPr>
      </w:pPr>
    </w:p>
    <w:p>
      <w:pPr>
        <w:ind w:left="20" w:right="2480" w:firstLine="1"/>
        <w:spacing w:after="0" w:line="281" w:lineRule="auto"/>
        <w:tabs>
          <w:tab w:leader="none" w:pos="215"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Total S/O repurchased </w:t>
      </w:r>
      <w:r>
        <w:rPr>
          <w:rFonts w:ascii="Times New Roman" w:cs="Times New Roman" w:eastAsia="Times New Roman" w:hAnsi="Times New Roman"/>
          <w:sz w:val="18"/>
          <w:szCs w:val="18"/>
          <w:color w:val="auto"/>
        </w:rPr>
        <w:t>PF S/O</w:t>
      </w:r>
    </w:p>
    <w:p>
      <w:pPr>
        <w:spacing w:after="0" w:line="1" w:lineRule="exact"/>
        <w:rPr>
          <w:rFonts w:ascii="Times New Roman" w:cs="Times New Roman" w:eastAsia="Times New Roman" w:hAnsi="Times New Roman"/>
          <w:sz w:val="18"/>
          <w:szCs w:val="18"/>
          <w:i w:val="1"/>
          <w:iCs w:val="1"/>
          <w:color w:val="auto"/>
        </w:rPr>
      </w:pPr>
    </w:p>
    <w:p>
      <w:pPr>
        <w:ind w:left="2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Assumed Cost of Debt</w:t>
      </w:r>
    </w:p>
    <w:p>
      <w:pPr>
        <w:spacing w:after="0" w:line="38" w:lineRule="exact"/>
        <w:rPr>
          <w:rFonts w:ascii="Times New Roman" w:cs="Times New Roman" w:eastAsia="Times New Roman" w:hAnsi="Times New Roman"/>
          <w:sz w:val="18"/>
          <w:szCs w:val="18"/>
          <w:i w:val="1"/>
          <w:iCs w:val="1"/>
          <w:color w:val="auto"/>
        </w:rPr>
      </w:pPr>
    </w:p>
    <w:p>
      <w:pPr>
        <w:ind w:left="20" w:right="1680"/>
        <w:spacing w:after="0" w:line="281"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CY consensus net income estimate Assumed incremental lease expense Interest expense</w:t>
      </w:r>
    </w:p>
    <w:p>
      <w:pPr>
        <w:spacing w:after="0" w:line="1" w:lineRule="exact"/>
        <w:rPr>
          <w:rFonts w:ascii="Times New Roman" w:cs="Times New Roman" w:eastAsia="Times New Roman" w:hAnsi="Times New Roman"/>
          <w:sz w:val="18"/>
          <w:szCs w:val="18"/>
          <w:i w:val="1"/>
          <w:iCs w:val="1"/>
          <w:color w:val="auto"/>
        </w:rPr>
      </w:pPr>
    </w:p>
    <w:p>
      <w:pPr>
        <w:ind w:left="20" w:right="3240"/>
        <w:spacing w:after="0" w:line="362"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7"/>
          <w:szCs w:val="17"/>
          <w:color w:val="auto"/>
        </w:rPr>
        <w:t>Tax benefit PF net income</w:t>
      </w:r>
    </w:p>
    <w:p>
      <w:pPr>
        <w:spacing w:after="0" w:line="1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PF Adjusted EPS</w:t>
      </w:r>
    </w:p>
    <w:p>
      <w:pPr>
        <w:spacing w:after="0" w:line="34" w:lineRule="exact"/>
        <w:rPr>
          <w:sz w:val="20"/>
          <w:szCs w:val="20"/>
          <w:color w:val="auto"/>
        </w:rPr>
      </w:pPr>
    </w:p>
    <w:p>
      <w:pPr>
        <w:ind w:left="20" w:right="2320" w:firstLine="1"/>
        <w:spacing w:after="0" w:line="315" w:lineRule="auto"/>
        <w:tabs>
          <w:tab w:leader="none" w:pos="215"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Boost to Consensus EPS Earnings Yield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0x</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0.5x</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1.0x</w:t>
            </w:r>
          </w:p>
        </w:tc>
      </w:tr>
      <w:tr>
        <w:trPr>
          <w:trHeight w:val="243"/>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$26</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$26</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$26</w:t>
            </w:r>
          </w:p>
        </w:tc>
      </w:tr>
      <w:tr>
        <w:trPr>
          <w:trHeight w:val="243"/>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96</w:t>
            </w:r>
          </w:p>
        </w:tc>
      </w:tr>
      <w:tr>
        <w:trPr>
          <w:trHeight w:val="250"/>
        </w:trPr>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r>
      <w:tr>
        <w:trPr>
          <w:trHeight w:val="239"/>
        </w:trPr>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$86</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$122</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$157</w:t>
            </w:r>
          </w:p>
        </w:tc>
      </w:tr>
      <w:tr>
        <w:trPr>
          <w:trHeight w:val="20"/>
        </w:trPr>
        <w:tc>
          <w:tcPr>
            <w:tcW w:w="1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457"/>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$16.75</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$16.75</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$16.75</w:t>
            </w:r>
          </w:p>
        </w:tc>
      </w:tr>
      <w:tr>
        <w:trPr>
          <w:trHeight w:val="243"/>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5.1</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7.3</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9.4</w:t>
            </w:r>
          </w:p>
        </w:tc>
      </w:tr>
      <w:tr>
        <w:trPr>
          <w:trHeight w:val="243"/>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6"/>
              </w:rPr>
              <w:t>33%</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6"/>
              </w:rPr>
              <w:t>47%</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6"/>
              </w:rPr>
              <w:t>60%</w:t>
            </w:r>
          </w:p>
        </w:tc>
      </w:tr>
      <w:tr>
        <w:trPr>
          <w:trHeight w:val="243"/>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8.2</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6.1</w:t>
            </w:r>
          </w:p>
        </w:tc>
      </w:tr>
      <w:tr>
        <w:trPr>
          <w:trHeight w:val="243"/>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5.5%</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5"/>
              </w:rPr>
              <w:t>6.5%</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5"/>
              </w:rPr>
              <w:t>8.0%</w:t>
            </w:r>
          </w:p>
        </w:tc>
      </w:tr>
      <w:tr>
        <w:trPr>
          <w:trHeight w:val="243"/>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r>
      <w:tr>
        <w:trPr>
          <w:trHeight w:val="243"/>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w:t>
            </w:r>
          </w:p>
        </w:tc>
      </w:tr>
      <w:tr>
        <w:trPr>
          <w:trHeight w:val="243"/>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(8)</w:t>
            </w:r>
          </w:p>
        </w:tc>
      </w:tr>
      <w:tr>
        <w:trPr>
          <w:trHeight w:val="250"/>
        </w:trPr>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2</w:t>
            </w:r>
          </w:p>
        </w:tc>
      </w:tr>
      <w:tr>
        <w:trPr>
          <w:trHeight w:val="239"/>
        </w:trPr>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$40</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$39</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$36</w:t>
            </w:r>
          </w:p>
        </w:tc>
      </w:tr>
      <w:tr>
        <w:trPr>
          <w:trHeight w:val="20"/>
        </w:trPr>
        <w:tc>
          <w:tcPr>
            <w:tcW w:w="1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457"/>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$3.92</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$4.70</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$5.85</w:t>
            </w:r>
          </w:p>
        </w:tc>
      </w:tr>
      <w:tr>
        <w:trPr>
          <w:trHeight w:val="243"/>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6"/>
              </w:rPr>
              <w:t>41%</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6"/>
              </w:rPr>
              <w:t>69%</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5"/>
              </w:rPr>
              <w:t>110%</w:t>
            </w:r>
          </w:p>
        </w:tc>
      </w:tr>
      <w:tr>
        <w:trPr>
          <w:trHeight w:val="243"/>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6"/>
              </w:rPr>
              <w:t>25%</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6"/>
              </w:rPr>
              <w:t>30%</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6"/>
              </w:rPr>
              <w:t>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-3181985</wp:posOffset>
            </wp:positionH>
            <wp:positionV relativeFrom="paragraph">
              <wp:posOffset>-3145155</wp:posOffset>
            </wp:positionV>
            <wp:extent cx="5700395"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-2836545</wp:posOffset>
            </wp:positionV>
            <wp:extent cx="5700395"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-2528570</wp:posOffset>
            </wp:positionV>
            <wp:extent cx="570039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00395" cy="171450"/>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-2185670</wp:posOffset>
            </wp:positionV>
            <wp:extent cx="5700395"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-1877060</wp:posOffset>
            </wp:positionV>
            <wp:extent cx="5700395"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-1568450</wp:posOffset>
            </wp:positionV>
            <wp:extent cx="5700395"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-1259840</wp:posOffset>
            </wp:positionV>
            <wp:extent cx="5700395"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-950595</wp:posOffset>
            </wp:positionV>
            <wp:extent cx="5700395"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-625475</wp:posOffset>
            </wp:positionV>
            <wp:extent cx="570039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00395" cy="171450"/>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-299720</wp:posOffset>
            </wp:positionV>
            <wp:extent cx="5700395"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201" w:lineRule="exact"/>
        <w:rPr>
          <w:sz w:val="20"/>
          <w:szCs w:val="20"/>
          <w:color w:val="auto"/>
        </w:rPr>
      </w:pPr>
    </w:p>
    <w:p>
      <w:pPr>
        <w:sectPr>
          <w:pgSz w:w="11900" w:h="16838" w:orient="portrait"/>
          <w:cols w:equalWidth="0" w:num="2">
            <w:col w:w="4300" w:space="720"/>
            <w:col w:w="6220"/>
          </w:cols>
          <w:pgMar w:left="320" w:top="108" w:right="339" w:bottom="1440" w:gutter="0" w:footer="0" w:header="0"/>
        </w:sectPr>
      </w:pPr>
    </w:p>
    <w:p>
      <w:pPr>
        <w:ind w:firstLine="8"/>
        <w:spacing w:after="0" w:line="258" w:lineRule="auto"/>
        <w:tabs>
          <w:tab w:leader="none" w:pos="35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grows weary of BBW's poor capital allocation. As illustrated in Figure 1, CC has repeatedly advocated for buybacks only to see the lethargic Board buy back shares at prices 255% to 274% higher than when its largest owner advocated.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 July 21 CC talked to BBW and urged its Board of Directors to conduct a modified Dutch tender for BBW's common stock.</w:t>
      </w:r>
    </w:p>
    <w:p>
      <w:pPr>
        <w:spacing w:after="0" w:line="14" w:lineRule="exact"/>
        <w:rPr>
          <w:sz w:val="20"/>
          <w:szCs w:val="20"/>
          <w:color w:val="auto"/>
        </w:rPr>
      </w:pPr>
    </w:p>
    <w:p>
      <w:pPr>
        <w:jc w:val="both"/>
        <w:ind w:firstLine="8"/>
        <w:spacing w:after="0" w:line="235" w:lineRule="auto"/>
        <w:tabs>
          <w:tab w:leader="none" w:pos="395"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agreed to give BBW more time in which to arrange the legal and compliance groundwork for such an offer. BBW management's inaction has left CC with no option but to release this letter and with it our decisive vote of "no confidence" in the Board. All owners of BBW should consider whether new directors wouldn't be better stewards of our Company.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Best regards!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Sincerely,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J. Carlo Cannell</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 Carlo Cannell</w:t>
      </w:r>
    </w:p>
    <w:p>
      <w:pPr>
        <w:spacing w:after="0"/>
        <w:rPr>
          <w:sz w:val="20"/>
          <w:szCs w:val="20"/>
          <w:color w:val="auto"/>
        </w:rPr>
      </w:pPr>
      <w:r>
        <w:rPr>
          <w:rFonts w:ascii="Times New Roman" w:cs="Times New Roman" w:eastAsia="Times New Roman" w:hAnsi="Times New Roman"/>
          <w:sz w:val="22"/>
          <w:szCs w:val="22"/>
          <w:color w:val="auto"/>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7153275" cy="469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bullet"/>
      <w:start w:val="1"/>
    </w:lvl>
  </w:abstractNum>
  <w:abstractNum w:abstractNumId="1">
    <w:nsid w:val="66EF438D"/>
    <w:multiLevelType w:val="hybridMultilevel"/>
    <w:lvl w:ilvl="0">
      <w:lvlJc w:val="left"/>
      <w:lvlText w:val="2"/>
      <w:numFmt w:val="bullet"/>
      <w:start w:val="1"/>
    </w:lvl>
    <w:lvl w:ilvl="1">
      <w:lvlJc w:val="left"/>
      <w:lvlText w:val="(%2)"/>
      <w:numFmt w:val="lowerLetter"/>
      <w:start w:val="1"/>
    </w:lvl>
  </w:abstractNum>
  <w:abstractNum w:abstractNumId="2">
    <w:nsid w:val="140E0F76"/>
    <w:multiLevelType w:val="hybridMultilevel"/>
    <w:lvl w:ilvl="0">
      <w:lvlJc w:val="left"/>
      <w:lvlText w:val="3"/>
      <w:numFmt w:val="bullet"/>
      <w:start w:val="1"/>
    </w:lvl>
  </w:abstractNum>
  <w:abstractNum w:abstractNumId="3">
    <w:nsid w:val="3352255A"/>
    <w:multiLevelType w:val="hybridMultilevel"/>
    <w:lvl w:ilvl="0">
      <w:lvlJc w:val="left"/>
      <w:lvlText w:val="4"/>
      <w:numFmt w:val="bullet"/>
      <w:start w:val="1"/>
    </w:lvl>
  </w:abstractNum>
  <w:abstractNum w:abstractNumId="4">
    <w:nsid w:val="109CF92E"/>
    <w:multiLevelType w:val="hybridMultilevel"/>
    <w:lvl w:ilvl="0">
      <w:lvlJc w:val="left"/>
      <w:lvlText w:val="5"/>
      <w:numFmt w:val="bullet"/>
      <w:start w:val="1"/>
    </w:lvl>
  </w:abstractNum>
  <w:abstractNum w:abstractNumId="5">
    <w:nsid w:val="DED7263"/>
    <w:multiLevelType w:val="hybridMultilevel"/>
    <w:lvl w:ilvl="0">
      <w:lvlJc w:val="left"/>
      <w:lvlText w:val="6"/>
      <w:numFmt w:val="bullet"/>
      <w:start w:val="1"/>
    </w:lvl>
  </w:abstractNum>
  <w:abstractNum w:abstractNumId="6">
    <w:nsid w:val="7FDCC233"/>
    <w:multiLevelType w:val="hybridMultilevel"/>
    <w:lvl w:ilvl="0">
      <w:lvlJc w:val="left"/>
      <w:lvlText w:val="%1"/>
      <w:numFmt w:val="decimal"/>
      <w:start w:val="11"/>
    </w:lvl>
  </w:abstractNum>
  <w:abstractNum w:abstractNumId="7">
    <w:nsid w:val="1BEFD79F"/>
    <w:multiLevelType w:val="hybridMultilevel"/>
    <w:lvl w:ilvl="0">
      <w:lvlJc w:val="left"/>
      <w:lvlText w:val="%1"/>
      <w:numFmt w:val="decimal"/>
      <w:start w:val="13"/>
    </w:lvl>
  </w:abstractNum>
  <w:abstractNum w:abstractNumId="8">
    <w:nsid w:val="41A7C4C9"/>
    <w:multiLevelType w:val="hybridMultilevel"/>
    <w:lvl w:ilvl="0">
      <w:lvlJc w:val="left"/>
      <w:lvlText w:val="1"/>
      <w:numFmt w:val="bullet"/>
      <w:start w:val="1"/>
    </w:lvl>
  </w:abstractNum>
  <w:abstractNum w:abstractNumId="9">
    <w:nsid w:val="6B68079A"/>
    <w:multiLevelType w:val="hybridMultilevel"/>
    <w:lvl w:ilvl="0">
      <w:lvlJc w:val="left"/>
      <w:lvlText w:val="2"/>
      <w:numFmt w:val="bullet"/>
      <w:start w:val="1"/>
    </w:lvl>
    <w:lvl w:ilvl="1">
      <w:lvlJc w:val="left"/>
      <w:lvlText w:val="(%2)"/>
      <w:numFmt w:val="lowerLetter"/>
      <w:start w:val="1"/>
    </w:lvl>
  </w:abstractNum>
  <w:abstractNum w:abstractNumId="10">
    <w:nsid w:val="4E6AFB66"/>
    <w:multiLevelType w:val="hybridMultilevel"/>
    <w:lvl w:ilvl="0">
      <w:lvlJc w:val="left"/>
      <w:lvlText w:val="3"/>
      <w:numFmt w:val="bullet"/>
      <w:start w:val="1"/>
    </w:lvl>
  </w:abstractNum>
  <w:abstractNum w:abstractNumId="11">
    <w:nsid w:val="25E45D32"/>
    <w:multiLevelType w:val="hybridMultilevel"/>
    <w:lvl w:ilvl="0">
      <w:lvlJc w:val="left"/>
      <w:lvlText w:val="4"/>
      <w:numFmt w:val="bullet"/>
      <w:start w:val="1"/>
    </w:lvl>
  </w:abstractNum>
  <w:abstractNum w:abstractNumId="12">
    <w:nsid w:val="519B500D"/>
    <w:multiLevelType w:val="hybridMultilevel"/>
    <w:lvl w:ilvl="0">
      <w:lvlJc w:val="left"/>
      <w:lvlText w:val="5"/>
      <w:numFmt w:val="bullet"/>
      <w:start w:val="1"/>
    </w:lvl>
  </w:abstractNum>
  <w:abstractNum w:abstractNumId="13">
    <w:nsid w:val="431BD7B7"/>
    <w:multiLevelType w:val="hybridMultilevel"/>
    <w:lvl w:ilvl="0">
      <w:lvlJc w:val="left"/>
      <w:lvlText w:val="6"/>
      <w:numFmt w:val="bullet"/>
      <w:start w:val="1"/>
    </w:lvl>
  </w:abstractNum>
  <w:abstractNum w:abstractNumId="14">
    <w:nsid w:val="3F2DBA31"/>
    <w:multiLevelType w:val="hybridMultilevel"/>
    <w:lvl w:ilvl="0">
      <w:lvlJc w:val="left"/>
      <w:lvlText w:val="%1"/>
      <w:numFmt w:val="decimal"/>
      <w:start w:val="11"/>
    </w:lvl>
  </w:abstractNum>
  <w:abstractNum w:abstractNumId="15">
    <w:nsid w:val="7C83E458"/>
    <w:multiLevelType w:val="hybridMultilevel"/>
    <w:lvl w:ilvl="0">
      <w:lvlJc w:val="left"/>
      <w:lvlText w:val="%1"/>
      <w:numFmt w:val="decimal"/>
      <w:start w:val="13"/>
    </w:lvl>
  </w:abstractNum>
  <w:abstractNum w:abstractNumId="16">
    <w:nsid w:val="257130A3"/>
    <w:multiLevelType w:val="hybridMultilevel"/>
    <w:lvl w:ilvl="0">
      <w:lvlJc w:val="left"/>
      <w:lvlText w:val="%1)"/>
      <w:numFmt w:val="lowerLetter"/>
      <w:start w:val="2"/>
    </w:lvl>
  </w:abstractNum>
  <w:abstractNum w:abstractNumId="17">
    <w:nsid w:val="62BBD95A"/>
    <w:multiLevelType w:val="hybridMultilevel"/>
    <w:lvl w:ilvl="0">
      <w:lvlJc w:val="left"/>
      <w:lvlText w:val="(%1)"/>
      <w:numFmt w:val="lowerLetter"/>
      <w:start w:val="1"/>
    </w:lvl>
  </w:abstractNum>
  <w:abstractNum w:abstractNumId="18">
    <w:nsid w:val="436C6125"/>
    <w:multiLevelType w:val="hybridMultilevel"/>
    <w:lvl w:ilvl="0">
      <w:lvlJc w:val="left"/>
      <w:lvlText w:val="%"/>
      <w:numFmt w:val="bullet"/>
      <w:start w:val="1"/>
    </w:lvl>
  </w:abstractNum>
  <w:abstractNum w:abstractNumId="19">
    <w:nsid w:val="628C895D"/>
    <w:multiLevelType w:val="hybridMultilevel"/>
    <w:lvl w:ilvl="0">
      <w:lvlJc w:val="left"/>
      <w:lvlText w:val="%"/>
      <w:numFmt w:val="bullet"/>
      <w:start w:val="1"/>
    </w:lvl>
  </w:abstractNum>
  <w:abstractNum w:abstractNumId="20">
    <w:nsid w:val="333AB105"/>
    <w:multiLevelType w:val="hybridMultilevel"/>
    <w:lvl w:ilvl="0">
      <w:lvlJc w:val="left"/>
      <w:lvlText w:val="%1"/>
      <w:numFmt w:val="upperLetter"/>
      <w:start w:val="29"/>
    </w:lvl>
  </w:abstractNum>
  <w:abstractNum w:abstractNumId="21">
    <w:nsid w:val="721DA317"/>
    <w:multiLevelType w:val="hybridMultilevel"/>
    <w:lvl w:ilvl="0">
      <w:lvlJc w:val="left"/>
      <w:lvlText w:val="%1"/>
      <w:numFmt w:val="upp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2022-08-25T05:18:17Z</dcterms:created>
  <dcterms:modified xsi:type="dcterms:W3CDTF">2022-08-25T05:18:17Z</dcterms:modified>
</cp:coreProperties>
</file>