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53975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-20320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191770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BUILD-A-BEAR WORKSHOP, INC.</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53975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6520" w:type="dxa"/>
            <w:vAlign w:val="bottom"/>
            <w:gridSpan w:val="3"/>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1954 Innerbelt Business Center Drive</w:t>
            </w:r>
          </w:p>
        </w:tc>
        <w:tc>
          <w:tcPr>
            <w:tcW w:w="1440" w:type="dxa"/>
            <w:vAlign w:val="bottom"/>
          </w:tcPr>
          <w:p>
            <w:pPr>
              <w:spacing w:after="0"/>
              <w:rPr>
                <w:sz w:val="24"/>
                <w:szCs w:val="24"/>
                <w:color w:val="auto"/>
              </w:rPr>
            </w:pPr>
          </w:p>
        </w:tc>
      </w:tr>
      <w:tr>
        <w:trPr>
          <w:trHeight w:val="216"/>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63114</w:t>
            </w:r>
          </w:p>
        </w:tc>
      </w:tr>
      <w:tr>
        <w:trPr>
          <w:trHeight w:val="238"/>
        </w:trPr>
        <w:tc>
          <w:tcPr>
            <w:tcW w:w="65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5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(314) 423-8000</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52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40" w:type="dxa"/>
            <w:vAlign w:val="bottom"/>
          </w:tcPr>
          <w:p>
            <w:pPr>
              <w:spacing w:after="0"/>
              <w:rPr>
                <w:sz w:val="20"/>
                <w:szCs w:val="20"/>
                <w:color w:val="auto"/>
              </w:rPr>
            </w:pPr>
          </w:p>
        </w:tc>
      </w:tr>
      <w:tr>
        <w:trPr>
          <w:trHeight w:val="54"/>
        </w:trPr>
        <w:tc>
          <w:tcPr>
            <w:tcW w:w="296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440" w:type="dxa"/>
            <w:vAlign w:val="bottom"/>
          </w:tcPr>
          <w:p>
            <w:pPr>
              <w:spacing w:after="0"/>
              <w:rPr>
                <w:sz w:val="4"/>
                <w:szCs w:val="4"/>
                <w:color w:val="auto"/>
              </w:rPr>
            </w:pPr>
          </w:p>
        </w:tc>
      </w:tr>
    </w:tbl>
    <w:p>
      <w:pPr>
        <w:spacing w:after="0" w:line="189" w:lineRule="exact"/>
        <w:rPr>
          <w:sz w:val="24"/>
          <w:szCs w:val="24"/>
          <w:color w:val="auto"/>
        </w:rPr>
      </w:pPr>
    </w:p>
    <w:p>
      <w:pPr>
        <w:ind w:right="200"/>
        <w:spacing w:after="0" w:line="259"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color w:val="auto"/>
        </w:rPr>
        <w:t>Yes</w:t>
      </w:r>
      <w:r>
        <w:rPr>
          <w:rFonts w:ascii="Times New Roman" w:cs="Times New Roman" w:eastAsia="Times New Roman" w:hAnsi="Times New Roman"/>
          <w:sz w:val="22"/>
          <w:szCs w:val="22"/>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No</w:t>
      </w:r>
      <w:r>
        <w:rPr>
          <w:rFonts w:ascii="Times New Roman" w:cs="Times New Roman" w:eastAsia="Times New Roman" w:hAnsi="Times New Roman"/>
          <w:sz w:val="22"/>
          <w:szCs w:val="22"/>
          <w:color w:val="auto"/>
        </w:rPr>
        <w:t xml:space="preserve"> </w:t>
      </w:r>
      <w:r>
        <w:rPr>
          <w:rFonts w:ascii="MS PGothic" w:cs="MS PGothic" w:eastAsia="MS PGothic" w:hAnsi="MS PGothic"/>
          <w:sz w:val="18"/>
          <w:szCs w:val="18"/>
          <w:color w:val="auto"/>
        </w:rPr>
        <w:t>☐</w:t>
      </w:r>
    </w:p>
    <w:p>
      <w:pPr>
        <w:spacing w:after="0" w:line="180"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5"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emerging growth company. See definitions of “large accelerated filer,” “accelerated filer” and “emerging growth company” in Rule 12b-2 of the Exchange Act. (Check one):</w:t>
      </w:r>
    </w:p>
    <w:p>
      <w:pPr>
        <w:spacing w:after="0" w:line="133" w:lineRule="exact"/>
        <w:rPr>
          <w:sz w:val="24"/>
          <w:szCs w:val="24"/>
          <w:color w:val="auto"/>
        </w:rPr>
      </w:pPr>
    </w:p>
    <w:tbl>
      <w:tblPr>
        <w:tblLayout w:type="fixed"/>
        <w:tblInd w:w="34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36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r>
        <w:trPr>
          <w:trHeight w:val="28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24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bl>
    <w:p>
      <w:pPr>
        <w:spacing w:after="0" w:line="178" w:lineRule="exact"/>
        <w:rPr>
          <w:sz w:val="24"/>
          <w:szCs w:val="24"/>
          <w:color w:val="auto"/>
        </w:rPr>
      </w:pPr>
    </w:p>
    <w:p>
      <w:pPr>
        <w:ind w:right="3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2017, there were 16,002,021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Condensed Consolidated Income Statements and Statements of Comprehensive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9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98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98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35,627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32,483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$173,804; $172,333 and</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$185,915, respectively</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192,256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199,595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21,921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27,861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 or</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at April 1, 2017, December 31, 2016 and April 2, 2016</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16,002,935; 15,856,927 and 15,815,211 shares, respectively</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43,679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192,256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199,595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88,586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Franchise fees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90,632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Store preopening</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86,037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15,539,939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15,410,699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15,709,591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15,592,347</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Store asset impairment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Lease related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other assets and other intangible assets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exercise of employee stock options, net of withholding tax payments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made under capital leases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31,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31, 2016, which were included in the Company’s annual report on Form 10-K filed with the SEC on March 16, 2017.</w:t>
      </w:r>
    </w:p>
    <w:p>
      <w:pPr>
        <w:spacing w:after="0" w:line="19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No. 2016-09, </w:t>
      </w:r>
      <w:r>
        <w:rPr>
          <w:rFonts w:ascii="Times New Roman" w:cs="Times New Roman" w:eastAsia="Times New Roman" w:hAnsi="Times New Roman"/>
          <w:sz w:val="18"/>
          <w:szCs w:val="18"/>
          <w:i w:val="1"/>
          <w:iCs w:val="1"/>
          <w:color w:val="auto"/>
        </w:rPr>
        <w:t xml:space="preserve">Compensation – Stock Compensation: Improvements to Employee Share-Based Payment Accounting, </w:t>
      </w:r>
      <w:r>
        <w:rPr>
          <w:rFonts w:ascii="Times New Roman" w:cs="Times New Roman" w:eastAsia="Times New Roman" w:hAnsi="Times New Roman"/>
          <w:sz w:val="18"/>
          <w:szCs w:val="18"/>
          <w:color w:val="auto"/>
        </w:rPr>
        <w:t>effective January 1, 2017. The Company made an accounting policy election to account for forfeitures as they occur.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election, along with the adoption of the other provisions of the standard in the first quarter of 2017, was to increase deferred tax assets by $1.6 million, increase additional paid-in-capital by $0.3 million, increase retained earnings by $1.9 million and decrease taxes payable by $0.6 million.</w:t>
      </w:r>
    </w:p>
    <w:p>
      <w:pPr>
        <w:spacing w:after="0" w:line="180"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Additionally, the Company early adopted ASU No. 2016-16, </w:t>
      </w:r>
      <w:r>
        <w:rPr>
          <w:rFonts w:ascii="Times New Roman" w:cs="Times New Roman" w:eastAsia="Times New Roman" w:hAnsi="Times New Roman"/>
          <w:sz w:val="18"/>
          <w:szCs w:val="18"/>
          <w:i w:val="1"/>
          <w:iCs w:val="1"/>
          <w:color w:val="auto"/>
        </w:rPr>
        <w:t>Income Taxes – Intra-Entity Transfers of Assets Other Than Inventory,</w:t>
      </w:r>
      <w:r>
        <w:rPr>
          <w:rFonts w:ascii="Times New Roman" w:cs="Times New Roman" w:eastAsia="Times New Roman" w:hAnsi="Times New Roman"/>
          <w:sz w:val="18"/>
          <w:szCs w:val="18"/>
          <w:color w:val="auto"/>
        </w:rPr>
        <w:t xml:space="preserve"> effective January 1, 2017. Using the modified retrospective method, the impact of the adoption of the standard in the first quarter of 2017 was to increase deferred tax assets by $1.0 million, decrease other assets, net by $2.3 million and decrease retained earnings by $1.3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2,</w:t>
            </w:r>
          </w:p>
        </w:tc>
      </w:tr>
      <w:tr>
        <w:trPr>
          <w:trHeight w:val="238"/>
        </w:trPr>
        <w:tc>
          <w:tcPr>
            <w:tcW w:w="2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6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7,833</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80" w:type="dxa"/>
            <w:vAlign w:val="bottom"/>
          </w:tcPr>
          <w:p>
            <w:pPr>
              <w:spacing w:after="0"/>
              <w:rPr>
                <w:sz w:val="18"/>
                <w:szCs w:val="18"/>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10,158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12,737</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15,070</w:t>
            </w:r>
          </w:p>
        </w:tc>
      </w:tr>
      <w:tr>
        <w:trPr>
          <w:trHeight w:val="20"/>
        </w:trPr>
        <w:tc>
          <w:tcPr>
            <w:tcW w:w="24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Accrued Expenses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0"/>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50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9,373</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 and related expenses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c>
          <w:tcPr>
            <w:tcW w:w="5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w:t>
            </w:r>
          </w:p>
        </w:tc>
        <w:tc>
          <w:tcPr>
            <w:tcW w:w="5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17,960</w:t>
            </w:r>
          </w:p>
        </w:tc>
        <w:tc>
          <w:tcPr>
            <w:tcW w:w="50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26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thirteen weeks ended April 1, 2017 and April 2, 2016, selling, general and administrative expenses include $1.0 million and $0.7 million of stock-based compensation expense, respectively. As of April 1, 2017, there was $5.9 million of total unrecognized compensation expense related to nonvested restricted stock and option awards which is expected to be recognized over a weighted-average period of 1.8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stock options for the thirteen weeks ended April 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757,784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April 1, 2017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805,517</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for time-based and performance-based restricted stock for the thirteen weeks ended April 1, 2017:</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9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7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Performance Shares</w:t>
            </w:r>
          </w:p>
        </w:tc>
      </w:tr>
      <w:tr>
        <w:trPr>
          <w:trHeight w:val="187"/>
        </w:trPr>
        <w:tc>
          <w:tcPr>
            <w:tcW w:w="46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462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20" w:type="dxa"/>
            <w:vAlign w:val="bottom"/>
          </w:tcPr>
          <w:p>
            <w:pPr>
              <w:spacing w:after="0"/>
              <w:rPr>
                <w:sz w:val="20"/>
                <w:szCs w:val="20"/>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0"/>
        </w:trPr>
        <w:tc>
          <w:tcPr>
            <w:tcW w:w="4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13.30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241,141</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13.01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3"/>
              </w:rPr>
              <w:t>13.42</w:t>
            </w: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r>
      <w:tr>
        <w:trPr>
          <w:trHeight w:val="20"/>
        </w:trPr>
        <w:tc>
          <w:tcPr>
            <w:tcW w:w="46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April 1,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398,862</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11.07</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289,763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shares of time-based and performance-based restricted stock vested during the thirteen weeks ended April 1, 2017 and April 2, 2016 was $1.5 million and $1.2 million, respectively.</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March 2017, the Company awarded three-year performance-based restricted stock subject to the achievement of pre-established consolidated total pre-tax income goals for fiscal 2017, 2018 and 2019. These shares have a payout opportunity ranging from 25% to 200% of the target number of shares. In 2017, 13,704 performance shares issued in fiscal 2016 were canceled as the pre-established pre-tax income objectives for 2016 were not achieved.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outstanding performance shares as of April 1, 2017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Earned shares subject to time-based restrictions at actual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- 2017 consolidated total revenues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- 2018 consolidated total revenues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- 2019 consolidated pre-tax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83,897</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Performance shares outstanding, April 1, 2017</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289,763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6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effective tax rate was 39.8% for the thirteen weeks ended April 1, 2017, compared to 33.3% for the thirteen weeks ended April 2, 2016. In the first quarter of fiscal 2017, the effective tax rate differed from the statutory rate of 34% primarily due to the implementation of the new accounting standard related to the accounting for the tax impact of equity awards vesting.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stockholders’ equity for the thirteen weeks ended April 1, 2017 and April 2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57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Adoption of new accounting standards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repurchase and retirement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per Share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to compute basic and diluted income per common share. The following table sets forth the computation of basic and diluted income per share (in thousands, except share and per share data):</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before allocation of earnings to participating securities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after allocation of earnings to participating securities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15,539,939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15,709,591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15,592,347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income per common share attributable to Build-A-Bear Workshop, Inc. stockholders:</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income per common share attributable to Build-A-Bear Workshop, Inc. stockholders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In calculating diluted earnings per share for the thirteen week periods ended April 1, 2017 and April 2, 2016, options to purchase 287,385 shares and 154,655 shares, respectively, of common stock that were outstanding at the end of the period were not included in the computation of diluted income per share due to their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Comprehensive Income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and net income results from foreign currency translation adjustments on the balance sheets of subsidiaries whose functional currency is not the U.S. Dollar. The accumulated other comprehensive loss balance at April 1, 2017, December 31, 2016 and April 2, 2016 is comprised entirely of foreign currency translation. For the thirteen weeks ended April 1, 2017 and April 2, 2016, there were no reclassifications out of accumulated other comprehensive loss.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formerly retail, international franchising, and commercial. The DTC segment includes the operating activities of company-owned stores in the United States, Canada, the United Kingdom, Ireland, Denmark and China and other retail delivery operations, including the Company’s e-commerce sites and temporary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April 1, 2017</w:t>
            </w:r>
          </w:p>
        </w:tc>
        <w:tc>
          <w:tcPr>
            <w:tcW w:w="1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90,632</w:t>
            </w: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 net</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Thirteen weeks ended April 2, 2016</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94,976</w:t>
            </w: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 net</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w:t>
            </w:r>
          </w:p>
        </w:tc>
      </w:tr>
      <w:tr>
        <w:trPr>
          <w:trHeight w:val="216"/>
        </w:trPr>
        <w:tc>
          <w:tcPr>
            <w:tcW w:w="3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as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April 1, 2017</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192,256</w:t>
            </w:r>
          </w:p>
        </w:tc>
        <w:tc>
          <w:tcPr>
            <w:tcW w:w="100" w:type="dxa"/>
            <w:vAlign w:val="bottom"/>
            <w:shd w:val="clear" w:color="auto" w:fill="CCEEFF"/>
          </w:tcPr>
          <w:p>
            <w:pPr>
              <w:spacing w:after="0"/>
              <w:rPr>
                <w:sz w:val="18"/>
                <w:szCs w:val="18"/>
                <w:color w:val="auto"/>
              </w:rPr>
            </w:pPr>
          </w:p>
        </w:tc>
      </w:tr>
      <w:tr>
        <w:trPr>
          <w:trHeight w:val="234"/>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 2016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5"/>
        </w:trPr>
        <w:tc>
          <w:tcPr>
            <w:tcW w:w="3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300"/>
              <w:spacing w:after="0" w:line="275" w:lineRule="exact"/>
              <w:rPr>
                <w:sz w:val="20"/>
                <w:szCs w:val="20"/>
                <w:color w:val="auto"/>
              </w:rPr>
            </w:pPr>
            <w:r>
              <w:rPr>
                <w:rFonts w:ascii="Times New Roman" w:cs="Times New Roman" w:eastAsia="Times New Roman" w:hAnsi="Times New Roman"/>
                <w:sz w:val="18"/>
                <w:szCs w:val="18"/>
                <w:b w:val="1"/>
                <w:bCs w:val="1"/>
                <w:color w:val="auto"/>
                <w:w w:val="95"/>
              </w:rPr>
              <w:t xml:space="preserve">America </w:t>
            </w:r>
            <w:r>
              <w:rPr>
                <w:rFonts w:ascii="Times New Roman" w:cs="Times New Roman" w:eastAsia="Times New Roman" w:hAnsi="Times New Roman"/>
                <w:sz w:val="30"/>
                <w:szCs w:val="30"/>
                <w:b w:val="1"/>
                <w:bCs w:val="1"/>
                <w:color w:val="auto"/>
                <w:w w:val="95"/>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440"/>
              <w:spacing w:after="0" w:line="275" w:lineRule="exact"/>
              <w:rPr>
                <w:sz w:val="20"/>
                <w:szCs w:val="20"/>
                <w:color w:val="auto"/>
              </w:rPr>
            </w:pPr>
            <w:r>
              <w:rPr>
                <w:rFonts w:ascii="Times New Roman" w:cs="Times New Roman" w:eastAsia="Times New Roman" w:hAnsi="Times New Roman"/>
                <w:sz w:val="18"/>
                <w:szCs w:val="18"/>
                <w:b w:val="1"/>
                <w:bCs w:val="1"/>
                <w:color w:val="auto"/>
                <w:w w:val="98"/>
              </w:rPr>
              <w:t xml:space="preserve">Europe </w:t>
            </w:r>
            <w:r>
              <w:rPr>
                <w:rFonts w:ascii="Times New Roman" w:cs="Times New Roman" w:eastAsia="Times New Roman" w:hAnsi="Times New Roman"/>
                <w:sz w:val="30"/>
                <w:szCs w:val="30"/>
                <w:b w:val="1"/>
                <w:bCs w:val="1"/>
                <w:color w:val="auto"/>
                <w:w w:val="98"/>
                <w:vertAlign w:val="superscript"/>
              </w:rPr>
              <w:t>(2)</w:t>
            </w:r>
          </w:p>
        </w:tc>
        <w:tc>
          <w:tcPr>
            <w:tcW w:w="180" w:type="dxa"/>
            <w:vAlign w:val="bottom"/>
          </w:tcPr>
          <w:p>
            <w:pPr>
              <w:spacing w:after="0"/>
              <w:rPr>
                <w:sz w:val="23"/>
                <w:szCs w:val="23"/>
                <w:color w:val="auto"/>
              </w:rPr>
            </w:pPr>
          </w:p>
        </w:tc>
        <w:tc>
          <w:tcPr>
            <w:tcW w:w="1220" w:type="dxa"/>
            <w:vAlign w:val="bottom"/>
            <w:gridSpan w:val="2"/>
          </w:tcPr>
          <w:p>
            <w:pPr>
              <w:ind w:left="80"/>
              <w:spacing w:after="0" w:line="275"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30"/>
                <w:szCs w:val="30"/>
                <w:b w:val="1"/>
                <w:bCs w:val="1"/>
                <w:color w:val="auto"/>
                <w:vertAlign w:val="superscript"/>
              </w:rPr>
              <w:t>(3)</w:t>
            </w:r>
          </w:p>
        </w:tc>
        <w:tc>
          <w:tcPr>
            <w:tcW w:w="260" w:type="dxa"/>
            <w:vAlign w:val="bottom"/>
          </w:tcPr>
          <w:p>
            <w:pPr>
              <w:spacing w:after="0"/>
              <w:rPr>
                <w:sz w:val="23"/>
                <w:szCs w:val="23"/>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April 1, 2017</w:t>
            </w:r>
          </w:p>
        </w:tc>
        <w:tc>
          <w:tcPr>
            <w:tcW w:w="10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76,725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90,632</w:t>
            </w: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73,246</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Thirteen weeks ended April 2, 2016</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94,976</w:t>
            </w:r>
          </w:p>
        </w:tc>
      </w:tr>
      <w:tr>
        <w:trPr>
          <w:trHeight w:val="234"/>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7,313</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68,886</w:t>
            </w:r>
          </w:p>
        </w:tc>
      </w:tr>
    </w:tbl>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the United States, Canada, Puerto Rico and franchise business in Mexico</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the United Kingdom, Ireland, Denmark and franchise businesses in Europe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 and, beginning in 2016, a company-owned store in China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10. Contingencies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Gain contingencies are recorded when the underlying uncertainty has been settled. 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April 1, 2017, the Company had a gross receivable balance of $3.1 million and a reserve of $2.5 million, leaving a net receivable of $0.6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Recently Issued Accounting Pronouncements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will replace most existing revenue recognition guidance in U.S. generally accepted accounting principles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fiscal 2017 is permitted. In 2016, the Company established a cross-functional team to use a bottom-up approach to assess the impact of the new standard. The team is in the process of reviewing current accounting policies and practices to identify potential differences that would result from applying the provisions of the new standard to our existing revenue contracts. To date, the review has focused on net retail sales which represented over 98% of total revenues in 2016. While the team continues to assess all potential impacts of the new standard, the Company expects the most significant impact to result from changes to the accounting for deferred revenue, specifically related to gift cards and the Company’s loyalty program. Currently, the Company expects to adopt ASU 2014-09 effective the first day of fiscal 2018 using the modified retrospective method.</w:t>
      </w:r>
    </w:p>
    <w:p>
      <w:pPr>
        <w:spacing w:after="0" w:line="191"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timing of adoption and assessing the impact of ASU 2016-02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May 2016, the Company amended its existing credit agreement extending the term to December 31, 2018 and increasing the amount of permitted lease and rental payments for personal property from $100,000 to $1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Notice Regarding Forward-Looking Statements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December 31, 2016, as filed with the SEC, and the following:</w:t>
      </w:r>
    </w:p>
    <w:p>
      <w:pPr>
        <w:spacing w:after="0" w:line="180" w:lineRule="exact"/>
        <w:rPr>
          <w:sz w:val="20"/>
          <w:szCs w:val="20"/>
          <w:color w:val="auto"/>
        </w:rPr>
      </w:pPr>
    </w:p>
    <w:p>
      <w:pPr>
        <w:ind w:left="660" w:right="4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conditions may deteriorate, which could lead to disproportionately reduced consumer demand for our products, which represent relatively discretionary spending;</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traffic may decrease in the shopping malls where we are located, on which we depend to attract guests to our stores;</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and on-line initiatives may not be effective in generating sufficient levels of brand awareness and guest traffic;</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costs of our products could be adversely affected by risks associated with international manufacturing and trade, including foreign currency fluctuation;</w:t>
      </w:r>
    </w:p>
    <w:p>
      <w:pPr>
        <w:ind w:left="660" w:right="5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disruptions, failures or security breaches of our information technology infrastructure or may improperly obtain or be unable to adequately protect customer information in violation of privacy or security laws or customer expectations;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generate comparable sales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operate or manage the overall portfolio of our company-owned stores;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renew or replace our store leases, or enter into leases for new stores on favorable terms or in favorable locations, or may violate the terms of our current leases;</w:t>
      </w:r>
    </w:p>
    <w:p>
      <w:pPr>
        <w:ind w:left="660" w:right="4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or Build-A-Bear branded products sold by our licensees could fail to meet current safety standards or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company-owned stores profitably;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key personnel, be unable to hire qualified additional personnel, or experience turnover of our management team;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disruption in our inventory flow due to our reliance on a few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due to violations of labor laws or unethical practices by manufacturers of our merchandise;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operate our company-owned distribution center efficiently or our third-party distribution center providers may perform poorly;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petroleum products prices could increase our inventory transportation costs and adversely affect our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our international franchises or laws relating to those franchises may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leverage the Build-A-Bear brand to drive strategic expansion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share could be adversely affected by a significant, or increased, number of competitors;</w:t>
      </w:r>
    </w:p>
    <w:p>
      <w:pPr>
        <w:spacing w:after="0" w:line="9" w:lineRule="exact"/>
        <w:rPr>
          <w:rFonts w:ascii="Times New Roman" w:cs="Times New Roman" w:eastAsia="Times New Roman" w:hAnsi="Times New Roman"/>
          <w:sz w:val="18"/>
          <w:szCs w:val="18"/>
          <w:color w:val="auto"/>
        </w:rPr>
      </w:pPr>
    </w:p>
    <w:p>
      <w:pPr>
        <w:ind w:left="660" w:right="7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global economic conditions could have a material adverse effect on our liquidity and capital resources;</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strategic alternatives evaluation process announced on May 3, 2016 is uncertain and the process may or may not result in any changes to the company’s business plan or lead to a specific action or transaction;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April 1, 2017, we operated 275 stores in the United States, Canada and Puerto Rico (collectively, North America), 60 stores in the United Kingdom, Ireland and Denmark (collectively, Europe), one store in China and had 87 franchised stores operating internationally under the Build-A-Bear Workshop brand.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1" w:name="page12"/>
    <w:bookmarkEnd w:id="11"/>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May 2, 2016, we announced that our Board of Directors had authorized an exploration of a full range of strategic alternatives to enhance total shareholder value. No timetable has been set for the review process. We do not expect to comment further or update the market with any additional information on the process unless and until the Board of Directors deems disclosure appropriate or necessary. There is no assurance that this exploration will result in any strategic alternatives being announced or executed.</w:t>
      </w:r>
    </w:p>
    <w:p>
      <w:pPr>
        <w:spacing w:after="0" w:line="180"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Our company has been executing a multi-year turnaround plan that was initiated in 2013 to improve both sales and profitability. We expect to evolve our strategic plan in 2017 to better align with shifts that have been occurring in consumer shopping trends which accelerated in the fourth quarter of 2016 while building on the actions that we have taken over the last few years to return the company to sustained profitability and prepare for growth. Our focus in 2017 will be concentrated in four key areas: channel evolution, product expansion, brand and experience amplification and profitability improvement. We operate in three segments that share the same infrastructure, including management, systems, merchandising and marketing, and generate revenues as follows:</w:t>
      </w:r>
    </w:p>
    <w:p>
      <w:pPr>
        <w:spacing w:after="0" w:line="168" w:lineRule="exact"/>
        <w:rPr>
          <w:sz w:val="20"/>
          <w:szCs w:val="20"/>
          <w:color w:val="auto"/>
        </w:rPr>
      </w:pPr>
    </w:p>
    <w:p>
      <w:pPr>
        <w:ind w:left="440" w:hanging="324"/>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Company-owned retail stores located in the United States, Canada, Puerto Rico, the United Kingdom, Ireland, Denmark and China and two e-commerce sites;</w:t>
      </w:r>
    </w:p>
    <w:p>
      <w:pPr>
        <w:spacing w:after="0" w:line="161" w:lineRule="exact"/>
        <w:rPr>
          <w:rFonts w:ascii="Times New Roman" w:cs="Times New Roman" w:eastAsia="Times New Roman" w:hAnsi="Times New Roman"/>
          <w:sz w:val="18"/>
          <w:szCs w:val="18"/>
          <w:color w:val="auto"/>
        </w:rPr>
      </w:pPr>
    </w:p>
    <w:p>
      <w:pPr>
        <w:ind w:left="440" w:right="480" w:hanging="324"/>
        <w:spacing w:after="0" w:line="282"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 Transactions with other businesses, mainly comprised of wholesale product sales and licensing our intellectual property, including entertainment properties, for third-party use; and</w:t>
      </w:r>
    </w:p>
    <w:p>
      <w:pPr>
        <w:spacing w:after="0" w:line="161"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Franchising – Other international stores operated under franchise agreements.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weeks ended April 1, 2017 and April 2, 2016 are set forth in the notes to our condensed consolidated financial statements included elsewhere in this quarterly report on Form 10-Q.</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The percentage change in comparable sales for the periods presented below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5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84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 change</w:t>
            </w:r>
          </w:p>
        </w:tc>
        <w:tc>
          <w:tcPr>
            <w:tcW w:w="1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Stores</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E-commerce</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believe the negative consolidated comparable sales performance was primarily attributable to the impact of the shift in timing of both Valentine’s Day from a weekend to a weekday and Easter from our first quarter into this year’s second quarter which also reflects the impact of school spring break shifts as they generally follow Easter timing. We also believe that the changes in marketing tactics negatively impacted sales for the first part of the quarter. Changes were made including media shifts and the addition of direct mail and in-store events that had positive impact on comparable sales starting in late February and carrying into March..</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expect to improve consolidated comparable sales through the following key initiatives:</w:t>
      </w:r>
    </w:p>
    <w:p>
      <w:pPr>
        <w:spacing w:after="0" w:line="225" w:lineRule="exact"/>
        <w:rPr>
          <w:sz w:val="20"/>
          <w:szCs w:val="20"/>
          <w:color w:val="auto"/>
        </w:rPr>
      </w:pPr>
    </w:p>
    <w:p>
      <w:pPr>
        <w:ind w:left="820" w:right="80" w:hanging="231"/>
        <w:spacing w:after="0" w:line="25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Channel Evolution:</w:t>
      </w:r>
      <w:r>
        <w:rPr>
          <w:rFonts w:ascii="Times New Roman" w:cs="Times New Roman" w:eastAsia="Times New Roman" w:hAnsi="Times New Roman"/>
          <w:sz w:val="18"/>
          <w:szCs w:val="18"/>
          <w:color w:val="auto"/>
        </w:rPr>
        <w:t xml:space="preserve"> We expect to continue to evolve our aged store fleet into new Discovery format stores, leveraging natural lease events. Overall, these locations continue to perform ahead of heritage locations in both sales and profitability. We also expect to continue to diversify our real estate portfolio to include more non-traditional locations inclusive of our new retail model referred to as a “concourse shop” which requires less capital, has shorter-term leases and offers a solution for a wide range of settings. Separately, we are on track to upgrade our web platform ahead of the fourth quarter holiday season. The reinvention of the website platform and e-commerce systems is expected to enable our guests to experience Build-A-Bear online in new ways.</w:t>
      </w:r>
    </w:p>
    <w:p>
      <w:pPr>
        <w:spacing w:after="0" w:line="187" w:lineRule="exact"/>
        <w:rPr>
          <w:rFonts w:ascii="Times New Roman" w:cs="Times New Roman" w:eastAsia="Times New Roman" w:hAnsi="Times New Roman"/>
          <w:sz w:val="18"/>
          <w:szCs w:val="18"/>
          <w:color w:val="auto"/>
        </w:rPr>
      </w:pPr>
    </w:p>
    <w:p>
      <w:pPr>
        <w:ind w:left="820" w:hanging="231"/>
        <w:spacing w:after="0" w:line="258"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Expansion:</w:t>
      </w:r>
      <w:r>
        <w:rPr>
          <w:rFonts w:ascii="Times New Roman" w:cs="Times New Roman" w:eastAsia="Times New Roman" w:hAnsi="Times New Roman"/>
          <w:sz w:val="18"/>
          <w:szCs w:val="18"/>
          <w:color w:val="auto"/>
        </w:rPr>
        <w:t xml:space="preserve"> To meet the needs of our core consumer base (boys and girls ages 3 to 12) while systematically building secondary consumer segments (including affinity, gift-giver and teen-plus), we plan to continue to balance our offering of core products with a comprehensive program of key licensed properties including products with tie-ins to major movie releases throughout 2017 while continuing to develop and expand offerings of our successful owned intellectual property stories, such as Promise Pets, Honey Girls and the holiday-specific Merry Mission collections.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2" w:name="page13"/>
    <w:bookmarkEnd w:id="12"/>
    <w:p>
      <w:pPr>
        <w:ind w:left="820" w:right="40" w:hanging="231"/>
        <w:spacing w:after="0" w:line="277"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Brand and Experience Amplification:</w:t>
      </w:r>
      <w:r>
        <w:rPr>
          <w:rFonts w:ascii="Times New Roman" w:cs="Times New Roman" w:eastAsia="Times New Roman" w:hAnsi="Times New Roman"/>
          <w:sz w:val="17"/>
          <w:szCs w:val="17"/>
          <w:color w:val="auto"/>
        </w:rPr>
        <w:t xml:space="preserve"> In addition to creating sharable, emotional content that more authentically communicates the heart of the brand, we are making adjustments to marketing programs to create synergy across channels. These include shifts in media to better reach moms and kids while leveraging the competitive advantage of our entertainment retail experience by adding in-store events such as story readings, movie release celebrations and appearances by our iconic mascots. We plan to continue to develop entertainment content, including mobile apps, music videos and other opportunities that increase engagement and are designed to improve efficiency, drive traffic and lead to profitable sales growth.</w:t>
      </w:r>
    </w:p>
    <w:p>
      <w:pPr>
        <w:spacing w:after="0" w:line="168" w:lineRule="exact"/>
        <w:rPr>
          <w:rFonts w:ascii="Times New Roman" w:cs="Times New Roman" w:eastAsia="Times New Roman" w:hAnsi="Times New Roman"/>
          <w:sz w:val="17"/>
          <w:szCs w:val="17"/>
          <w:color w:val="auto"/>
        </w:rPr>
      </w:pPr>
    </w:p>
    <w:p>
      <w:pPr>
        <w:ind w:left="820" w:right="160" w:hanging="231"/>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Profitability Improvement:</w:t>
      </w:r>
      <w:r>
        <w:rPr>
          <w:rFonts w:ascii="Times New Roman" w:cs="Times New Roman" w:eastAsia="Times New Roman" w:hAnsi="Times New Roman"/>
          <w:sz w:val="18"/>
          <w:szCs w:val="18"/>
          <w:color w:val="auto"/>
        </w:rPr>
        <w:t xml:space="preserve"> We are focused on improving profitability through the execution of our stated strategies detailed above as well as disciplined expense management and on-going efforts in process and systems upgrades.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Company-owned Stores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number of Build-A-Bear Workshop company-owned stores in North America, Europe and China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42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4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60</w:t>
            </w:r>
          </w:p>
        </w:tc>
        <w:tc>
          <w:tcPr>
            <w:tcW w:w="7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During 2017, we expect to continue to make improvements to an aged store fleet by leveraging the new Discovery format in conjunction with select natural lease events. We also expect to close certain stores in accordance with natural lease events as an ongoing part of our real estate management and day-to-day operational plans. Current plans include expansion into more non-traditional locations, made possible by a new, lower capital, more flexible “concourse shop” model. Concourse shops are stand-alone shops with approximately 200 square feet designed to be operated in open, concourse areas of malls or other covered pedestrian areas. We currently expect to remodel approximately 20 locations into our Discovery format in 2017 and to have 20 to 25 new stores, inclusive of concourse shops, open by the end of the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Revenue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company-owned stores. As of April 1, 2017, we had eight master franchise agreements, which typically grant franchise rights for a particular country or group of countries, covering an aggregate of 14 countries. The number of international franchised stores opened and closed for the periods presented below are summarized as follows:</w:t>
      </w:r>
    </w:p>
    <w:p>
      <w:pPr>
        <w:spacing w:after="0" w:line="176"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Ireland and Denmark. We continue to expect franchisees to open approximately 10 stores in 2017, leveraging new formats that have been developed for our company-owned operations and sourcing changes that have significantly reduced the capital and expenses required to open stores. We expect to develop market expansion through both new and existing franchisees in 2017 and beyond.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total revenues, except where otherwise indicated:</w:t>
      </w:r>
    </w:p>
    <w:p>
      <w:pPr>
        <w:spacing w:after="0" w:line="15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Thirteen weeks ended</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00" w:type="dxa"/>
            <w:vAlign w:val="bottom"/>
            <w:tcBorders>
              <w:top w:val="single" w:sz="8" w:color="auto"/>
            </w:tcBorders>
          </w:tcPr>
          <w:p>
            <w:pPr>
              <w:jc w:val="center"/>
              <w:ind w:left="330"/>
              <w:spacing w:after="0" w:line="188" w:lineRule="exact"/>
              <w:rPr>
                <w:sz w:val="20"/>
                <w:szCs w:val="20"/>
                <w:color w:val="auto"/>
              </w:rPr>
            </w:pPr>
            <w:r>
              <w:rPr>
                <w:rFonts w:ascii="Times New Roman" w:cs="Times New Roman" w:eastAsia="Times New Roman" w:hAnsi="Times New Roman"/>
                <w:sz w:val="18"/>
                <w:szCs w:val="18"/>
                <w:b w:val="1"/>
                <w:bCs w:val="1"/>
                <w:color w:val="auto"/>
              </w:rPr>
              <w:t>April 1,</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6"/>
                <w:szCs w:val="16"/>
                <w:color w:val="auto"/>
              </w:rPr>
            </w:pPr>
          </w:p>
        </w:tc>
      </w:tr>
      <w:tr>
        <w:trPr>
          <w:trHeight w:val="238"/>
        </w:trPr>
        <w:tc>
          <w:tcPr>
            <w:tcW w:w="5680" w:type="dxa"/>
            <w:vAlign w:val="bottom"/>
            <w:gridSpan w:val="2"/>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retail sales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revenue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Franchise fees</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merchandise sold - retail (1)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 of merchandise sold - commercial (1)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Store preopening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6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Retail gross margin %</w:t>
            </w:r>
          </w:p>
        </w:tc>
        <w:tc>
          <w:tcPr>
            <w:tcW w:w="6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47.1%</w:t>
            </w:r>
          </w:p>
        </w:tc>
        <w:tc>
          <w:tcPr>
            <w:tcW w:w="1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48.4%</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6" w:lineRule="exact"/>
        <w:rPr>
          <w:sz w:val="20"/>
          <w:szCs w:val="20"/>
          <w:color w:val="auto"/>
        </w:rPr>
      </w:pPr>
    </w:p>
    <w:p>
      <w:pPr>
        <w:ind w:left="380" w:right="10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April 1, 2017 compared to thirteen weeks ended April 2, 2016</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Total revenues were $90.6 million for the thirteen weeks ended April 1, 2017, as compared to $95.0 million for the thirteen weeks ended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2016, a decrease of $4.3 million, or 4.6%. Net retail sales were $88.6 million for the thirteen weeks ended April 1, 2017, as compared to $94.1 million for the thirteen weeks ended April 2, 2016, a decrease of $5.5 million, or 5.8%. The components of this decrease are as follows (dollars in millions):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comparable sales</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new stores</w:t>
            </w:r>
          </w:p>
        </w:tc>
        <w:tc>
          <w:tcPr>
            <w:tcW w:w="6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store closures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deferred revenue estimates, including breakage</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non-comparable stores, primarily remodels and relocations</w:t>
            </w:r>
          </w:p>
        </w:tc>
        <w:tc>
          <w:tcPr>
            <w:tcW w:w="6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from other retail</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6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2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8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negative consolidated comparable sales performance was primarily attributable to the impact of the shift in timing of both Valentine’s Day from a weekend to a weekday and Easter from our first quarter into this year’s second quarter which also reflects the impact of school spring break shifts as they generally follow Easter timing. We also believe that the changes in marketing tactics negatively impacted sales for the first part of the quarter. Changes were made including media shifts and the addition of direct mail and in-store events that had positive impact on comparable sales starting in late February and carrying into March..</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14" w:name="page15"/>
    <w:bookmarkEnd w:id="14"/>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Commercial revenue was $1.6 million for the thirteen weeks ended April 1, 2017, compared to $0.5 million for the thirteen weeks ended April 2, 2016, an increase of $1.1 million, resulting from the increase in wholesale sales in 2017. Revenue from international franchise fees was $0.4 million for both of the thirteen-week periods ended April 1, 2017 and April 2, 2016.</w:t>
      </w:r>
    </w:p>
    <w:p>
      <w:pPr>
        <w:spacing w:after="0" w:line="1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was $41.7 million for the thirteen weeks ended April 1, 2017, as compared to $45.5 million for the thirteen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2, 2016, a decrease of $3.8 million, or 8.3%. As a percentage of net retail sales, retail gross margin was 47.1% for the thirteen weeks ended April 1, 2017 as compared to 48.4% for the thirteen weeks ended April 2, 2016, a decrease of 130 basis points as a percentage of net retail sales. Our retail gross margin decline was primarily driven by deleverage of fixed occupancy costs on lower sales and the negative impact of currency exchange rates on margin in the United Kingdom, partially offset by a 30 basis point expansion in merchandise margin.</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(“SG&amp;A”) expenses were $37.7 million for the thirteen weeks ended April 1, 2017,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$39.7 million for the thirteen weeks ended April 2, 2016, a decrease of $2.0 million, or 5.1%. As a percentage of total revenues, SG&amp;A expenses were 41.5% for the thirteen weeks ended April 1, 2017, as compared to 41.8% for the thirteen weeks ended April 2, 2016, a decrease of 30 basis points. This decrease was primarily driven by a reduction in marketing spend, given the shift of Easter versus the first quarter last year, and lower variable expense consistent with the decline in total revenues, partially offset by costs related to the increase in store count.</w:t>
      </w:r>
    </w:p>
    <w:p>
      <w:pPr>
        <w:spacing w:after="0" w:line="18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Store preopening. </w:t>
      </w:r>
      <w:r>
        <w:rPr>
          <w:rFonts w:ascii="Times New Roman" w:cs="Times New Roman" w:eastAsia="Times New Roman" w:hAnsi="Times New Roman"/>
          <w:sz w:val="18"/>
          <w:szCs w:val="18"/>
          <w:color w:val="auto"/>
        </w:rPr>
        <w:t>Store preopening expenses were $0.6 million for the thirteen weeks ended April 1, 2017, as compared to $1.2 million for the thirteen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2, 2016, a decrease of $0.6 million. The higher preopening expense in first quarter of 2016 was associated with the opening of several tourist locations which generally have higher costs.</w:t>
      </w:r>
    </w:p>
    <w:p>
      <w:pPr>
        <w:spacing w:after="0" w:line="17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Interest income, net of interest expense, was $10,000 for the thirteen weeks ended April 1, 2017, as compared to $27,000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April 2, 2016.</w:t>
      </w:r>
    </w:p>
    <w:p>
      <w:pPr>
        <w:spacing w:after="0" w:line="15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$1.8 million with a tax rate of 39.8% for the thirteen weeks ended April 1, 2017, compared to tax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million with a tax rate of 33.3% for the thirteen weeks ended April 2, 2016. In the first quarter of fiscal 2017, the effective tax rate differed from the statutory rate of 34% primarily due to the implementation of the new accounting standard related to the accounting for the tax impact of equity awards vesting.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(1) fluctuations in the profitability of our stores; (2) increases or decreases in comparable sales and total revenues; (3) changes in general economic conditions and consumer spending patterns; (4) the timing and frequency of our marketing initiatives including national media appearances and other public relations events; (5) changes in foreign currency exchange rates; (6) seasonal shopping patterns and holiday and vacation schedules; (7) the timing of store closures, relocations and openings and related expenses; (8) the effectiveness of our inventory management; (9) changes in consumer preferences; (10) the continued introduction and expansion of merchandise offerings; (11) actions of competitors or mall anchors and co-tenants; (12) weather conditions; and (13) the impact of a 53rd week in our fiscal year, which occurs approximately every six years.</w:t>
      </w:r>
    </w:p>
    <w:p>
      <w:pPr>
        <w:spacing w:after="0" w:line="18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timing of store openings, closures and remodels may cause fluctuations in quarterly results due to the changes in revenues and expenses associated with each store location. We typically incur most preopening costs for a new store, remodeled or relocated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0" w:lineRule="exact"/>
        <w:rPr>
          <w:sz w:val="20"/>
          <w:szCs w:val="20"/>
          <w:color w:val="auto"/>
        </w:rPr>
      </w:pPr>
    </w:p>
    <w:p>
      <w:pPr>
        <w:ind w:right="20" w:firstLine="446"/>
        <w:spacing w:after="0" w:line="266" w:lineRule="auto"/>
        <w:rPr>
          <w:sz w:val="20"/>
          <w:szCs w:val="20"/>
          <w:color w:val="auto"/>
        </w:rPr>
      </w:pPr>
      <w:r>
        <w:rPr>
          <w:rFonts w:ascii="Times New Roman" w:cs="Times New Roman" w:eastAsia="Times New Roman" w:hAnsi="Times New Roman"/>
          <w:sz w:val="18"/>
          <w:szCs w:val="18"/>
          <w:color w:val="auto"/>
        </w:rPr>
        <w:t>As a specialty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relocation and remodeling of existing stores,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$5.9 million for the thirteen weeks ended April 1, 2017, compared with $7.0 million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operating activities for the thirteen weeks ended April 2, 2016, an increase of $12.9 million. This increase in cash provided by operating activities over the year ago period was primarily due to the timing of rent and inventory payments and collection of receivables partially offset by the decrease in net income and the timing of inventory receipts and gift card redemptions.</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Cash used in investing activities was $2.3 million for the thirteen weeks ended April 1, 2017, as compared to $4.7 million for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April 2, 2016, a decrease of $2.4 million. Cash used in investing activities during the thirteen weeks ended April 1, 2017 primarily related to upgrades and purchases of central office information technology systems and equipment and store construction and maintenance. Cash used in investing activities during the thirteen weeks ended April 2, 2016, primarily related to store construction and upgrades and purchases of information technology infrastructure, partially offset by the maturity of short-term investments.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Cash used in the thirteen weeks ended April 1, 2017, was $0.4 million related to exercises of employee stock options, net of shares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withholding tax payments and payments under capital leases. Cash used in financing activities in the thirteen weeks ended April 2, 2016 was $1.9 million as purchases of our stock used cash of $1.5 million and exercises of employee stock options, net of shares used for withholding tax payments used $0.4 million. No borrowings were made under our line of credit in either the thirteen weeks ended April 1, 2017 or April 2, 2016.</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of April 1, 2017, we had a consolidated cash balance of $35.6 million, less than half of which was domiciled outside of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 million. The bank line provides availability of $35 million. Borrowings under the credit agreement are secured by our assets and a pledge of 65%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In the first quarter of fiscal 2017, we exceeded the maximum lease and rental payments for personal property of $100,000 permitted in the financial covenants, resulting in non-compliance. We have subsequently amended the personal property lease payments covenant for 2016. As of April 1, 2017: (i) we were in compliance with all remaining covenants; (ii) there were no borrowings under our line of credit; and (iii) there was approximately $35.0 million available for borrowing under the line of credit.</w:t>
      </w:r>
    </w:p>
    <w:p>
      <w:pPr>
        <w:spacing w:after="0" w:line="18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fiscal 2017, we expect to spend a total of $20 million to $25 million on capital expenditures. Capital spending through the thirteen weeks ended April 1, 2017 totaled $2.3 million, on track with our full year plans. Capital spending in fiscal 2017 is expected to primarily support our investments in information technology infrastructure and store activity, including both remodels and new stores.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discussed in and should be read in conjunction with our annual report on Form 10-K, as filed with the Securities and Exchange Commission (“SEC”) on March 16, 2017, which includes audited consolidated financial statements for our 2016, 2015 and 2014 fiscal years. There have been no material changes to the critical accounting estimates disclosed in the 2016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Recently Issued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December 31, 2016 as filed with the SEC on March 16,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April 1, 2017, the end of the period covered by this Quarterly Report.</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Risk Factors as disclosed in our Annual Report on Form 10-K for the year ended December 31, 2016 as filed with the SEC on March 16,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(or</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2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 (or</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 or</w:t>
            </w:r>
          </w:p>
        </w:tc>
        <w:tc>
          <w:tcPr>
            <w:tcW w:w="2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3"/>
              </w:rPr>
              <w:t xml:space="preserve">Purchased </w:t>
            </w:r>
            <w:r>
              <w:rPr>
                <w:rFonts w:ascii="Times New Roman" w:cs="Times New Roman" w:eastAsia="Times New Roman" w:hAnsi="Times New Roman"/>
                <w:sz w:val="30"/>
                <w:szCs w:val="30"/>
                <w:b w:val="1"/>
                <w:bCs w:val="1"/>
                <w:color w:val="auto"/>
                <w:w w:val="93"/>
                <w:vertAlign w:val="superscript"/>
              </w:rPr>
              <w:t>(1)</w:t>
            </w:r>
          </w:p>
        </w:tc>
        <w:tc>
          <w:tcPr>
            <w:tcW w:w="2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(or Unit)</w:t>
            </w:r>
          </w:p>
        </w:tc>
        <w:tc>
          <w:tcPr>
            <w:tcW w:w="220" w:type="dxa"/>
            <w:vAlign w:val="bottom"/>
          </w:tcPr>
          <w:p>
            <w:pPr>
              <w:spacing w:after="0"/>
              <w:rPr>
                <w:sz w:val="23"/>
                <w:szCs w:val="2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Program</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Jan. 1, 2017 – Jan. 28, 2017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Jan. 29, 2017 – Feb. 25, 2017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Feb. 26, 2017 – Apr. 1, 2017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11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40,955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8.84</w:t>
            </w: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6" w:lineRule="exact"/>
        <w:rPr>
          <w:sz w:val="20"/>
          <w:szCs w:val="20"/>
          <w:color w:val="auto"/>
        </w:rPr>
      </w:pPr>
    </w:p>
    <w:p>
      <w:pPr>
        <w:ind w:left="540" w:right="40" w:hanging="532"/>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92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April 3, 2000 between Build-A-Bear Workshop, L.L.C. and the Registrant (incorporated by</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from Exhibit 2.1 to our Registration Statement on Form S-1, filed on August 12, 2004, Registration No. 333-118142)</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(incorporated by reference from Exhibit 3.1 of our Current Report on Form 8-</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 filed on November 11, 2004)</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as amended through February 23, 2016 (incorporated by reference from Exhibit 3.1 to our Current</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 on Form 8-K, filed on February 24, 2016)</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Specimen Stock Certificate (incorporated by reference from Exhibit 4.1 to Amendment No. 3 to our Registration Statement on Form S-1,</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filed on October 1, 2004, Registration No. 333-118142)</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Description of Build-A-Bear Workshop, Inc. Cash Bonus Program for Chiefs (incorporated by reference from Exhibit 10.1 of our Current</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 on Form 8-K, filed on March 17, 2017)</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Restricted Stock and Non-Qualified Stock Option Agreement under the Registrant’s Third Amended and Restated 2004 Stock</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Incentive Plan (incorporated by reference from Exhibit 10.2 of our Current Report on Form 8-K, filed on March 17, 2017)</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Seventeenth Amendment to Loan Documents between Build-A-Bear Workshop, Inc., Build-A-Bear Workshop Franchise Holdings, Inc.,</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Build-A-Bear Entertainment, LLC, Build-A-Bear Retail Management, Inc., and Build-A-Bear Card Services, LLC, as Borrowers, and</w:t>
            </w: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Bank National Association, as Lender, entered into effective as of May 4, 2017 (incorporated by reference from Exhibit 10.1 to our</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May 8, 2017)</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13a-14(a)/15d-14(a) certification (pursuant to Section 302 of the Sarbanes-Oxley Act of 2002, executed by the President and Chief</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13a-14(a)/15d-14(a) certification (pursuant to Section 302 of the Sarbanes-Oxley Act of 2002, executed by the Chief Financial</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President and Chief Executive</w:t>
            </w:r>
          </w:p>
        </w:tc>
      </w:tr>
      <w:tr>
        <w:trPr>
          <w:trHeight w:val="234"/>
        </w:trPr>
        <w:tc>
          <w:tcPr>
            <w:tcW w:w="138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Section 1350 Certification (pursuant to Section 906 of the Sarbanes-Oxley Act of 2002, executed by the Chief Financial Officer)</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Instance</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Extension Schema</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Extension Calculation</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Extension Definition</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Extension Label</w:t>
            </w: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Extension Presentation</w:t>
            </w:r>
          </w:p>
        </w:tc>
      </w:tr>
      <w:tr>
        <w:trPr>
          <w:trHeight w:val="432"/>
        </w:trPr>
        <w:tc>
          <w:tcPr>
            <w:tcW w:w="138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19</w:t>
            </w:r>
          </w:p>
        </w:tc>
      </w:tr>
      <w:tr>
        <w:trPr>
          <w:trHeight w:val="115"/>
        </w:trPr>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19" w:name="page20"/>
    <w:bookmarkEnd w:id="1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Sharon John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(on behalf of the registrant and as principal executive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Voin Todorovic</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(on behalf of the registrant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57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40" w:right="60" w:hanging="454"/>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40" w:right="200" w:hanging="454"/>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40" w:right="360" w:hanging="454"/>
        <w:spacing w:after="0" w:line="31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340" w:right="60" w:hanging="454"/>
        <w:spacing w:after="0" w:line="26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right="580" w:hanging="441"/>
        <w:spacing w:after="0" w:line="282" w:lineRule="auto"/>
        <w:tabs>
          <w:tab w:leader="none" w:pos="13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right="280" w:hanging="441"/>
        <w:spacing w:after="0" w:line="282" w:lineRule="auto"/>
        <w:tabs>
          <w:tab w:leader="none" w:pos="134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Sharon John</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ectPr>
          <w:pgSz w:w="11900" w:h="16838" w:orient="portrait"/>
          <w:cols w:equalWidth="0" w:num="1">
            <w:col w:w="11420"/>
          </w:cols>
          <w:pgMar w:left="240" w:top="117"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right="60" w:hanging="426"/>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40" w:right="60" w:hanging="441"/>
        <w:spacing w:after="0" w:line="26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40" w:right="200" w:hanging="441"/>
        <w:spacing w:after="0" w:line="26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40" w:right="360" w:hanging="441"/>
        <w:spacing w:after="0" w:line="313" w:lineRule="auto"/>
        <w:tabs>
          <w:tab w:leader="none" w:pos="1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340" w:right="60" w:hanging="441"/>
        <w:spacing w:after="0" w:line="266"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880" w:right="20" w:hanging="426"/>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right="600" w:hanging="441"/>
        <w:spacing w:after="0" w:line="282"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right="300" w:hanging="441"/>
        <w:spacing w:after="0" w:line="282" w:lineRule="auto"/>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April 1, 2017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Sharon John</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April 1, 2017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2019-12-06T14:46:07Z</dcterms:created>
  <dcterms:modified xsi:type="dcterms:W3CDTF">2019-12-06T14:46:07Z</dcterms:modified>
</cp:coreProperties>
</file>