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-125095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6" w:lineRule="exact"/>
        <w:rPr>
          <w:sz w:val="24"/>
          <w:szCs w:val="24"/>
          <w:color w:val="auto"/>
        </w:rPr>
      </w:pPr>
    </w:p>
    <w:p>
      <w:pPr>
        <w:ind w:left="580" w:right="3960" w:hanging="572"/>
        <w:spacing w:after="0" w:line="490" w:lineRule="auto"/>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November 2,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80"/>
        <w:spacing w:after="0"/>
        <w:tabs>
          <w:tab w:leader="none" w:pos="35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1870075</wp:posOffset>
            </wp:positionH>
            <wp:positionV relativeFrom="paragraph">
              <wp:posOffset>-5080</wp:posOffset>
            </wp:positionV>
            <wp:extent cx="866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BUILD-A-BEAR WORKSHOP,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43-1883836</w:t>
            </w: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7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2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415 South 18th St.</w:t>
            </w:r>
          </w:p>
        </w:tc>
        <w:tc>
          <w:tcPr>
            <w:tcW w:w="3100" w:type="dxa"/>
            <w:vAlign w:val="bottom"/>
          </w:tcPr>
          <w:p>
            <w:pPr>
              <w:spacing w:after="0"/>
              <w:rPr>
                <w:sz w:val="24"/>
                <w:szCs w:val="24"/>
                <w:color w:val="auto"/>
              </w:rPr>
            </w:pP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63103</w:t>
            </w:r>
          </w:p>
        </w:tc>
      </w:tr>
      <w:tr>
        <w:trPr>
          <w:trHeight w:val="238"/>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423-8000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4"/>
        </w:trPr>
        <w:tc>
          <w:tcPr>
            <w:tcW w:w="492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Trading Symbol</w:t>
            </w:r>
          </w:p>
        </w:tc>
        <w:tc>
          <w:tcPr>
            <w:tcW w:w="43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9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Common stock</w:t>
            </w:r>
          </w:p>
        </w:tc>
        <w:tc>
          <w:tcPr>
            <w:tcW w:w="19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BBW</w:t>
            </w:r>
          </w:p>
        </w:tc>
        <w:tc>
          <w:tcPr>
            <w:tcW w:w="43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14"/>
        </w:trPr>
        <w:tc>
          <w:tcPr>
            <w:tcW w:w="4920" w:type="dxa"/>
            <w:vAlign w:val="bottom"/>
          </w:tcPr>
          <w:p>
            <w:pPr>
              <w:spacing w:after="0"/>
              <w:rPr>
                <w:sz w:val="24"/>
                <w:szCs w:val="24"/>
                <w:color w:val="auto"/>
              </w:rPr>
            </w:pPr>
          </w:p>
        </w:tc>
        <w:tc>
          <w:tcPr>
            <w:tcW w:w="1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88"/>
              </w:rPr>
              <w:t>1</w:t>
            </w:r>
          </w:p>
        </w:tc>
        <w:tc>
          <w:tcPr>
            <w:tcW w:w="4340" w:type="dxa"/>
            <w:vAlign w:val="bottom"/>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36" w:lineRule="exact"/>
        <w:rPr>
          <w:sz w:val="20"/>
          <w:szCs w:val="20"/>
          <w:color w:val="auto"/>
        </w:rPr>
      </w:pPr>
    </w:p>
    <w:p>
      <w:pPr>
        <w:sectPr>
          <w:pgSz w:w="11900" w:h="16838" w:orient="portrait"/>
          <w:cols w:equalWidth="0" w:num="3">
            <w:col w:w="1620" w:space="100"/>
            <w:col w:w="5200" w:space="720"/>
            <w:col w:w="3600"/>
          </w:cols>
          <w:pgMar w:left="320" w:top="121"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6920" w:space="720"/>
            <w:col w:w="3600"/>
          </w:cols>
          <w:pgMar w:left="320" w:top="121" w:right="339" w:bottom="1440" w:gutter="0" w:footer="0" w:header="0"/>
          <w:type w:val="continuous"/>
        </w:sectPr>
      </w:pPr>
    </w:p>
    <w:p>
      <w:pPr>
        <w:spacing w:after="0" w:line="17" w:lineRule="exact"/>
        <w:rPr>
          <w:sz w:val="20"/>
          <w:szCs w:val="20"/>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9, 2024, there were 13,439,903 issued and outstanding shares of the registrant’s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5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73"/>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00" w:type="dxa"/>
            <w:vAlign w:val="bottom"/>
            <w:gridSpan w:val="7"/>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BUILD-A-BEAR WORKSHOP, INC.</w:t>
            </w: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0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7"/>
          </w:tcPr>
          <w:p>
            <w:pPr>
              <w:ind w:left="3320"/>
              <w:spacing w:after="0"/>
              <w:rPr>
                <w:sz w:val="20"/>
                <w:szCs w:val="20"/>
                <w:color w:val="auto"/>
              </w:rPr>
            </w:pPr>
            <w:r>
              <w:rPr>
                <w:rFonts w:ascii="Times New Roman" w:cs="Times New Roman" w:eastAsia="Times New Roman" w:hAnsi="Times New Roman"/>
                <w:sz w:val="18"/>
                <w:szCs w:val="18"/>
                <w:color w:val="auto"/>
              </w:rPr>
              <w:t>Page</w:t>
            </w: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3580" w:type="dxa"/>
            <w:vAlign w:val="bottom"/>
            <w:gridSpan w:val="5"/>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3580" w:type="dxa"/>
            <w:vAlign w:val="bottom"/>
            <w:gridSpan w:val="5"/>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16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1A.Risk Factors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6120" w:type="dxa"/>
            <w:vAlign w:val="bottom"/>
            <w:gridSpan w:val="10"/>
            <w:shd w:val="clear" w:color="auto" w:fill="CCEEFF"/>
          </w:tcPr>
          <w:p>
            <w:pPr>
              <w:spacing w:after="0"/>
              <w:rPr>
                <w:sz w:val="17"/>
                <w:szCs w:val="17"/>
                <w:color w:val="auto"/>
              </w:rPr>
            </w:pPr>
          </w:p>
        </w:tc>
        <w:tc>
          <w:tcPr>
            <w:tcW w:w="3400" w:type="dxa"/>
            <w:vAlign w:val="bottom"/>
            <w:gridSpan w:val="2"/>
            <w:shd w:val="clear" w:color="auto" w:fill="CCEEFF"/>
          </w:tcPr>
          <w:p>
            <w:pPr>
              <w:spacing w:after="0"/>
              <w:rPr>
                <w:sz w:val="17"/>
                <w:szCs w:val="17"/>
                <w:color w:val="auto"/>
              </w:rPr>
            </w:pPr>
          </w:p>
        </w:tc>
        <w:tc>
          <w:tcPr>
            <w:tcW w:w="280" w:type="dxa"/>
            <w:vAlign w:val="bottom"/>
            <w:gridSpan w:val="4"/>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0000EE"/>
                <w:w w:val="99"/>
              </w:rPr>
              <w:t>27</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75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28</w:t>
            </w:r>
          </w:p>
        </w:tc>
        <w:tc>
          <w:tcPr>
            <w:tcW w:w="20" w:type="dxa"/>
            <w:vAlign w:val="bottom"/>
            <w:shd w:val="clear" w:color="auto" w:fill="CCEEFF"/>
          </w:tcPr>
          <w:p>
            <w:pPr>
              <w:spacing w:after="0"/>
              <w:rPr>
                <w:sz w:val="17"/>
                <w:szCs w:val="17"/>
                <w:color w:val="auto"/>
              </w:rPr>
            </w:pPr>
          </w:p>
        </w:tc>
      </w:tr>
      <w:tr>
        <w:trPr>
          <w:trHeight w:val="432"/>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520" w:type="dxa"/>
            <w:vAlign w:val="bottom"/>
            <w:tcBorders>
              <w:top w:val="single" w:sz="8" w:color="CCEEFF"/>
            </w:tcBorders>
            <w:gridSpan w:val="14"/>
          </w:tcPr>
          <w:p>
            <w:pPr>
              <w:jc w:val="center"/>
              <w:ind w:left="3110"/>
              <w:spacing w:after="0"/>
              <w:rPr>
                <w:sz w:val="20"/>
                <w:szCs w:val="20"/>
                <w:color w:val="auto"/>
              </w:rPr>
            </w:pPr>
            <w:r>
              <w:rPr>
                <w:rFonts w:ascii="Times New Roman" w:cs="Times New Roman" w:eastAsia="Times New Roman" w:hAnsi="Times New Roman"/>
                <w:sz w:val="18"/>
                <w:szCs w:val="18"/>
                <w:color w:val="auto"/>
                <w:w w:val="88"/>
              </w:rPr>
              <w:t>3</w:t>
            </w:r>
          </w:p>
        </w:tc>
        <w:tc>
          <w:tcPr>
            <w:tcW w:w="26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February 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October 28,</w:t>
            </w:r>
          </w:p>
        </w:tc>
      </w:tr>
      <w:tr>
        <w:trPr>
          <w:trHeight w:val="238"/>
        </w:trPr>
        <w:tc>
          <w:tcPr>
            <w:tcW w:w="6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28,955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44,327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24,800</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18"/>
                <w:szCs w:val="18"/>
                <w:color w:val="auto"/>
              </w:rPr>
            </w:pP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70,774</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64,466</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13,461</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13,908</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13,592</w:t>
            </w:r>
          </w:p>
        </w:tc>
        <w:tc>
          <w:tcPr>
            <w:tcW w:w="100" w:type="dxa"/>
            <w:vAlign w:val="bottom"/>
          </w:tcPr>
          <w:p>
            <w:pPr>
              <w:spacing w:after="0"/>
              <w:rPr>
                <w:sz w:val="18"/>
                <w:szCs w:val="18"/>
                <w:color w:val="auto"/>
              </w:rPr>
            </w:pPr>
          </w:p>
        </w:tc>
      </w:tr>
      <w:tr>
        <w:trPr>
          <w:trHeight w:val="210"/>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125,172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127,772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116,766</w:t>
            </w:r>
          </w:p>
        </w:tc>
      </w:t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91,268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73,443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67,768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54,498</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51,914</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6,822</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00" w:type="dxa"/>
            <w:vAlign w:val="bottom"/>
          </w:tcPr>
          <w:p>
            <w:pPr>
              <w:spacing w:after="0"/>
              <w:rPr>
                <w:sz w:val="18"/>
                <w:szCs w:val="18"/>
                <w:color w:val="auto"/>
              </w:rPr>
            </w:pPr>
          </w:p>
        </w:tc>
      </w:tr>
      <w:tr>
        <w:trPr>
          <w:trHeight w:val="24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285,862</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272,325</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250,543</w:t>
            </w:r>
          </w:p>
        </w:tc>
      </w:tr>
      <w:tr>
        <w:trPr>
          <w:trHeight w:val="197"/>
        </w:trPr>
        <w:tc>
          <w:tcPr>
            <w:tcW w:w="632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gridSpan w:val="2"/>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20" w:type="dxa"/>
            <w:vAlign w:val="bottom"/>
            <w:gridSpan w:val="5"/>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16,170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11,961</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19,994</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25,319</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28,832</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26,002</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160" w:type="dxa"/>
            <w:vAlign w:val="bottom"/>
          </w:tcPr>
          <w:p>
            <w:pPr>
              <w:spacing w:after="0"/>
              <w:rPr>
                <w:sz w:val="18"/>
                <w:szCs w:val="18"/>
                <w:color w:val="auto"/>
              </w:rPr>
            </w:pP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15,697</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18,366</w:t>
            </w:r>
          </w:p>
        </w:tc>
      </w:tr>
      <w:tr>
        <w:trPr>
          <w:trHeight w:val="216"/>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and other</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86,424</w:t>
            </w:r>
          </w:p>
        </w:tc>
        <w:tc>
          <w:tcPr>
            <w:tcW w:w="1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83,733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85,313</w:t>
            </w:r>
          </w:p>
        </w:tc>
      </w:tr>
      <w:tr>
        <w:trPr>
          <w:trHeight w:val="216"/>
        </w:trPr>
        <w:tc>
          <w:tcPr>
            <w:tcW w:w="6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 term</w:t>
            </w:r>
          </w:p>
        </w:tc>
        <w:tc>
          <w:tcPr>
            <w:tcW w:w="160" w:type="dxa"/>
            <w:vAlign w:val="bottom"/>
          </w:tcPr>
          <w:p>
            <w:pPr>
              <w:spacing w:after="0"/>
              <w:rPr>
                <w:sz w:val="18"/>
                <w:szCs w:val="18"/>
                <w:color w:val="auto"/>
              </w:rPr>
            </w:pP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69,518</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57,609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52,423</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1,159</w:t>
            </w:r>
          </w:p>
        </w:tc>
      </w:t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$0.01, Shares authorized: 15,000,000; No shares issued</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outstanding at November 2, 2024, February 3, 2024 and October 28, 2023</w:t>
            </w: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Shares authorized: 50,000,000; Issued and</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13,445,191, 14,172,362, and 14,391,876 shares, respectively</w:t>
            </w:r>
          </w:p>
        </w:tc>
        <w:tc>
          <w:tcPr>
            <w:tcW w:w="16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66,330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66,641</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(11,811)</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(12,319)</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77,738</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75,272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57,182</w:t>
            </w:r>
          </w:p>
        </w:tc>
      </w:tr>
      <w:tr>
        <w:trPr>
          <w:trHeight w:val="209"/>
        </w:trPr>
        <w:tc>
          <w:tcPr>
            <w:tcW w:w="6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128,573</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285,862</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272,325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250,543</w:t>
            </w:r>
          </w:p>
        </w:tc>
      </w:tr>
      <w:tr>
        <w:trPr>
          <w:trHeight w:val="20"/>
        </w:trPr>
        <w:tc>
          <w:tcPr>
            <w:tcW w:w="6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7420" w:type="dxa"/>
            <w:vAlign w:val="bottom"/>
            <w:gridSpan w:val="8"/>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20" w:type="dxa"/>
            <w:vAlign w:val="bottom"/>
            <w:gridSpan w:val="8"/>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AND COMPREHENSIVE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12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7420" w:type="dxa"/>
            <w:vAlign w:val="bottom"/>
            <w:gridSpan w:val="8"/>
          </w:tcPr>
          <w:p>
            <w:pPr>
              <w:jc w:val="center"/>
              <w:ind w:left="119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4"/>
                <w:szCs w:val="24"/>
                <w:color w:val="auto"/>
              </w:rPr>
            </w:pPr>
          </w:p>
        </w:tc>
        <w:tc>
          <w:tcPr>
            <w:tcW w:w="236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87"/>
        </w:trPr>
        <w:tc>
          <w:tcPr>
            <w:tcW w:w="12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October 28,</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October 28,</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retail sales</w:t>
            </w:r>
          </w:p>
        </w:tc>
        <w:tc>
          <w:tcPr>
            <w:tcW w:w="2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109,503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320,826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315,972</w:t>
            </w: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revenue</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17,685</w:t>
            </w: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3,180</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119,430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107,562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345,958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336,837</w:t>
            </w:r>
          </w:p>
        </w:tc>
      </w:tr>
      <w:tr>
        <w:trPr>
          <w:trHeight w:val="210"/>
        </w:trPr>
        <w:tc>
          <w:tcPr>
            <w:tcW w:w="128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retail</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50,116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47,551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147,138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146,165</w:t>
            </w: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merchandise sold - commercial</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3,669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8,458</w:t>
            </w: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international franchising</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2,042</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54,790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50,929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158,584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156,665</w:t>
            </w:r>
          </w:p>
        </w:tc>
      </w:tr>
      <w:tr>
        <w:trPr>
          <w:trHeight w:val="20"/>
        </w:trPr>
        <w:tc>
          <w:tcPr>
            <w:tcW w:w="128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64,640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56,633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187,374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180,172</w:t>
            </w: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51,668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46,566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148,442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140,516</w:t>
            </w: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13,081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10,348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39,655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40,180</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9,548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9,648</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2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30,532</w:t>
            </w:r>
          </w:p>
        </w:tc>
      </w:tr>
      <w:tr>
        <w:trPr>
          <w:trHeight w:val="196"/>
        </w:trPr>
        <w:tc>
          <w:tcPr>
            <w:tcW w:w="1280" w:type="dxa"/>
            <w:vAlign w:val="bottom"/>
            <w:tcBorders>
              <w:top w:val="single" w:sz="8" w:color="CCEEFF"/>
            </w:tcBorders>
          </w:tcPr>
          <w:p>
            <w:pPr>
              <w:spacing w:after="0"/>
              <w:rPr>
                <w:sz w:val="17"/>
                <w:szCs w:val="17"/>
                <w:color w:val="auto"/>
              </w:rPr>
            </w:pPr>
          </w:p>
        </w:tc>
        <w:tc>
          <w:tcPr>
            <w:tcW w:w="28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28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Comprehensive income</w:t>
            </w:r>
          </w:p>
        </w:tc>
        <w:tc>
          <w:tcPr>
            <w:tcW w:w="2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9,972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30,487</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08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12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0.53</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2.10</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computing common per share amounts:</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13,425,332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14,362,702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13,672,416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14,413,308</w:t>
            </w:r>
          </w:p>
        </w:tc>
      </w:tr>
      <w:tr>
        <w:trPr>
          <w:trHeight w:val="234"/>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13,461,983</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14,438,795</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13,712,461</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14,563,974</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2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87"/>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November 2,</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30,532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9,540</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Share-based and performance-based stock compensation</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2,492</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Provision/adjustments for doubtful accounts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5,729</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2,511</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(10,408)</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(4,311)</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(1,021)</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(2,987)</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32,740</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(11,124)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(11,124)</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common stock for employee equity awards, net of tax</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(1,797)</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dividends paid</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(22,098)</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Company’s common stock</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(15,239)</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(39,134)</w:t>
            </w: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(17,398)</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28,955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24,800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24,413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Restricted cash from long-term deposits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24,800</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paid during the period for income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425"/>
        </w:trPr>
        <w:tc>
          <w:tcPr>
            <w:tcW w:w="1280" w:type="dxa"/>
            <w:vAlign w:val="bottom"/>
          </w:tcPr>
          <w:p>
            <w:pPr>
              <w:spacing w:after="0"/>
              <w:rPr>
                <w:sz w:val="24"/>
                <w:szCs w:val="24"/>
                <w:color w:val="auto"/>
              </w:rPr>
            </w:pPr>
          </w:p>
        </w:tc>
        <w:tc>
          <w:tcPr>
            <w:tcW w:w="696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50"/>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February 3, 2024,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February 3, 2024, which were included in the Company’s Annual Report on Form 10-K filed with the SEC on April 18, 2024.</w:t>
      </w:r>
    </w:p>
    <w:p>
      <w:pPr>
        <w:spacing w:after="0" w:line="19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Certain prior period amounts in the notes to the condensed consolidated financial statements have been reclassified to conform to the current period presentation. These reclassifications did not affect net earnings attributable to Build-A-Bear Workshop,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2 to the consolidated financial statements included in its Form 10-K for the year ended February 3, 2024.</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Currently, most of the Company’s revenue is derived from retail sales (including from its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92% of consolidated revenue for the third quarter of fiscal 2024. The majority of these sales transactions were single performance obligations that were recorded when control of merchandise was transferred to the customer.</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following is a description of principal activities from which the Company generates its revenue, by reportable segment.</w:t>
      </w:r>
    </w:p>
    <w:p>
      <w:pPr>
        <w:spacing w:after="0" w:line="227"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18"/>
          <w:szCs w:val="18"/>
          <w:color w:val="auto"/>
        </w:rPr>
        <w:t>The Company’s direct-to-consumer segment includes the operating activities of corporately-managed stores, other retail-delivered operations and e-commerce demand (orders generated online to be fulfilled from either the Company's warehouse or its stores). Direct-to-consumer revenue is recognized when control of the merchandise is transferred to the customer and for the Company's online sales, generally upon estimated delivery to the customer.</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Revenue is measured as the amount of consideration, including any discounts or incentives, the Company expects to receive in exchange for transferring the merchandise. Product returns have historically averaged less than one-half of one percent due to the personalized and interactive nature of its products, where consumers customize their own stuffed animal. The Company has elected to exclude from revenue all collected sales, value added, and other taxes paid by its customers.</w:t>
      </w:r>
    </w:p>
    <w:p>
      <w:pPr>
        <w:spacing w:after="0" w:line="18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For the Company’s gift cards, revenue is deferred for single transactions until redemption including any related gift card discounts. Approximately 80% of gift cards are redeemed within three years of issuance and over the last three years, approximately 65% of gift cards issued have been redeemed within the first twelve months. In addition, unredeemed gift cards or breakage revenue is recorded in proportion to the customers’ redemption pattern using an estimated breakage rate based on historical experience. Subsequent to stores reopening following shutdowns caused by the pandemic, the Company experienced lower redemptions of its gift cards for all periods of outstanding activated cards compared to pre-pandemic redemption patterns (fiscal year 2019 and earlier), which impacts the gift card breakage rate. The Company does not believe that the redemption pattern experienced during the pandemic reflects the pattern in the future and has adjusted the historical redemption data used to calculate the breakage rate. The Company continues to evaluate expected breakage annually and adjusts the breakage rates in the fourth quarter of each year, or at other times if significant changes in customer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 As a matter of sensitivity, a hypothetical 1% change in our gift card breakage rate in fiscal 2023 would have resulted in a change in breakage revenue of $1.0 million.</w:t>
      </w:r>
    </w:p>
    <w:p>
      <w:pPr>
        <w:spacing w:after="0" w:line="18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The Company issues certificates daily to loyalty program members who have earned 100 or more points in North America and 50 points or more in the U.K. with certificates historically expiring in six months if not redeemed. The Company assesses the redemption rates of its certifications on a quarterly basis to update the rate at which loyalty program points turn into certifications and the rate that certifications are redeemed. In regard to the consolidated balance sheet, contract liabilities related to the loyalty program are classified as deferred revenue and other.</w:t>
      </w:r>
    </w:p>
    <w:p>
      <w:pPr>
        <w:spacing w:after="0" w:line="18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Company’s commercial segment includes transactions with other businesses and is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 as deferred revenue on the consolidated balance sheet.</w:t>
      </w:r>
    </w:p>
    <w:p>
      <w:pPr>
        <w:spacing w:after="0" w:line="18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agreements are ongoing and include operations and product development support and training, generally concentrated around initial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on its consolidated balance sheet. Revenue from merchandise and fixture sales is recognized when control is transferred to the franchisee, which generally occurs upon delivery.</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also incurs expenses directly related to the startup of new franchises, which may include finder’s fees, legal and travel costs, expenses related to its ongoing support of the franchises and employee compensation. Accordingly, the Company’s policy is to capitalize any finder’s fee, as an incremental cost, and expense all other costs as incurred. Additionally, the Company amortizes these capitalized costs into expense in the same pattern as the development fee's recording of revenue as described previously. These capitalized costs for the thirteen and thirty-nine weeks ended November 2, 2024 are not material to the financial statements.</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reserves for “expected” credit losses on financial instruments and other commitments to extend credit rather than the “incurred loss” model. These expected credit losses for financial assets held at the reporting date are to be based on historical experience, current conditions and reasonable and supportable forecasts. For the thirty-nine weeks ended November 2, 2024 and October 28, 2023, the Company's accounts receivable are net of $6.8 million and $6.2 million, inclusive of the allowance for credit losses and the reserve for the UK's customs authority "HMRC" matter of $3.4 million and $3.5 million, respectively. See Note 12 for further discussion of the HMRC matter.</w:t>
      </w:r>
    </w:p>
    <w:p>
      <w:pPr>
        <w:sectPr>
          <w:pgSz w:w="11900" w:h="16838" w:orient="portrait"/>
          <w:cols w:equalWidth="0" w:num="1">
            <w:col w:w="11240"/>
          </w:cols>
          <w:pgMar w:left="320" w:top="121" w:right="339" w:bottom="362"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62"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majority of the Company's leases relate to retail stores and corporate offices. For leases with terms greater than 12 months, the Company records the related asset and obligation at the present value of lease payments over the term. Most new retail store leases have an original term of a five to ten-year base period and may include renewal options to extend the lease term beyond the initial base period. The extension periods are typically much shorter than the original lease term given the Company's strategic decision to maintain a high level of lease optionality.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w:t>
      </w:r>
    </w:p>
    <w:p>
      <w:pPr>
        <w:spacing w:after="0" w:line="19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certain information related to the lease costs for operating leases for the thirteen and thirty-nine weeks ended November 2, 2024 and October 28, 2023 (in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29,642</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Variable lease costs </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lease costs</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40" w:right="680" w:hanging="47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costs consist of leases with variable rent structures, which are intended to increase flexibility in an environment with expected high sales volatility and provide a natural hedge against potential sales declines.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thirteen and thirty-nine weeks ended November 2, 2024 and October 28, 2023 (in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October 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October 28,</w:t>
            </w:r>
          </w:p>
        </w:tc>
      </w:tr>
      <w:tr>
        <w:trPr>
          <w:trHeight w:val="238"/>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30,852</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29,775</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As of November 2, 2024 and October 28, 2023, the weighted-average remaining operating lease term was 5.7 years and 4.0 years, respectively, and the weighted-average discount rate was 7.2% and 6.5%, respectively, for operating leases recognized on the Company's condensed consolidated balance sheets.</w:t>
      </w:r>
    </w:p>
    <w:p>
      <w:pPr>
        <w:spacing w:after="0" w:line="17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value of our operating lease asset was $91.3 million and $67.8 million as of November 2, 2024 and October 28, 2023, respectively. The increase was driven by the Company entering into leases for new stores as well as securing longer-term extensions for existing stores resulting in contracts with more favorable terms.</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For the thirteen and thirty-nine weeks ended November 2, 2024 and the thirteen and thirty-nine weeks ended October 28, 2023 the Company incurred no impairment charges against its right-of-use operating lease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Undiscounted cash flows</w:t>
      </w:r>
    </w:p>
    <w:p>
      <w:pPr>
        <w:spacing w:after="0" w:line="22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balance sheet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738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5,439</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34,908</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24,183</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14,147</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8,736</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37,086</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124,499</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(26,149)</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98,350</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(28,832)</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69,518</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As of November 2, 2024, the Company had additional executed leases that had not yet commenced with operating lease liabilities of $26.5 million. These leases are expected to commence in fiscal 2024 and fiscal 2025 with lease terms of three to twenty years.</w:t>
      </w:r>
    </w:p>
    <w:p>
      <w:pPr>
        <w:sectPr>
          <w:pgSz w:w="11900" w:h="16838" w:orient="portrait"/>
          <w:cols w:equalWidth="0" w:num="1">
            <w:col w:w="11160"/>
          </w:cols>
          <w:pgMar w:left="320" w:top="121" w:right="419" w:bottom="403" w:gutter="0" w:footer="0" w:header="0"/>
        </w:sectPr>
      </w:pP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403"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November 2,</w:t>
            </w: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February 3,</w:t>
            </w:r>
          </w:p>
        </w:tc>
        <w:tc>
          <w:tcPr>
            <w:tcW w:w="2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October 28,</w:t>
            </w:r>
          </w:p>
        </w:tc>
      </w:tr>
      <w:tr>
        <w:trPr>
          <w:trHeight w:val="238"/>
        </w:trPr>
        <w:tc>
          <w:tcPr>
            <w:tcW w:w="3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Prepaid occupancy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2,626</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2,414</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1,209</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Prepaid taxes </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4,092</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gift card fees</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571</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699</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royalties</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(3)</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5,290</w:t>
            </w:r>
          </w:p>
        </w:tc>
      </w:tr>
      <w:tr>
        <w:trPr>
          <w:trHeight w:val="20"/>
        </w:trPr>
        <w:tc>
          <w:tcPr>
            <w:tcW w:w="3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13,592</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occupancy consists of prepaid expenses related to variable non-lease components.</w:t>
      </w:r>
    </w:p>
    <w:p>
      <w:pPr>
        <w:spacing w:after="0" w:line="27"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taxes consist of prepaid federal and state income tax.</w:t>
      </w:r>
    </w:p>
    <w:p>
      <w:pPr>
        <w:spacing w:after="0" w:line="9"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prepaid expense related to information technology maintenance contracts and software as a service.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non-current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November 2,</w:t>
            </w: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February 3,</w:t>
            </w:r>
          </w:p>
        </w:tc>
        <w:tc>
          <w:tcPr>
            <w:tcW w:w="2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October 28,</w:t>
            </w:r>
          </w:p>
        </w:tc>
      </w:tr>
      <w:tr>
        <w:trPr>
          <w:trHeight w:val="238"/>
        </w:trPr>
        <w:tc>
          <w:tcPr>
            <w:tcW w:w="3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Entertainment production asset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4,734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6,057</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2,121</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w:t>
            </w:r>
          </w:p>
        </w:tc>
      </w:tr>
      <w:tr>
        <w:trPr>
          <w:trHeight w:val="216"/>
        </w:trPr>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w:t>
            </w:r>
          </w:p>
        </w:tc>
      </w:tr>
      <w:tr>
        <w:trPr>
          <w:trHeight w:val="20"/>
        </w:trPr>
        <w:tc>
          <w:tcPr>
            <w:tcW w:w="3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7,273</w:t>
            </w:r>
          </w:p>
        </w:tc>
      </w:tr>
      <w:tr>
        <w:trPr>
          <w:trHeight w:val="20"/>
        </w:trPr>
        <w:tc>
          <w:tcPr>
            <w:tcW w:w="3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line="261" w:lineRule="auto"/>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production asset includes the direct costs, production overhead and development costs in producing entertainment assets such as films or music.</w:t>
      </w:r>
    </w:p>
    <w:p>
      <w:pPr>
        <w:ind w:left="920" w:hanging="35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deferred financing costs related to the Company's credit facility.</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November 2,</w:t>
            </w:r>
          </w:p>
        </w:tc>
        <w:tc>
          <w:tcPr>
            <w:tcW w:w="200" w:type="dxa"/>
            <w:vAlign w:val="bottom"/>
          </w:tcPr>
          <w:p>
            <w:pPr>
              <w:spacing w:after="0"/>
              <w:rPr>
                <w:sz w:val="24"/>
                <w:szCs w:val="24"/>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February 3,</w:t>
            </w:r>
          </w:p>
        </w:tc>
        <w:tc>
          <w:tcPr>
            <w:tcW w:w="20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October 28,</w:t>
            </w:r>
          </w:p>
        </w:tc>
      </w:tr>
      <w:tr>
        <w:trPr>
          <w:trHeight w:val="238"/>
        </w:trPr>
        <w:tc>
          <w:tcPr>
            <w:tcW w:w="4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wages, bonuses and related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14,549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17,470</w:t>
            </w:r>
          </w:p>
        </w:tc>
      </w:tr>
      <w:tr>
        <w:trPr>
          <w:trHeight w:val="216"/>
        </w:trPr>
        <w:tc>
          <w:tcPr>
            <w:tcW w:w="4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value added taxes payable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2,447</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2,466</w:t>
            </w:r>
          </w:p>
        </w:tc>
      </w:tr>
      <w:tr>
        <w:trPr>
          <w:trHeight w:val="230"/>
        </w:trPr>
        <w:tc>
          <w:tcPr>
            <w:tcW w:w="460" w:type="dxa"/>
            <w:vAlign w:val="bottom"/>
          </w:tcPr>
          <w:p>
            <w:pPr>
              <w:spacing w:after="0"/>
              <w:rPr>
                <w:sz w:val="19"/>
                <w:szCs w:val="19"/>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taxes payable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1,602</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460" w:type="dxa"/>
            <w:vAlign w:val="bottom"/>
          </w:tcPr>
          <w:p>
            <w:pPr>
              <w:spacing w:after="0"/>
              <w:rPr>
                <w:sz w:val="18"/>
                <w:szCs w:val="18"/>
                <w:color w:val="auto"/>
              </w:rPr>
            </w:pPr>
          </w:p>
        </w:tc>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Accrued rent and related expenses </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1,356</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954</w:t>
            </w:r>
          </w:p>
        </w:tc>
      </w:tr>
      <w:tr>
        <w:trPr>
          <w:trHeight w:val="216"/>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Accrued expense - other </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4,100</w:t>
            </w:r>
          </w:p>
        </w:tc>
      </w:tr>
      <w:tr>
        <w:trPr>
          <w:trHeight w:val="20"/>
        </w:trPr>
        <w:tc>
          <w:tcPr>
            <w:tcW w:w="46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19,954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25,319</w:t>
            </w:r>
          </w:p>
        </w:tc>
      </w:tr>
      <w:tr>
        <w:trPr>
          <w:trHeight w:val="20"/>
        </w:trPr>
        <w:tc>
          <w:tcPr>
            <w:tcW w:w="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rent and related expenses consist of accrued costs associated with non-lease components.</w:t>
      </w:r>
    </w:p>
    <w:p>
      <w:pPr>
        <w:spacing w:after="0" w:line="27"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 - other consists of accrued costs associated with a legal reserve accrual.</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April 14, 2020, the Board of Directors (the “Board”) of Build-A-Bear Workshop, Inc. (the “Company”) adopted, subject to stockholder approval, the Build-A-Bear Workshop, Inc. 2020 Omnibus Incentive Plan (the “2020 Incentive Plan”). On June 11, 2020, the Company’s stockholders approved the 2020 Incentive Plan. On April 11, 2023, the Board adopted, subject to stockholder approval, the Build-A-Bear Workshop, Inc. Amended and Restated 2020 Omnibus Incentive Plan (the “Restated 2020 Incentive Plan”). On June 8, 2023, at the Company’s 2023 Annual Meeting of Stockholders, the Company’s stockholders approved the Restated 2020 Incentive Plan. The Restated 2020 Incentive Plan, which is administered by the Compensation and Development Committee of the Board, permits the grant of stock options (including both incentive and non-qualified stock options), stock appreciation rights, other stock-based awards, including restricted stock and restricted stock units, cash-based awards, and performance awards pursuant to the terms of the Restated 2020 Incentive Plan. The Restated 2020 Incentive Plan will terminate on April 11, 2033, unless earlier terminated by the Board. The total number of shares of the Company’s common stock authorized for issuance under the Restated 2020 Incentive Plan increased by 800,000 to a maximum of 1,800,000 since its inception as the 2020 Incentive Plan, subject to customary capitalization adjustments, substitutions of acquired company awards and certain additions of acquired company plan shares, plus shares that are subject to outstanding awards made under the Build-A-Bear Workshop, Inc. 2017 Omnibus Incentive Plan (the “2017 Plan”) that on or after April 14, 2020 may be forfeited, expire or be settled for cash.</w:t>
      </w:r>
    </w:p>
    <w:p>
      <w:pPr>
        <w:spacing w:after="0" w:line="190"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For the thirteen weeks ended November 2, 2024 and October 28, 2023, selling, general and administrative expense included stock-based compensation expense of $0.7 million and $0.7 million, respectively. For the thirty-nine weeks ended November 2, 2024 and October 28, 2023, selling, general, and administrative expense included stock-based compensation expense of $1.7 million and $2.5 million, respectively. As of November 2, 2024, there was $3.4 million of total unrecognized compensation expense related to unvested restricted stock awards which is expected to be recognized over a weighted-average period of 1.8 years.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balances and activity for stock options for the thirty-nine weeks ended November 2, 2024:</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3120" w:type="dxa"/>
            <w:vAlign w:val="bottom"/>
            <w:gridSpan w:val="5"/>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187"/>
        </w:trPr>
        <w:tc>
          <w:tcPr>
            <w:tcW w:w="586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80" w:type="dxa"/>
            <w:vAlign w:val="bottom"/>
          </w:tcPr>
          <w:p>
            <w:pPr>
              <w:spacing w:after="0"/>
              <w:rPr>
                <w:sz w:val="16"/>
                <w:szCs w:val="16"/>
                <w:color w:val="auto"/>
              </w:rPr>
            </w:pPr>
          </w:p>
        </w:tc>
      </w:tr>
      <w:tr>
        <w:trPr>
          <w:trHeight w:val="238"/>
        </w:trPr>
        <w:tc>
          <w:tcPr>
            <w:tcW w:w="5860" w:type="dxa"/>
            <w:vAlign w:val="bottom"/>
          </w:tcPr>
          <w:p>
            <w:pPr>
              <w:spacing w:after="0"/>
              <w:rPr>
                <w:sz w:val="20"/>
                <w:szCs w:val="20"/>
                <w:color w:val="auto"/>
              </w:rPr>
            </w:pP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0" w:type="dxa"/>
            <w:vAlign w:val="bottom"/>
          </w:tcPr>
          <w:p>
            <w:pPr>
              <w:spacing w:after="0"/>
              <w:rPr>
                <w:sz w:val="20"/>
                <w:szCs w:val="20"/>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February 4, 2024</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12,375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17.84</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(12,375)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17.84</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November 2,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balances and activity related to time-based and performance-based restricted stock for the thirty-nine weeks ended November 2, 2024:</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Performance-Based Restricted</w:t>
            </w:r>
          </w:p>
        </w:tc>
      </w:tr>
      <w:tr>
        <w:trPr>
          <w:trHeight w:val="238"/>
        </w:trPr>
        <w:tc>
          <w:tcPr>
            <w:tcW w:w="3340" w:type="dxa"/>
            <w:vAlign w:val="bottom"/>
          </w:tcPr>
          <w:p>
            <w:pPr>
              <w:spacing w:after="0"/>
              <w:rPr>
                <w:sz w:val="20"/>
                <w:szCs w:val="20"/>
                <w:color w:val="auto"/>
              </w:rPr>
            </w:pPr>
          </w:p>
        </w:tc>
        <w:tc>
          <w:tcPr>
            <w:tcW w:w="290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Time-Based Restricted Stock</w:t>
            </w:r>
          </w:p>
        </w:tc>
        <w:tc>
          <w:tcPr>
            <w:tcW w:w="162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334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38"/>
        </w:trPr>
        <w:tc>
          <w:tcPr>
            <w:tcW w:w="3340" w:type="dxa"/>
            <w:vAlign w:val="bottom"/>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160" w:type="dxa"/>
            <w:vAlign w:val="bottom"/>
          </w:tcPr>
          <w:p>
            <w:pPr>
              <w:spacing w:after="0"/>
              <w:rPr>
                <w:sz w:val="20"/>
                <w:szCs w:val="20"/>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80" w:type="dxa"/>
            <w:vAlign w:val="bottom"/>
          </w:tcPr>
          <w:p>
            <w:pPr>
              <w:spacing w:after="0"/>
              <w:rPr>
                <w:sz w:val="20"/>
                <w:szCs w:val="20"/>
                <w:color w:val="auto"/>
              </w:rPr>
            </w:pPr>
          </w:p>
        </w:tc>
      </w:tr>
      <w:tr>
        <w:trPr>
          <w:trHeight w:val="210"/>
        </w:trPr>
        <w:tc>
          <w:tcPr>
            <w:tcW w:w="3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Outstanding, February 4, 2024 </w:t>
            </w:r>
            <w:r>
              <w:rPr>
                <w:rFonts w:ascii="Times New Roman" w:cs="Times New Roman" w:eastAsia="Times New Roman" w:hAnsi="Times New Roman"/>
                <w:sz w:val="24"/>
                <w:szCs w:val="24"/>
                <w:color w:val="auto"/>
                <w:vertAlign w:val="superscript"/>
              </w:rPr>
              <w:t>(1)</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122,609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18.02</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185,082</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17.37</w:t>
            </w:r>
          </w:p>
        </w:tc>
      </w:tr>
      <w:tr>
        <w:trPr>
          <w:trHeight w:val="216"/>
        </w:trPr>
        <w:tc>
          <w:tcPr>
            <w:tcW w:w="33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Granted </w:t>
            </w:r>
            <w:r>
              <w:rPr>
                <w:rFonts w:ascii="Times New Roman" w:cs="Times New Roman" w:eastAsia="Times New Roman" w:hAnsi="Times New Roman"/>
                <w:sz w:val="25"/>
                <w:szCs w:val="25"/>
                <w:color w:val="auto"/>
                <w:vertAlign w:val="superscript"/>
              </w:rPr>
              <w:t>(1)</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59,823</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27.18</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64,619</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27.61</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(81,561)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15.87</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 performance achievement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53,095</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 and vested</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(106,190)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33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Forfeited </w:t>
            </w:r>
            <w:r>
              <w:rPr>
                <w:rFonts w:ascii="Times New Roman" w:cs="Times New Roman" w:eastAsia="Times New Roman" w:hAnsi="Times New Roman"/>
                <w:sz w:val="25"/>
                <w:szCs w:val="25"/>
                <w:color w:val="auto"/>
                <w:vertAlign w:val="superscript"/>
              </w:rPr>
              <w:t>(1)</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(3,333)</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24.75</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(3,333)</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24.75</w:t>
            </w:r>
          </w:p>
        </w:tc>
      </w:tr>
      <w:tr>
        <w:trPr>
          <w:trHeight w:val="20"/>
        </w:trPr>
        <w:tc>
          <w:tcPr>
            <w:tcW w:w="3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Outstanding, November 2, 2024 </w:t>
            </w:r>
            <w:r>
              <w:rPr>
                <w:rFonts w:ascii="Times New Roman" w:cs="Times New Roman" w:eastAsia="Times New Roman" w:hAnsi="Times New Roman"/>
                <w:sz w:val="24"/>
                <w:szCs w:val="24"/>
                <w:color w:val="auto"/>
                <w:vertAlign w:val="superscript"/>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25.21</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193,273</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23.17</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Performance-based restricted stock outstanding, granted, and forfeited are presented at 100% of target.</w:t>
      </w:r>
    </w:p>
    <w:p>
      <w:pPr>
        <w:spacing w:after="0" w:line="225"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shares vested during the thirty-nine weeks ended November 2, 2024 and October 28, 2023 was $2.2 million and $2.1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performance shares as of November 2, 2024 consist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Performance</w:t>
            </w:r>
          </w:p>
        </w:tc>
      </w:tr>
      <w:tr>
        <w:trPr>
          <w:trHeight w:val="238"/>
        </w:trPr>
        <w:tc>
          <w:tcPr>
            <w:tcW w:w="5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0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shares subject to performance-based restrictions at target:</w:t>
            </w: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2022</w:t>
            </w:r>
          </w:p>
        </w:tc>
        <w:tc>
          <w:tcPr>
            <w:tcW w:w="69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  2024  consolidated,  earnings  before  interest,  taxes,  depreciation  and  amortization</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(EBITDA) growth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54,596</w:t>
            </w:r>
          </w:p>
        </w:tc>
      </w:tr>
      <w:tr>
        <w:trPr>
          <w:trHeight w:val="229"/>
        </w:trPr>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2022</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- 2024 consolidated revenue growth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18,198</w:t>
            </w:r>
          </w:p>
        </w:tc>
      </w:tr>
      <w:tr>
        <w:trPr>
          <w:trHeight w:val="216"/>
        </w:trPr>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2023</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- 2025 consolidated pre-tax income growth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36,309</w:t>
            </w:r>
          </w:p>
        </w:tc>
      </w:tr>
      <w:tr>
        <w:trPr>
          <w:trHeight w:val="216"/>
        </w:trPr>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2023</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- 2025 consolidated revenue growth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19,551</w:t>
            </w:r>
          </w:p>
        </w:tc>
      </w:tr>
      <w:tr>
        <w:trPr>
          <w:trHeight w:val="216"/>
        </w:trPr>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2024</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- 2026 consolidated EBITDA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42,002</w:t>
            </w:r>
          </w:p>
        </w:tc>
      </w:tr>
      <w:tr>
        <w:trPr>
          <w:trHeight w:val="216"/>
        </w:trPr>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2024</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- 2026 consolidated, cumulative revenue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22,617</w:t>
            </w:r>
          </w:p>
        </w:tc>
      </w:tr>
      <w:tr>
        <w:trPr>
          <w:trHeight w:val="209"/>
        </w:trPr>
        <w:tc>
          <w:tcPr>
            <w:tcW w:w="74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shares outstanding, November 2, 2024</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193,273</w:t>
            </w:r>
          </w:p>
        </w:tc>
        <w:tc>
          <w:tcPr>
            <w:tcW w:w="80" w:type="dxa"/>
            <w:vAlign w:val="bottom"/>
            <w:tcBorders>
              <w:top w:val="single" w:sz="8" w:color="CCEEFF"/>
            </w:tcBorders>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ectPr>
          <w:pgSz w:w="11900" w:h="16838" w:orient="portrait"/>
          <w:cols w:equalWidth="0" w:num="1">
            <w:col w:w="11220"/>
          </w:cols>
          <w:pgMar w:left="320" w:top="121" w:right="359" w:bottom="33" w:gutter="0" w:footer="0" w:header="0"/>
        </w:sectPr>
      </w:pPr>
    </w:p>
    <w:bookmarkStart w:id="11" w:name="page12"/>
    <w:bookmarkEnd w:id="11"/>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Company's effective tax rate was 24.5% and 24.1% for the thirteen and thirty-nine weeks ended November 2, 2024, respectively, compared to 26.7% and 24.0% for the thirteen and thirty-nine weeks ended October 28, 2023, respectively. The 2024 and 2023 effective tax rates differed from the statutory rate of 21% primarily due to state income tax expense partially offset by the tax impact of equity awards vesting. In the fourth quarter of fiscal 2023, the Company reversed the valuation allowance on deferred tax assets expected to be realized in the U.K. The Company remains in a full valuation in certain other foreign jurisdictions.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thirteen weeks ended November 2, 2024 and October 28, 2023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1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For the thirteen weeks ended November 2, 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1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For the thirteen weeks ended October 28, 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31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24"/>
                <w:szCs w:val="24"/>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APIC</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AOCI</w:t>
            </w: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APIC</w:t>
            </w:r>
          </w:p>
        </w:tc>
        <w:tc>
          <w:tcPr>
            <w:tcW w:w="100" w:type="dxa"/>
            <w:vAlign w:val="bottom"/>
          </w:tcPr>
          <w:p>
            <w:pPr>
              <w:spacing w:after="0"/>
              <w:rPr>
                <w:sz w:val="24"/>
                <w:szCs w:val="24"/>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AOCI</w:t>
            </w:r>
          </w:p>
        </w:tc>
        <w:tc>
          <w:tcPr>
            <w:tcW w:w="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220" w:type="dxa"/>
            <w:vAlign w:val="bottom"/>
            <w:vMerge w:val="restart"/>
          </w:tcPr>
          <w:p>
            <w:pPr>
              <w:spacing w:after="0"/>
              <w:rPr>
                <w:sz w:val="16"/>
                <w:szCs w:val="16"/>
                <w:color w:val="auto"/>
              </w:rPr>
            </w:pPr>
          </w:p>
        </w:tc>
        <w:tc>
          <w:tcPr>
            <w:tcW w:w="6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vMerge w:val="restart"/>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14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5"/>
                <w:szCs w:val="15"/>
                <w:color w:val="auto"/>
              </w:rPr>
            </w:pPr>
          </w:p>
        </w:tc>
        <w:tc>
          <w:tcPr>
            <w:tcW w:w="6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5"/>
                <w:szCs w:val="15"/>
                <w:color w:val="auto"/>
              </w:rPr>
            </w:pPr>
          </w:p>
        </w:tc>
        <w:tc>
          <w:tcPr>
            <w:tcW w:w="60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$ 62,831</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 (11,913)</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74,737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$ 125,791</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$ 66,773</w:t>
            </w: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(12,017)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52,965</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$ 107,866</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under employee stock plans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346</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Shares withheld in lieu of tax withholdings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Repurchase</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(666)</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(4,166)</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(3,369)</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(4,040)</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(2,704)</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9,871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7,586</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7,586</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Balance, ending</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$ 62,511</w:t>
            </w:r>
          </w:p>
        </w:tc>
        <w:tc>
          <w:tcPr>
            <w:tcW w:w="2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5"/>
              </w:rPr>
              <w:t>$ (11,811)</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77,738</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$ 128,573</w:t>
            </w:r>
          </w:p>
        </w:tc>
        <w:tc>
          <w:tcPr>
            <w:tcW w:w="12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$ 66,641</w:t>
            </w:r>
          </w:p>
        </w:tc>
        <w:tc>
          <w:tcPr>
            <w:tcW w:w="12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 (12,319)</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57,182</w:t>
            </w:r>
          </w:p>
        </w:tc>
        <w:tc>
          <w:tcPr>
            <w:tcW w:w="1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$ 111,648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 (“AOCI”)</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thirty-nine weeks ended November 2, 2024 and October 28, 2023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20" w:type="dxa"/>
            <w:vAlign w:val="bottom"/>
            <w:gridSpan w:val="14"/>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For the thirty-nine weeks ended November 2, 2024</w:t>
            </w:r>
          </w:p>
        </w:tc>
        <w:tc>
          <w:tcPr>
            <w:tcW w:w="100" w:type="dxa"/>
            <w:vAlign w:val="bottom"/>
          </w:tcPr>
          <w:p>
            <w:pPr>
              <w:spacing w:after="0"/>
              <w:rPr>
                <w:sz w:val="18"/>
                <w:szCs w:val="18"/>
                <w:color w:val="auto"/>
              </w:rPr>
            </w:pPr>
          </w:p>
        </w:tc>
        <w:tc>
          <w:tcPr>
            <w:tcW w:w="3920" w:type="dxa"/>
            <w:vAlign w:val="bottom"/>
            <w:gridSpan w:val="1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thirty-nine weeks ended October 28, 2023</w:t>
            </w:r>
          </w:p>
        </w:tc>
        <w:tc>
          <w:tcPr>
            <w:tcW w:w="0" w:type="dxa"/>
            <w:vAlign w:val="bottom"/>
          </w:tcPr>
          <w:p>
            <w:pPr>
              <w:spacing w:after="0"/>
              <w:rPr>
                <w:sz w:val="1"/>
                <w:szCs w:val="1"/>
                <w:color w:val="auto"/>
              </w:rPr>
            </w:pPr>
          </w:p>
        </w:tc>
      </w:tr>
      <w:tr>
        <w:trPr>
          <w:trHeight w:val="395"/>
        </w:trPr>
        <w:tc>
          <w:tcPr>
            <w:tcW w:w="3080" w:type="dxa"/>
            <w:vAlign w:val="bottom"/>
          </w:tcPr>
          <w:p>
            <w:pPr>
              <w:spacing w:after="0"/>
              <w:rPr>
                <w:sz w:val="24"/>
                <w:szCs w:val="24"/>
                <w:color w:val="auto"/>
              </w:rPr>
            </w:pPr>
          </w:p>
        </w:tc>
        <w:tc>
          <w:tcPr>
            <w:tcW w:w="7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APIC</w:t>
            </w:r>
          </w:p>
        </w:tc>
        <w:tc>
          <w:tcPr>
            <w:tcW w:w="740" w:type="dxa"/>
            <w:vAlign w:val="bottom"/>
            <w:tcBorders>
              <w:top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AOCI</w:t>
            </w:r>
          </w:p>
        </w:tc>
        <w:tc>
          <w:tcPr>
            <w:tcW w:w="84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APIC</w:t>
            </w:r>
          </w:p>
        </w:tc>
        <w:tc>
          <w:tcPr>
            <w:tcW w:w="74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AOCI</w:t>
            </w:r>
          </w:p>
        </w:tc>
        <w:tc>
          <w:tcPr>
            <w:tcW w:w="84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14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5"/>
                <w:szCs w:val="15"/>
                <w:color w:val="auto"/>
              </w:rPr>
            </w:pPr>
          </w:p>
        </w:tc>
        <w:tc>
          <w:tcPr>
            <w:tcW w:w="6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5"/>
                <w:szCs w:val="15"/>
                <w:color w:val="auto"/>
              </w:rPr>
            </w:pPr>
          </w:p>
        </w:tc>
        <w:tc>
          <w:tcPr>
            <w:tcW w:w="6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$ 66,330</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 (12,082)</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75,272</w:t>
            </w: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$ 129,662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$ 69,868</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 (12,274)</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61,375</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$ 119,117</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Adoption of new accounting standard</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(785)</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(785)</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Subtotal</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$ 66,330</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 (12,082)</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75,272</w:t>
            </w: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$ 129,662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$ 69,868</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 (12,274)</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60,590</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$ 118,332</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employee stock plans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1,094</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1,096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2,436</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2,440</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1,016</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1,121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1,121</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withheld in lieu of tax withholdings</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(2,089)</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(2,090)</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(3,638)</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(3,640)</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Share Repurchase</w:t>
            </w:r>
          </w:p>
        </w:tc>
        <w:tc>
          <w:tcPr>
            <w:tcW w:w="12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(3,840)</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8"/>
              </w:rPr>
              <w:t>(19,333)</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(23,181)</w:t>
            </w: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(3,146)</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(12,087)</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(15,239)</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Dividend</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(8,269)</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(8,269)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(22,049)</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(22,049)</w:t>
            </w: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30,107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30,532</w:t>
            </w:r>
          </w:p>
        </w:tc>
        <w:tc>
          <w:tcPr>
            <w:tcW w:w="1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30,532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ending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$ 62,511</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 (11,811)</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77,738</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$ 128,573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$ 66,641</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 (12,319)</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57,182</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$ 111,648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 (“AOCI”)</w:t>
      </w:r>
    </w:p>
    <w:p>
      <w:pPr>
        <w:spacing w:after="0" w:line="207"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During the thirteen and thirty-nine weeks ended November 2, 2024, the Company utilized $4.8 million in cash to repurchase 147,917 shares and utilized $23.0 million in cash to repurchase 832,944 shares, respectively. During the quarter, the Company repurchased shares under two separate stock repurchase programs. For the thirteen weeks ending November 2, 2024, the company repurchased 73,274 shares utilizing $2.0 million in cash under the Company's $50.0 million stock repurchase program that was authorized by its Board of Directors on August 31, 2022 (the "August 2022 Stock Repurchase Program"). On September 11, 2024, the Company announced that its Board of Directors terminated the August 2022 Stock Repurchase Program</w:t>
      </w:r>
    </w:p>
    <w:p>
      <w:pPr>
        <w:spacing w:after="0" w:line="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and authorized a new share repurchase program of up to $100 million (the “September 2024 Stock Repurchase Program”). During the thirteen weeks ended November 2, 2024, the Company utilized $2.8 million in cash to repurchase 74,643 shares under the September 2024 Stock Repurchase Program. Since the end of the third fiscal quarter, the Company utilized $0.2 million in cash to repurchase 5,288 shares leaving $97.0 millionavailable under the September 2024 Stock Repurchase Program. For the thirteen and thirty-nine weeks ended November 2, 2024, the Company's Board of Directors authorized cash dividends to shareholders of $2.7 million and $8.3 million, respectively. Additionally, on November 12, 2024, the Board of Directors declared a quarterly cash dividend of $0.20 per share on the issued and outstanding common stock of the company. The dividend will be paid on January 9, 2025, to all stockholders of record as of November 27, 2024.</w:t>
      </w:r>
    </w:p>
    <w:p>
      <w:pPr>
        <w:spacing w:after="0" w:line="188"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For the thirty-nine weeks ended October 28, 2023, the Company recorded credit impairment charges of $0.8 million on trade receivables into retained earnings as a result of the adoption of ASC 326 - Credit Impairment.</w:t>
      </w:r>
    </w:p>
    <w:p>
      <w:pPr>
        <w:spacing w:after="0" w:line="162"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During the thirteen and thirty-nine weeks ended October 28, 2023, the Company utilized $4.0 million in cash to repurchase 146,028 shares and the Company utilized $15.2 million in cash to repurchase 672,734 shares under the August 2022 Stock Repurchase Program. The Company's Board of Directors also authorized a special cash dividend of $1.50 per share that was paid on April 6, 2023, to all stockholders of record as of March 23, 2023.</w:t>
      </w:r>
    </w:p>
    <w:p>
      <w:pPr>
        <w:sectPr>
          <w:pgSz w:w="11900" w:h="16838" w:orient="portrait"/>
          <w:cols w:equalWidth="0" w:num="1">
            <w:col w:w="11240"/>
          </w:cols>
          <w:pgMar w:left="320" w:top="121" w:right="339" w:bottom="704"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04"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per Share</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(in thousands, except share and per share data):</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2,</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2,</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October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13,425,332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14,362,702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13,672,416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14,413,308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76,093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40,045</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0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13,461,983</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14,438,795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13,712,461</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14,563,974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Borders>
              <w:bottom w:val="single" w:sz="8" w:color="CCEEFF"/>
            </w:tcBorders>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dilutive</w:t>
            </w: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5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Diluted net income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0.73</w:t>
            </w:r>
          </w:p>
        </w:tc>
        <w:tc>
          <w:tcPr>
            <w:tcW w:w="3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0.53</w:t>
            </w: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2.20</w:t>
            </w:r>
          </w:p>
        </w:tc>
        <w:tc>
          <w:tcPr>
            <w:tcW w:w="3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calculating the diluted income per share for the thirteen and thirty-nine weeks ended November 2, 2024, there were 1,141 and 29,288 shares of common stock, respectively, that were outstanding at the end of the period that were not included in the computation of diluted income per share due to their anti-dilutive effect. For the thirteen and thirty-nine weeks ended October 28, 2023, there were zero and 43,673 shares of common stock, respectively, that were outstanding at the end of the period that were not included in the computation of diluted income per share due to their anti-dilutive effect.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Comprehensive Income</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difference between comprehensive income or loss and net income or loss is the result of foreign currency translation adjustments on the balance sheets of subsidiaries whose functional currency is not the U.S. dollar. The accumulated other comprehensive loss balance on November 2, 2024 and October 28, 2023 was comprised entirely of foreign currency translation. For the thirteen weeks ended November 2, 2024 and October 28, 2023, the Company had no reclassifications out of accumulated other comprehensive loss.</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operations are conducted through three operating segments consisting of direct-to-consumer (“DTC”), commercial and international franchising. The DTC segment includes the operating activities of corporately-managed locations and other retail delivery operations in</w:t>
      </w:r>
    </w:p>
    <w:p>
      <w:pPr>
        <w:spacing w:after="0" w:line="251" w:lineRule="auto"/>
        <w:rPr>
          <w:sz w:val="20"/>
          <w:szCs w:val="20"/>
          <w:color w:val="auto"/>
        </w:rPr>
      </w:pPr>
      <w:r>
        <w:rPr>
          <w:rFonts w:ascii="Times New Roman" w:cs="Times New Roman" w:eastAsia="Times New Roman" w:hAnsi="Times New Roman"/>
          <w:sz w:val="18"/>
          <w:szCs w:val="18"/>
          <w:color w:val="auto"/>
        </w:rPr>
        <w:t>the U.S., Canada, Ireland and the U.K., including the Company’s e-commerce sites and temporary stores. The commercial segment includes the Company’s transactions with other businesses, mainly comprised of licensing the Company’s intellectual properties for third-party use and wholesale activities. The international franchising segment includes the licensing activities of the Company’s franchise agreements with store locations in select countries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Direct-to-</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Consumer</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November 2, 2024</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109,503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119,430</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8,544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13,081</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3,871</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3,871</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3,688</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Thirteen weeks ended October 28, 2023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100,411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107,562</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7,233</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10,348</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4,986</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3,152</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3,231</w:t>
            </w:r>
          </w:p>
        </w:tc>
      </w:tr>
      <w:tr>
        <w:trPr>
          <w:trHeight w:val="216"/>
        </w:trPr>
        <w:tc>
          <w:tcPr>
            <w:tcW w:w="3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Thirty-nine weeks ended November 2, 2024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320,826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3,274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345,958</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27,650</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11,323</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682</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39,655</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9,571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9,571</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10,822</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10,983</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Thirty-nine weeks ended October 28, 2023</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315,972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17,686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3,179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336,837</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31,225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7,882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40,180</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11,124</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11,124</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9,266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9,540</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as of:</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November 2,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271,691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285,862</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3, 2024</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262,299</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8,801</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1,225</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272,325</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October 28, 2023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238,604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10,753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250,543</w:t>
            </w:r>
          </w:p>
        </w:tc>
      </w:tr>
    </w:tbl>
    <w:p>
      <w:pPr>
        <w:spacing w:after="0" w:line="19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2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America </w:t>
            </w:r>
            <w:r>
              <w:rPr>
                <w:rFonts w:ascii="Times New Roman" w:cs="Times New Roman" w:eastAsia="Times New Roman" w:hAnsi="Times New Roman"/>
                <w:sz w:val="27"/>
                <w:szCs w:val="27"/>
                <w:b w:val="1"/>
                <w:bCs w:val="1"/>
                <w:color w:val="auto"/>
                <w:vertAlign w:val="superscript"/>
              </w:rPr>
              <w:t>(1)</w:t>
            </w:r>
          </w:p>
        </w:tc>
        <w:tc>
          <w:tcPr>
            <w:tcW w:w="160" w:type="dxa"/>
            <w:vAlign w:val="bottom"/>
          </w:tcPr>
          <w:p>
            <w:pPr>
              <w:spacing w:after="0"/>
              <w:rPr>
                <w:sz w:val="20"/>
                <w:szCs w:val="20"/>
                <w:color w:val="auto"/>
              </w:rPr>
            </w:pPr>
          </w:p>
        </w:tc>
        <w:tc>
          <w:tcPr>
            <w:tcW w:w="1260" w:type="dxa"/>
            <w:vAlign w:val="bottom"/>
            <w:gridSpan w:val="2"/>
          </w:tcPr>
          <w:p>
            <w:pPr>
              <w:jc w:val="right"/>
              <w:ind w:right="40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Europe </w:t>
            </w:r>
            <w:r>
              <w:rPr>
                <w:rFonts w:ascii="Times New Roman" w:cs="Times New Roman" w:eastAsia="Times New Roman" w:hAnsi="Times New Roman"/>
                <w:sz w:val="27"/>
                <w:szCs w:val="27"/>
                <w:b w:val="1"/>
                <w:bCs w:val="1"/>
                <w:color w:val="auto"/>
                <w:vertAlign w:val="superscript"/>
              </w:rPr>
              <w:t>(2)</w:t>
            </w:r>
          </w:p>
        </w:tc>
        <w:tc>
          <w:tcPr>
            <w:tcW w:w="180" w:type="dxa"/>
            <w:vAlign w:val="bottom"/>
          </w:tcPr>
          <w:p>
            <w:pPr>
              <w:spacing w:after="0"/>
              <w:rPr>
                <w:sz w:val="20"/>
                <w:szCs w:val="20"/>
                <w:color w:val="auto"/>
              </w:rPr>
            </w:pPr>
          </w:p>
        </w:tc>
        <w:tc>
          <w:tcPr>
            <w:tcW w:w="1220" w:type="dxa"/>
            <w:vAlign w:val="bottom"/>
            <w:gridSpan w:val="2"/>
          </w:tcPr>
          <w:p>
            <w:pPr>
              <w:jc w:val="right"/>
              <w:ind w:right="44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Other </w:t>
            </w:r>
            <w:r>
              <w:rPr>
                <w:rFonts w:ascii="Times New Roman" w:cs="Times New Roman" w:eastAsia="Times New Roman" w:hAnsi="Times New Roman"/>
                <w:sz w:val="27"/>
                <w:szCs w:val="27"/>
                <w:b w:val="1"/>
                <w:bCs w:val="1"/>
                <w:color w:val="auto"/>
                <w:vertAlign w:val="superscript"/>
              </w:rPr>
              <w:t>(3)</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November 2, 2024</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100,835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16,080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119,430</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October 28, 2023</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93,431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13,037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107,562</w:t>
            </w:r>
          </w:p>
        </w:tc>
      </w:tr>
      <w:tr>
        <w:trPr>
          <w:trHeight w:val="216"/>
        </w:trPr>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Thirty-nine weeks ended November 2, 2024</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297,052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44,541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4,365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345,958</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50,585</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3,913</w:t>
            </w: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54,498</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Thirty-nine weeks ended October 28, 2023</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297,631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36,822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336,837</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48,631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51,914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table only:</w:t>
      </w:r>
    </w:p>
    <w:p>
      <w:pPr>
        <w:spacing w:after="0" w:line="27" w:lineRule="exact"/>
        <w:rPr>
          <w:sz w:val="20"/>
          <w:szCs w:val="20"/>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includes corporately-managed locations in the United States and Canada.</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includes corporately-managed locations in the U.K. and Ireland and sales to wholesale customers in Europe.</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franchise businesses outside of North America and Europe.</w:t>
      </w:r>
    </w:p>
    <w:p>
      <w:pPr>
        <w:sectPr>
          <w:pgSz w:w="11900" w:h="16838" w:orient="portrait"/>
          <w:cols w:equalWidth="0" w:num="1">
            <w:col w:w="11220"/>
          </w:cols>
          <w:pgMar w:left="320" w:top="121" w:right="359" w:bottom="960" w:gutter="0" w:footer="0" w:header="0"/>
        </w:sect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96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Rulings by the First Tier Tribunal in November 2019 and Upper Tribunal in March 2021 held that duty was due on some, but not all, of the products at issue. The Company petitioned the Court of Appeal for permission to appeal certain elements of the Upper Tribunal decision, and in early November 2021, a judge granted the Company's petition for permission to appeal those elements of the Upper Tribunal decision on some, but not all, of the grounds of appeal that the Company had put forward. An appeal was heard by the Court of Appeal during the first quarter of fiscal 2022, and the Court of Appeal dismissed the appeal in the third quarter of fiscal 2022. During the fourth quarter of fiscal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UK Supreme Court declined to hear the appeal. The Company is engaging with the customs authority to attempt to resolve all outstanding issues following the application of the determined principles. The case will return to the lower tribunal for a final ruling if outstanding issues cannot be resolved. The Company maintains a provision against the related receivable, based on a current evaluation of collectability, using the latest facts available in the dispute. As of November 2, 2024, the Company had a gross receivable balance of $4.9 million and a reserve of $3.4 million, leaving a net receivable of $1.5 million. The Company believes that the outcome of this dispute will not have a material adverse impact on the results of operations, liquidity, or financial position of the Company.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our Annual Report on Form 10-K for the fiscal year ended February 3, 2024, as filed with the SEC, and include the following:</w:t>
      </w:r>
    </w:p>
    <w:p>
      <w:pPr>
        <w:spacing w:after="0" w:line="180" w:lineRule="exact"/>
        <w:rPr>
          <w:sz w:val="20"/>
          <w:szCs w:val="20"/>
          <w:color w:val="auto"/>
        </w:rPr>
      </w:pPr>
    </w:p>
    <w:p>
      <w:pPr>
        <w:ind w:left="480" w:right="240" w:hanging="175"/>
        <w:spacing w:after="0" w:line="257"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uncertainty or decline in general global economic conditions, caused by inflation, rising interest rates, geo-political conflicts, or other external factors, could lead to disproportionately reduced discretionary consumer spending and a corresponding reduction in demand for our products and have an adverse effect on our liquidity and profitability;</w:t>
      </w:r>
    </w:p>
    <w:p>
      <w:pPr>
        <w:spacing w:after="0" w:line="1" w:lineRule="exact"/>
        <w:rPr>
          <w:rFonts w:ascii="Times New Roman" w:cs="Times New Roman" w:eastAsia="Times New Roman" w:hAnsi="Times New Roman"/>
          <w:sz w:val="18"/>
          <w:szCs w:val="18"/>
          <w:color w:val="auto"/>
        </w:rPr>
      </w:pPr>
    </w:p>
    <w:p>
      <w:pPr>
        <w:ind w:left="480" w:right="66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interests can change rapidly, and our success depends on the ongoing effectiveness of our marketing and online initiatives to build consumer affinity for our brand and drive consumer demand for our products and services;</w:t>
      </w:r>
    </w:p>
    <w:p>
      <w:pPr>
        <w:ind w:left="480" w:right="38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the shopping malls and tourist locations in which our stores are located to attract guests. Continued or further volatility in retail consumer traffic could adversely affect our financial performance and profitability;</w:t>
      </w:r>
    </w:p>
    <w:p>
      <w:pPr>
        <w:ind w:left="480" w:hanging="175"/>
        <w:spacing w:after="0"/>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could be adversely affected by fluctuations in petroleum products prices;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impacted at any time by a variety of significant competitive threats;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regional health pandemics or epidemics could negatively impact our business, financial position and results of operations;</w:t>
      </w:r>
    </w:p>
    <w:p>
      <w:pPr>
        <w:spacing w:after="0" w:line="9" w:lineRule="exact"/>
        <w:rPr>
          <w:rFonts w:ascii="Times New Roman" w:cs="Times New Roman" w:eastAsia="Times New Roman" w:hAnsi="Times New Roman"/>
          <w:sz w:val="18"/>
          <w:szCs w:val="18"/>
          <w:color w:val="auto"/>
        </w:rPr>
      </w:pPr>
    </w:p>
    <w:p>
      <w:pPr>
        <w:ind w:left="480" w:right="8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ind w:left="480" w:right="34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renew, renegotiate or replace our store leases or enter into leases for new stores on favorable terms, or if we violate any of the terms of our current leases, our revenue and profitability could be harmed;</w:t>
      </w:r>
    </w:p>
    <w:p>
      <w:pPr>
        <w:ind w:left="480" w:right="96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our omnichannel and brand expansion strategy and the cost of our investments in e-commerce and digital transformation may materially adversely affect our financial condition and profitability;</w:t>
      </w:r>
    </w:p>
    <w:p>
      <w:pPr>
        <w:ind w:left="480" w:hanging="175"/>
        <w:spacing w:after="0"/>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technology and digital operations;</w:t>
      </w:r>
    </w:p>
    <w:p>
      <w:pPr>
        <w:spacing w:after="0" w:line="9" w:lineRule="exact"/>
        <w:rPr>
          <w:rFonts w:ascii="Times New Roman" w:cs="Times New Roman" w:eastAsia="Times New Roman" w:hAnsi="Times New Roman"/>
          <w:sz w:val="18"/>
          <w:szCs w:val="18"/>
          <w:color w:val="auto"/>
        </w:rPr>
      </w:pPr>
    </w:p>
    <w:p>
      <w:pPr>
        <w:ind w:left="480" w:right="2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evolve our store locations over time to align with market trends, successfully diversify our store formats and business models in accordance with our strategic goals or otherwise effectively manage our overall portfolio of stores which could adversely affect our ability to grow and could significantly harm our profitability;</w:t>
      </w:r>
    </w:p>
    <w:p>
      <w:pPr>
        <w:spacing w:after="0" w:line="1" w:lineRule="exact"/>
        <w:rPr>
          <w:rFonts w:ascii="Times New Roman" w:cs="Times New Roman" w:eastAsia="Times New Roman" w:hAnsi="Times New Roman"/>
          <w:sz w:val="18"/>
          <w:szCs w:val="18"/>
          <w:color w:val="auto"/>
        </w:rPr>
      </w:pPr>
    </w:p>
    <w:p>
      <w:pPr>
        <w:ind w:left="480" w:right="32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company-owned distribution center that services the majority of our stores in North America and our third-party distribution center providers used in the western U.S. and Europe may be required to close and operations may experience disruptions or may operate inefficiently;</w:t>
      </w:r>
    </w:p>
    <w:p>
      <w:pPr>
        <w:ind w:left="480" w:right="40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few global supply chain vendors to supply substantially all of our materials and merchandise, and significant price increases or any disruption in their ability to deliver materials and merchandise could harm our ability to source products and supply inventory to our stores;</w:t>
      </w:r>
    </w:p>
    <w:p>
      <w:pPr>
        <w:ind w:left="480" w:hanging="175"/>
        <w:spacing w:after="0"/>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our international corporately-managed locations profitably;</w:t>
      </w:r>
    </w:p>
    <w:p>
      <w:pPr>
        <w:spacing w:after="0" w:line="9" w:lineRule="exact"/>
        <w:rPr>
          <w:rFonts w:ascii="Times New Roman" w:cs="Times New Roman" w:eastAsia="Times New Roman" w:hAnsi="Times New Roman"/>
          <w:sz w:val="18"/>
          <w:szCs w:val="18"/>
          <w:color w:val="auto"/>
        </w:rPr>
      </w:pPr>
    </w:p>
    <w:p>
      <w:pPr>
        <w:ind w:left="480" w:right="28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foreign currency fluctuations and tariffs;</w:t>
      </w:r>
    </w:p>
    <w:p>
      <w:pPr>
        <w:spacing w:after="0" w:line="1" w:lineRule="exact"/>
        <w:rPr>
          <w:rFonts w:ascii="Times New Roman" w:cs="Times New Roman" w:eastAsia="Times New Roman" w:hAnsi="Times New Roman"/>
          <w:sz w:val="18"/>
          <w:szCs w:val="18"/>
          <w:color w:val="auto"/>
        </w:rPr>
      </w:pPr>
    </w:p>
    <w:p>
      <w:pPr>
        <w:ind w:left="480" w:right="32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manage our international partner-operated locations, attract new partners or if the laws relating to our international partners change, our growth and profitability could be adversely affected, and we could be exposed to additional liability;</w:t>
      </w:r>
    </w:p>
    <w:p>
      <w:pPr>
        <w:ind w:left="460" w:right="4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 w:lineRule="exact"/>
        <w:rPr>
          <w:rFonts w:ascii="Times New Roman" w:cs="Times New Roman" w:eastAsia="Times New Roman" w:hAnsi="Times New Roman"/>
          <w:sz w:val="18"/>
          <w:szCs w:val="18"/>
          <w:color w:val="auto"/>
        </w:rPr>
      </w:pPr>
    </w:p>
    <w:p>
      <w:pPr>
        <w:jc w:val="both"/>
        <w:ind w:left="460" w:right="6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renew, register or otherwise protect our trademarks or other intellectual property and have been sued by third parties for infringement or misappropriation of their proprietary rights, which could be costly, distract our management and personnel and result in the diminution in value of our trademarks and other important intellectual property;</w:t>
      </w:r>
    </w:p>
    <w:p>
      <w:pPr>
        <w:spacing w:after="0" w:line="1" w:lineRule="exact"/>
        <w:rPr>
          <w:rFonts w:ascii="Times New Roman" w:cs="Times New Roman" w:eastAsia="Times New Roman" w:hAnsi="Times New Roman"/>
          <w:sz w:val="18"/>
          <w:szCs w:val="18"/>
          <w:color w:val="auto"/>
        </w:rPr>
      </w:pPr>
    </w:p>
    <w:p>
      <w:pPr>
        <w:ind w:left="460" w:right="14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ind w:left="460" w:right="6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violate labor laws or engage in practices that consumers believe are unethical;</w:t>
      </w:r>
    </w:p>
    <w:p>
      <w:pPr>
        <w:ind w:left="460" w:right="6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460" w:right="8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and damage to our reputation if we do not continue to evolve environmental, social, and governance initiatives in a timely manner;</w:t>
      </w:r>
    </w:p>
    <w:p>
      <w:pPr>
        <w:ind w:left="460" w:hanging="169"/>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results of operations could cause the price of our common stock to substantially decline;</w:t>
      </w:r>
    </w:p>
    <w:p>
      <w:pPr>
        <w:spacing w:after="0" w:line="9" w:lineRule="exact"/>
        <w:rPr>
          <w:rFonts w:ascii="Times New Roman" w:cs="Times New Roman" w:eastAsia="Times New Roman" w:hAnsi="Times New Roman"/>
          <w:sz w:val="18"/>
          <w:szCs w:val="18"/>
          <w:color w:val="auto"/>
        </w:rPr>
      </w:pPr>
    </w:p>
    <w:p>
      <w:pPr>
        <w:jc w:val="both"/>
        <w:ind w:left="460" w:right="20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could reduce our cash flow, trigger restrictions under our credit agreement, cause us to be unable to repurchase shares at all, at the times or in the amounts we desire, cause the results of our share repurchase program to not be as beneficial as we would like, or cause us to discontinue our quarterly dividend program;</w:t>
      </w:r>
    </w:p>
    <w:p>
      <w:pPr>
        <w:spacing w:after="0" w:line="1" w:lineRule="exact"/>
        <w:rPr>
          <w:rFonts w:ascii="Times New Roman" w:cs="Times New Roman" w:eastAsia="Times New Roman" w:hAnsi="Times New Roman"/>
          <w:sz w:val="18"/>
          <w:szCs w:val="18"/>
          <w:color w:val="auto"/>
        </w:rPr>
      </w:pPr>
    </w:p>
    <w:p>
      <w:pPr>
        <w:ind w:left="460" w:hanging="169"/>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relatively low market capitalization can cause the market price of our common stock to become volatile;</w:t>
      </w:r>
    </w:p>
    <w:p>
      <w:pPr>
        <w:spacing w:after="0" w:line="9" w:lineRule="exact"/>
        <w:rPr>
          <w:rFonts w:ascii="Times New Roman" w:cs="Times New Roman" w:eastAsia="Times New Roman" w:hAnsi="Times New Roman"/>
          <w:sz w:val="18"/>
          <w:szCs w:val="18"/>
          <w:color w:val="auto"/>
        </w:rPr>
      </w:pPr>
    </w:p>
    <w:p>
      <w:pPr>
        <w:ind w:left="460" w:right="42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ind w:left="460" w:right="16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successfully if we lose key personnel, are unable to hire qualified additional personnel, or experience turnover of our management team;</w:t>
      </w:r>
    </w:p>
    <w:p>
      <w:pPr>
        <w:ind w:left="460" w:right="140" w:hanging="169"/>
        <w:spacing w:after="0" w:line="26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acquiring businesses or engaging in other strategic transactions, which may negatively affect our financial condition and profitability.</w:t>
      </w:r>
    </w:p>
    <w:p>
      <w:pPr>
        <w:sectPr>
          <w:pgSz w:w="11900" w:h="16838" w:orient="portrait"/>
          <w:cols w:equalWidth="0" w:num="1">
            <w:col w:w="11240"/>
          </w:cols>
          <w:pgMar w:left="320" w:top="121"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Build-A-Bear Workshop, Inc. a Delaware corporation, was formed in 1997 as a mall-based, experiential specialty retailer. Build-A-Bear has evolved to become a beloved multi-generational brand focused on its mission to “add a little more heart to life” where guests of all ages make their own “furry friends” in celebration and commemoration of life moments. Guests create their own stuffed animals by participating in the stuffing, dressing, accessorizing, and naming of their own teddy bears and other plush toys based on the Company’s own intellectual property and in conjunction with a variety of best-in-class licenses. The hands-on and interactive nature of our more than 500 company-owned, partner-operated and franchise experience locations around the world, combined with Build-A-Bear’s pop-culture appeal, often fosters a lasting and emotional brand connection with consumers, and has enabled the Company to expand beyond its retail stores to include e-commerce sales on www.buildabear.com and non-plush branded consumer categories via out-bound licensing agreements with leading manufacturers, as well as the creation of engaging content via Build-A-Bear Entertainment (a subsidiary of Build-A-Bear Workshop, Inc.). Over the last 27 years, Build-A-Bear has become a brand with high consumer awareness, positive affinity, and strong retail influence by leveraging our brand strength to grow our brick-and-mortar retail footprint beyond traditional malls through a range of store sizes, formats and locations including tourist destinations. We are also growing through our websites, which focus on gift-giving, collectible merchandise, and licensed products. In addition to growing our corporately-managed store and e-commerce footprint, we are also growing through third-party operated and franchised stores, particularly for our international expansion. Our ongoing digital transformation, which touches our e-commerce business, consumer loyalty program and digital marketing and content, has led to omni-channel growth over the past several years. Build-A-Bear's pop-culture appeal has played a key role in growing our total addressable market beyond children by adding teens and adults with entertainment and sports licensing, collectible and gifting offerings, as well as by introducing new products and adding categories beyond plush.</w:t>
      </w:r>
    </w:p>
    <w:p>
      <w:pPr>
        <w:spacing w:after="0" w:line="19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primarily operate through a vertical retail channel with corporately-managed stores that feature a unique combination of experience and product in which guests can “make their own stuffed animals.” We also operate e-commerce sites that focus on gift-giving, collectible merchandise and licensed products that appeal to consumers that have an affinity for characters from a range of entertainment, sports, art, and gaming properties. Our retail stores also act as mini distribution centers that provide efficient omnichannel support for our growing digital demand. The primary consumer target for our brick-and-mortar locations is families with children, while our e-commerce sites focus on collectors and gift givers that are primarily tweens, teens and adults. Additionally, we offer products in non-plush consumer categories via outbound licensing agreements with leading manufacturers.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strategy includes leveraging our brand strength to continue to strategically evolve our brick-and-mortar retail footprint beyond traditional malls with a versatile range of formats and locations including tourist destinations, expand into international markets primarily via our partner-operated and franchise store models, and grow our e-commerce business. By leveraging our brand strength and owned intellectual properties through the creation of engaging short-form and long-form content for kids and adults, we endeavor to develop a circle of continuous engagement to increase purchase occasions and to continue to broaden the consumer base beyond children by adding tweens, teens and adults with entertainment and sports licensing, plus collectible and gifting offerings.</w:t>
      </w:r>
    </w:p>
    <w:p>
      <w:pPr>
        <w:spacing w:after="0" w:line="187"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As of November 2, 2024, we had 362 corporately-managed stores globally and 4 seasonal locations, 123 partner-operated locations operating through our "third-party retail" model in which we sell our products on a wholesale basis to other companies that execute our retail experience,</w:t>
      </w: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and 80 international franchised stores, all under the Build-A-Bear Workshop brand. In addition to these stores, we sell products on our company-owned e-commerce sites and third-party marketplace sites, our franchisees sell products through sites that they manage as well as other third-party marketplace sites and other parties sell products on their sites under wholesale agreements.</w:t>
      </w:r>
    </w:p>
    <w:p>
      <w:pPr>
        <w:spacing w:after="0" w:line="18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operate in three segments that share the same infrastructure, including management, systems, merchandising and marketing, and generate revenues as follows:</w:t>
      </w:r>
    </w:p>
    <w:p>
      <w:pPr>
        <w:spacing w:after="0" w:line="143" w:lineRule="exact"/>
        <w:rPr>
          <w:sz w:val="20"/>
          <w:szCs w:val="20"/>
          <w:color w:val="auto"/>
        </w:rPr>
      </w:pPr>
    </w:p>
    <w:p>
      <w:pPr>
        <w:ind w:left="480" w:hanging="162"/>
        <w:spacing w:after="0"/>
        <w:tabs>
          <w:tab w:leader="none" w:pos="4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Direct-to-Consumer (“DTC”) – Corporately-managed retail stores located in the U.S., Canada, the U.K., and Ireland and two e-commerce sites;</w:t>
      </w:r>
    </w:p>
    <w:p>
      <w:pPr>
        <w:spacing w:after="0" w:line="28" w:lineRule="exact"/>
        <w:rPr>
          <w:rFonts w:ascii="Times New Roman" w:cs="Times New Roman" w:eastAsia="Times New Roman" w:hAnsi="Times New Roman"/>
          <w:sz w:val="22"/>
          <w:szCs w:val="22"/>
          <w:color w:val="auto"/>
        </w:rPr>
      </w:pPr>
    </w:p>
    <w:p>
      <w:pPr>
        <w:ind w:left="480" w:right="60" w:hanging="162"/>
        <w:spacing w:after="0" w:line="224" w:lineRule="auto"/>
        <w:tabs>
          <w:tab w:leader="none" w:pos="4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Commercial – Transactions with other businesses, mainly comprised of wholesale product sales to third-party retailers and licensing our intellectual property, including entertainment properties, for third-party use; and</w:t>
      </w:r>
    </w:p>
    <w:p>
      <w:pPr>
        <w:spacing w:after="0" w:line="1" w:lineRule="exact"/>
        <w:rPr>
          <w:rFonts w:ascii="Times New Roman" w:cs="Times New Roman" w:eastAsia="Times New Roman" w:hAnsi="Times New Roman"/>
          <w:sz w:val="22"/>
          <w:szCs w:val="22"/>
          <w:color w:val="auto"/>
        </w:rPr>
      </w:pPr>
    </w:p>
    <w:p>
      <w:pPr>
        <w:ind w:left="480" w:hanging="162"/>
        <w:spacing w:after="0" w:line="204" w:lineRule="auto"/>
        <w:tabs>
          <w:tab w:leader="none" w:pos="4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International franchising – Royalties as well as products and fixtures sales from other international operations under franchise agreements.</w:t>
      </w:r>
    </w:p>
    <w:p>
      <w:pPr>
        <w:spacing w:after="0" w:line="22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Selected financial data attributable to each segment for the thirteen and thirty-nine weeks ended November 2, 2024 and October 28, 2023 are set forth in the notes to our condensed consolidated financial statements included elsewhere in this Quarterly Report on Form 10-Q.</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229" w:lineRule="exact"/>
        <w:rPr>
          <w:sz w:val="20"/>
          <w:szCs w:val="20"/>
          <w:color w:val="auto"/>
        </w:rPr>
      </w:pPr>
    </w:p>
    <w:p>
      <w:pPr>
        <w:ind w:left="20" w:firstLine="648"/>
        <w:spacing w:after="0" w:line="254" w:lineRule="auto"/>
        <w:rPr>
          <w:sz w:val="20"/>
          <w:szCs w:val="20"/>
          <w:color w:val="auto"/>
        </w:rPr>
      </w:pPr>
      <w:r>
        <w:rPr>
          <w:rFonts w:ascii="Times New Roman" w:cs="Times New Roman" w:eastAsia="Times New Roman" w:hAnsi="Times New Roman"/>
          <w:sz w:val="18"/>
          <w:szCs w:val="18"/>
          <w:color w:val="auto"/>
        </w:rPr>
        <w:t>Build-A-Bear Workshop offers interactive entertainment experiences via both physical and e-commerce engagement, targeting a range of consumer segments and purchasing occasions through digitally-driven, diversified omnichannel capabilities. We operate a vertical retail channel with stores that feature a unique combination of experience and product in which guests can "make their own stuffed animals" by participating in the stuffing, dressing, accessorizing, and naming of their teddy bears and other stuffed animals. We also operate e-commerce sites that focus on gift-giving, collectible merchandise and licensed products that appeal to consumers that have an affinity for characters from a range of licensed properties. Over the last 27 years, Build-A-Bear has become a brand with high consumer awareness and positive affinity. We believe there are opportunities to leverage this brand strength, pop-culture status and multi-generational appeal and generate incremental revenue and profits through licensing our intellectual properties through content and entertainment development for kids and adults while also offering products at wholesale and in non-plush consumer categories through outbound licensing agreements with leading manufacturers.</w:t>
      </w:r>
    </w:p>
    <w:p>
      <w:pPr>
        <w:spacing w:after="0" w:line="188" w:lineRule="exact"/>
        <w:rPr>
          <w:sz w:val="20"/>
          <w:szCs w:val="20"/>
          <w:color w:val="auto"/>
        </w:rPr>
      </w:pPr>
    </w:p>
    <w:p>
      <w:pPr>
        <w:ind w:left="20" w:right="80" w:firstLine="648"/>
        <w:spacing w:after="0" w:line="258" w:lineRule="auto"/>
        <w:rPr>
          <w:sz w:val="20"/>
          <w:szCs w:val="20"/>
          <w:color w:val="auto"/>
        </w:rPr>
      </w:pPr>
      <w:r>
        <w:rPr>
          <w:rFonts w:ascii="Times New Roman" w:cs="Times New Roman" w:eastAsia="Times New Roman" w:hAnsi="Times New Roman"/>
          <w:sz w:val="18"/>
          <w:szCs w:val="18"/>
          <w:color w:val="auto"/>
        </w:rPr>
        <w:t>We seek to provide outstanding guest service and experiences across all channels and touch points including our retail locations, our e-commerce sites, our mobile sites and apps as well as traditional, digital and social media. We believe the hands-on and interactive nature of our experience locations, our personal service model and engaging digital shopping experiences result in guests forming an emotional connection with our brand which has multi-generational appeal that captures today’s zeitgeist including desire for engaging experiences, personalization and “DIY” while being recognized as trusted, giving, and a part of pop culture.</w:t>
      </w:r>
    </w:p>
    <w:p>
      <w:pPr>
        <w:spacing w:after="0" w:line="183" w:lineRule="exact"/>
        <w:rPr>
          <w:sz w:val="20"/>
          <w:szCs w:val="20"/>
          <w:color w:val="auto"/>
        </w:rPr>
      </w:pPr>
    </w:p>
    <w:p>
      <w:pPr>
        <w:ind w:left="20" w:right="120"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initiatives and investments that were put in place prior to the pandemic, and in many cases, we accelerated during the pandemic, are driving improved results, as we delivered growth in total revenues and profit in fiscal 2023. To continue to drive revenue and profit growth, we remain focused on our strategic priorities, which are centered primarily on three key areas:</w:t>
      </w:r>
    </w:p>
    <w:p>
      <w:pPr>
        <w:spacing w:after="0" w:line="176" w:lineRule="exact"/>
        <w:rPr>
          <w:sz w:val="20"/>
          <w:szCs w:val="20"/>
          <w:color w:val="auto"/>
        </w:rPr>
      </w:pPr>
    </w:p>
    <w:p>
      <w:pPr>
        <w:ind w:left="580" w:hanging="228"/>
        <w:spacing w:after="0" w:line="254"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global expansion of our unique experience locations.</w:t>
      </w:r>
      <w:r>
        <w:rPr>
          <w:rFonts w:ascii="Times New Roman" w:cs="Times New Roman" w:eastAsia="Times New Roman" w:hAnsi="Times New Roman"/>
          <w:sz w:val="18"/>
          <w:szCs w:val="18"/>
          <w:color w:val="auto"/>
        </w:rPr>
        <w:t xml:space="preserve"> During the first thirty-nine weeks of fiscal 2024, we opened a net 40 Build-A-Bear Workshop retail experience locations, through a combination of corporately-managed, third-party operated, and franchise business models. In fiscal 2024, we expect net new unit growth of at least 65 locations in North America and internationally through our three store business models. We have made a concerted effort to shift to non-traditional locations, including family-centric tourist and hospitality sites, as well as partner-operated and franchise locations, and now have more than a third of total stores in non-traditional settings. While tourist sites have been and will remain a critical part of our location expansion strategy, recent research data supports our opportunity to reengage in profitable expansion in traditional locations on a more localized level, particularly given the numerous and flexible corporate store models we have developed in the past few years. We also continue to develop innovative experiences to expand our brand reach, including Build-A-Bear vending machines, also known as ATMs or automatic teddy machines.</w:t>
      </w:r>
    </w:p>
    <w:p>
      <w:pPr>
        <w:spacing w:after="0" w:line="188" w:lineRule="exact"/>
        <w:rPr>
          <w:rFonts w:ascii="Times New Roman" w:cs="Times New Roman" w:eastAsia="Times New Roman" w:hAnsi="Times New Roman"/>
          <w:sz w:val="18"/>
          <w:szCs w:val="18"/>
          <w:color w:val="auto"/>
        </w:rPr>
      </w:pPr>
    </w:p>
    <w:p>
      <w:pPr>
        <w:ind w:left="580" w:right="60" w:hanging="228"/>
        <w:spacing w:after="0" w:line="256"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 our comprehensive digital transformation.</w:t>
      </w:r>
      <w:r>
        <w:rPr>
          <w:rFonts w:ascii="Times New Roman" w:cs="Times New Roman" w:eastAsia="Times New Roman" w:hAnsi="Times New Roman"/>
          <w:sz w:val="18"/>
          <w:szCs w:val="18"/>
          <w:color w:val="auto"/>
        </w:rPr>
        <w:t xml:space="preserve"> In addition to growing our e-commerce channel, this includes our marketing and loyalty programs, including our Count Your Candles offer, and content and entertainment initiatives, such as our first-ever animated theatrical film in 2023 “Glisten and the Merry Mission.” Our digital transformation is designed to elevate our business efficiency, integrate our customer communications to acquire new customers and increase purchase occasions, and expand our total addressable market by reaching beyond our core kid base and to continue to acquire new tween, teen and adult consumers by new offerings including gifting and personalization programs. In September 2024, we created a new position of Chief Revenue Officer to further align our operating structure with our digital strategy.</w:t>
      </w:r>
    </w:p>
    <w:p>
      <w:pPr>
        <w:spacing w:after="0" w:line="187" w:lineRule="exact"/>
        <w:rPr>
          <w:rFonts w:ascii="Times New Roman" w:cs="Times New Roman" w:eastAsia="Times New Roman" w:hAnsi="Times New Roman"/>
          <w:sz w:val="18"/>
          <w:szCs w:val="18"/>
          <w:color w:val="auto"/>
        </w:rPr>
      </w:pPr>
    </w:p>
    <w:p>
      <w:pPr>
        <w:ind w:left="580" w:right="20" w:hanging="228"/>
        <w:spacing w:after="0" w:line="253"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Drive profitable growth through investment initiatives while maintaining a commitment to return capital to shareholders.</w:t>
      </w:r>
      <w:r>
        <w:rPr>
          <w:rFonts w:ascii="Times New Roman" w:cs="Times New Roman" w:eastAsia="Times New Roman" w:hAnsi="Times New Roman"/>
          <w:sz w:val="18"/>
          <w:szCs w:val="18"/>
          <w:color w:val="auto"/>
        </w:rPr>
        <w:t xml:space="preserve"> As corporate store operating margins have remained robust from higher levels of revenue combined with disciplined expense management, particularly considering recent inflationary pressures, wage increases and supply chain challenges, and as we continue to evolve our real estate portfolio with new locations and formats, plus shift to asset-light business models, the company’s cash flows have meaningfully improved. This higher-level of cash flows has been used to increase support for key initiatives to deliver long-term profitable growth, while also returning capital to shareholders through dividends and share repurchases. The Company returned capital to shareholders through two special dividends paid December 27, 2021, and April 6, 2023, totaling $42 million, through share repurchases from a $25 million stock repurchase program that was adopted in November 2021, through a $50 million stock repurchase program announced in August 2022, and through a Board-approved $100 million stock repurchase program announced in September 2024. Furthermore, the Company announced the initiation of a quarterly dividend program on March 13, 2024, and during the first, second and third quarters of fiscal 2024, the Company declared cash dividends of $0.20 per share, totaling $2.9 million, $2.7 million and $2.7 million, respectively. Additionally, the Board of Directors declared a quarterly cash dividend of $0.20 per share on the issued and outstanding common stock of the company, which will be paid on January 9, 2025, to all stockholders of record as of November 27, 2024.</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Retail Stores: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Corporately-Managed Locations:</w:t>
      </w:r>
    </w:p>
    <w:p>
      <w:pPr>
        <w:spacing w:after="0" w:line="229" w:lineRule="exact"/>
        <w:rPr>
          <w:sz w:val="20"/>
          <w:szCs w:val="20"/>
          <w:color w:val="auto"/>
        </w:rPr>
      </w:pPr>
    </w:p>
    <w:p>
      <w:pPr>
        <w:ind w:left="20" w:right="4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Build-A-Bear Workshop corporately-managed stores in North America and Europe for the periods presented:</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80" w:type="dxa"/>
            <w:vAlign w:val="bottom"/>
          </w:tcPr>
          <w:p>
            <w:pPr>
              <w:spacing w:after="0"/>
              <w:rPr>
                <w:sz w:val="18"/>
                <w:szCs w:val="18"/>
                <w:color w:val="auto"/>
              </w:rPr>
            </w:pPr>
          </w:p>
        </w:tc>
        <w:tc>
          <w:tcPr>
            <w:tcW w:w="24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9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7"/>
        </w:trPr>
        <w:tc>
          <w:tcPr>
            <w:tcW w:w="2080" w:type="dxa"/>
            <w:vAlign w:val="bottom"/>
          </w:tcPr>
          <w:p>
            <w:pPr>
              <w:spacing w:after="0"/>
              <w:rPr>
                <w:sz w:val="16"/>
                <w:szCs w:val="16"/>
                <w:color w:val="auto"/>
              </w:rPr>
            </w:pPr>
          </w:p>
        </w:tc>
        <w:tc>
          <w:tcPr>
            <w:tcW w:w="120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2080" w:type="dxa"/>
            <w:vAlign w:val="bottom"/>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20" w:type="dxa"/>
            <w:vAlign w:val="bottom"/>
          </w:tcPr>
          <w:p>
            <w:pPr>
              <w:spacing w:after="0"/>
              <w:rPr>
                <w:sz w:val="20"/>
                <w:szCs w:val="20"/>
                <w:color w:val="auto"/>
              </w:rPr>
            </w:pPr>
          </w:p>
        </w:tc>
        <w:tc>
          <w:tcPr>
            <w:tcW w:w="9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160" w:type="dxa"/>
            <w:vAlign w:val="bottom"/>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60" w:type="dxa"/>
            <w:vAlign w:val="bottom"/>
          </w:tcPr>
          <w:p>
            <w:pPr>
              <w:spacing w:after="0"/>
              <w:rPr>
                <w:sz w:val="20"/>
                <w:szCs w:val="20"/>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356</w:t>
            </w:r>
          </w:p>
        </w:tc>
      </w:tr>
      <w:tr>
        <w:trPr>
          <w:trHeight w:val="20"/>
        </w:trPr>
        <w:tc>
          <w:tcPr>
            <w:tcW w:w="2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firstLine="648"/>
        <w:spacing w:after="0" w:line="261" w:lineRule="auto"/>
        <w:rPr>
          <w:sz w:val="20"/>
          <w:szCs w:val="20"/>
          <w:color w:val="auto"/>
        </w:rPr>
      </w:pPr>
      <w:r>
        <w:rPr>
          <w:rFonts w:ascii="Times New Roman" w:cs="Times New Roman" w:eastAsia="Times New Roman" w:hAnsi="Times New Roman"/>
          <w:sz w:val="18"/>
          <w:szCs w:val="18"/>
          <w:color w:val="auto"/>
        </w:rPr>
        <w:t>As of November 2, 2024, 51% of our corporately-managed stores were in an updated Discovery format. We also expect to close certain stores in accordance with natural lease events as an ongoing part of our real estate management and day-to-day operational plans. The future of our retail store fleet may include expansion into more non-traditional locations, including concourse format shops and by expansion in other locations outside of traditional malls.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Retail Locations: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third-party retail locations opened and closed for the periods presented below is summarized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30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09"/>
        </w:trPr>
        <w:tc>
          <w:tcPr>
            <w:tcW w:w="56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80" w:type="dxa"/>
            <w:vAlign w:val="bottom"/>
          </w:tcPr>
          <w:p>
            <w:pPr>
              <w:spacing w:after="0"/>
              <w:rPr>
                <w:sz w:val="18"/>
                <w:szCs w:val="18"/>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56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60" w:firstLine="486"/>
        <w:spacing w:after="0" w:line="258" w:lineRule="auto"/>
        <w:rPr>
          <w:sz w:val="20"/>
          <w:szCs w:val="20"/>
          <w:color w:val="auto"/>
        </w:rPr>
      </w:pPr>
      <w:r>
        <w:rPr>
          <w:rFonts w:ascii="Times New Roman" w:cs="Times New Roman" w:eastAsia="Times New Roman" w:hAnsi="Times New Roman"/>
          <w:sz w:val="18"/>
          <w:szCs w:val="18"/>
          <w:color w:val="auto"/>
        </w:rPr>
        <w:t>Through our third-party retail model, there were 123 stores in operation at the end of the third quarter of 2024 with relationships that included Carnival Cruise Line, Great Wolf Lodge Resorts, Landry's and Girl Scouts of the USA. The third-party retail model is capital light for us, with the partner company building out and operating the workshops including providing the real estate location and covering the cost of labor and inventory, which is purchased from us on a wholesale basis. These locations are heavily weighted to the hospitality industry, which allow us to further advance our focus on experience location expansion in non-traditional and tourist areas, as well as shop-in-shop arrangements within other retailers’ stores.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Stores:</w:t>
      </w:r>
    </w:p>
    <w:p>
      <w:pPr>
        <w:spacing w:after="0" w:line="229" w:lineRule="exact"/>
        <w:rPr>
          <w:sz w:val="20"/>
          <w:szCs w:val="20"/>
          <w:color w:val="auto"/>
        </w:rPr>
      </w:pPr>
    </w:p>
    <w:p>
      <w:pPr>
        <w:jc w:val="both"/>
        <w:ind w:left="20" w:right="40" w:firstLine="648"/>
        <w:spacing w:after="0" w:line="266" w:lineRule="auto"/>
        <w:rPr>
          <w:sz w:val="20"/>
          <w:szCs w:val="20"/>
          <w:color w:val="auto"/>
        </w:rPr>
      </w:pPr>
      <w:r>
        <w:rPr>
          <w:rFonts w:ascii="Times New Roman" w:cs="Times New Roman" w:eastAsia="Times New Roman" w:hAnsi="Times New Roman"/>
          <w:sz w:val="18"/>
          <w:szCs w:val="18"/>
          <w:color w:val="auto"/>
        </w:rPr>
        <w:t>Our first franchisee location was opened in November 2003. All franchised stores have similar signage, store layout, merchandise characteristics and guest experience as our corporately-managed stores. As of November 2, 2024, we had 5 master franchise agreements, which typically grant franchise rights for a particular country or group of countries, covering an aggregate of 8 countries.</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number of franchised stores opened and closed for the periods presented below are summarized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30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10"/>
        </w:trPr>
        <w:tc>
          <w:tcPr>
            <w:tcW w:w="56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80" w:type="dxa"/>
            <w:vAlign w:val="bottom"/>
          </w:tcPr>
          <w:p>
            <w:pPr>
              <w:spacing w:after="0"/>
              <w:rPr>
                <w:sz w:val="18"/>
                <w:szCs w:val="18"/>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6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56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2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sectPr>
          <w:pgSz w:w="11900" w:h="16838" w:orient="portrait"/>
          <w:cols w:equalWidth="0" w:num="1">
            <w:col w:w="11140"/>
          </w:cols>
          <w:pgMar w:left="300" w:top="121" w:right="459" w:bottom="1440" w:gutter="0" w:footer="0" w:header="0"/>
        </w:sectPr>
      </w:pP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00" w:top="121" w:right="4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88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82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November 2,</w:t>
            </w:r>
          </w:p>
        </w:tc>
        <w:tc>
          <w:tcPr>
            <w:tcW w:w="118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26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November 2,</w:t>
            </w:r>
          </w:p>
        </w:tc>
        <w:tc>
          <w:tcPr>
            <w:tcW w:w="12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retail sales</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91.7%</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revenue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retail </w:t>
            </w:r>
            <w:r>
              <w:rPr>
                <w:rFonts w:ascii="Times New Roman" w:cs="Times New Roman" w:eastAsia="Times New Roman" w:hAnsi="Times New Roman"/>
                <w:sz w:val="25"/>
                <w:szCs w:val="25"/>
                <w:color w:val="auto"/>
                <w:vertAlign w:val="superscript"/>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commercial </w:t>
            </w:r>
            <w:r>
              <w:rPr>
                <w:rFonts w:ascii="Times New Roman" w:cs="Times New Roman" w:eastAsia="Times New Roman" w:hAnsi="Times New Roman"/>
                <w:sz w:val="25"/>
                <w:szCs w:val="25"/>
                <w:color w:val="auto"/>
                <w:vertAlign w:val="superscript"/>
              </w:rPr>
              <w:t>(1)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international franchising </w:t>
            </w:r>
            <w:r>
              <w:rPr>
                <w:rFonts w:ascii="Times New Roman" w:cs="Times New Roman" w:eastAsia="Times New Roman" w:hAnsi="Times New Roman"/>
                <w:sz w:val="25"/>
                <w:szCs w:val="25"/>
                <w:color w:val="auto"/>
                <w:vertAlign w:val="superscript"/>
              </w:rPr>
              <w:t>(1)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 net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Retail Gross Margin </w:t>
            </w:r>
            <w:r>
              <w:rPr>
                <w:rFonts w:ascii="Times New Roman" w:cs="Times New Roman" w:eastAsia="Times New Roman" w:hAnsi="Times New Roman"/>
                <w:sz w:val="25"/>
                <w:szCs w:val="25"/>
                <w:color w:val="auto"/>
                <w:vertAlign w:val="superscript"/>
              </w:rPr>
              <w:t>(2)</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54.2%</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60" w:hanging="372"/>
        <w:spacing w:after="0" w:line="261"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380" w:right="420" w:hanging="372"/>
        <w:spacing w:after="0" w:line="260"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gross margin represents net retail sales less cost of merchandise sold - retail; retail gross margin percentage represents retail gross margin divided by net retail sales.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November 2, 2024 compared to thirteen weeks ended October 28, 2023</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increased 11.0%, primarily driven by a $9.1 million or 9.1% increase in Net Retail sales and a $2.6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43% increase in Commercial revenue when compared to the third fiscal quarter of 2023. The increase in net retail sales was driven primarily by growth at existing stores. The increased commercial revenue was due to higher sales from our wholesale customers that was driven by new wholesale customers and opening 38 third-party retail stores since the third quarter of 2023.</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retail sales for the thirteen weeks ended November 2, 2024 were $109.5 million, compared to $100.4 million for the thirteen weeks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2023. The components of the improved performance are as follows (dollars in thousands):</w:t>
      </w:r>
    </w:p>
    <w:p>
      <w:pPr>
        <w:spacing w:after="0" w:line="20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Thirteen weeks</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0" w:type="dxa"/>
            <w:vAlign w:val="bottom"/>
          </w:tcPr>
          <w:p>
            <w:pPr>
              <w:spacing w:after="0"/>
              <w:rPr>
                <w:sz w:val="1"/>
                <w:szCs w:val="1"/>
                <w:color w:val="auto"/>
              </w:rPr>
            </w:pPr>
          </w:p>
        </w:tc>
      </w:tr>
      <w:tr>
        <w:trPr>
          <w:trHeight w:val="238"/>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Impact from:</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0" w:type="dxa"/>
            <w:vAlign w:val="bottom"/>
          </w:tcPr>
          <w:p>
            <w:pPr>
              <w:spacing w:after="0"/>
              <w:rPr>
                <w:sz w:val="1"/>
                <w:szCs w:val="1"/>
                <w:color w:val="auto"/>
              </w:rPr>
            </w:pPr>
          </w:p>
        </w:tc>
      </w:tr>
      <w:tr>
        <w:trPr>
          <w:trHeight w:val="209"/>
        </w:trPr>
        <w:tc>
          <w:tcPr>
            <w:tcW w:w="74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53rd week shift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 closures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sales</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discounts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breakage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9"/>
        </w:trPr>
        <w:tc>
          <w:tcPr>
            <w:tcW w:w="74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Change</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648"/>
        <w:spacing w:after="0" w:line="292" w:lineRule="auto"/>
        <w:rPr>
          <w:sz w:val="20"/>
          <w:szCs w:val="20"/>
          <w:color w:val="auto"/>
        </w:rPr>
      </w:pPr>
      <w:r>
        <w:rPr>
          <w:rFonts w:ascii="Times New Roman" w:cs="Times New Roman" w:eastAsia="Times New Roman" w:hAnsi="Times New Roman"/>
          <w:sz w:val="18"/>
          <w:szCs w:val="18"/>
          <w:color w:val="auto"/>
        </w:rPr>
        <w:t>The higher retail revenue performance was primarily the result of an increase at existing stores and new stores partially offset by the impact of the calendar shift (53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week shift), the effect of store closures and a decline in web demand.</w:t>
      </w:r>
    </w:p>
    <w:p>
      <w:pPr>
        <w:sectPr>
          <w:pgSz w:w="11900" w:h="16838" w:orient="portrait"/>
          <w:cols w:equalWidth="0" w:num="1">
            <w:col w:w="11160"/>
          </w:cols>
          <w:pgMar w:left="320" w:top="121" w:right="419" w:bottom="596" w:gutter="0" w:footer="0" w:header="0"/>
        </w:sect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596"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Commercial revenue was $8.6 million for the thirteen weeks ended November 2, 2024 compared to $6.0 million for the thirteen weeks ended October 28, 2023. The $2.6 million increase is primarily due to increased sales volume from our wholesale accounts through our partner-operated third-party retail model.</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International franchising revenue was $1.3 million for the thirteen weeks ended November 2, 2024 compared to $1.1 million for the thirteen weeks ended October 28, 2023. The change is primarily the result of the timing of product shipments.</w:t>
      </w:r>
    </w:p>
    <w:p>
      <w:pPr>
        <w:spacing w:after="0" w:line="160"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increased $6.5 million to $59.4 million from $52.9 million for the thirteen weeks ended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 2023. The retail gross margin rate increased 160 basis points compared to the prior year driven by lower merchandise, freight and occupancy costs compared to the third quarter of fiscal 2023.</w:t>
      </w:r>
    </w:p>
    <w:p>
      <w:pPr>
        <w:spacing w:after="0" w:line="173" w:lineRule="exact"/>
        <w:rPr>
          <w:sz w:val="20"/>
          <w:szCs w:val="20"/>
          <w:color w:val="auto"/>
        </w:rPr>
      </w:pPr>
    </w:p>
    <w:p>
      <w:pPr>
        <w:ind w:right="5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SG&amp;A expenses were $51.7 million, or 43.3% of consolidated revenue, for the thirteen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 2024, compared to $46.6 million, or 43.3% of consolidated revenue, for the thirteen weeks ended October 28, 2023. The consistent performance as a percentage of revenue was driven by lower expenses for advertising and information technology costs offset by higher wage rates, increased healthcare costs and general inflationary pressures.</w:t>
      </w:r>
    </w:p>
    <w:p>
      <w:pPr>
        <w:spacing w:after="0" w:line="180"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Interest income was $0.1 million for the thirteen weeks ended November 2, 2024 compared to interest income of $0.3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thirteen weeks ended October 28, 2023.</w:t>
      </w:r>
    </w:p>
    <w:p>
      <w:pPr>
        <w:spacing w:after="0" w:line="15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expense was $3.2 million with a tax rate of 24.5% for the thirteen weeks ended November 2, 2024,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income tax expense of $2.8 million with a tax rate of 26.7% for the thirteen weeks ended October 28, 2023. In the third quarter of fiscal 2024 and 2023, the effective tax rate differed from the statutory rate of 21% primarily due to state income tax expense. In the fourth quarter of fiscal 2023, the Company reversed the valuation allowance on deferred tax assets expected to be realized in the U.K. The Company remains in a full valuation in certain other foreign jurisdictions.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Thirty-nine weeks ended November 2, 2024 compared to thirty-nine weeks ended October 28, 2023</w:t>
      </w:r>
    </w:p>
    <w:p>
      <w:pPr>
        <w:spacing w:after="0" w:line="227"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increased 2.7%, primarily driven by a 24% increase in commercial revenue and a 1.5%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retail sales.</w:t>
      </w:r>
    </w:p>
    <w:p>
      <w:pPr>
        <w:spacing w:after="0" w:line="16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Net retail sales for the thirty-nine weeks ended November 2, 2024 were $320.8 million, compared to $316.0 million for the thirty-nine weeks ended October 28, 2023, an increase of $4.9 million, or 1.5%, compared to the prior year period. The components of this increase are as follows (dollars in thousands):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Thirty-nine weeks</w:t>
            </w:r>
          </w:p>
        </w:tc>
      </w:tr>
      <w:tr>
        <w:trPr>
          <w:trHeight w:val="216"/>
        </w:trPr>
        <w:tc>
          <w:tcPr>
            <w:tcW w:w="7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7380" w:type="dxa"/>
            <w:vAlign w:val="bottom"/>
          </w:tcPr>
          <w:p>
            <w:pPr>
              <w:spacing w:after="0"/>
              <w:rPr>
                <w:sz w:val="20"/>
                <w:szCs w:val="20"/>
                <w:color w:val="auto"/>
              </w:rPr>
            </w:pPr>
          </w:p>
        </w:tc>
        <w:tc>
          <w:tcPr>
            <w:tcW w:w="16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November 2, 2024</w:t>
            </w: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from:</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stores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6,838</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sales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(6,155)</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5,282</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53rd week shift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(1,984)</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closures</w:t>
            </w: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(1,247)</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987</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discounts</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984</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breakage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r>
      <w:tr>
        <w:trPr>
          <w:trHeight w:val="20"/>
        </w:trPr>
        <w:tc>
          <w:tcPr>
            <w:tcW w:w="7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Change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4,854</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increase in net retail sales was primarily the result of higher sales at existing stores and new stores, partially offset by a decline in web demand, the impact of the 53rd week shift and the effect of store closures.</w:t>
      </w:r>
    </w:p>
    <w:p>
      <w:pPr>
        <w:spacing w:after="0" w:line="162" w:lineRule="exact"/>
        <w:rPr>
          <w:sz w:val="20"/>
          <w:szCs w:val="20"/>
          <w:color w:val="auto"/>
        </w:rPr>
      </w:pPr>
    </w:p>
    <w:p>
      <w:pPr>
        <w:jc w:val="both"/>
        <w:ind w:right="280" w:firstLine="648"/>
        <w:spacing w:after="0" w:line="282" w:lineRule="auto"/>
        <w:rPr>
          <w:sz w:val="20"/>
          <w:szCs w:val="20"/>
          <w:color w:val="auto"/>
        </w:rPr>
      </w:pPr>
      <w:r>
        <w:rPr>
          <w:rFonts w:ascii="Times New Roman" w:cs="Times New Roman" w:eastAsia="Times New Roman" w:hAnsi="Times New Roman"/>
          <w:sz w:val="18"/>
          <w:szCs w:val="18"/>
          <w:color w:val="auto"/>
        </w:rPr>
        <w:t>Commercial revenue was $21.9 million for the thirty-nine weeks ended November 2, 2024 compared to $17.7 million for the thirty-nine weeks ended October 28, 2023. The $4.2 million increase is primarily the result of the adding new wholesale customers as part of our third-party retail model.</w:t>
      </w:r>
    </w:p>
    <w:p>
      <w:pPr>
        <w:spacing w:after="0" w:line="162"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International franchising revenue was $3.3 million for the thirty-nine weeks ended November 2, 2024 compared to $3.2 million for the thirty-nine weeks ended October 28, 2023. The change is primarily the result of the timing of product shipments.</w:t>
      </w:r>
    </w:p>
    <w:p>
      <w:pPr>
        <w:spacing w:after="0" w:line="160" w:lineRule="exact"/>
        <w:rPr>
          <w:sz w:val="20"/>
          <w:szCs w:val="20"/>
          <w:color w:val="auto"/>
        </w:rPr>
      </w:pPr>
    </w:p>
    <w:p>
      <w:pPr>
        <w:jc w:val="both"/>
        <w:ind w:right="8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Retail gross margin. </w:t>
      </w:r>
      <w:r>
        <w:rPr>
          <w:rFonts w:ascii="Times New Roman" w:cs="Times New Roman" w:eastAsia="Times New Roman" w:hAnsi="Times New Roman"/>
          <w:sz w:val="17"/>
          <w:szCs w:val="17"/>
          <w:color w:val="auto"/>
        </w:rPr>
        <w:t>Retail gross margin dollars for the thirty-nine weeks ended November 2, 2024, increased $3.9 million to $173.7 million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$169.8 million for the thirty-nine weeks ended October 28, 2023. The retail gross margin rate increase of 40 basis points from the prior year was driven by lower merchandise costs partially offset by increased occupancy, warehousing and distribution costs compared to the first three quarters of fiscal 2023.</w:t>
      </w:r>
    </w:p>
    <w:p>
      <w:pPr>
        <w:sectPr>
          <w:pgSz w:w="11900" w:h="16838" w:orient="portrait"/>
          <w:cols w:equalWidth="0" w:num="1">
            <w:col w:w="11240"/>
          </w:cols>
          <w:pgMar w:left="320" w:top="121"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right="4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SG&amp;A expenses were $148.4 million, or 42.9% of consolidated revenue, for the thirty-nine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 2024, compared to $140.5 million, or 41.7% of consolidated revenue, for the thirty-nine weeks ended October 28, 2023. The increase in overall expense was driven by higher wage rates, expense timing and general inflationary pressures.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Interest income was $0.7 million for the thirty-nine weeks ended November 2, 2024 compared to interest income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million for the thirty-nine weeks ended October 28, 2023. The increase in interest income compared to the prior year is the result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management strategy to invest cash on-hand in short-term, highly liquid investments.</w:t>
      </w:r>
    </w:p>
    <w:p>
      <w:pPr>
        <w:spacing w:after="0" w:line="20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expense was $9.5 million with a tax rate of 24.1% for the thirty-nine weeks ended November 2, 2024,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$9.6 million with a tax rate of 24.0% for the thirty-nine weeks ended October 28, 2023. In the first thirty-nine weeks of fiscal 2024 and 2023, the effective tax rate differed from the statutory rate of 21% primarily due to state income tax expense partially offset by the tax impact of equity awards vesting. In the fourth quarter of fiscal 2023, the Company reversed the valuation allowance on deferred tax assets expected to be realized in the U.K. The Company remains in a full valuation in certain other foreign jurisdictions.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Interest, Taxes, Depreciation, and Amortization</w:t>
      </w:r>
    </w:p>
    <w:p>
      <w:pPr>
        <w:spacing w:after="0" w:line="229"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We believe that earnings before interest, taxes, depreciation, and amortization ("EBITDA") provides meaningful information about our operational efficiency by excluding the impact of differences in tax jurisdictions and structures, debt levels, and capital investment. Additionally, this measure is the metric used for portions of the Company's incentive compensation structure. This measure is not in accordance with, or an alternative to, GAAP. The most comparable GAAP measure is income before income taxes, or pre-tax income. EBITDA should not be considered in isolation or as a substitution for analysis of our results as reported in accordance with GAAP. Other companies may calculate EBIT and EBITDA differently, limiting the usefulness of the measures for comparisons with other companies. The following table sets forth, for the periods indicated, the components of EBITDA (dollars in millions):</w:t>
      </w:r>
    </w:p>
    <w:p>
      <w:pPr>
        <w:spacing w:after="0" w:line="169"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2,</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2,</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October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(pre-tax)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Earnings before interest, taxes, depreciation,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140" w:type="dxa"/>
            <w:vAlign w:val="bottom"/>
          </w:tcPr>
          <w:p>
            <w:pPr>
              <w:spacing w:after="0"/>
              <w:rPr>
                <w:sz w:val="16"/>
                <w:szCs w:val="16"/>
                <w:color w:val="auto"/>
              </w:rPr>
            </w:pP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13,298</w:t>
            </w:r>
          </w:p>
        </w:tc>
        <w:tc>
          <w:tcPr>
            <w:tcW w:w="120" w:type="dxa"/>
            <w:vAlign w:val="bottom"/>
          </w:tcPr>
          <w:p>
            <w:pPr>
              <w:spacing w:after="0"/>
              <w:rPr>
                <w:sz w:val="16"/>
                <w:szCs w:val="16"/>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49,915</w:t>
            </w:r>
          </w:p>
        </w:tc>
        <w:tc>
          <w:tcPr>
            <w:tcW w:w="120" w:type="dxa"/>
            <w:vAlign w:val="bottom"/>
          </w:tcPr>
          <w:p>
            <w:pPr>
              <w:spacing w:after="0"/>
              <w:rPr>
                <w:sz w:val="16"/>
                <w:szCs w:val="16"/>
                <w:color w:val="auto"/>
              </w:rPr>
            </w:pP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49,196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EBITDA for the thirteen weeks ended November 2, 2024 increased $3.4 million, or 25.3% to $16.7 million from $13.3 million for the thirteen weeks ended October 28, 2023. The increase was driven by gross profit driven by increased retail and commercial margins partially offset by higher SG&amp;A expenses.</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EBITDA for the thirty-nine weeks ended November 2, 2024, increased $0.7 million, or 1.5%, to $49.9 million from $49.2 million for the thirty-nine weeks ended October 28, 2023. The increase in EBITDA was driven by retail and commercial margins partially offset by higher SG&amp;A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operating results for one period may not be indicative of results for other periods, and may fluctuate significantly because of a variety of factors, including, but not limited to: (1) changes in general economic conditions (including as a result of the pandemic) and consumer spending patterns;</w:t>
      </w:r>
    </w:p>
    <w:p>
      <w:pPr>
        <w:ind w:firstLine="8"/>
        <w:spacing w:after="0" w:line="25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store operations in response to the pandemic apart from its effect on the general economy, including temporary store closures required by local governments; (3) increases or decreases in our existing store and e-commerce sales; (4) fluctuations in the profitability of our stores; (5) the timing and frequency of the sales of licensed products tied to major theatrical releases (including the cancellation or delay of such releases due to the pandemic or other external factors) and our marketing initiatives, including national media and other public relations events; (6) changes in foreign currency exchange rates; (7) the timing of new store openings, closings, relocations and remodeling and related expenses; (8) changes in consumer preferences; (9) the effectiveness of our inventory management; (10) the actions of our competitors or mall anchors and co-tenants; (11) seasonal shopping patterns and holiday and vacation schedules; (12) disruptions in store operations due to civil unrest; and (13) weather conditions.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timing of store closures, relocations, remodels, openings and re-openings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Because our retail operations include toy products which have sales that historically peak in relation to the holiday season as part of our revenue model, our sales have historically been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For example, the 2023 fiscal fourth quarter was 14 weeks.</w:t>
      </w:r>
    </w:p>
    <w:p>
      <w:pPr>
        <w:sectPr>
          <w:pgSz w:w="11900" w:h="16838" w:orient="portrait"/>
          <w:cols w:equalWidth="0" w:num="1">
            <w:col w:w="11220"/>
          </w:cols>
          <w:pgMar w:left="320" w:top="121" w:right="359"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November 2, 2024, we had a consolidated cash balance of $29.0 million, 79% of which was domiciled within the U.S. Historically, our cash requirements have been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 Additionally, during 2024 we have used cash on-hand to invest in short-term, highly liquid investments with original maturities of three months or less resulting in interest income of $0.7 million during the thirty-nine weeks ended November 2, 2024.</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our operating, investing and financing activities is shown in the following table (dollars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87"/>
        </w:trPr>
        <w:tc>
          <w:tcPr>
            <w:tcW w:w="56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2,</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80" w:type="dxa"/>
            <w:vAlign w:val="bottom"/>
          </w:tcPr>
          <w:p>
            <w:pPr>
              <w:spacing w:after="0"/>
              <w:rPr>
                <w:sz w:val="16"/>
                <w:szCs w:val="16"/>
                <w:color w:val="auto"/>
              </w:rPr>
            </w:pPr>
          </w:p>
        </w:tc>
      </w:tr>
      <w:tr>
        <w:trPr>
          <w:trHeight w:val="238"/>
        </w:trPr>
        <w:tc>
          <w:tcPr>
            <w:tcW w:w="5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27,576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32,740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(9,571)</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(11,124)</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(33,386)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(39,134)</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1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5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(15,372)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(17,398)</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decreased $5.2 million for the thirty-nine weeks ended November 2, 2024,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thirty-nine weeks ended October 28, 2023. This decrease in cash from operating activities was primarily driven by increased cash spent on inventory purchases in anticipation of the uncertainty in cost due to potential tariffs and higher accounts receivable resulting from higher commercial revenue offset by increases in payables and accrued expenses.</w:t>
      </w:r>
    </w:p>
    <w:p>
      <w:pPr>
        <w:spacing w:after="0" w:line="180"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decreased $1.6 million for the thirty-nine weeks ended November 2, 2024,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thirty-nine weeks ended October 28, 2023. This decrease in cash used in investing activities was primarily driven by lower spending on capital expenditures.</w:t>
      </w:r>
    </w:p>
    <w:p>
      <w:pPr>
        <w:spacing w:after="0" w:line="17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in financing activities decreased $5.7 million for the thirty-nine weeks ended November 2, 2024,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thirty-nine weeks ended October 28, 2023. This decrease in cash used in financing activities was driven primarily by the payment in 2023 fiscal first quarter of a special cash dividend of $22.1 million compared to quarterly dividends of $2.9 million, $2.7 million and $2.7 million paid respectively in the first, second and third fiscal quarters of 2024. This was partially offset by an increase in repurchases of our common stock during the thirty-nine weeks ended November 2, 2024.</w:t>
      </w:r>
    </w:p>
    <w:p>
      <w:pPr>
        <w:spacing w:after="0" w:line="183"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We have a revolving credit and security agreement with PNC Bank, as agent, that provides for a secured revolving loan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of up to $25.0 million, subject to a borrowing base formula. As of November 2, 2024, borrowings under the agreement would bear interest at (a) a base rate determined under the agreement, or (b) the borrower's option, at a rate based on SOFR, plus in either case a margin based on average undrawn availability as determined in accordance with the agreement. As of November 2, 2024, our borrowing base was $25.0 million. As a result of a $250,000 letter of credit outstanding against the line of credit, approximately $24.7 million was available for borrowing as of November 2, 2024. We had no outstanding borrowings as of November 2, 2024.</w:t>
      </w:r>
    </w:p>
    <w:p>
      <w:pPr>
        <w:spacing w:after="0" w:line="184"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Most of our corporately-managed retail stores are located within shopping malls and all are operated under leases classified as operating leases. Our leases in North America tend to be shorter term leases to provide flexibility in aligning stores with market trends. During fiscal 2023 and into fiscal 2024, lease extensions began to have longer terms as we have secured longer contracts with more favorable terms.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leases contain incentives to help defray the cost of construction of a new store. Typically, a portion of the incentive must be repaid to the landlord if we choose to terminate the lease prior to its contracted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8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leases in the U.K. and Ireland typically have terms of ten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Business rates also change according to government time schedules to reflect current market rental rates for the locations we lease. Rents are invoiced monthly or quarterly and paid in advance.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Capital spending through the thirty-nine weeks ended November 2, 2024 totaled $9.6 million for information technology projects and new store openings, and we expect to spend approximately $18 to $20 million on capital expenditures in fiscal 2024.</w:t>
      </w:r>
    </w:p>
    <w:p>
      <w:pPr>
        <w:spacing w:after="0" w:line="16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Total inventory at quarter end was $70.8 million, an increase of $6.3 million or 10% from the end of the fiscal 2023 third quarter. We accelerated the acquisition of our core products in anticipation of the uncertainty in cost due to potential tariffs. We are comfortable with the level and composition of our inventory.</w:t>
      </w:r>
    </w:p>
    <w:p>
      <w:pPr>
        <w:spacing w:after="0" w:line="176" w:lineRule="exact"/>
        <w:rPr>
          <w:sz w:val="20"/>
          <w:szCs w:val="20"/>
          <w:color w:val="auto"/>
        </w:rPr>
      </w:pPr>
    </w:p>
    <w:p>
      <w:pPr>
        <w:ind w:left="160" w:right="140" w:firstLine="486"/>
        <w:spacing w:after="0" w:line="266" w:lineRule="auto"/>
        <w:rPr>
          <w:sz w:val="20"/>
          <w:szCs w:val="20"/>
          <w:color w:val="auto"/>
        </w:rPr>
      </w:pPr>
      <w:r>
        <w:rPr>
          <w:rFonts w:ascii="Times New Roman" w:cs="Times New Roman" w:eastAsia="Times New Roman" w:hAnsi="Times New Roman"/>
          <w:sz w:val="18"/>
          <w:szCs w:val="18"/>
          <w:color w:val="auto"/>
        </w:rPr>
        <w:t>We have various contractual or other obligations, including operating lease commitments and obligations under deferred compensation plans. As of November 2, 2024, we had purchase obligations totaling approximately $99.7 million, of which $29.0 million are due in the next 12 months. We believe our operating cash flows are sufficient to meet our material cash requirements for at least the next 12 months.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utilized $23.0 million in cash to repurchase 832,944 shares during the thirty-nine weeks ended November 2, 2024, compared to</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using $15.2 million in cash to repurchase 672,734 shares during the thirty-nine weeks ended October 28, 2023. Since the end of the third fiscal quarter, we utilized $0.2 million in cash to repurchase 5,288 shares leaving $97.0 millionavailable under the September 2024 Stock Repurchase Program.</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inflation is well above recent levels and global interest rates have risen in an effort to curb inflation. The impact of inflation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business operations was seen throughout fiscal 2023 and continued to adversely affect our business in fiscal 2024, mainly through rising store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labor costs. However, we continue to take mitigating actions, such as select strategic price increases on highly sought-after products and leveraging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costs. We expect the inflationary pressures experienced thus far in fiscal 2024 to continue throughout the rest of fiscal 2024, specifically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wage increases. We continue to monitor the impact of inflation on our business operations on an ongoing basis and may need to adjust our prices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to mitigate the impacts of changes to the rate of inflation during 2024 or in future years. Future volatility of general price inflation and the impact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on costs and availability of materials, costs for shipping and warehousing and other operational overhead could adversely affect our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Inflationary pressures may be exacerbated by higher transportation costs due to war and other geopolitical conflicts, such as the current Russia-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Ukraine conflict, tension between China and Taiwan, and the Israel-Hamas conflict. We cannot provide an estimate or range of impact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may have on our future results of operations. However, if we are unable to recover the impact of these costs through price increases to our guests,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if consumer spending decreases as a result of inflation, our business, results of operations, financial condition and cash flows may be adversely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affected. In addition, ongoing inflation in product costs may result in lower gross margin rates if we elect to maintain higher inventory reserves to mitigate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higher costs.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believe our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 Report on Form 10-K for the year ended February 3, 2024 as filed with the SEC on April 18, 2024, which includes audited consolidated financial statements for our 2023 and 2022 fiscal years. There have been no material changes to the critical accounting estimates disclosed in the 2023 Form 10-K.</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 Basis of Presentation — Recent Accounting Pronouncements – Adopted in the Current Year as disclosed in our Annual Report on Form 10-K for the year ended February 3, 2024 as filed with the SEC on April 18,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as disclosed in our Annual Report on Form 10-K for the year ended February 3, 2024 as filed with the SEC on April 18,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November 2, 2024, the end of the period covered by this Quarterly Report.</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It should be noted that our management, including the President and Chief Executive Officer and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 Company’s management, with the participation of the Company’s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There have been no changes in our internal control over financial reporting during the quarter covered by this report that have materially affected, or are reasonable likely to materially affect, our internal control over financial reporting.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risk factors as disclosed in our Annual Report on Form 10-K for the year ended February 3, 2024 as filed with the SEC on April 18,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 Maximum</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4"/>
              </w:rPr>
              <w:t>(c) Total</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(or</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Shares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 Total</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Units) that May</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 Average</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Yet Be</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Price Paid Per</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6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 (3)</w:t>
            </w:r>
          </w:p>
        </w:tc>
        <w:tc>
          <w:tcPr>
            <w:tcW w:w="80" w:type="dxa"/>
            <w:vAlign w:val="bottom"/>
          </w:tcPr>
          <w:p>
            <w:pPr>
              <w:spacing w:after="0"/>
              <w:rPr>
                <w:sz w:val="20"/>
                <w:szCs w:val="20"/>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August 4 , 2024 - August 31, 2024</w:t>
            </w:r>
          </w:p>
        </w:tc>
        <w:tc>
          <w:tcPr>
            <w:tcW w:w="1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63,667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26.46</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63,667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6,198,754</w:t>
            </w: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1, 2024 - October 5, 2024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31.25</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9,607</w:t>
            </w:r>
          </w:p>
        </w:tc>
        <w:tc>
          <w:tcPr>
            <w:tcW w:w="1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5,898,565</w:t>
            </w: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October 6, 2024 - November 2, 2024</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37.53</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74,643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97,198,593</w:t>
            </w:r>
          </w:p>
        </w:tc>
      </w:tr>
      <w:tr>
        <w:trPr>
          <w:trHeight w:val="20"/>
        </w:trPr>
        <w:tc>
          <w:tcPr>
            <w:tcW w:w="3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147,917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32.36</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147,917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97,198,593</w:t>
            </w: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80" w:right="1180" w:hanging="349"/>
        <w:spacing w:after="0" w:line="255" w:lineRule="auto"/>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transactions occur.</w:t>
      </w:r>
    </w:p>
    <w:p>
      <w:pPr>
        <w:spacing w:after="0" w:line="2" w:lineRule="exact"/>
        <w:rPr>
          <w:rFonts w:ascii="Times New Roman" w:cs="Times New Roman" w:eastAsia="Times New Roman" w:hAnsi="Times New Roman"/>
          <w:sz w:val="18"/>
          <w:szCs w:val="18"/>
          <w:color w:val="auto"/>
        </w:rPr>
      </w:pPr>
    </w:p>
    <w:p>
      <w:pPr>
        <w:ind w:left="1480" w:hanging="349"/>
        <w:spacing w:after="0"/>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includes commissions</w:t>
      </w:r>
    </w:p>
    <w:p>
      <w:pPr>
        <w:spacing w:after="0" w:line="9" w:lineRule="exact"/>
        <w:rPr>
          <w:rFonts w:ascii="Times New Roman" w:cs="Times New Roman" w:eastAsia="Times New Roman" w:hAnsi="Times New Roman"/>
          <w:sz w:val="18"/>
          <w:szCs w:val="18"/>
          <w:color w:val="auto"/>
        </w:rPr>
      </w:pPr>
    </w:p>
    <w:p>
      <w:pPr>
        <w:ind w:left="1480" w:right="1240" w:hanging="349"/>
        <w:spacing w:after="0" w:line="252" w:lineRule="auto"/>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31, 2022, the Board of Directors adopted the August 2022 Stock Repurchase program that authorized the repurchase of up to $50 million of our common stock. This program authorized the Company to repurchase shares through August 31, 2025, and did not require the Company to repurchase any specific number of shares, and may be modified, suspended or terminated at any time without prior noticed. Shares repurchased under the program will be subsequently retired. On September 11, 2024, we announced that our Board of Directors terminated the August 2022 Stock Repurchase Program and authorized a new share repurchase program of up to $100 million.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Trading Plans of Directors and Executive Officers</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During the Company's fiscal quarter ended November 2, 2024, none of our directors or officers informed us of the adoption or termination of a “Rule 10b5-1 trading arrangement” or “non-Rule 10b5-1 trading arrangement,”, as such terms are defined under Item 408(a) of Regulation S-K, during, except as described below:</w:t>
      </w:r>
    </w:p>
    <w:p>
      <w:pPr>
        <w:spacing w:after="0" w:line="176" w:lineRule="exact"/>
        <w:rPr>
          <w:sz w:val="20"/>
          <w:szCs w:val="20"/>
          <w:color w:val="auto"/>
        </w:rPr>
      </w:pPr>
    </w:p>
    <w:p>
      <w:pPr>
        <w:ind w:left="780" w:right="80" w:hanging="448"/>
        <w:spacing w:after="0" w:line="261"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8, 2024, Sharon John, President and Chief Executive Officer of the Company, adopted a trading arrangement for the sale of the Company’s common stock (a “Rule 10b5-1 Trading Plan”) that is intended to satisfy the affirmative defense conditions of Securities Exchange Act Rule 10b5-1(c). Ms. John’s Rule 10b5-1 Trading Plan, which expires March 14, 2025, provides for the sale of up to 122,821 shares of common stock pursuant to the terms of the plan.</w:t>
      </w:r>
    </w:p>
    <w:p>
      <w:pPr>
        <w:spacing w:after="0" w:line="395" w:lineRule="exact"/>
        <w:rPr>
          <w:rFonts w:ascii="Times New Roman" w:cs="Times New Roman" w:eastAsia="Times New Roman" w:hAnsi="Times New Roman"/>
          <w:sz w:val="18"/>
          <w:szCs w:val="18"/>
          <w:color w:val="auto"/>
        </w:rPr>
      </w:pPr>
    </w:p>
    <w:p>
      <w:pPr>
        <w:ind w:left="780" w:hanging="448"/>
        <w:spacing w:after="0" w:line="266"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10, 2024, Voin Todorovic, Chief Financial Officer of the Company, adopted a Rule 10b5-1 Trading Plan that is intended to satisfy the affirmative defense conditions of Securities Exchange Act Rule 10b5-1(c). Mr. Todorovic’s Rule 10b5-1 Trading Plan, which expires March 31, 2025, provides for the sale of up to 20,000 shares of common stock pursuant to the terms of the plan.</w:t>
      </w:r>
    </w:p>
    <w:p>
      <w:pPr>
        <w:spacing w:after="0" w:line="391" w:lineRule="exact"/>
        <w:rPr>
          <w:rFonts w:ascii="Times New Roman" w:cs="Times New Roman" w:eastAsia="Times New Roman" w:hAnsi="Times New Roman"/>
          <w:sz w:val="18"/>
          <w:szCs w:val="18"/>
          <w:color w:val="auto"/>
        </w:rPr>
      </w:pPr>
    </w:p>
    <w:p>
      <w:pPr>
        <w:ind w:left="780" w:right="260" w:hanging="448"/>
        <w:spacing w:after="0" w:line="266"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14, 2024, J. Christopher Hurt, Chief Operations Officer of the Company, adopted a Rule 10b5-1 Trading Plan that is intended to satisfy the affirmative defense conditions of Securities Exchange Act Rule 10b5-1(c). Mr. Hurt’s Rule 10b5-1 Trading Plan, which expires March 14, 2025, provides for the sale of up to 18,845 shares of common stock pursuant to the terms of the plan.</w:t>
      </w:r>
    </w:p>
    <w:p>
      <w:pPr>
        <w:sectPr>
          <w:pgSz w:w="11900" w:h="16838" w:orient="portrait"/>
          <w:cols w:equalWidth="0" w:num="1">
            <w:col w:w="11140"/>
          </w:cols>
          <w:pgMar w:left="320" w:top="121" w:right="439" w:bottom="1440" w:gutter="0" w:footer="0" w:header="0"/>
        </w:sectPr>
      </w:pP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10"/>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00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Agreement and Plan of Merger dated April 3, 2000 between Build-A-Bear Workshop, L.L.C. and the Registrant (incorporated by reference</w:t>
              </w:r>
            </w:hyperlink>
          </w:p>
        </w:tc>
        <w:tc>
          <w:tcPr>
            <w:tcW w:w="20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from Exhibit 2.1 to our Registration Statement on Form S-1, filed on August 12, 2004, Registration No. 333-118142)</w:t>
              </w:r>
            </w:hyperlink>
          </w:p>
        </w:tc>
        <w:tc>
          <w:tcPr>
            <w:tcW w:w="1780" w:type="dxa"/>
            <w:vAlign w:val="bottom"/>
            <w:gridSpan w:val="9"/>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220" w:type="dxa"/>
            <w:vAlign w:val="bottom"/>
            <w:gridSpan w:val="15"/>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Third Amended and Restated Certificate of Incorporation (incorporated by reference from Exhibit 3.1 of our Current Report on Form 8-K,</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filed on November 11, 2004)</w:t>
              </w:r>
            </w:hyperlink>
          </w:p>
        </w:tc>
        <w:tc>
          <w:tcPr>
            <w:tcW w:w="260" w:type="dxa"/>
            <w:vAlign w:val="bottom"/>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0220" w:type="dxa"/>
            <w:vAlign w:val="bottom"/>
            <w:gridSpan w:val="15"/>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Amended and Restated Bylaws, as amended through February 23, 2016 (incorporated by reference from Exhibit 3.1 of our Current Report on</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8-K, filed on February 24, 2016)</w:t>
              </w:r>
            </w:hyperlink>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220" w:type="dxa"/>
            <w:vAlign w:val="bottom"/>
            <w:gridSpan w:val="15"/>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Specimen Stock Certificate (incorporated by reference from Exhibit 4.1 to Amendment No. 3 to our Registration Statement on Form S-1,</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filed on October 1, 2004, Registration No. 333-118142)</w:t>
              </w:r>
            </w:hyperlink>
          </w:p>
        </w:tc>
        <w:tc>
          <w:tcPr>
            <w:tcW w:w="5860" w:type="dxa"/>
            <w:vAlign w:val="bottom"/>
            <w:tcBorders>
              <w:top w:val="single" w:sz="8" w:color="0000EE"/>
            </w:tcBorders>
            <w:gridSpan w:val="5"/>
          </w:tcPr>
          <w:p>
            <w:pPr>
              <w:spacing w:after="0"/>
              <w:rPr>
                <w:sz w:val="17"/>
                <w:szCs w:val="17"/>
                <w:color w:val="auto"/>
              </w:rPr>
            </w:pPr>
          </w:p>
        </w:tc>
        <w:tc>
          <w:tcPr>
            <w:tcW w:w="340" w:type="dxa"/>
            <w:vAlign w:val="bottom"/>
            <w:gridSpan w:val="5"/>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1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Employment, Confidentiality and Noncompete Agreement, effective as of September 16, 2024 by and between David Henderson and Build-</w:t>
              </w:r>
            </w:hyperlink>
          </w:p>
        </w:tc>
        <w:tc>
          <w:tcPr>
            <w:tcW w:w="10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5"/>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A-Bear Workshop, Inc. (incorporated by reference from Exhibit 10.1 of our Current Report on Form 8-K, filed on September 12, 2024)</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920" w:type="dxa"/>
            <w:vAlign w:val="bottom"/>
            <w:gridSpan w:val="5"/>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President and Chief</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w:t>
            </w:r>
          </w:p>
        </w:tc>
        <w:tc>
          <w:tcPr>
            <w:tcW w:w="420" w:type="dxa"/>
            <w:vAlign w:val="bottom"/>
            <w:gridSpan w:val="6"/>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Chief Financial Officer)</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7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Section 1350 Certification (pursuant to Section 906 of the Sarbanes-Oxley Act of 2002, executed by the President and Chief Executive</w:t>
            </w:r>
          </w:p>
        </w:tc>
        <w:tc>
          <w:tcPr>
            <w:tcW w:w="380" w:type="dxa"/>
            <w:vAlign w:val="bottom"/>
            <w:tcBorders>
              <w:top w:val="single" w:sz="8" w:color="0000EE"/>
            </w:tcBorders>
            <w:gridSpan w:val="5"/>
          </w:tcPr>
          <w:p>
            <w:pPr>
              <w:spacing w:after="0"/>
              <w:rPr>
                <w:sz w:val="24"/>
                <w:szCs w:val="24"/>
                <w:color w:val="auto"/>
              </w:rPr>
            </w:pPr>
          </w:p>
        </w:tc>
        <w:tc>
          <w:tcPr>
            <w:tcW w:w="10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Officer)</w:t>
            </w:r>
          </w:p>
        </w:tc>
        <w:tc>
          <w:tcPr>
            <w:tcW w:w="9640" w:type="dxa"/>
            <w:vAlign w:val="bottom"/>
            <w:gridSpan w:val="14"/>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Section 1350 Certification (pursuant to Section 906 of the Sarbanes-Oxley Act of 2002, executed by the Chief Financial Officer)</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60" w:type="dxa"/>
            <w:vAlign w:val="bottom"/>
            <w:gridSpan w:val="7"/>
            <w:shd w:val="clear" w:color="auto" w:fill="0000EE"/>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r>
      <w:tr>
        <w:trPr>
          <w:trHeight w:val="4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2024</w:t>
      </w:r>
    </w:p>
    <w:p>
      <w:pPr>
        <w:spacing w:after="0" w:line="200" w:lineRule="exact"/>
        <w:rPr>
          <w:sz w:val="20"/>
          <w:szCs w:val="20"/>
          <w:color w:val="auto"/>
        </w:rPr>
      </w:pPr>
    </w:p>
    <w:p>
      <w:pPr>
        <w:spacing w:after="0" w:line="24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 (on behalf of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the registrant and as principal executive officer)</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 (on behalf of the registrant and as</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20" w:top="121" w:right="3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Sharon John, certify that:</w:t>
      </w:r>
    </w:p>
    <w:p>
      <w:pPr>
        <w:spacing w:after="0" w:line="225" w:lineRule="exact"/>
        <w:rPr>
          <w:sz w:val="20"/>
          <w:szCs w:val="20"/>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2024</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Voin Todorovic, certify that:</w:t>
      </w:r>
    </w:p>
    <w:p>
      <w:pPr>
        <w:spacing w:after="0" w:line="225" w:lineRule="exact"/>
        <w:rPr>
          <w:sz w:val="20"/>
          <w:szCs w:val="20"/>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2024</w:t>
      </w:r>
    </w:p>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November 2, 2024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2024</w:t>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November 2, 2024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lvl w:ilvl="1">
      <w:lvlJc w:val="left"/>
      <w:lvlText w:val="(%2)"/>
      <w:numFmt w:val="decimal"/>
      <w:start w:val="1"/>
    </w:lvl>
  </w:abstractNum>
  <w:abstractNum w:abstractNumId="5">
    <w:nsid w:val="109CF92E"/>
    <w:multiLevelType w:val="hybridMultilevel"/>
    <w:lvl w:ilvl="0">
      <w:lvlJc w:val="left"/>
      <w:lvlText w:val="%1."/>
      <w:numFmt w:val="decimal"/>
      <w:start w:val="5"/>
    </w:lvl>
    <w:lvl w:ilvl="1">
      <w:lvlJc w:val="left"/>
      <w:lvlText w:val="%2"/>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lvl w:ilvl="1">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2"/>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39" Type="http://schemas.openxmlformats.org/officeDocument/2006/relationships/hyperlink" Target="http://www.sec.gov/Archives/edgar/data/1113809/000095013704006634/c86750exv2w1.txt" TargetMode="External"/><Relationship Id="rId40" Type="http://schemas.openxmlformats.org/officeDocument/2006/relationships/hyperlink" Target="http://www.sec.gov/Archives/edgar/data/1113809/000095013804000748/exh3-1.htm" TargetMode="External"/><Relationship Id="rId41" Type="http://schemas.openxmlformats.org/officeDocument/2006/relationships/hyperlink" Target="http://www.sec.gov/Archives/edgar/data/1113809/000115752316004713/a51286063ex3_1.htm" TargetMode="External"/><Relationship Id="rId42" Type="http://schemas.openxmlformats.org/officeDocument/2006/relationships/hyperlink" Target="http://www.sec.gov/Archives/edgar/data/1113809/000095013704008227/c86750a3exv4w1.txt" TargetMode="External"/><Relationship Id="rId43" Type="http://schemas.openxmlformats.org/officeDocument/2006/relationships/hyperlink" Target="http://www.sec.gov/Archives/edgar/data/1113809/000143774924029061/ex_7233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2024-12-12T15:13:45Z</dcterms:created>
  <dcterms:modified xsi:type="dcterms:W3CDTF">2024-12-12T15:13:45Z</dcterms:modified>
</cp:coreProperties>
</file>