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440" w:hanging="432"/>
        <w:spacing w:after="0" w:line="199" w:lineRule="auto"/>
        <w:tabs>
          <w:tab w:leader="none" w:pos="440" w:val="left"/>
        </w:tabs>
        <w:numPr>
          <w:ilvl w:val="0"/>
          <w:numId w:val="1"/>
        </w:numPr>
        <w:rPr>
          <w:rFonts w:ascii="MS PGothic" w:cs="MS PGothic" w:eastAsia="MS PGothic" w:hAnsi="MS PGothic"/>
          <w:sz w:val="29"/>
          <w:szCs w:val="29"/>
          <w:color w:val="auto"/>
          <w:highlight w:val="black"/>
          <w:vertAlign w:val="superscript"/>
        </w:rPr>
      </w:pPr>
      <w:r>
        <w:rPr>
          <w:rFonts w:ascii="Arial" w:cs="Arial" w:eastAsia="Arial" w:hAnsi="Arial"/>
          <w:sz w:val="22"/>
          <w:szCs w:val="22"/>
          <w:b w:val="1"/>
          <w:bCs w:val="1"/>
          <w:color w:val="auto"/>
        </w:rPr>
        <w:t>Annual report pursuant to Section 13 or 15(d) of the Securities Exchange Act of 1934</w:t>
      </w:r>
    </w:p>
    <w:p>
      <w:pPr>
        <w:spacing w:after="0" w:line="1" w:lineRule="exact"/>
        <w:rPr>
          <w:sz w:val="24"/>
          <w:szCs w:val="24"/>
          <w:color w:val="auto"/>
        </w:rPr>
      </w:pPr>
    </w:p>
    <w:p>
      <w:pPr>
        <w:ind w:left="440"/>
        <w:spacing w:after="0"/>
        <w:rPr>
          <w:sz w:val="20"/>
          <w:szCs w:val="20"/>
          <w:color w:val="auto"/>
        </w:rPr>
      </w:pPr>
      <w:r>
        <w:rPr>
          <w:rFonts w:ascii="Arial" w:cs="Arial" w:eastAsia="Arial" w:hAnsi="Arial"/>
          <w:sz w:val="14"/>
          <w:szCs w:val="14"/>
          <w:b w:val="1"/>
          <w:bCs w:val="1"/>
          <w:color w:val="auto"/>
        </w:rPr>
        <w:t>For the fiscal year ended January 29, 2022</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99"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29"/>
          <w:szCs w:val="29"/>
          <w:color w:val="auto"/>
          <w:highlight w:val="black"/>
          <w:vertAlign w:val="superscript"/>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440" w:type="dxa"/>
        <w:tblCellMar>
          <w:top w:w="0" w:type="dxa"/>
          <w:left w:w="0" w:type="dxa"/>
          <w:bottom w:w="0" w:type="dxa"/>
          <w:right w:w="0" w:type="dxa"/>
        </w:tblCellMar>
      </w:tblPr>
      <w:tr>
        <w:trPr>
          <w:trHeight w:val="142"/>
        </w:trPr>
        <w:tc>
          <w:tcPr>
            <w:tcW w:w="1900" w:type="dxa"/>
            <w:vAlign w:val="bottom"/>
          </w:tcPr>
          <w:p>
            <w:pPr>
              <w:spacing w:after="0" w:line="142" w:lineRule="exact"/>
              <w:rPr>
                <w:sz w:val="20"/>
                <w:szCs w:val="20"/>
                <w:color w:val="auto"/>
              </w:rPr>
            </w:pPr>
            <w:r>
              <w:rPr>
                <w:rFonts w:ascii="Arial" w:cs="Arial" w:eastAsia="Arial" w:hAnsi="Arial"/>
                <w:sz w:val="14"/>
                <w:szCs w:val="14"/>
                <w:b w:val="1"/>
                <w:bCs w:val="1"/>
                <w:color w:val="auto"/>
                <w:w w:val="95"/>
              </w:rPr>
              <w:t>For the transition period from</w:t>
            </w:r>
          </w:p>
        </w:tc>
        <w:tc>
          <w:tcPr>
            <w:tcW w:w="420" w:type="dxa"/>
            <w:vAlign w:val="bottom"/>
          </w:tcPr>
          <w:p>
            <w:pPr>
              <w:spacing w:after="0"/>
              <w:rPr>
                <w:sz w:val="12"/>
                <w:szCs w:val="12"/>
                <w:color w:val="auto"/>
              </w:rPr>
            </w:pPr>
          </w:p>
        </w:tc>
        <w:tc>
          <w:tcPr>
            <w:tcW w:w="39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to</w:t>
            </w:r>
          </w:p>
        </w:tc>
      </w:tr>
      <w:tr>
        <w:trPr>
          <w:trHeight w:val="305"/>
        </w:trPr>
        <w:tc>
          <w:tcPr>
            <w:tcW w:w="19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360" w:type="dxa"/>
            <w:vAlign w:val="bottom"/>
          </w:tcPr>
          <w:p>
            <w:pPr>
              <w:ind w:left="1140"/>
              <w:spacing w:after="0"/>
              <w:rPr>
                <w:sz w:val="20"/>
                <w:szCs w:val="20"/>
                <w:color w:val="auto"/>
              </w:rPr>
            </w:pPr>
            <w:r>
              <w:rPr>
                <w:rFonts w:ascii="Arial" w:cs="Arial" w:eastAsia="Arial" w:hAnsi="Arial"/>
                <w:sz w:val="14"/>
                <w:szCs w:val="14"/>
                <w:b w:val="1"/>
                <w:bCs w:val="1"/>
                <w:color w:val="auto"/>
                <w:w w:val="92"/>
              </w:rPr>
              <w:t>Commission file number: 001-32320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85090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BUILD-A-BEAR WORKSHOP,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jc w:val="center"/>
              <w:ind w:left="1748"/>
              <w:spacing w:after="0"/>
              <w:rPr>
                <w:sz w:val="20"/>
                <w:szCs w:val="20"/>
                <w:color w:val="auto"/>
              </w:rPr>
            </w:pPr>
            <w:r>
              <w:rPr>
                <w:rFonts w:ascii="Arial" w:cs="Arial" w:eastAsia="Arial" w:hAnsi="Arial"/>
                <w:sz w:val="14"/>
                <w:szCs w:val="14"/>
                <w:b w:val="1"/>
                <w:bCs w:val="1"/>
                <w:color w:val="auto"/>
                <w:w w:val="94"/>
              </w:rPr>
              <w:t>Delaware</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760" w:type="dxa"/>
            <w:vAlign w:val="bottom"/>
          </w:tcPr>
          <w:p>
            <w:pPr>
              <w:jc w:val="right"/>
              <w:ind w:right="2388"/>
              <w:spacing w:after="0"/>
              <w:rPr>
                <w:sz w:val="20"/>
                <w:szCs w:val="20"/>
                <w:color w:val="auto"/>
              </w:rPr>
            </w:pPr>
            <w:r>
              <w:rPr>
                <w:rFonts w:ascii="Arial" w:cs="Arial" w:eastAsia="Arial" w:hAnsi="Arial"/>
                <w:sz w:val="14"/>
                <w:szCs w:val="14"/>
                <w:b w:val="1"/>
                <w:bCs w:val="1"/>
                <w:color w:val="auto"/>
              </w:rPr>
              <w:t>43-1883836</w:t>
            </w:r>
          </w:p>
        </w:tc>
        <w:tc>
          <w:tcPr>
            <w:tcW w:w="0" w:type="dxa"/>
            <w:vAlign w:val="bottom"/>
          </w:tcPr>
          <w:p>
            <w:pPr>
              <w:spacing w:after="0"/>
              <w:rPr>
                <w:sz w:val="1"/>
                <w:szCs w:val="1"/>
                <w:color w:val="auto"/>
              </w:rPr>
            </w:pPr>
          </w:p>
        </w:tc>
      </w:tr>
      <w:tr>
        <w:trPr>
          <w:trHeight w:val="149"/>
        </w:trPr>
        <w:tc>
          <w:tcPr>
            <w:tcW w:w="3800" w:type="dxa"/>
            <w:vAlign w:val="bottom"/>
          </w:tcPr>
          <w:p>
            <w:pPr>
              <w:jc w:val="center"/>
              <w:ind w:left="1768"/>
              <w:spacing w:after="0" w:line="149" w:lineRule="exact"/>
              <w:rPr>
                <w:sz w:val="20"/>
                <w:szCs w:val="20"/>
                <w:color w:val="auto"/>
              </w:rPr>
            </w:pPr>
            <w:r>
              <w:rPr>
                <w:rFonts w:ascii="Arial" w:cs="Arial" w:eastAsia="Arial" w:hAnsi="Arial"/>
                <w:sz w:val="14"/>
                <w:szCs w:val="14"/>
                <w:b w:val="1"/>
                <w:bCs w:val="1"/>
                <w:i w:val="1"/>
                <w:iCs w:val="1"/>
                <w:color w:val="auto"/>
                <w:w w:val="90"/>
              </w:rPr>
              <w:t>(State or Other Jurisdiction of</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760" w:type="dxa"/>
            <w:vAlign w:val="bottom"/>
          </w:tcPr>
          <w:p>
            <w:pPr>
              <w:jc w:val="center"/>
              <w:ind w:right="1768"/>
              <w:spacing w:after="0" w:line="149" w:lineRule="exact"/>
              <w:rPr>
                <w:sz w:val="20"/>
                <w:szCs w:val="20"/>
                <w:color w:val="auto"/>
              </w:rPr>
            </w:pPr>
            <w:r>
              <w:rPr>
                <w:rFonts w:ascii="Arial" w:cs="Arial" w:eastAsia="Arial" w:hAnsi="Arial"/>
                <w:sz w:val="14"/>
                <w:szCs w:val="14"/>
                <w:b w:val="1"/>
                <w:bCs w:val="1"/>
                <w:i w:val="1"/>
                <w:iCs w:val="1"/>
                <w:color w:val="auto"/>
                <w:w w:val="93"/>
              </w:rPr>
              <w:t>(I.R.S. Employer</w:t>
            </w:r>
          </w:p>
        </w:tc>
        <w:tc>
          <w:tcPr>
            <w:tcW w:w="0" w:type="dxa"/>
            <w:vAlign w:val="bottom"/>
          </w:tcPr>
          <w:p>
            <w:pPr>
              <w:spacing w:after="0"/>
              <w:rPr>
                <w:sz w:val="1"/>
                <w:szCs w:val="1"/>
                <w:color w:val="auto"/>
              </w:rPr>
            </w:pPr>
          </w:p>
        </w:tc>
      </w:tr>
      <w:tr>
        <w:trPr>
          <w:trHeight w:val="182"/>
        </w:trPr>
        <w:tc>
          <w:tcPr>
            <w:tcW w:w="3800" w:type="dxa"/>
            <w:vAlign w:val="bottom"/>
          </w:tcPr>
          <w:p>
            <w:pPr>
              <w:jc w:val="center"/>
              <w:ind w:left="1748"/>
              <w:spacing w:after="0"/>
              <w:rPr>
                <w:sz w:val="20"/>
                <w:szCs w:val="20"/>
                <w:color w:val="auto"/>
              </w:rPr>
            </w:pPr>
            <w:r>
              <w:rPr>
                <w:rFonts w:ascii="Arial" w:cs="Arial" w:eastAsia="Arial" w:hAnsi="Arial"/>
                <w:sz w:val="14"/>
                <w:szCs w:val="14"/>
                <w:b w:val="1"/>
                <w:bCs w:val="1"/>
                <w:i w:val="1"/>
                <w:iCs w:val="1"/>
                <w:color w:val="auto"/>
                <w:w w:val="91"/>
              </w:rPr>
              <w:t>Incorporation or Organization)</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760" w:type="dxa"/>
            <w:vAlign w:val="bottom"/>
          </w:tcPr>
          <w:p>
            <w:pPr>
              <w:jc w:val="center"/>
              <w:ind w:right="1788"/>
              <w:spacing w:after="0"/>
              <w:rPr>
                <w:sz w:val="20"/>
                <w:szCs w:val="20"/>
                <w:color w:val="auto"/>
              </w:rPr>
            </w:pPr>
            <w:r>
              <w:rPr>
                <w:rFonts w:ascii="Arial" w:cs="Arial" w:eastAsia="Arial" w:hAnsi="Arial"/>
                <w:sz w:val="14"/>
                <w:szCs w:val="14"/>
                <w:b w:val="1"/>
                <w:bCs w:val="1"/>
                <w:i w:val="1"/>
                <w:iCs w:val="1"/>
                <w:color w:val="auto"/>
                <w:w w:val="92"/>
              </w:rPr>
              <w:t>Identification No.)</w:t>
            </w:r>
          </w:p>
        </w:tc>
        <w:tc>
          <w:tcPr>
            <w:tcW w:w="0" w:type="dxa"/>
            <w:vAlign w:val="bottom"/>
          </w:tcPr>
          <w:p>
            <w:pPr>
              <w:spacing w:after="0"/>
              <w:rPr>
                <w:sz w:val="1"/>
                <w:szCs w:val="1"/>
                <w:color w:val="auto"/>
              </w:rPr>
            </w:pPr>
          </w:p>
        </w:tc>
      </w:tr>
      <w:tr>
        <w:trPr>
          <w:trHeight w:val="259"/>
        </w:trPr>
        <w:tc>
          <w:tcPr>
            <w:tcW w:w="3800" w:type="dxa"/>
            <w:vAlign w:val="bottom"/>
          </w:tcPr>
          <w:p>
            <w:pPr>
              <w:jc w:val="center"/>
              <w:ind w:left="1768"/>
              <w:spacing w:after="0"/>
              <w:rPr>
                <w:sz w:val="20"/>
                <w:szCs w:val="20"/>
                <w:color w:val="auto"/>
              </w:rPr>
            </w:pPr>
            <w:r>
              <w:rPr>
                <w:rFonts w:ascii="Arial" w:cs="Arial" w:eastAsia="Arial" w:hAnsi="Arial"/>
                <w:sz w:val="14"/>
                <w:szCs w:val="14"/>
                <w:b w:val="1"/>
                <w:bCs w:val="1"/>
                <w:color w:val="auto"/>
                <w:w w:val="92"/>
              </w:rPr>
              <w:t>415 South 18th St.</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760" w:type="dxa"/>
            <w:vAlign w:val="bottom"/>
            <w:vMerge w:val="restart"/>
          </w:tcPr>
          <w:p>
            <w:pPr>
              <w:jc w:val="right"/>
              <w:ind w:right="2548"/>
              <w:spacing w:after="0"/>
              <w:rPr>
                <w:sz w:val="20"/>
                <w:szCs w:val="20"/>
                <w:color w:val="auto"/>
              </w:rPr>
            </w:pPr>
            <w:r>
              <w:rPr>
                <w:rFonts w:ascii="Arial" w:cs="Arial" w:eastAsia="Arial" w:hAnsi="Arial"/>
                <w:sz w:val="14"/>
                <w:szCs w:val="14"/>
                <w:b w:val="1"/>
                <w:bCs w:val="1"/>
                <w:color w:val="auto"/>
              </w:rPr>
              <w:t>63103</w:t>
            </w:r>
          </w:p>
        </w:tc>
        <w:tc>
          <w:tcPr>
            <w:tcW w:w="0" w:type="dxa"/>
            <w:vAlign w:val="bottom"/>
          </w:tcPr>
          <w:p>
            <w:pPr>
              <w:spacing w:after="0"/>
              <w:rPr>
                <w:sz w:val="1"/>
                <w:szCs w:val="1"/>
                <w:color w:val="auto"/>
              </w:rPr>
            </w:pPr>
          </w:p>
        </w:tc>
      </w:tr>
      <w:tr>
        <w:trPr>
          <w:trHeight w:val="153"/>
        </w:trPr>
        <w:tc>
          <w:tcPr>
            <w:tcW w:w="3800" w:type="dxa"/>
            <w:vAlign w:val="bottom"/>
          </w:tcPr>
          <w:p>
            <w:pPr>
              <w:jc w:val="center"/>
              <w:ind w:left="1768"/>
              <w:spacing w:after="0" w:line="153" w:lineRule="exact"/>
              <w:rPr>
                <w:sz w:val="20"/>
                <w:szCs w:val="20"/>
                <w:color w:val="auto"/>
              </w:rPr>
            </w:pPr>
            <w:r>
              <w:rPr>
                <w:rFonts w:ascii="Arial" w:cs="Arial" w:eastAsia="Arial" w:hAnsi="Arial"/>
                <w:sz w:val="14"/>
                <w:szCs w:val="14"/>
                <w:b w:val="1"/>
                <w:bCs w:val="1"/>
                <w:color w:val="auto"/>
                <w:w w:val="93"/>
              </w:rPr>
              <w:t>St. Louis, Missouri</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900" w:type="dxa"/>
            <w:vAlign w:val="bottom"/>
            <w:gridSpan w:val="9"/>
          </w:tcPr>
          <w:p>
            <w:pPr>
              <w:jc w:val="center"/>
              <w:ind w:right="1280"/>
              <w:spacing w:after="0"/>
              <w:rPr>
                <w:sz w:val="20"/>
                <w:szCs w:val="20"/>
                <w:color w:val="auto"/>
              </w:rPr>
            </w:pPr>
            <w:r>
              <w:rPr>
                <w:rFonts w:ascii="Arial" w:cs="Arial" w:eastAsia="Arial" w:hAnsi="Arial"/>
                <w:sz w:val="14"/>
                <w:szCs w:val="14"/>
                <w:b w:val="1"/>
                <w:bCs w:val="1"/>
                <w:i w:val="1"/>
                <w:iCs w:val="1"/>
                <w:color w:val="auto"/>
                <w:w w:val="89"/>
              </w:rPr>
              <w:t>(Address of Principal Executive Offices)</w:t>
            </w:r>
          </w:p>
        </w:tc>
        <w:tc>
          <w:tcPr>
            <w:tcW w:w="580" w:type="dxa"/>
            <w:vAlign w:val="bottom"/>
          </w:tcPr>
          <w:p>
            <w:pPr>
              <w:spacing w:after="0"/>
              <w:rPr>
                <w:sz w:val="15"/>
                <w:szCs w:val="15"/>
                <w:color w:val="auto"/>
              </w:rPr>
            </w:pPr>
          </w:p>
        </w:tc>
        <w:tc>
          <w:tcPr>
            <w:tcW w:w="3760" w:type="dxa"/>
            <w:vAlign w:val="bottom"/>
          </w:tcPr>
          <w:p>
            <w:pPr>
              <w:jc w:val="center"/>
              <w:ind w:right="1788"/>
              <w:spacing w:after="0"/>
              <w:rPr>
                <w:sz w:val="20"/>
                <w:szCs w:val="20"/>
                <w:color w:val="auto"/>
              </w:rPr>
            </w:pPr>
            <w:r>
              <w:rPr>
                <w:rFonts w:ascii="Arial" w:cs="Arial" w:eastAsia="Arial" w:hAnsi="Arial"/>
                <w:sz w:val="14"/>
                <w:szCs w:val="14"/>
                <w:b w:val="1"/>
                <w:bCs w:val="1"/>
                <w:i w:val="1"/>
                <w:iCs w:val="1"/>
                <w:color w:val="auto"/>
                <w:w w:val="89"/>
              </w:rPr>
              <w:t>(Zip Code)</w:t>
            </w:r>
          </w:p>
        </w:tc>
        <w:tc>
          <w:tcPr>
            <w:tcW w:w="0" w:type="dxa"/>
            <w:vAlign w:val="bottom"/>
          </w:tcPr>
          <w:p>
            <w:pPr>
              <w:spacing w:after="0"/>
              <w:rPr>
                <w:sz w:val="1"/>
                <w:szCs w:val="1"/>
                <w:color w:val="auto"/>
              </w:rPr>
            </w:pPr>
          </w:p>
        </w:tc>
      </w:tr>
      <w:tr>
        <w:trPr>
          <w:trHeight w:val="263"/>
        </w:trPr>
        <w:tc>
          <w:tcPr>
            <w:tcW w:w="3800" w:type="dxa"/>
            <w:vAlign w:val="bottom"/>
          </w:tcPr>
          <w:p>
            <w:pPr>
              <w:spacing w:after="0"/>
              <w:rPr>
                <w:sz w:val="22"/>
                <w:szCs w:val="22"/>
                <w:color w:val="auto"/>
              </w:rPr>
            </w:pPr>
          </w:p>
        </w:tc>
        <w:tc>
          <w:tcPr>
            <w:tcW w:w="2400" w:type="dxa"/>
            <w:vAlign w:val="bottom"/>
            <w:gridSpan w:val="4"/>
          </w:tcPr>
          <w:p>
            <w:pPr>
              <w:jc w:val="center"/>
              <w:ind w:left="1188"/>
              <w:spacing w:after="0"/>
              <w:rPr>
                <w:sz w:val="20"/>
                <w:szCs w:val="20"/>
                <w:color w:val="auto"/>
              </w:rPr>
            </w:pPr>
            <w:r>
              <w:rPr>
                <w:rFonts w:ascii="Arial" w:cs="Arial" w:eastAsia="Arial" w:hAnsi="Arial"/>
                <w:sz w:val="14"/>
                <w:szCs w:val="14"/>
                <w:b w:val="1"/>
                <w:bCs w:val="1"/>
                <w:color w:val="auto"/>
                <w:w w:val="93"/>
              </w:rPr>
              <w:t>(314) 423-8000</w:t>
            </w: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800" w:type="dxa"/>
            <w:vAlign w:val="bottom"/>
          </w:tcPr>
          <w:p>
            <w:pPr>
              <w:spacing w:after="0"/>
              <w:rPr>
                <w:sz w:val="15"/>
                <w:szCs w:val="15"/>
                <w:color w:val="auto"/>
              </w:rPr>
            </w:pPr>
          </w:p>
        </w:tc>
        <w:tc>
          <w:tcPr>
            <w:tcW w:w="3680" w:type="dxa"/>
            <w:vAlign w:val="bottom"/>
            <w:gridSpan w:val="9"/>
          </w:tcPr>
          <w:p>
            <w:pPr>
              <w:jc w:val="center"/>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spacing w:after="0"/>
              <w:rPr>
                <w:sz w:val="11"/>
                <w:szCs w:val="11"/>
                <w:color w:val="auto"/>
              </w:rPr>
            </w:pPr>
          </w:p>
        </w:tc>
        <w:tc>
          <w:tcPr>
            <w:tcW w:w="3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3800" w:type="dxa"/>
            <w:vAlign w:val="bottom"/>
          </w:tcPr>
          <w:p>
            <w:pPr>
              <w:spacing w:after="0"/>
              <w:rPr>
                <w:sz w:val="24"/>
                <w:szCs w:val="24"/>
                <w:color w:val="auto"/>
              </w:rPr>
            </w:pPr>
          </w:p>
        </w:tc>
        <w:tc>
          <w:tcPr>
            <w:tcW w:w="3680" w:type="dxa"/>
            <w:vAlign w:val="bottom"/>
            <w:gridSpan w:val="9"/>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800" w:type="dxa"/>
            <w:vAlign w:val="bottom"/>
          </w:tcPr>
          <w:p>
            <w:pPr>
              <w:jc w:val="center"/>
              <w:ind w:left="648"/>
              <w:spacing w:after="0"/>
              <w:rPr>
                <w:sz w:val="20"/>
                <w:szCs w:val="20"/>
                <w:color w:val="auto"/>
              </w:rPr>
            </w:pPr>
            <w:r>
              <w:rPr>
                <w:rFonts w:ascii="Arial" w:cs="Arial" w:eastAsia="Arial" w:hAnsi="Arial"/>
                <w:sz w:val="14"/>
                <w:szCs w:val="14"/>
                <w:b w:val="1"/>
                <w:bCs w:val="1"/>
                <w:color w:val="auto"/>
                <w:w w:val="93"/>
              </w:rPr>
              <w:t>Title of Each Class</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94"/>
              </w:rPr>
              <w:t>Trading Symbol</w:t>
            </w:r>
          </w:p>
        </w:tc>
        <w:tc>
          <w:tcPr>
            <w:tcW w:w="58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0"/>
        </w:trPr>
        <w:tc>
          <w:tcPr>
            <w:tcW w:w="3800" w:type="dxa"/>
            <w:vAlign w:val="bottom"/>
            <w:tcBorders>
              <w:top w:val="single" w:sz="8" w:color="auto"/>
            </w:tcBorders>
          </w:tcPr>
          <w:p>
            <w:pPr>
              <w:jc w:val="center"/>
              <w:ind w:left="648"/>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7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BBW</w:t>
            </w:r>
          </w:p>
        </w:tc>
        <w:tc>
          <w:tcPr>
            <w:tcW w:w="560" w:type="dxa"/>
            <w:vAlign w:val="bottom"/>
            <w:gridSpan w:val="2"/>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760" w:type="dxa"/>
            <w:vAlign w:val="bottom"/>
            <w:tcBorders>
              <w:top w:val="single" w:sz="8" w:color="auto"/>
            </w:tcBorders>
          </w:tcPr>
          <w:p>
            <w:pPr>
              <w:ind w:left="800"/>
              <w:spacing w:after="0"/>
              <w:rPr>
                <w:sz w:val="20"/>
                <w:szCs w:val="20"/>
                <w:color w:val="auto"/>
              </w:rPr>
            </w:pPr>
            <w:r>
              <w:rPr>
                <w:rFonts w:ascii="Arial" w:cs="Arial" w:eastAsia="Arial" w:hAnsi="Arial"/>
                <w:sz w:val="14"/>
                <w:szCs w:val="14"/>
                <w:b w:val="1"/>
                <w:bCs w:val="1"/>
                <w:color w:val="auto"/>
              </w:rPr>
              <w:t>New York Stock Exchange</w:t>
            </w:r>
          </w:p>
        </w:tc>
        <w:tc>
          <w:tcPr>
            <w:tcW w:w="0" w:type="dxa"/>
            <w:vAlign w:val="bottom"/>
          </w:tcPr>
          <w:p>
            <w:pPr>
              <w:spacing w:after="0"/>
              <w:rPr>
                <w:sz w:val="1"/>
                <w:szCs w:val="1"/>
                <w:color w:val="auto"/>
              </w:rPr>
            </w:pPr>
          </w:p>
        </w:tc>
      </w:tr>
      <w:tr>
        <w:trPr>
          <w:trHeight w:val="274"/>
        </w:trPr>
        <w:tc>
          <w:tcPr>
            <w:tcW w:w="11240" w:type="dxa"/>
            <w:vAlign w:val="bottom"/>
            <w:gridSpan w:val="11"/>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0" w:type="dxa"/>
            <w:vAlign w:val="bottom"/>
          </w:tcPr>
          <w:p>
            <w:pPr>
              <w:spacing w:after="0"/>
              <w:rPr>
                <w:sz w:val="1"/>
                <w:szCs w:val="1"/>
                <w:color w:val="auto"/>
              </w:rPr>
            </w:pPr>
          </w:p>
        </w:tc>
      </w:tr>
      <w:tr>
        <w:trPr>
          <w:trHeight w:val="430"/>
        </w:trPr>
        <w:tc>
          <w:tcPr>
            <w:tcW w:w="4520" w:type="dxa"/>
            <w:vAlign w:val="bottom"/>
            <w:gridSpan w:val="3"/>
          </w:tcPr>
          <w:p>
            <w:pPr>
              <w:spacing w:after="0"/>
              <w:rPr>
                <w:sz w:val="24"/>
                <w:szCs w:val="24"/>
                <w:color w:val="auto"/>
              </w:rPr>
            </w:pPr>
          </w:p>
        </w:tc>
        <w:tc>
          <w:tcPr>
            <w:tcW w:w="2260" w:type="dxa"/>
            <w:vAlign w:val="bottom"/>
            <w:tcBorders>
              <w:bottom w:val="single" w:sz="8" w:color="auto"/>
            </w:tcBorders>
            <w:gridSpan w:val="5"/>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vMerge w:val="restart"/>
          </w:tcPr>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Yes</w:t>
            </w:r>
          </w:p>
        </w:tc>
        <w:tc>
          <w:tcPr>
            <w:tcW w:w="3760" w:type="dxa"/>
            <w:vAlign w:val="bottom"/>
            <w:vMerge w:val="restart"/>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0" w:type="dxa"/>
            <w:vAlign w:val="bottom"/>
          </w:tcPr>
          <w:p>
            <w:pPr>
              <w:spacing w:after="0"/>
              <w:rPr>
                <w:sz w:val="1"/>
                <w:szCs w:val="1"/>
                <w:color w:val="auto"/>
              </w:rPr>
            </w:pPr>
          </w:p>
        </w:tc>
      </w:tr>
      <w:tr>
        <w:trPr>
          <w:trHeight w:val="335"/>
        </w:trPr>
        <w:tc>
          <w:tcPr>
            <w:tcW w:w="6900" w:type="dxa"/>
            <w:vAlign w:val="bottom"/>
            <w:gridSpan w:val="9"/>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580" w:type="dxa"/>
            <w:vAlign w:val="bottom"/>
            <w:vMerge w:val="continue"/>
          </w:tcPr>
          <w:p>
            <w:pPr>
              <w:spacing w:after="0"/>
              <w:rPr>
                <w:sz w:val="24"/>
                <w:szCs w:val="24"/>
                <w:color w:val="auto"/>
              </w:rPr>
            </w:pPr>
          </w:p>
        </w:tc>
        <w:tc>
          <w:tcPr>
            <w:tcW w:w="3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00" w:type="dxa"/>
            <w:vAlign w:val="bottom"/>
            <w:gridSpan w:val="9"/>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580" w:type="dxa"/>
            <w:vAlign w:val="bottom"/>
          </w:tcPr>
          <w:p>
            <w:pPr>
              <w:ind w:left="140"/>
              <w:spacing w:after="0" w:line="161" w:lineRule="exact"/>
              <w:rPr>
                <w:sz w:val="20"/>
                <w:szCs w:val="20"/>
                <w:color w:val="auto"/>
              </w:rPr>
            </w:pPr>
            <w:r>
              <w:rPr>
                <w:rFonts w:ascii="MS PGothic" w:cs="MS PGothic" w:eastAsia="MS PGothic" w:hAnsi="MS PGothic"/>
                <w:sz w:val="14"/>
                <w:szCs w:val="14"/>
                <w:color w:val="auto"/>
                <w:w w:val="99"/>
              </w:rPr>
              <w:t>☐</w:t>
            </w:r>
            <w:r>
              <w:rPr>
                <w:rFonts w:ascii="Arial" w:cs="Arial" w:eastAsia="Arial" w:hAnsi="Arial"/>
                <w:sz w:val="14"/>
                <w:szCs w:val="14"/>
                <w:color w:val="auto"/>
                <w:w w:val="99"/>
              </w:rPr>
              <w:t xml:space="preserve"> Yes</w:t>
            </w:r>
          </w:p>
        </w:tc>
        <w:tc>
          <w:tcPr>
            <w:tcW w:w="3760" w:type="dxa"/>
            <w:vAlign w:val="bottom"/>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1" w:name="page2"/>
    <w:bookmarkEnd w:id="1"/>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13" w:lineRule="exact"/>
        <w:rPr>
          <w:sz w:val="20"/>
          <w:szCs w:val="20"/>
          <w:color w:val="auto"/>
        </w:rPr>
      </w:pPr>
    </w:p>
    <w:p>
      <w:pPr>
        <w:ind w:right="3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0"/>
          <w:szCs w:val="20"/>
          <w:color w:val="auto"/>
        </w:rPr>
      </w:pPr>
    </w:p>
    <w:p>
      <w:pPr>
        <w:spacing w:after="0" w:line="161" w:lineRule="exact"/>
        <w:tabs>
          <w:tab w:leader="none" w:pos="2240" w:val="left"/>
          <w:tab w:leader="none" w:pos="4500" w:val="left"/>
          <w:tab w:leader="none" w:pos="6740" w:val="left"/>
          <w:tab w:leader="none" w:pos="898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77" w:lineRule="exact"/>
        <w:rPr>
          <w:sz w:val="20"/>
          <w:szCs w:val="20"/>
          <w:color w:val="auto"/>
        </w:rPr>
      </w:pPr>
    </w:p>
    <w:p>
      <w:pPr>
        <w:ind w:right="4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to not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3" w:lineRule="exact"/>
        <w:rPr>
          <w:sz w:val="20"/>
          <w:szCs w:val="20"/>
          <w:color w:val="auto"/>
        </w:rPr>
      </w:pPr>
    </w:p>
    <w:p>
      <w:pPr>
        <w:ind w:right="14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99" w:lineRule="exact"/>
        <w:rPr>
          <w:sz w:val="20"/>
          <w:szCs w:val="20"/>
          <w:color w:val="auto"/>
        </w:rPr>
      </w:pPr>
    </w:p>
    <w:p>
      <w:pPr>
        <w:spacing w:after="0" w:line="161" w:lineRule="exact"/>
        <w:tabs>
          <w:tab w:leader="none" w:pos="60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Yes</w:t>
      </w:r>
      <w:r>
        <w:rPr>
          <w:rFonts w:ascii="MS PGothic" w:cs="MS PGothic" w:eastAsia="MS PGothic" w:hAnsi="MS PGothic"/>
          <w:sz w:val="14"/>
          <w:szCs w:val="14"/>
          <w:color w:val="auto"/>
        </w:rPr>
        <w:t xml:space="preserve">  ☒ </w:t>
      </w:r>
      <w:r>
        <w:rPr>
          <w:rFonts w:ascii="Arial" w:cs="Arial" w:eastAsia="Arial" w:hAnsi="Arial"/>
          <w:sz w:val="14"/>
          <w:szCs w:val="14"/>
          <w:color w:val="auto"/>
        </w:rPr>
        <w:t>No</w:t>
      </w:r>
    </w:p>
    <w:p>
      <w:pPr>
        <w:spacing w:after="0" w:line="177" w:lineRule="exact"/>
        <w:rPr>
          <w:sz w:val="20"/>
          <w:szCs w:val="20"/>
          <w:color w:val="auto"/>
        </w:rPr>
      </w:pPr>
    </w:p>
    <w:p>
      <w:pPr>
        <w:ind w:right="200"/>
        <w:spacing w:after="0" w:line="253" w:lineRule="auto"/>
        <w:rPr>
          <w:sz w:val="20"/>
          <w:szCs w:val="20"/>
          <w:color w:val="auto"/>
        </w:rPr>
      </w:pPr>
      <w:r>
        <w:rPr>
          <w:rFonts w:ascii="Arial" w:cs="Arial" w:eastAsia="Arial" w:hAnsi="Arial"/>
          <w:sz w:val="14"/>
          <w:szCs w:val="14"/>
          <w:color w:val="auto"/>
        </w:rPr>
        <w:t>There is no non-voting common equity. The aggregate market value of the common stock held by non-affiliates (based upon the closing price of $15.20 for the shares on the New York Stock Exchange on July 30, 2021) was $243.7 million as of July 30, 2021, the last business day of the registrant’s most recently completed second fiscal quarter.</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As of April 11, 2022, there were 15,679,875 issued and outstanding shares of the registrant’s common stock.</w:t>
      </w:r>
    </w:p>
    <w:p>
      <w:pPr>
        <w:spacing w:after="0" w:line="136" w:lineRule="exact"/>
        <w:rPr>
          <w:sz w:val="20"/>
          <w:szCs w:val="20"/>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Portions of the registrant’s Proxy Statement for its June 9, 2022 Annual Meeting of Stockholders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60" w:type="dxa"/>
            <w:vAlign w:val="bottom"/>
            <w:gridSpan w:val="15"/>
          </w:tcPr>
          <w:p>
            <w:pPr>
              <w:jc w:val="center"/>
              <w:ind w:right="3440"/>
              <w:spacing w:after="0"/>
              <w:rPr>
                <w:sz w:val="20"/>
                <w:szCs w:val="20"/>
                <w:color w:val="auto"/>
              </w:rPr>
            </w:pPr>
            <w:r>
              <w:rPr>
                <w:rFonts w:ascii="Arial" w:cs="Arial" w:eastAsia="Arial" w:hAnsi="Arial"/>
                <w:sz w:val="18"/>
                <w:szCs w:val="18"/>
                <w:b w:val="1"/>
                <w:bCs w:val="1"/>
                <w:color w:val="auto"/>
                <w:w w:val="99"/>
              </w:rPr>
              <w:t>BUILD-A-BEAR WORKSHOP, INC.</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60" w:type="dxa"/>
            <w:vAlign w:val="bottom"/>
            <w:gridSpan w:val="15"/>
          </w:tcPr>
          <w:p>
            <w:pPr>
              <w:jc w:val="center"/>
              <w:ind w:right="3440"/>
              <w:spacing w:after="0"/>
              <w:rPr>
                <w:sz w:val="20"/>
                <w:szCs w:val="20"/>
                <w:color w:val="auto"/>
              </w:rPr>
            </w:pPr>
            <w:r>
              <w:rPr>
                <w:rFonts w:ascii="Arial" w:cs="Arial" w:eastAsia="Arial" w:hAnsi="Arial"/>
                <w:sz w:val="18"/>
                <w:szCs w:val="18"/>
                <w:b w:val="1"/>
                <w:bCs w:val="1"/>
                <w:color w:val="auto"/>
              </w:rPr>
              <w:t>INDEX TO FORM 10-K</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Page</w:t>
            </w:r>
          </w:p>
        </w:tc>
      </w:tr>
      <w:tr>
        <w:trPr>
          <w:trHeight w:val="385"/>
        </w:trPr>
        <w:tc>
          <w:tcPr>
            <w:tcW w:w="10680" w:type="dxa"/>
            <w:vAlign w:val="bottom"/>
            <w:gridSpan w:val="3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380" w:type="dxa"/>
            <w:vAlign w:val="bottom"/>
            <w:gridSpan w:val="4"/>
          </w:tcPr>
          <w:p>
            <w:pPr>
              <w:jc w:val="center"/>
              <w:ind w:left="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180" w:type="dxa"/>
            <w:vAlign w:val="bottom"/>
          </w:tcPr>
          <w:p>
            <w:pPr>
              <w:spacing w:after="0"/>
              <w:rPr>
                <w:sz w:val="24"/>
                <w:szCs w:val="24"/>
                <w:color w:val="auto"/>
              </w:rPr>
            </w:pPr>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0" w:type="dxa"/>
            <w:vAlign w:val="bottom"/>
            <w:gridSpan w:val="11"/>
          </w:tcPr>
          <w:p>
            <w:pPr>
              <w:jc w:val="center"/>
              <w:ind w:right="5060"/>
              <w:spacing w:after="0" w:line="19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444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460" w:type="dxa"/>
            <w:vAlign w:val="bottom"/>
            <w:tcBorders>
              <w:top w:val="single" w:sz="8" w:color="0000EE"/>
            </w:tcBorders>
          </w:tcPr>
          <w:p>
            <w:pPr>
              <w:spacing w:after="0"/>
              <w:rPr>
                <w:sz w:val="17"/>
                <w:szCs w:val="17"/>
                <w:color w:val="auto"/>
              </w:rPr>
            </w:pPr>
          </w:p>
        </w:tc>
        <w:tc>
          <w:tcPr>
            <w:tcW w:w="5100" w:type="dxa"/>
            <w:vAlign w:val="bottom"/>
            <w:gridSpan w:val="9"/>
          </w:tcPr>
          <w:p>
            <w:pPr>
              <w:spacing w:after="0"/>
              <w:rPr>
                <w:sz w:val="17"/>
                <w:szCs w:val="17"/>
                <w:color w:val="auto"/>
              </w:rPr>
            </w:pPr>
          </w:p>
        </w:tc>
        <w:tc>
          <w:tcPr>
            <w:tcW w:w="380" w:type="dxa"/>
            <w:vAlign w:val="bottom"/>
            <w:gridSpan w:val="4"/>
          </w:tcPr>
          <w:p>
            <w:pPr>
              <w:jc w:val="center"/>
              <w:ind w:left="9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1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0680" w:type="dxa"/>
            <w:vAlign w:val="bottom"/>
            <w:gridSpan w:val="31"/>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1A. </w:t>
            </w:r>
            <w:hyperlink w:anchor="page9">
              <w:r>
                <w:rPr>
                  <w:rFonts w:ascii="Arial" w:cs="Arial" w:eastAsia="Arial" w:hAnsi="Arial"/>
                  <w:sz w:val="18"/>
                  <w:szCs w:val="18"/>
                  <w:color w:val="0000EE"/>
                </w:rPr>
                <w:t>Risk Factors</w:t>
              </w:r>
            </w:hyperlink>
          </w:p>
        </w:tc>
        <w:tc>
          <w:tcPr>
            <w:tcW w:w="380" w:type="dxa"/>
            <w:vAlign w:val="bottom"/>
            <w:gridSpan w:val="4"/>
          </w:tcPr>
          <w:p>
            <w:pPr>
              <w:jc w:val="center"/>
              <w:ind w:left="90"/>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1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w w:val="98"/>
              </w:rPr>
              <w:t>Item 1B.</w:t>
            </w:r>
          </w:p>
        </w:tc>
        <w:tc>
          <w:tcPr>
            <w:tcW w:w="10000" w:type="dxa"/>
            <w:vAlign w:val="bottom"/>
            <w:gridSpan w:val="3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Unresolved Staff Comments</w:t>
              </w:r>
            </w:hyperlink>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gridSpan w:val="4"/>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Properties</w:t>
              </w:r>
            </w:hyperlink>
          </w:p>
        </w:tc>
        <w:tc>
          <w:tcPr>
            <w:tcW w:w="1300" w:type="dxa"/>
            <w:vAlign w:val="bottom"/>
            <w:gridSpan w:val="8"/>
          </w:tcPr>
          <w:p>
            <w:pPr>
              <w:spacing w:after="0"/>
              <w:rPr>
                <w:sz w:val="17"/>
                <w:szCs w:val="17"/>
                <w:color w:val="auto"/>
              </w:rPr>
            </w:pPr>
          </w:p>
        </w:tc>
        <w:tc>
          <w:tcPr>
            <w:tcW w:w="7960" w:type="dxa"/>
            <w:vAlign w:val="bottom"/>
            <w:gridSpan w:val="18"/>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gridSpan w:val="6"/>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Legal Proceedings</w:t>
              </w:r>
            </w:hyperlink>
          </w:p>
        </w:tc>
        <w:tc>
          <w:tcPr>
            <w:tcW w:w="8660" w:type="dxa"/>
            <w:vAlign w:val="bottom"/>
            <w:gridSpan w:val="24"/>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00" w:type="dxa"/>
            <w:vAlign w:val="bottom"/>
            <w:gridSpan w:val="3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Mine Safety Disclosure</w:t>
              </w:r>
            </w:hyperlink>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r>
      <w:tr>
        <w:trPr>
          <w:trHeight w:val="196"/>
        </w:trPr>
        <w:tc>
          <w:tcPr>
            <w:tcW w:w="6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0" w:type="dxa"/>
            <w:vAlign w:val="bottom"/>
            <w:gridSpan w:val="11"/>
          </w:tcPr>
          <w:p>
            <w:pPr>
              <w:jc w:val="center"/>
              <w:ind w:right="5080"/>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w:t>
              </w:r>
            </w:hyperlink>
          </w:p>
        </w:tc>
        <w:tc>
          <w:tcPr>
            <w:tcW w:w="20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8080" w:type="dxa"/>
            <w:vAlign w:val="bottom"/>
            <w:gridSpan w:val="29"/>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Market for Registrant’s Common Equity, Related Stockholder Matters and Issuer Purchases of Equity Securities</w:t>
              </w:r>
            </w:hyperlink>
          </w:p>
        </w:tc>
        <w:tc>
          <w:tcPr>
            <w:tcW w:w="1920" w:type="dxa"/>
            <w:vAlign w:val="bottom"/>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gridSpan w:val="9"/>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Selected Financial Data</w:t>
              </w:r>
            </w:hyperlink>
          </w:p>
        </w:tc>
        <w:tc>
          <w:tcPr>
            <w:tcW w:w="6360" w:type="dxa"/>
            <w:vAlign w:val="bottom"/>
            <w:gridSpan w:val="20"/>
          </w:tcPr>
          <w:p>
            <w:pPr>
              <w:spacing w:after="0"/>
              <w:rPr>
                <w:sz w:val="17"/>
                <w:szCs w:val="17"/>
                <w:color w:val="auto"/>
              </w:rPr>
            </w:pPr>
          </w:p>
        </w:tc>
        <w:tc>
          <w:tcPr>
            <w:tcW w:w="1920" w:type="dxa"/>
            <w:vAlign w:val="bottom"/>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gridSpan w:val="26"/>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3540" w:type="dxa"/>
            <w:vAlign w:val="bottom"/>
            <w:gridSpan w:val="4"/>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23</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0680" w:type="dxa"/>
            <w:vAlign w:val="bottom"/>
            <w:gridSpan w:val="31"/>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7A. </w:t>
            </w:r>
            <w:hyperlink w:anchor="page34">
              <w:r>
                <w:rPr>
                  <w:rFonts w:ascii="Arial" w:cs="Arial" w:eastAsia="Arial" w:hAnsi="Arial"/>
                  <w:sz w:val="18"/>
                  <w:szCs w:val="18"/>
                  <w:color w:val="0000EE"/>
                </w:rPr>
                <w:t>Quantitative and Qualitative Disclosures About Market Risk</w:t>
              </w:r>
            </w:hyperlink>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gridSpan w:val="15"/>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Financial Statements and Supplementary Data</w:t>
              </w:r>
            </w:hyperlink>
          </w:p>
        </w:tc>
        <w:tc>
          <w:tcPr>
            <w:tcW w:w="1020" w:type="dxa"/>
            <w:vAlign w:val="bottom"/>
            <w:gridSpan w:val="2"/>
          </w:tcPr>
          <w:p>
            <w:pPr>
              <w:spacing w:after="0"/>
              <w:rPr>
                <w:sz w:val="17"/>
                <w:szCs w:val="17"/>
                <w:color w:val="auto"/>
              </w:rPr>
            </w:pPr>
          </w:p>
        </w:tc>
        <w:tc>
          <w:tcPr>
            <w:tcW w:w="5640" w:type="dxa"/>
            <w:vAlign w:val="bottom"/>
            <w:gridSpan w:val="13"/>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gridSpan w:val="27"/>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Changes in and Disagreements with Accountants on Accounting and Financial Disclosure</w:t>
              </w:r>
            </w:hyperlink>
          </w:p>
        </w:tc>
        <w:tc>
          <w:tcPr>
            <w:tcW w:w="3520" w:type="dxa"/>
            <w:vAlign w:val="bottom"/>
            <w:gridSpan w:val="3"/>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0680" w:type="dxa"/>
            <w:vAlign w:val="bottom"/>
            <w:gridSpan w:val="31"/>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9A. </w:t>
            </w:r>
            <w:hyperlink w:anchor="page35">
              <w:r>
                <w:rPr>
                  <w:rFonts w:ascii="Arial" w:cs="Arial" w:eastAsia="Arial" w:hAnsi="Arial"/>
                  <w:sz w:val="18"/>
                  <w:szCs w:val="18"/>
                  <w:color w:val="0000EE"/>
                </w:rPr>
                <w:t>Controls and Procedures</w:t>
              </w:r>
            </w:hyperlink>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35</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w w:val="98"/>
              </w:rPr>
              <w:t>Item 9B.</w:t>
            </w:r>
          </w:p>
        </w:tc>
        <w:tc>
          <w:tcPr>
            <w:tcW w:w="1780" w:type="dxa"/>
            <w:vAlign w:val="bottom"/>
            <w:gridSpan w:val="10"/>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8220" w:type="dxa"/>
            <w:vAlign w:val="bottom"/>
            <w:gridSpan w:val="20"/>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37</w:t>
              </w:r>
            </w:hyperlink>
          </w:p>
        </w:tc>
      </w:tr>
      <w:tr>
        <w:trPr>
          <w:trHeight w:val="196"/>
        </w:trPr>
        <w:tc>
          <w:tcPr>
            <w:tcW w:w="6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bottom w:val="single" w:sz="8" w:color="0000EE"/>
            </w:tcBorders>
            <w:gridSpan w:val="7"/>
          </w:tcPr>
          <w:p>
            <w:pPr>
              <w:jc w:val="center"/>
              <w:ind w:right="20"/>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III</w:t>
              </w:r>
            </w:hyperlink>
          </w:p>
        </w:tc>
        <w:tc>
          <w:tcPr>
            <w:tcW w:w="5020" w:type="dxa"/>
            <w:vAlign w:val="bottom"/>
            <w:gridSpan w:val="6"/>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gridSpan w:val="16"/>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Directors, Executive Officers and Corporate Governance</w:t>
              </w:r>
            </w:hyperlink>
          </w:p>
        </w:tc>
        <w:tc>
          <w:tcPr>
            <w:tcW w:w="5900" w:type="dxa"/>
            <w:vAlign w:val="bottom"/>
            <w:gridSpan w:val="14"/>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37</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80" w:type="dxa"/>
            <w:vAlign w:val="bottom"/>
            <w:gridSpan w:val="9"/>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4100" w:type="dxa"/>
            <w:vAlign w:val="bottom"/>
            <w:gridSpan w:val="1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Executive Compensation</w:t>
              </w:r>
            </w:hyperlink>
          </w:p>
        </w:tc>
        <w:tc>
          <w:tcPr>
            <w:tcW w:w="5900" w:type="dxa"/>
            <w:vAlign w:val="bottom"/>
            <w:gridSpan w:val="14"/>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38</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80" w:type="dxa"/>
            <w:vAlign w:val="bottom"/>
            <w:gridSpan w:val="9"/>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gridSpan w:val="28"/>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Security Ownership of Certain Beneficial Owners and Management and Related Stockholder Matters</w:t>
              </w:r>
            </w:hyperlink>
          </w:p>
        </w:tc>
        <w:tc>
          <w:tcPr>
            <w:tcW w:w="2700" w:type="dxa"/>
            <w:vAlign w:val="bottom"/>
            <w:gridSpan w:val="2"/>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38</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540" w:type="dxa"/>
            <w:vAlign w:val="bottom"/>
            <w:gridSpan w:val="11"/>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300" w:type="dxa"/>
            <w:vAlign w:val="bottom"/>
            <w:gridSpan w:val="2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Certain Relationships and Related Transactions and Director Independence</w:t>
              </w:r>
            </w:hyperlink>
          </w:p>
        </w:tc>
        <w:tc>
          <w:tcPr>
            <w:tcW w:w="2700" w:type="dxa"/>
            <w:vAlign w:val="bottom"/>
            <w:gridSpan w:val="2"/>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38</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540" w:type="dxa"/>
            <w:vAlign w:val="bottom"/>
            <w:gridSpan w:val="11"/>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400" w:type="dxa"/>
            <w:vAlign w:val="bottom"/>
            <w:gridSpan w:val="2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Principal Accountant Fees and Services</w:t>
              </w:r>
            </w:hyperlink>
          </w:p>
        </w:tc>
        <w:tc>
          <w:tcPr>
            <w:tcW w:w="4600" w:type="dxa"/>
            <w:vAlign w:val="bottom"/>
            <w:gridSpan w:val="5"/>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38</w:t>
              </w:r>
            </w:hyperlink>
          </w:p>
        </w:tc>
      </w:tr>
      <w:tr>
        <w:trPr>
          <w:trHeight w:val="196"/>
        </w:trPr>
        <w:tc>
          <w:tcPr>
            <w:tcW w:w="6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40" w:type="dxa"/>
            <w:vAlign w:val="bottom"/>
            <w:gridSpan w:val="13"/>
          </w:tcPr>
          <w:p>
            <w:pPr>
              <w:jc w:val="center"/>
              <w:ind w:right="5020"/>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IV</w:t>
              </w:r>
            </w:hyperlink>
          </w:p>
        </w:tc>
        <w:tc>
          <w:tcPr>
            <w:tcW w:w="20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4380" w:type="dxa"/>
            <w:vAlign w:val="bottom"/>
            <w:gridSpan w:val="1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Exhibits and Financial Statement Schedules</w:t>
              </w:r>
            </w:hyperlink>
          </w:p>
        </w:tc>
        <w:tc>
          <w:tcPr>
            <w:tcW w:w="580" w:type="dxa"/>
            <w:vAlign w:val="bottom"/>
            <w:tcBorders>
              <w:top w:val="single" w:sz="8" w:color="0000EE"/>
            </w:tcBorders>
            <w:gridSpan w:val="5"/>
          </w:tcPr>
          <w:p>
            <w:pPr>
              <w:spacing w:after="0"/>
              <w:rPr>
                <w:sz w:val="17"/>
                <w:szCs w:val="17"/>
                <w:color w:val="auto"/>
              </w:rPr>
            </w:pPr>
          </w:p>
        </w:tc>
        <w:tc>
          <w:tcPr>
            <w:tcW w:w="5040" w:type="dxa"/>
            <w:vAlign w:val="bottom"/>
            <w:gridSpan w:val="7"/>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39</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40" w:type="dxa"/>
            <w:vAlign w:val="bottom"/>
            <w:gridSpan w:val="12"/>
            <w:shd w:val="clear" w:color="auto" w:fill="0000EE"/>
          </w:tcPr>
          <w:p>
            <w:pPr>
              <w:spacing w:after="0" w:line="20" w:lineRule="exact"/>
              <w:rPr>
                <w:sz w:val="1"/>
                <w:szCs w:val="1"/>
                <w:color w:val="auto"/>
              </w:rPr>
            </w:pPr>
          </w:p>
        </w:tc>
        <w:tc>
          <w:tcPr>
            <w:tcW w:w="6840" w:type="dxa"/>
            <w:vAlign w:val="bottom"/>
            <w:gridSpan w:val="1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1000" w:type="dxa"/>
            <w:vAlign w:val="bottom"/>
            <w:gridSpan w:val="3"/>
          </w:tcPr>
          <w:p>
            <w:pPr>
              <w:spacing w:after="0"/>
              <w:rPr>
                <w:rFonts w:ascii="Arial" w:cs="Arial" w:eastAsia="Arial" w:hAnsi="Arial"/>
                <w:sz w:val="18"/>
                <w:szCs w:val="18"/>
                <w:color w:val="0000EE"/>
                <w:w w:val="95"/>
              </w:rPr>
            </w:pPr>
            <w:hyperlink w:anchor="page66">
              <w:r>
                <w:rPr>
                  <w:rFonts w:ascii="Arial" w:cs="Arial" w:eastAsia="Arial" w:hAnsi="Arial"/>
                  <w:sz w:val="18"/>
                  <w:szCs w:val="18"/>
                  <w:color w:val="0000EE"/>
                  <w:w w:val="95"/>
                </w:rPr>
                <w:t>Exhibit Index</w:t>
              </w:r>
            </w:hyperlink>
          </w:p>
        </w:tc>
        <w:tc>
          <w:tcPr>
            <w:tcW w:w="9680" w:type="dxa"/>
            <w:vAlign w:val="bottom"/>
            <w:gridSpan w:val="28"/>
          </w:tcPr>
          <w:p>
            <w:pPr>
              <w:spacing w:after="0"/>
              <w:rPr>
                <w:sz w:val="24"/>
                <w:szCs w:val="24"/>
                <w:color w:val="auto"/>
              </w:rPr>
            </w:pPr>
          </w:p>
        </w:tc>
        <w:tc>
          <w:tcPr>
            <w:tcW w:w="560" w:type="dxa"/>
            <w:vAlign w:val="bottom"/>
            <w:gridSpan w:val="5"/>
          </w:tcPr>
          <w:p>
            <w:pPr>
              <w:jc w:val="cente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66</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680" w:type="dxa"/>
            <w:vAlign w:val="bottom"/>
            <w:gridSpan w:val="2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000" w:type="dxa"/>
            <w:vAlign w:val="bottom"/>
            <w:gridSpan w:val="3"/>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Signatures</w:t>
              </w:r>
            </w:hyperlink>
          </w:p>
        </w:tc>
        <w:tc>
          <w:tcPr>
            <w:tcW w:w="9680" w:type="dxa"/>
            <w:vAlign w:val="bottom"/>
            <w:gridSpan w:val="28"/>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69</w:t>
              </w:r>
            </w:hyperlink>
          </w:p>
        </w:tc>
      </w:tr>
      <w:tr>
        <w:trPr>
          <w:trHeight w:val="453"/>
        </w:trPr>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320" w:type="dxa"/>
            <w:vAlign w:val="bottom"/>
            <w:gridSpan w:val="24"/>
          </w:tcPr>
          <w:p>
            <w:pPr>
              <w:jc w:val="center"/>
              <w:ind w:left="4310"/>
              <w:spacing w:after="0"/>
              <w:rPr>
                <w:sz w:val="20"/>
                <w:szCs w:val="20"/>
                <w:color w:val="auto"/>
              </w:rPr>
            </w:pPr>
            <w:r>
              <w:rPr>
                <w:rFonts w:ascii="Arial" w:cs="Arial" w:eastAsia="Arial" w:hAnsi="Arial"/>
                <w:sz w:val="18"/>
                <w:szCs w:val="18"/>
                <w:color w:val="auto"/>
                <w:w w:val="79"/>
              </w:rPr>
              <w:t>3</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97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Annual Report on Form 10-K contains certain statements that are, or may be considered to be, “forward-looking statements” for the purpose of federal securities laws, including, but not limited to, statements that reflect our current views with respect to future events and financial performance. We generally identify these statements by words or phrases such as “may,” “might,” “should,” “expect,” “plan,” “anticipate,” “believe,” “estimate,” “intend,” “predict,” “future,” “potential,” “will,” “could,” “target,” “project,” “contemplate,” or “continue,” the negative or any derivative of these terms and other comparable terminology. These forward-looking statements, which are subject to risks, uncertainties and assumptions about us, may include, among other things, projections or statements regarding:</w:t>
      </w:r>
    </w:p>
    <w:p>
      <w:pPr>
        <w:spacing w:after="0" w:line="192" w:lineRule="exact"/>
        <w:rPr>
          <w:sz w:val="20"/>
          <w:szCs w:val="20"/>
          <w:color w:val="auto"/>
        </w:rPr>
      </w:pPr>
    </w:p>
    <w:p>
      <w:pPr>
        <w:ind w:left="440" w:hanging="324"/>
        <w:spacing w:after="0" w:line="277" w:lineRule="auto"/>
        <w:tabs>
          <w:tab w:leader="none" w:pos="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future financial performance, especially in light of the continuing effects of the global pandemic on our store operations and current geopolitical events;</w:t>
      </w:r>
    </w:p>
    <w:p>
      <w:pPr>
        <w:spacing w:after="0" w:line="170" w:lineRule="exact"/>
        <w:rPr>
          <w:rFonts w:ascii="Arial" w:cs="Arial" w:eastAsia="Arial" w:hAnsi="Arial"/>
          <w:sz w:val="18"/>
          <w:szCs w:val="18"/>
          <w:color w:val="auto"/>
        </w:rPr>
      </w:pPr>
    </w:p>
    <w:p>
      <w:pPr>
        <w:ind w:left="260" w:hanging="185"/>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generated from operations and borrowings under our credit facilities;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anticipated operating strategies and future strategic expansion initiatives;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future capital expenditures;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anticipated rate of store relocations, openings and closures; and</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anticipated costs related to store relocations, openings and closures.</w:t>
      </w:r>
    </w:p>
    <w:p>
      <w:pPr>
        <w:spacing w:after="0" w:line="225"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These statements are only predictions based on our current expectations and projections about future events. Because these forward-looking statements involve risks and uncertainties, there are important factors that could cause our actual results, level of activity, performance or achievements to differ materially from the results, level of activity, performance or achievements expressed or implied by these forward-looking statements, including those factors discussed under the caption entitled “Risk Factors” as well as other places in this Annual Report on Form 10-K.</w:t>
      </w:r>
    </w:p>
    <w:p>
      <w:pPr>
        <w:spacing w:after="0" w:line="171"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We operate in a competitive and rapidly changing environment. New risk factors emerge from time to time and it is not possible for management to predict all the risk factors, nor can it assess the impact of all the risk factors on our business or the extent to which any factor, or combination of factors, may cause actual results to differ materially from those contained in any forward-looking statements. Given these risks and uncertainties, you should not place undue reliance on forward-looking statements, which speak only as of the date of this Annual Report on Form 10-K, as a prediction of actual results.</w:t>
      </w:r>
    </w:p>
    <w:p>
      <w:pPr>
        <w:spacing w:after="0" w:line="153"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7"/>
          <w:szCs w:val="17"/>
          <w:b w:val="1"/>
          <w:bCs w:val="1"/>
          <w:color w:val="auto"/>
        </w:rPr>
        <w:t>You should read this Annual Report on Form 10-K completely and with the understanding that our actual results may be materially different from what we expect. Except as required by law, we undertake no duty to update these forward-looking statements, even though our situation may change in the future. We qualify all of our forward-looking statements by these cautionary statements.</w:t>
      </w:r>
    </w:p>
    <w:p>
      <w:pPr>
        <w:spacing w:after="0" w:line="162"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Unless the context otherwise requires, references in this Annual Report on Form 10-K to the “Company,” “we,” “us,” and “our” refer to Build-A-Bear Workshop, Inc. and, where appropriate, its subsidiaries.</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following discussion contains references to fiscal 2021 and fiscal 2020, which represent our fiscal years ending January 29, 2022 and January 30, 2021, respectively.</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following Annual Report reflects immaterial revisions to certain consolidated balance sheet items presented in the Company's Press Release filed on March 10, 2022 announcing its results for the Company's 2021 fourth fiscal quarter and full 2021 fiscal year ended January 29, 2022. Specifically, the inventories, receivables and accounts payable balances were decreased by $1.8 million, $1.6 million and $3.4 million, respectively, and the prepaid expenses and other current assets, and operating lease liability short term balances were both increased by $0.8 million. These revisions did not affect the consolidated statements of operations and comprehensive income (loss).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20" w:firstLine="486"/>
        <w:spacing w:after="0" w:line="269" w:lineRule="auto"/>
        <w:rPr>
          <w:sz w:val="20"/>
          <w:szCs w:val="20"/>
          <w:color w:val="auto"/>
        </w:rPr>
      </w:pPr>
      <w:r>
        <w:rPr>
          <w:rFonts w:ascii="Arial" w:cs="Arial" w:eastAsia="Arial" w:hAnsi="Arial"/>
          <w:sz w:val="17"/>
          <w:szCs w:val="17"/>
          <w:color w:val="auto"/>
        </w:rPr>
        <w:t>Build-A-Bear Workshop, Inc., a Delaware corporation, was formed in 1997 as a mall-based, experiential specialty retailer where children and their families could create their own stuffed animals. Over the last nearly 25 years, Build-A-Bear has become a brand with high consumer awareness and positive affinity with over 200 million furry friends having been made by our guests around the world. The Company has leveraged, and expects to continue to leverage, its brand strength to strategically evolve its brick-and-mortar retail footprint beyond traditional malls with a versatile range of formats and locations including tourist destinations; to extend into international markets primarily via a franchise model; and to broaden its consumer base beyond children by adding teens and adults with entertainment/sports licensing, collectible and gifting offerings. The Company has also significantly advanced its digital transformation which is enabling meaningful growth in its e-commerce and omnichannel business primarily via opportunities related to Build-A-Bear’s pop-culture and multi-generational appeal; the advancement of an elevated consumer loyalty program with the goal of capturing first party data, expanding multi-channel shopping and driving lifetime value; the development of robust digital marketing programs and content capabilities with industry-leading partners.</w:t>
      </w:r>
    </w:p>
    <w:p>
      <w:pPr>
        <w:spacing w:after="0" w:line="185" w:lineRule="exact"/>
        <w:rPr>
          <w:sz w:val="20"/>
          <w:szCs w:val="20"/>
          <w:color w:val="auto"/>
        </w:rPr>
      </w:pPr>
    </w:p>
    <w:p>
      <w:pPr>
        <w:jc w:val="both"/>
        <w:ind w:left="20" w:firstLine="486"/>
        <w:spacing w:after="0" w:line="257" w:lineRule="auto"/>
        <w:rPr>
          <w:sz w:val="20"/>
          <w:szCs w:val="20"/>
          <w:color w:val="auto"/>
        </w:rPr>
      </w:pPr>
      <w:r>
        <w:rPr>
          <w:rFonts w:ascii="Arial" w:cs="Arial" w:eastAsia="Arial" w:hAnsi="Arial"/>
          <w:sz w:val="18"/>
          <w:szCs w:val="18"/>
          <w:color w:val="auto"/>
        </w:rPr>
        <w:t>As of January 29, 2022, we operated 346 corporately-managed locations, including 305 stores in the United States (“U.S.”) and Canada, 41 stores in the United Kingdom (“U.K.”) and Ireland, 61 locations operated through our "third-party retail" model in which we sell our products on a wholesale basis to other companies that then in turn execute our retail experience, and had 72 franchised stores operating internationally, all under the Build-A-Bear Workshop brand. In addition to our stores, we sold product on our company-owned e-commerce sites, third-party marketplaces and franchisee sites and through retailer’s wholesale agreements.</w:t>
      </w:r>
    </w:p>
    <w:p>
      <w:pPr>
        <w:spacing w:after="0" w:line="188" w:lineRule="exact"/>
        <w:rPr>
          <w:sz w:val="20"/>
          <w:szCs w:val="20"/>
          <w:color w:val="auto"/>
        </w:rPr>
      </w:pPr>
    </w:p>
    <w:p>
      <w:pPr>
        <w:jc w:val="both"/>
        <w:ind w:left="20" w:firstLine="486"/>
        <w:spacing w:after="0" w:line="277" w:lineRule="auto"/>
        <w:rPr>
          <w:sz w:val="20"/>
          <w:szCs w:val="20"/>
          <w:color w:val="auto"/>
        </w:rPr>
      </w:pPr>
      <w:r>
        <w:rPr>
          <w:rFonts w:ascii="Arial" w:cs="Arial" w:eastAsia="Arial" w:hAnsi="Arial"/>
          <w:sz w:val="18"/>
          <w:szCs w:val="18"/>
          <w:color w:val="auto"/>
        </w:rPr>
        <w:t>Select corporately-managed, franchised, and third-party retail locations were temporarily closed due to pandemic-related government mandates as well as our internal COVID management policies at various times throughout fiscal 2021, primarily in the U.K. and Canada.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 Pandemic Update</w:t>
      </w:r>
    </w:p>
    <w:p>
      <w:pPr>
        <w:spacing w:after="0" w:line="229" w:lineRule="exact"/>
        <w:rPr>
          <w:sz w:val="20"/>
          <w:szCs w:val="20"/>
          <w:color w:val="auto"/>
        </w:rPr>
      </w:pPr>
    </w:p>
    <w:p>
      <w:pPr>
        <w:ind w:left="20" w:right="20" w:firstLine="486"/>
        <w:spacing w:after="0" w:line="291" w:lineRule="auto"/>
        <w:rPr>
          <w:sz w:val="20"/>
          <w:szCs w:val="20"/>
          <w:color w:val="auto"/>
        </w:rPr>
      </w:pPr>
      <w:r>
        <w:rPr>
          <w:rFonts w:ascii="Arial" w:cs="Arial" w:eastAsia="Arial" w:hAnsi="Arial"/>
          <w:sz w:val="16"/>
          <w:szCs w:val="16"/>
          <w:color w:val="auto"/>
        </w:rPr>
        <w:t>At the beginning of fiscal 2021, our U.S. store portfolio was open and operating while our stores in the U.K, Ireland and Canada remained temporarily closed. In April 2021, stores in the U.K. reopened as the government lifted lockdown restrictions resulting in essentially all of our stores operating at the end of the 2021 first fiscal quarter with the remaining stores in the U.K. and Ireland opening in the second fiscal quarter thereby ending that period with all stores open in those geographies. The majority of our Canadian stores remained temporarily closed at the beginning of the second quarter with the majority reopening in June 2021 and with all stores ending that period open. Our year-over-year results discussed below were impacted by prior year store closures and operating hour reductions as a result of the pandemic. Throughout the fiscal year, temporary, unplanned store closures occurred due to COVID exposures on a limited basis, with one store temporarily closed as of the end of the 2021 fiscal year.</w:t>
      </w:r>
    </w:p>
    <w:p>
      <w:pPr>
        <w:spacing w:after="0" w:line="382" w:lineRule="exact"/>
        <w:rPr>
          <w:sz w:val="20"/>
          <w:szCs w:val="20"/>
          <w:color w:val="auto"/>
        </w:rPr>
      </w:pPr>
    </w:p>
    <w:p>
      <w:pPr>
        <w:jc w:val="both"/>
        <w:ind w:left="20" w:firstLine="221"/>
        <w:spacing w:after="0" w:line="286" w:lineRule="auto"/>
        <w:rPr>
          <w:sz w:val="20"/>
          <w:szCs w:val="20"/>
          <w:color w:val="auto"/>
        </w:rPr>
      </w:pPr>
      <w:r>
        <w:rPr>
          <w:rFonts w:ascii="Arial" w:cs="Arial" w:eastAsia="Arial" w:hAnsi="Arial"/>
          <w:sz w:val="17"/>
          <w:szCs w:val="17"/>
          <w:color w:val="auto"/>
        </w:rPr>
        <w:t>The scope and nature of these impacts on our business and financial performance are discussed in more detail throughout this report, including within Item 1. "Business", Item 1A. "Risk Factors, Item 7. "Management’s Discussion and Analysis of Financial Condition and Results of Operations", and the footnotes to our financial statements included in Item 15. "Exhibits and Financial Statement Schedules" below.</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 and Geographic Areas</w:t>
      </w:r>
    </w:p>
    <w:p>
      <w:pPr>
        <w:spacing w:after="0" w:line="229" w:lineRule="exact"/>
        <w:rPr>
          <w:sz w:val="20"/>
          <w:szCs w:val="20"/>
          <w:color w:val="auto"/>
        </w:rPr>
      </w:pPr>
    </w:p>
    <w:p>
      <w:pPr>
        <w:jc w:val="both"/>
        <w:ind w:left="20" w:firstLine="486"/>
        <w:spacing w:after="0" w:line="255" w:lineRule="auto"/>
        <w:rPr>
          <w:sz w:val="20"/>
          <w:szCs w:val="20"/>
          <w:color w:val="auto"/>
        </w:rPr>
      </w:pPr>
      <w:r>
        <w:rPr>
          <w:rFonts w:ascii="Arial" w:cs="Arial" w:eastAsia="Arial" w:hAnsi="Arial"/>
          <w:sz w:val="18"/>
          <w:szCs w:val="18"/>
          <w:color w:val="auto"/>
        </w:rPr>
        <w:t>Our business is conducted through three reportable segments consisting of direct-to-consumer (“DTC”), commercial, and international franchising. Our reportable segments are primarily determined by the types of customers they serve and the types of products and services that they offer. Each reportable segment may operate in many geographic areas. Financial information related to our segments and the geographic areas in which we operate is contained in “Item 7. Management’s Discussion and Analysis of Financial Condition and Results of Operations.” See Note 15 — Segment Information to the consolidated financial statements for information regarding sales, results of operations and identifiable assets of the Company by business segment and by geographic area.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80" w:right="339" w:bottom="1440" w:gutter="0" w:footer="0" w:header="0"/>
        </w:sectPr>
      </w:pPr>
    </w:p>
    <w:bookmarkStart w:id="5" w:name="page6"/>
    <w:bookmarkEnd w:id="5"/>
    <w:p>
      <w:pPr>
        <w:ind w:left="40"/>
        <w:spacing w:after="0"/>
        <w:rPr>
          <w:sz w:val="20"/>
          <w:szCs w:val="20"/>
          <w:color w:val="auto"/>
        </w:rPr>
      </w:pPr>
      <w:r>
        <w:rPr>
          <w:rFonts w:ascii="Arial" w:cs="Arial" w:eastAsia="Arial" w:hAnsi="Arial"/>
          <w:sz w:val="18"/>
          <w:szCs w:val="18"/>
          <w:b w:val="1"/>
          <w:bCs w:val="1"/>
          <w:color w:val="auto"/>
        </w:rPr>
        <w:t>Description of Operations</w:t>
      </w:r>
    </w:p>
    <w:p>
      <w:pPr>
        <w:spacing w:after="0" w:line="229" w:lineRule="exact"/>
        <w:rPr>
          <w:sz w:val="20"/>
          <w:szCs w:val="20"/>
          <w:color w:val="auto"/>
        </w:rPr>
      </w:pPr>
    </w:p>
    <w:p>
      <w:pPr>
        <w:jc w:val="both"/>
        <w:ind w:left="40" w:firstLine="486"/>
        <w:spacing w:after="0" w:line="287" w:lineRule="auto"/>
        <w:rPr>
          <w:sz w:val="20"/>
          <w:szCs w:val="20"/>
          <w:color w:val="auto"/>
        </w:rPr>
      </w:pPr>
      <w:r>
        <w:rPr>
          <w:rFonts w:ascii="Arial" w:cs="Arial" w:eastAsia="Arial" w:hAnsi="Arial"/>
          <w:sz w:val="16"/>
          <w:szCs w:val="16"/>
          <w:color w:val="auto"/>
        </w:rPr>
        <w:t>Build-A-Bear Workshop offers interactive entertainment experiences via both physical and e-commerce engagement, targeting a range of consumer segments and purchasing occasions through digitally-driven, diversified omnichannel capabilities. We operate a vertical retail channel with stores that feature a unique combination of experience and product in which guests can “make their own stuffed animals” by participating in the stuffing, fluffing, dressing, accessorizing and naming of their own teddy bears and other stuffed animals. We also operate e-commerce sites that focus on gift-giving, collectible merchandise and licensed products that appeal to consumers that have an affinity for characters from a range of entertainment, sports, art, and gaming properties. Our engaging digital purchasing experiences include our online “Bear-Builder”, the animated “Bear Builder 3D Workshop”, an age-gated adult-focused “Bear Cave” and the recently introduced “HeartBox” gift site. Our retail stores also act as “mini distribution centers” that provide efficient omnichannel support for our growing digital demand. The primary consumer target for our retail stores is families with children while our e-commerce sites focus on collectors and gift givers that are primarily tweens, teens and adults. We have also extended our business model by leveraging our brand strength and owned intellectual properties through the creation of engaging content for kids and adults while also offering products at wholesale and in non-plush consumer categories via outbound licensing agreements with leading manufacturers.</w:t>
      </w:r>
    </w:p>
    <w:p>
      <w:pPr>
        <w:spacing w:after="0" w:line="172" w:lineRule="exact"/>
        <w:rPr>
          <w:sz w:val="20"/>
          <w:szCs w:val="20"/>
          <w:color w:val="auto"/>
        </w:rPr>
      </w:pPr>
    </w:p>
    <w:p>
      <w:pPr>
        <w:jc w:val="both"/>
        <w:ind w:left="40" w:firstLine="486"/>
        <w:spacing w:after="0" w:line="301" w:lineRule="auto"/>
        <w:rPr>
          <w:sz w:val="20"/>
          <w:szCs w:val="20"/>
          <w:color w:val="auto"/>
        </w:rPr>
      </w:pPr>
      <w:r>
        <w:rPr>
          <w:rFonts w:ascii="Arial" w:cs="Arial" w:eastAsia="Arial" w:hAnsi="Arial"/>
          <w:sz w:val="16"/>
          <w:szCs w:val="16"/>
          <w:color w:val="auto"/>
        </w:rPr>
        <w:t>We seek to provide outstanding guest service and experiences across all channels and touch points including our stores, our e-commerce sites, our mobile sites and apps as well as traditional, digital and social media. We believe the hands-on and interactive nature of our stores, our personal service model and engaging digital shopping experiences result in guests forming an emotional connection with our brand which has multi-generational appeal that captures today’s zeitgeist including desire for experience, personalization and “DIY” while being recognized as trusted, giving, and a part of pop culture.</w:t>
      </w:r>
    </w:p>
    <w:p>
      <w:pPr>
        <w:spacing w:after="0" w:line="157" w:lineRule="exact"/>
        <w:rPr>
          <w:sz w:val="20"/>
          <w:szCs w:val="20"/>
          <w:color w:val="auto"/>
        </w:rPr>
      </w:pPr>
    </w:p>
    <w:p>
      <w:pPr>
        <w:jc w:val="both"/>
        <w:ind w:left="40" w:firstLine="486"/>
        <w:spacing w:after="0" w:line="259" w:lineRule="auto"/>
        <w:rPr>
          <w:sz w:val="20"/>
          <w:szCs w:val="20"/>
          <w:color w:val="auto"/>
        </w:rPr>
      </w:pPr>
      <w:r>
        <w:rPr>
          <w:rFonts w:ascii="Arial" w:cs="Arial" w:eastAsia="Arial" w:hAnsi="Arial"/>
          <w:sz w:val="18"/>
          <w:szCs w:val="18"/>
          <w:color w:val="auto"/>
        </w:rPr>
        <w:t>We believe there are opportunities to extend the reach and size of our diverse consumer segments through expanded products and licensed relationships, evolved experiences, and incremental occasions, partnerships, and marketing activities. We believe we can further develop our business by creating a continuous circle of engagement with expanded programs including outbound branded licensing and entertainment that drives retail performance and leverages our brand equity which may in turn positively impact other channels of distribution.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Strategies</w:t>
      </w:r>
    </w:p>
    <w:p>
      <w:pPr>
        <w:spacing w:after="0" w:line="229" w:lineRule="exact"/>
        <w:rPr>
          <w:sz w:val="20"/>
          <w:szCs w:val="20"/>
          <w:color w:val="auto"/>
        </w:rPr>
      </w:pPr>
    </w:p>
    <w:p>
      <w:pPr>
        <w:jc w:val="both"/>
        <w:ind w:left="40" w:firstLine="486"/>
        <w:spacing w:after="0" w:line="254" w:lineRule="auto"/>
        <w:rPr>
          <w:sz w:val="20"/>
          <w:szCs w:val="20"/>
          <w:color w:val="auto"/>
        </w:rPr>
      </w:pPr>
      <w:r>
        <w:rPr>
          <w:rFonts w:ascii="Arial" w:cs="Arial" w:eastAsia="Arial" w:hAnsi="Arial"/>
          <w:sz w:val="18"/>
          <w:szCs w:val="18"/>
          <w:color w:val="auto"/>
        </w:rPr>
        <w:t>To support our overall strategy, we have evolved many aspects of our company in recent years ranging from an organizational re-structure to supply chain diversification to rebuilding our IT infrastructure. We believe the activities and investments that were initiated prior to the pandemic, and in many cases accelerated during the pandemic, particularly as it relates to our primary objective to comprehensively digitally transform the company, are the primary drivers of the positive performance that we delivered in fiscal 2021 including growth in total revenues and the highest profitability in our company’s history. We remain focused on the disciplined execution of our multi-year strategy to elevate and monetize our iconic brand, take advantage of the growing digital economy as well as advanced marketing capabilities and believe we are a fundamentally different company compared to the pre-COVID timeframe.</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strategic priorities are centered primarily on three key areas:</w:t>
      </w:r>
    </w:p>
    <w:p>
      <w:pPr>
        <w:spacing w:after="0" w:line="225" w:lineRule="exact"/>
        <w:rPr>
          <w:sz w:val="20"/>
          <w:szCs w:val="20"/>
          <w:color w:val="auto"/>
        </w:rPr>
      </w:pPr>
    </w:p>
    <w:p>
      <w:pPr>
        <w:ind w:left="500" w:right="120" w:hanging="331"/>
        <w:spacing w:after="0" w:line="279"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Further acceleration of our digital transformation including content and entertainment initiatives.</w:t>
      </w:r>
      <w:r>
        <w:rPr>
          <w:rFonts w:ascii="Arial" w:cs="Arial" w:eastAsia="Arial" w:hAnsi="Arial"/>
          <w:sz w:val="1"/>
          <w:szCs w:val="1"/>
          <w:color w:val="auto"/>
        </w:rPr>
        <w:drawing>
          <wp:inline distT="0" distB="0" distL="0" distR="0">
            <wp:extent cx="34290"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6"/>
          <w:szCs w:val="16"/>
          <w:color w:val="auto"/>
        </w:rPr>
        <w:t>We have plans in place designed to increase repeat purchase rates and enhance engagement with the over 12 million opted-in first party data contacts including over 10 million active Build-A-Bear Bonus Club members. We expect to more effectively use our expanded digital capabilities and platforms to inform and drive marketing and content campaigns and deliver personalized experiences and sales messaging. We also plan to expand our addressable market by reaching beyond the core kid base and acquire new tween, teen, and adult consumers by offering unique affinity offerings and expanding purchase occasions. In addition, we plan to continue to utilize digital media, content and entertainment as marketing and brand-building tools to engage consumers and create value.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280" w:top="580" w:right="339" w:bottom="1440" w:gutter="0" w:footer="0" w:header="0"/>
        </w:sectPr>
      </w:pPr>
    </w:p>
    <w:bookmarkStart w:id="6" w:name="page7"/>
    <w:bookmarkEnd w:id="6"/>
    <w:p>
      <w:pPr>
        <w:ind w:left="460" w:right="180" w:hanging="331"/>
        <w:spacing w:after="0" w:line="284"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Continuing to leverage our expanded omnichannel capabilities while further evolving retail experiences and purchase occasions.</w:t>
      </w:r>
      <w:r>
        <w:rPr>
          <w:rFonts w:ascii="Arial" w:cs="Arial" w:eastAsia="Arial" w:hAnsi="Arial"/>
          <w:sz w:val="16"/>
          <w:szCs w:val="16"/>
          <w:color w:val="auto"/>
        </w:rPr>
        <w:t xml:space="preserve"> With the vast majority of our U.S. stores profitable in fiscal 2021, we believe there is an opportunity to add up to 20 locations in the next two to three years through a combination of our corporately-managed and third-party retail models with an emphasis on tourist sites. We also plan to leverage our enhanced omnichannel options including Buy Online Ship From Store, Buy Online Pickup In Store and same day delivery through our relationship with Shipt to efficiently support fulfillment of our growing digital demand. This strategic use of hundreds of store locations as “mini distribution centers” significantly improves e-commerce fulfillment efficiency and throughput, decreases ship time (which is especially critical to</w:t>
      </w:r>
    </w:p>
    <w:p>
      <w:pPr>
        <w:spacing w:after="0" w:line="4" w:lineRule="exact"/>
        <w:rPr>
          <w:rFonts w:ascii="Arial" w:cs="Arial" w:eastAsia="Arial" w:hAnsi="Arial"/>
          <w:sz w:val="16"/>
          <w:szCs w:val="16"/>
          <w:color w:val="auto"/>
        </w:rPr>
      </w:pPr>
    </w:p>
    <w:p>
      <w:pPr>
        <w:ind w:left="460" w:right="100"/>
        <w:spacing w:after="0" w:line="208" w:lineRule="auto"/>
        <w:rPr>
          <w:rFonts w:ascii="Arial" w:cs="Arial" w:eastAsia="Arial" w:hAnsi="Arial"/>
          <w:sz w:val="16"/>
          <w:szCs w:val="16"/>
          <w:color w:val="auto"/>
        </w:rPr>
      </w:pPr>
      <w:r>
        <w:rPr>
          <w:rFonts w:ascii="Arial" w:cs="Arial" w:eastAsia="Arial" w:hAnsi="Arial"/>
          <w:sz w:val="18"/>
          <w:szCs w:val="18"/>
          <w:color w:val="auto"/>
        </w:rPr>
        <w:t>minimize holiday cut-off days) and leverages available labor in our retail stores. We also re-introduced our in-store party offering after a nearly two-year hiatus due to COVID in March of 2022. In addition, 2022 marks the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anniversary since Build-A-Bear Workshop was founded and we plan to capitalize on the occasion to create interest, leverage nostalgia and drive incremental purchases.</w:t>
      </w:r>
    </w:p>
    <w:p>
      <w:pPr>
        <w:spacing w:after="0" w:line="201" w:lineRule="exact"/>
        <w:rPr>
          <w:rFonts w:ascii="Arial" w:cs="Arial" w:eastAsia="Arial" w:hAnsi="Arial"/>
          <w:sz w:val="16"/>
          <w:szCs w:val="16"/>
          <w:color w:val="auto"/>
        </w:rPr>
      </w:pPr>
    </w:p>
    <w:p>
      <w:pPr>
        <w:ind w:left="460" w:hanging="331"/>
        <w:spacing w:after="0" w:line="275"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Optimizing our solid financial position including a strong balance sheet to support our business and make strategic investments designed to drive further growth.</w:t>
      </w:r>
      <w:r>
        <w:rPr>
          <w:rFonts w:ascii="Arial" w:cs="Arial" w:eastAsia="Arial" w:hAnsi="Arial"/>
          <w:sz w:val="17"/>
          <w:szCs w:val="17"/>
          <w:color w:val="auto"/>
        </w:rPr>
        <w:t xml:space="preserve"> We plan to maintain disciplined expense management particularly in light of recent inflationary pressures, wage increases and supply chain challenges. We are also focused on ongoing lease negotiations as we continue to evolve our real estate portfolio with new locations, formats and business models. In addition, we expect to continue to strategically manage our capital to support key initiatives and innovative developments designed to deliver long-term profitable growth while returning value to sharrholders.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Merchandise Sourcing and Inventory Management</w:t>
      </w:r>
    </w:p>
    <w:p>
      <w:pPr>
        <w:spacing w:after="0" w:line="229"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stores and e-commerce sites offer an extensive and coordinated selection of merchandise, including a wide range of different styles of plush products to be stuffed, pre-stuffed plush products, sounds and scents that can be added to the stuffed animals and a broad variety of clothing, shoes and accessories, as well as other brand appropriate toy and novelty items, sourced from multiple vendors primarily in China and Vietnam. Our plush products and clothing are produced from high quality, man-made materials or natural fibers, and the stuffing is made of a high-grade polyester fiber.</w:t>
      </w:r>
    </w:p>
    <w:p>
      <w:pPr>
        <w:spacing w:after="0" w:line="15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believe we comply with governmental toy safety requirements specific to each country where there are Build-A-Bear Workshop stores. Specifically, we believe all of the products sold in our stores and through our e-commerce sites meet Consumer Product Safety Commission (CPSC) requirements including the Consumer Product Safety Improvement Act (CPSIA) for children’s products. We also believe we comply with American Society for Testing and Materials (ASTM-F963), European Toy Safety Standards (EN71), China National Toy Standards (GB6675/GB5296.5), China Compulsory Certification (CCC), Australian/New Zealand Standard (AS/NZS 8124), Canadian Consumer Product Safety Act Toys Regulation (CCPSA), Chile Standard on Safety of Toys NCh 3251 and India Safety of Toys (IS:9873). Our products are tested through independent third-party testing labs for compliance with toy safety standards. Packaging and labels for each product indicate the age grading for the product and any special warnings in accordance with guidelines established by the CPSC or other applicable authority. We require our supplier factories to be compliant with the International Council of Toy Industries (ICTI) Ethical Toy Program certification or with other third-party social compliance programs. The ICTI Ethical Toy Program process is a social compliance program to promote ethical manufacturing in the form of fair labor treatment, as well as employee health and safety in the toy industry supply chain worldwide. In order to obtain this certification, each factory completes a rigorous evaluation performed by an accredited ICTI agent on an annual basis.</w:t>
      </w:r>
    </w:p>
    <w:p>
      <w:pPr>
        <w:spacing w:after="0" w:line="1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average time from product conception to the arrival in stores is approximately 12 months, including approximately 90 to 120 days from the beginning of production to in-store delivery. Through an ongoing analysis of selling trends, we regularly update our product assortment by increasing quantities of productive styles and eliminating less productive styles. Our relationships with our vendors generally are on a purchase order basis without contractual obligation to provide adequate supply or acceptable pricing on a long-term basis.</w:t>
      </w:r>
    </w:p>
    <w:p>
      <w:pPr>
        <w:spacing w:after="0" w:line="187" w:lineRule="exact"/>
        <w:rPr>
          <w:sz w:val="20"/>
          <w:szCs w:val="20"/>
          <w:color w:val="auto"/>
        </w:rPr>
      </w:pPr>
    </w:p>
    <w:p>
      <w:pPr>
        <w:ind w:right="260" w:firstLine="486"/>
        <w:spacing w:after="0" w:line="301" w:lineRule="auto"/>
        <w:rPr>
          <w:sz w:val="20"/>
          <w:szCs w:val="20"/>
          <w:color w:val="auto"/>
        </w:rPr>
      </w:pPr>
      <w:r>
        <w:rPr>
          <w:rFonts w:ascii="Arial" w:cs="Arial" w:eastAsia="Arial" w:hAnsi="Arial"/>
          <w:sz w:val="16"/>
          <w:szCs w:val="16"/>
          <w:color w:val="auto"/>
        </w:rPr>
        <w:t>As of January 29, 2022, our inventory balance was $71.8 million, an increase of $24.9 million compared to January 30, 2021. The majority of the increase was related to in-transit inventory due to strategically planned accelerated purchases used to partially mitigate inflationary and supply chain COVID-related pressure and anticipated continued increases in product and freight costs. While we are comfortable with the receipt flow, level, and composition of our inventory, we continue to manage our supply chain in an effort to mitigate logistics disruptions and delays in product shipments.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Distribution and Logistics</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own a 350,000 square-foot distribution center in Groveport, Ohio (near Columbus) that serves the majority of our stores in the U.S. and Canada. We also contract with a third-party warehouse in southern California to service our West Coast stores. The contract has a one-year term and is renewable. In Europe, we contract with a third-party distribution center in Selby, England under an agreement that ends in January 2025, to fulfill our store and e-commerce fulfillment needs. This agreement contains clauses that allow for termination if certain performance criteria are not met. In Asia, we contract with a third-party distribution center and office space in Shanghai, China, both of whose agreements end in April 2023.</w:t>
      </w:r>
    </w:p>
    <w:p>
      <w:pPr>
        <w:spacing w:after="0" w:line="17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Transportation from the warehouses to stores is managed by several third-party logistics providers. In the U.S., Canada and Europe, merchandise is shipped by a variety of distribution methods, depending on the store and seasonal inventory demand. Shipments from our distribution centers are scheduled throughout the week in order to smooth workflow, and stores are grouped together by shipping route to reduce freight costs. All items in our assortment are eligible for distribution, depending on allocation and fulfillment requirements, and we typically distribute merchandise and supplies to each store once every other week or once a week on a regular schedule, which allows us to consolidate shipments in order to reduce distribution and shipping costs. Back-up supplies, such as stuffing for the plush animals, are often stored in limited amounts at regional pool points.</w:t>
      </w:r>
    </w:p>
    <w:p>
      <w:pPr>
        <w:spacing w:after="0" w:line="17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fiscal 2020, we introduced "Buy Online, Ship From Store" and "Buy Online, Pick Up In Store" for orders placed in the U.S. and "Click and Collect" for orders placed in the U.K. These programs allow our brick and mortar stores to operate essentially as mini distribution centers allowing us to leverage the geographic proximity of stores, available inventory and labor to fulfill e-commerce demand.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January 29, 2022, we had approximately 1,000 full-time and 2,700 regular part-time employees in the U.S., Canada, the U.K., Ireland and China. The number of part-time employees at all locations fluctuates depending on our seasonal needs. None of our employees is represented by a labor union, and we believe our relationship with our employees is good.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 our company has diversified and evolved, we view our competition through a number of categories. For our retail stores, we view the Build-A-Bear Workshop store experience as a distinctive combination of entertainment and retail with limited direct competition. We are aware of several small companies that operate “make your own” teddy bear and stuffed animal stores or kiosks in retail locations, but we believe none of those companies offer the breadth of assortment nor depth of experience or operate as a national or international retail company.</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Since our signature products, teddy bears and other stuffed animals, are included in the toy category, we compete indirectly with a number of companies that sell plush products or premium children’s toys, including, but not limited to, Ty, Mattel, Hasbro, Lego, Ganz, and Steiff. We also compete with toy retailers including online and mass merchandisers such as Amazon, Walmart or Target as well as specialty stores such as The Entertainer Toy Shop, Smyths Toys Superstores and Hamleys.</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our gift-giving and affinity business has grown, our competitors include diverse retail and online companies such as Vermont Teddy Bear, Funko, or 1-800 Flowers. Since we sell a product that integrates merchandise and experience, we also view our competition as any company that competes for family time and entertainment dollars, such as movie theaters, amusement parks and arcades, other mall-based entertainment venues, party venues and online entertainment.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Trademarks</w:t>
      </w:r>
    </w:p>
    <w:p>
      <w:pPr>
        <w:spacing w:after="0" w:line="229"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We believe our copyrights, service marks, trademarks, trade secrets, patents and similar intellectual property are critical to our success, and we intend, directly or indirectly, to maintain and protect these marks and, where applicable, license the intellectual property. Our patents do not expire until the years 2032 and 2033.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both"/>
        <w:ind w:left="20" w:firstLine="486"/>
        <w:spacing w:after="0" w:line="255" w:lineRule="auto"/>
        <w:rPr>
          <w:sz w:val="20"/>
          <w:szCs w:val="20"/>
          <w:color w:val="auto"/>
        </w:rPr>
      </w:pPr>
      <w:r>
        <w:rPr>
          <w:rFonts w:ascii="Arial" w:cs="Arial" w:eastAsia="Arial" w:hAnsi="Arial"/>
          <w:sz w:val="18"/>
          <w:szCs w:val="18"/>
          <w:color w:val="auto"/>
        </w:rPr>
        <w:t>We have developed licensing and strategic relationships with leading retail and cultural organizations. We plan to continue to collaborate with companies that have strong, family-oriented brands and provide us with attractive marketing and merchandising opportunities. These relationships for specific products are generally reflected in contractual arrangements for limited terms that are terminable by either party upon specified notice. Specifically, we have key strategic relationships with select companies in which we feature their brands on products sold in our stores, including Disney®, NBCUniversal, Lucasfilm, Warner Bros., Pokémon, ViacomCBS, Nintendo, and major professional and collegiate sports along with other culturally relevant brands.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Availability of Information</w:t>
      </w:r>
    </w:p>
    <w:p>
      <w:pPr>
        <w:spacing w:after="0" w:line="229" w:lineRule="exact"/>
        <w:rPr>
          <w:sz w:val="20"/>
          <w:szCs w:val="20"/>
          <w:color w:val="auto"/>
        </w:rPr>
      </w:pPr>
    </w:p>
    <w:p>
      <w:pPr>
        <w:jc w:val="both"/>
        <w:ind w:right="140" w:firstLine="486"/>
        <w:spacing w:after="0" w:line="272" w:lineRule="auto"/>
        <w:rPr>
          <w:sz w:val="20"/>
          <w:szCs w:val="20"/>
          <w:color w:val="auto"/>
        </w:rPr>
      </w:pPr>
      <w:r>
        <w:rPr>
          <w:rFonts w:ascii="Arial" w:cs="Arial" w:eastAsia="Arial" w:hAnsi="Arial"/>
          <w:sz w:val="17"/>
          <w:szCs w:val="17"/>
          <w:color w:val="auto"/>
        </w:rPr>
        <w:t>We are subject to the reporting and information requirements of the Securities Exchange Act of 1934, as amended (the “Exchange Act”). As a result, we file periodic reports and other information with the Securities and Exchange Commission (the “SEC”). We make these filings available free of charge in the Investor Relations section of our corporate website, the URL of which is http://ir.buildabear.com, as soon as reasonably practicable after we electronically file such material with, or furnish it to, the SEC. You may also request copies of these materials without charge by writing to our Investor Relations department at World Headquarters, 1954 Innerbelt Business Center Drive, St. Louis, Missouri 63114. The SEC maintains a website, http://www.sec.gov, that contains our annual, quarterly and current reports and other information we file electronically with the SEC. Information on our website is not incorporated by reference into, and does not constitute a part of, this Annual Report on Form 10-K.</w:t>
      </w:r>
    </w:p>
    <w:p>
      <w:pPr>
        <w:spacing w:after="0" w:line="389"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RISK FACTORS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1A.</w:t>
      </w:r>
    </w:p>
    <w:p>
      <w:pPr>
        <w:spacing w:after="0" w:line="211" w:lineRule="exact"/>
        <w:rPr>
          <w:sz w:val="20"/>
          <w:szCs w:val="20"/>
          <w:color w:val="auto"/>
        </w:rPr>
      </w:pPr>
    </w:p>
    <w:p>
      <w:pPr>
        <w:jc w:val="both"/>
        <w:ind w:left="20" w:right="140" w:firstLine="486"/>
        <w:spacing w:after="0" w:line="259" w:lineRule="auto"/>
        <w:rPr>
          <w:sz w:val="20"/>
          <w:szCs w:val="20"/>
          <w:color w:val="auto"/>
        </w:rPr>
      </w:pPr>
      <w:r>
        <w:rPr>
          <w:rFonts w:ascii="Arial" w:cs="Arial" w:eastAsia="Arial" w:hAnsi="Arial"/>
          <w:sz w:val="18"/>
          <w:szCs w:val="18"/>
          <w:i w:val="1"/>
          <w:iCs w:val="1"/>
          <w:color w:val="auto"/>
        </w:rPr>
        <w:t>We operate in a changing environment that involves numerous known and unknown risks and uncertainties that could materially affect our operations. The risks, uncertainties and other factors set forth below may cause our actual results, performances or achievements to be materially different from those expressed or implied by our forward-looking statements. If any of these risks or events occur, our business, financial condition or results of operations may be adversely affected.</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MACROECONOMIC AND INDUSTRY RISKS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The COVID pandemic has had and is expected to continue to have an adverse effect on our business and results of operations.</w:t>
      </w:r>
    </w:p>
    <w:p>
      <w:pPr>
        <w:spacing w:after="0" w:line="229" w:lineRule="exact"/>
        <w:rPr>
          <w:sz w:val="20"/>
          <w:szCs w:val="20"/>
          <w:color w:val="auto"/>
        </w:rPr>
      </w:pPr>
    </w:p>
    <w:p>
      <w:pPr>
        <w:jc w:val="both"/>
        <w:ind w:left="20" w:firstLine="486"/>
        <w:spacing w:after="0" w:line="288" w:lineRule="auto"/>
        <w:rPr>
          <w:sz w:val="20"/>
          <w:szCs w:val="20"/>
          <w:color w:val="auto"/>
        </w:rPr>
      </w:pPr>
      <w:r>
        <w:rPr>
          <w:rFonts w:ascii="Arial" w:cs="Arial" w:eastAsia="Arial" w:hAnsi="Arial"/>
          <w:sz w:val="16"/>
          <w:szCs w:val="16"/>
          <w:color w:val="auto"/>
        </w:rPr>
        <w:t>The COVID pandemic has had, and is continuing to have, an impact on our business and results of operations. At the peak of the COVID outbreak, many of our corporately-managed and franchised stores were closed. For stores that remained open, overall same-store sales declined due to modified operating hours and reduced customer traffic. While all of our corporately-managed and nearly all of our franchised stores have reopened, we expect that our operations will continue to be impacted by the continuing effects of COVID, including resurgences and variants of the virus. The Company continues to monitor the situation and take appropriate actions in accordance with the recommendations and requirements of relevant authorities. The extent to which the pandemic may impact our operational and financial performance remains uncertain and will depend on many factors outside of our control, including the timing, extent, trajectory and duration of the pandemic, the emergence of new variants, the development, availability, distribution and effectiveness of vaccines and treatments, the imposition of protective public safety measures, and the impact of the pandemic on the global economy and demand for our products. Additional future impacts may include, but are not limited to, material adverse effects on demand for our products and interactive experience, supply chain operations disruptions, our ability to execute strategic plans and to predict future performance, and our financial performance and profitability.</w:t>
      </w:r>
    </w:p>
    <w:p>
      <w:pPr>
        <w:spacing w:after="0" w:line="168" w:lineRule="exact"/>
        <w:rPr>
          <w:sz w:val="20"/>
          <w:szCs w:val="20"/>
          <w:color w:val="auto"/>
        </w:rPr>
      </w:pPr>
    </w:p>
    <w:p>
      <w:pPr>
        <w:jc w:val="both"/>
        <w:ind w:left="20" w:firstLine="486"/>
        <w:spacing w:after="0" w:line="263" w:lineRule="auto"/>
        <w:rPr>
          <w:sz w:val="20"/>
          <w:szCs w:val="20"/>
          <w:color w:val="auto"/>
        </w:rPr>
      </w:pPr>
      <w:r>
        <w:rPr>
          <w:rFonts w:ascii="Arial" w:cs="Arial" w:eastAsia="Arial" w:hAnsi="Arial"/>
          <w:sz w:val="18"/>
          <w:szCs w:val="18"/>
          <w:color w:val="auto"/>
        </w:rPr>
        <w:t>To the extent COVID adversely affects our business, operations, financial condition and operating results, it may also have the effect of heightening many of the other risks described in this “Risk Factors” section, such as those relating to retail customer traffic, general global economic conditions, and demand for our interactive retail experience.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84" w:right="339" w:bottom="1440" w:gutter="0" w:footer="0" w:header="0"/>
        </w:sectPr>
      </w:pPr>
    </w:p>
    <w:bookmarkStart w:id="9" w:name="page10"/>
    <w:bookmarkEnd w:id="9"/>
    <w:p>
      <w:pPr>
        <w:jc w:val="both"/>
        <w:ind w:right="140"/>
        <w:spacing w:after="0" w:line="282" w:lineRule="auto"/>
        <w:rPr>
          <w:sz w:val="20"/>
          <w:szCs w:val="20"/>
          <w:color w:val="auto"/>
        </w:rPr>
      </w:pPr>
      <w:r>
        <w:rPr>
          <w:rFonts w:ascii="Arial" w:cs="Arial" w:eastAsia="Arial" w:hAnsi="Arial"/>
          <w:sz w:val="18"/>
          <w:szCs w:val="18"/>
          <w:b w:val="1"/>
          <w:bCs w:val="1"/>
          <w:color w:val="auto"/>
        </w:rPr>
        <w:t>We depend upon the shopping malls and tourist locations in which our stores are located to attract guests. Continued or further declines in retail customer traffic could adversely affect our financial performance and profitability.</w:t>
      </w:r>
    </w:p>
    <w:p>
      <w:pPr>
        <w:spacing w:after="0" w:line="166" w:lineRule="exact"/>
        <w:rPr>
          <w:sz w:val="20"/>
          <w:szCs w:val="20"/>
          <w:color w:val="auto"/>
        </w:rPr>
      </w:pPr>
    </w:p>
    <w:p>
      <w:pPr>
        <w:jc w:val="both"/>
        <w:ind w:right="120" w:firstLine="486"/>
        <w:spacing w:after="0" w:line="268" w:lineRule="auto"/>
        <w:rPr>
          <w:sz w:val="20"/>
          <w:szCs w:val="20"/>
          <w:color w:val="auto"/>
        </w:rPr>
      </w:pPr>
      <w:r>
        <w:rPr>
          <w:rFonts w:ascii="Arial" w:cs="Arial" w:eastAsia="Arial" w:hAnsi="Arial"/>
          <w:sz w:val="17"/>
          <w:szCs w:val="17"/>
          <w:color w:val="auto"/>
        </w:rPr>
        <w:t>While we invest in integrated marketing efforts and believe we are more of a destination location than other retailers, we rely to a great extent on retail customer traffic in the malls and tourist locations in which our stores are located. Traffic to tourist locations in general has been reduced and may continue to be negatively impacted by COVID, which might disproportionally affect our business relative to other retailers that have locations in more traditional settings or that have a greater mix of online sales ordering. We rely on the ability of the malls’ anchor tenants, generally large department stores, and on the continuing popularity of malls and tourist locations as shopping destinations to attract high levels of consumer traffic. We cannot control the development of new shopping malls nor the closure of existing malls, the addition or loss of anchors and co-tenants, the availability or cost of appropriate locations within existing or new shopping malls or the desirability, safety or success of shopping malls. The pandemic accelerated a trend that has been occurring for years of consumers shifting behavior to increasingly purchase products from online merchants rather than traditional brick-and-mortar stores. While we had significant growth in our e-commerce sales and continue with initiatives intended to develop and strengthen our online business, the majority of our sales are generated from our physical store locations. Consumer traffic may also be reduced due to factors such as the economy, civil unrest, actual or threatened acts of terrorism to shopping locations, the impact of weather or natural disasters or a decline in consumer confidence resulting from international conflicts or war. A decrease in consumer traffic could have an adverse effect on our financial condition and profitability.</w:t>
      </w:r>
    </w:p>
    <w:p>
      <w:pPr>
        <w:spacing w:after="0" w:line="182" w:lineRule="exact"/>
        <w:rPr>
          <w:sz w:val="20"/>
          <w:szCs w:val="20"/>
          <w:color w:val="auto"/>
        </w:rPr>
      </w:pPr>
    </w:p>
    <w:p>
      <w:pPr>
        <w:jc w:val="both"/>
        <w:ind w:right="120"/>
        <w:spacing w:after="0" w:line="282" w:lineRule="auto"/>
        <w:rPr>
          <w:sz w:val="20"/>
          <w:szCs w:val="20"/>
          <w:color w:val="auto"/>
        </w:rPr>
      </w:pPr>
      <w:r>
        <w:rPr>
          <w:rFonts w:ascii="Arial" w:cs="Arial" w:eastAsia="Arial" w:hAnsi="Arial"/>
          <w:sz w:val="18"/>
          <w:szCs w:val="18"/>
          <w:b w:val="1"/>
          <w:bCs w:val="1"/>
          <w:color w:val="auto"/>
        </w:rPr>
        <w:t>A decline in general global economic conditions could lead to disproportionately reduced discretionary consumer spending and a corresponding reduction in demand for our products and have an adverse effect on our liquidity and profitability.</w:t>
      </w:r>
    </w:p>
    <w:p>
      <w:pPr>
        <w:spacing w:after="0" w:line="166" w:lineRule="exact"/>
        <w:rPr>
          <w:sz w:val="20"/>
          <w:szCs w:val="20"/>
          <w:color w:val="auto"/>
        </w:rPr>
      </w:pPr>
    </w:p>
    <w:p>
      <w:pPr>
        <w:jc w:val="both"/>
        <w:ind w:right="120" w:firstLine="486"/>
        <w:spacing w:after="0" w:line="287" w:lineRule="auto"/>
        <w:rPr>
          <w:sz w:val="20"/>
          <w:szCs w:val="20"/>
          <w:color w:val="auto"/>
        </w:rPr>
      </w:pPr>
      <w:r>
        <w:rPr>
          <w:rFonts w:ascii="Arial" w:cs="Arial" w:eastAsia="Arial" w:hAnsi="Arial"/>
          <w:sz w:val="16"/>
          <w:szCs w:val="16"/>
          <w:color w:val="auto"/>
        </w:rPr>
        <w:t>Since purchases of our merchandise are dependent upon discretionary spending by our guests, our financial performance is sensitive to changes in overall economic conditions that affect consumer spending. Consumer spending habits are affected by, among other things, prevailing economic conditions, inflation, levels of employment, salaries and wage rates, consumer confidence and consumer perception of economic conditions. A slowdown in the North American or European economies or in the economies of the countries in which our franchisees and third-party retail partners operate or uncertainty as to the economic outlook could reduce discretionary spending or cause a shift in consumer discretionary spending to other products. For example, the potential adverse effects across geographies of COVID or future pandemics, inflation, and geopolitical conflicts could result in lower net retail sales and could also result in excess inventories, which could, in turn, lead to increased merchandise markdowns and related costs associated with higher levels of inventory and adversely affect our liquidity and profitability. In addition, economic uncertainty can affect the credit and capital markets and our financial condition which may affect our ability to access capital resources under our credit agreement. The amount available for borrowing could be restricted under our agreement if the amount of assets used to calculate the borrowing base (specified percentages of eligible credit card receivables, eligible inventory, and, under certain circumstances, eligible foreign in-transit inventory and, in the discretion of the agent, eligible receivables) decrease.</w:t>
      </w:r>
    </w:p>
    <w:p>
      <w:pPr>
        <w:spacing w:after="0" w:line="17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Inflation impacted our business operations throughout fiscal 2021 and began to have an adverse impact on our business in the fourth quarter of this year, mainly in freight and other supply chain related costs. Although we took actions to mitigate these pressures, such as strategic price increases on highly sought-after products and accelerated purchases of inventory, there can be no assurance that we will be able continue these actions or that they will be successful in the future. We expect the inflationary pressures experienced at the end of fiscal 2021 to continue into fiscal 2022. We may need to adjust prices further to mitigate the impacts of changes to the rate of inflation during 2022 or in future years.</w:t>
      </w:r>
    </w:p>
    <w:p>
      <w:pPr>
        <w:spacing w:after="0" w:line="176" w:lineRule="exact"/>
        <w:rPr>
          <w:sz w:val="20"/>
          <w:szCs w:val="20"/>
          <w:color w:val="auto"/>
        </w:rPr>
      </w:pPr>
    </w:p>
    <w:p>
      <w:pPr>
        <w:jc w:val="both"/>
        <w:ind w:right="140" w:firstLine="486"/>
        <w:spacing w:after="0" w:line="254" w:lineRule="auto"/>
        <w:rPr>
          <w:sz w:val="20"/>
          <w:szCs w:val="20"/>
          <w:color w:val="auto"/>
        </w:rPr>
      </w:pPr>
      <w:r>
        <w:rPr>
          <w:rFonts w:ascii="Arial" w:cs="Arial" w:eastAsia="Arial" w:hAnsi="Arial"/>
          <w:sz w:val="18"/>
          <w:szCs w:val="18"/>
          <w:color w:val="auto"/>
        </w:rPr>
        <w:t>Moreover, these inflationary pressures have caused, and are expected to continue to cause, significant increases in the costs of other products which are required by consumers, such as gasoline, home heating and cooling fuels, or groceries, which in turn is likely to reduce household spending on the types of discretionary products and entertainment we offer. Weakened economic conditions, lowered employment levels or recessions in any of our major markets may also significantly reduce consumer purchases of our products. Economic conditions may also be negatively impacted by terrorist attacks, wars, and other conflicts, such as the current Russia-Ukraine crisis, as well as natural disasters, increases in commodity prices or labor costs, or the prospect of such events. Such a weakened economic and business climate, as well as consumer uncertainty created by such a climate, could harm our revenues and profitability.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ind w:left="20" w:firstLine="486"/>
        <w:spacing w:after="0" w:line="257" w:lineRule="auto"/>
        <w:rPr>
          <w:sz w:val="20"/>
          <w:szCs w:val="20"/>
          <w:color w:val="auto"/>
        </w:rPr>
      </w:pPr>
      <w:r>
        <w:rPr>
          <w:rFonts w:ascii="Arial" w:cs="Arial" w:eastAsia="Arial" w:hAnsi="Arial"/>
          <w:sz w:val="18"/>
          <w:szCs w:val="18"/>
          <w:color w:val="auto"/>
        </w:rPr>
        <w:t>Our success and profitability not only depend on consumer demand for our products, but also on our ability to produce and sell those products at costs which allow us to make a profit. Whether due to inflation or other factors, rising petroleum and material prices, increased transportation and shipping costs, and increased labor costs in the markets in which our products are manufactured and sold all may further increase the costs we incur to produce and transport our products, which in turn may reduce our margins, reduce our profitability, and harm our business, in particular if we are unable to further adjust prices beyond what we have been able to do in fiscal 2021, as discussed above.</w:t>
      </w:r>
    </w:p>
    <w:p>
      <w:pPr>
        <w:spacing w:after="0" w:line="184" w:lineRule="exact"/>
        <w:rPr>
          <w:sz w:val="20"/>
          <w:szCs w:val="20"/>
          <w:color w:val="auto"/>
        </w:rPr>
      </w:pPr>
    </w:p>
    <w:p>
      <w:pPr>
        <w:jc w:val="both"/>
        <w:ind w:left="20" w:right="140"/>
        <w:spacing w:after="0" w:line="282" w:lineRule="auto"/>
        <w:rPr>
          <w:sz w:val="20"/>
          <w:szCs w:val="20"/>
          <w:color w:val="auto"/>
        </w:rPr>
      </w:pPr>
      <w:r>
        <w:rPr>
          <w:rFonts w:ascii="Arial" w:cs="Arial" w:eastAsia="Arial" w:hAnsi="Arial"/>
          <w:sz w:val="18"/>
          <w:szCs w:val="18"/>
          <w:b w:val="1"/>
          <w:bCs w:val="1"/>
          <w:color w:val="auto"/>
        </w:rPr>
        <w:t>Consumer interests can change rapidly, and our success depends on the ongoing effectiveness of our marketing and online initiatives to build consumer affinity for our brand and drive consumer demand for our products and services.</w:t>
      </w:r>
    </w:p>
    <w:p>
      <w:pPr>
        <w:spacing w:after="0" w:line="166" w:lineRule="exact"/>
        <w:rPr>
          <w:sz w:val="20"/>
          <w:szCs w:val="20"/>
          <w:color w:val="auto"/>
        </w:rPr>
      </w:pPr>
    </w:p>
    <w:p>
      <w:pPr>
        <w:jc w:val="both"/>
        <w:ind w:left="20" w:right="140" w:firstLine="486"/>
        <w:spacing w:after="0" w:line="279" w:lineRule="auto"/>
        <w:rPr>
          <w:sz w:val="20"/>
          <w:szCs w:val="20"/>
          <w:color w:val="auto"/>
        </w:rPr>
      </w:pPr>
      <w:r>
        <w:rPr>
          <w:rFonts w:ascii="Arial" w:cs="Arial" w:eastAsia="Arial" w:hAnsi="Arial"/>
          <w:sz w:val="17"/>
          <w:szCs w:val="17"/>
          <w:color w:val="auto"/>
        </w:rPr>
        <w:t>We continue to update and evaluate our marketing initiatives, which are focused on building our brand, sharing relevant product news, executing timely promotions and adapting to rapidly changing consumer preferences. Our future growth and profitability will depend in large part upon the effectiveness and efficiency of our integrated marketing and advertising programs, access to leading entertainment relationships resulting in licensing relationships in a profitable manner and future marketing and advertising efforts that we undertake, including our ability to:</w:t>
      </w:r>
    </w:p>
    <w:p>
      <w:pPr>
        <w:spacing w:after="0" w:line="171" w:lineRule="exact"/>
        <w:rPr>
          <w:sz w:val="20"/>
          <w:szCs w:val="20"/>
          <w:color w:val="auto"/>
        </w:rPr>
      </w:pPr>
    </w:p>
    <w:p>
      <w:pPr>
        <w:ind w:left="520" w:hanging="371"/>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greater awareness and affinity of our brand, interactive shopping experience and products;</w:t>
      </w:r>
    </w:p>
    <w:p>
      <w:pPr>
        <w:spacing w:after="0" w:line="225" w:lineRule="exact"/>
        <w:rPr>
          <w:rFonts w:ascii="Arial" w:cs="Arial" w:eastAsia="Arial" w:hAnsi="Arial"/>
          <w:sz w:val="18"/>
          <w:szCs w:val="18"/>
          <w:color w:val="auto"/>
        </w:rPr>
      </w:pPr>
    </w:p>
    <w:p>
      <w:pPr>
        <w:ind w:left="520" w:hanging="371"/>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convert consumer awareness into store and e-commerce site visits and product purchases;</w:t>
      </w:r>
    </w:p>
    <w:p>
      <w:pPr>
        <w:spacing w:after="0" w:line="225" w:lineRule="exact"/>
        <w:rPr>
          <w:rFonts w:ascii="Arial" w:cs="Arial" w:eastAsia="Arial" w:hAnsi="Arial"/>
          <w:sz w:val="18"/>
          <w:szCs w:val="18"/>
          <w:color w:val="auto"/>
        </w:rPr>
      </w:pPr>
    </w:p>
    <w:p>
      <w:pPr>
        <w:ind w:left="520" w:hanging="371"/>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 the optimal level of marketing spend and most efficient marketing channels;</w:t>
      </w:r>
    </w:p>
    <w:p>
      <w:pPr>
        <w:spacing w:after="0" w:line="225" w:lineRule="exact"/>
        <w:rPr>
          <w:rFonts w:ascii="Arial" w:cs="Arial" w:eastAsia="Arial" w:hAnsi="Arial"/>
          <w:sz w:val="18"/>
          <w:szCs w:val="18"/>
          <w:color w:val="auto"/>
        </w:rPr>
      </w:pPr>
    </w:p>
    <w:p>
      <w:pPr>
        <w:ind w:left="520" w:hanging="371"/>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select the right geographic areas in which to market;</w:t>
      </w:r>
    </w:p>
    <w:p>
      <w:pPr>
        <w:spacing w:after="0" w:line="225" w:lineRule="exact"/>
        <w:rPr>
          <w:rFonts w:ascii="Arial" w:cs="Arial" w:eastAsia="Arial" w:hAnsi="Arial"/>
          <w:sz w:val="18"/>
          <w:szCs w:val="18"/>
          <w:color w:val="auto"/>
        </w:rPr>
      </w:pPr>
    </w:p>
    <w:p>
      <w:pPr>
        <w:ind w:left="520" w:hanging="371"/>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determine the appropriate creative message and media mix for marketing programs locally, nationally and internationally; and</w:t>
      </w:r>
    </w:p>
    <w:p>
      <w:pPr>
        <w:spacing w:after="0" w:line="225" w:lineRule="exact"/>
        <w:rPr>
          <w:rFonts w:ascii="Arial" w:cs="Arial" w:eastAsia="Arial" w:hAnsi="Arial"/>
          <w:sz w:val="18"/>
          <w:szCs w:val="18"/>
          <w:color w:val="auto"/>
        </w:rPr>
      </w:pPr>
    </w:p>
    <w:p>
      <w:pPr>
        <w:ind w:left="520" w:hanging="371"/>
        <w:spacing w:after="0"/>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effectively manage marketing costs (including creative and media) to maintain acceptable operating margins and return on marketing investment.</w:t>
      </w:r>
    </w:p>
    <w:p>
      <w:pPr>
        <w:spacing w:after="0" w:line="248" w:lineRule="exact"/>
        <w:rPr>
          <w:sz w:val="20"/>
          <w:szCs w:val="20"/>
          <w:color w:val="auto"/>
        </w:rPr>
      </w:pPr>
    </w:p>
    <w:p>
      <w:pPr>
        <w:jc w:val="both"/>
        <w:ind w:right="140" w:firstLine="486"/>
        <w:spacing w:after="0" w:line="273" w:lineRule="auto"/>
        <w:rPr>
          <w:sz w:val="20"/>
          <w:szCs w:val="20"/>
          <w:color w:val="auto"/>
        </w:rPr>
      </w:pPr>
      <w:r>
        <w:rPr>
          <w:rFonts w:ascii="Arial" w:cs="Arial" w:eastAsia="Arial" w:hAnsi="Arial"/>
          <w:sz w:val="17"/>
          <w:szCs w:val="17"/>
          <w:color w:val="auto"/>
        </w:rPr>
        <w:t>Moreover, our branding and marketing efforts could be undermined by the nature of our interactive store experience, as consumers make different choices in order to continue social distancing practices. The perception that our experience may not be safe, in particular for vulnerable populations, could have a material adverse impact on the effectiveness of our branding and marketing efforts which could negatively impact our financial results. Our planned marketing expenditures may not result in increased total sales or generate sufficient levels of product and brand awareness, which could also have a material adverse effect on our financial condition and profitability. Additionally, we have shifted a number of our marketing programs to digital outlets which may not be as effective as our more traditional, historical programs.</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profitability could be adversely affected by fluctuations in petroleum products prices.</w:t>
      </w:r>
    </w:p>
    <w:p>
      <w:pPr>
        <w:spacing w:after="0" w:line="229" w:lineRule="exact"/>
        <w:rPr>
          <w:sz w:val="20"/>
          <w:szCs w:val="20"/>
          <w:color w:val="auto"/>
        </w:rPr>
      </w:pPr>
    </w:p>
    <w:p>
      <w:pPr>
        <w:jc w:val="both"/>
        <w:ind w:left="20" w:right="140" w:firstLine="486"/>
        <w:spacing w:after="0" w:line="272" w:lineRule="auto"/>
        <w:rPr>
          <w:sz w:val="20"/>
          <w:szCs w:val="20"/>
          <w:color w:val="auto"/>
        </w:rPr>
      </w:pPr>
      <w:r>
        <w:rPr>
          <w:rFonts w:ascii="Arial" w:cs="Arial" w:eastAsia="Arial" w:hAnsi="Arial"/>
          <w:sz w:val="17"/>
          <w:szCs w:val="17"/>
          <w:color w:val="auto"/>
        </w:rPr>
        <w:t>The profitability of our business depends to a certain degree upon the price of petroleum products, both as a component of the transportation costs for delivery of inventory from our vendors to our stores and as a raw material used in the production of our plush products and stuffing. Volatility in petroleum prices can be due to many external factors that are beyond the Company's control including political, environmental, and economic factors such as hostilities or other conflicts in oil producing areas (including the current Russia-Ukraine crisis), limitations and/or disruptions in refining and pipeline capacity, and worldwide demand for petroleum. We are unable to predict what the price of crude oil and the resulting petroleum products will be in the future. We may be unable to pass along to our customers the increased costs that would result from higher petroleum prices. Therefore, any such increase could have an adverse impact on our business and profitability.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8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Our business may be adversely impacted at any time by a variety of significant competitive threats.</w:t>
      </w:r>
    </w:p>
    <w:p>
      <w:pPr>
        <w:spacing w:after="0" w:line="229" w:lineRule="exact"/>
        <w:rPr>
          <w:sz w:val="20"/>
          <w:szCs w:val="20"/>
          <w:color w:val="auto"/>
        </w:rPr>
      </w:pPr>
    </w:p>
    <w:p>
      <w:pPr>
        <w:jc w:val="both"/>
        <w:ind w:right="20" w:firstLine="486"/>
        <w:spacing w:after="0" w:line="271" w:lineRule="auto"/>
        <w:rPr>
          <w:sz w:val="20"/>
          <w:szCs w:val="20"/>
          <w:color w:val="auto"/>
        </w:rPr>
      </w:pPr>
      <w:r>
        <w:rPr>
          <w:rFonts w:ascii="Arial" w:cs="Arial" w:eastAsia="Arial" w:hAnsi="Arial"/>
          <w:sz w:val="17"/>
          <w:szCs w:val="17"/>
          <w:color w:val="auto"/>
        </w:rPr>
        <w:t>We operate in a highly competitive environment characterized by low barriers to entry. We compete against a diverse group of competitors. Because we are primarily mall-based, we see our competition as those mall-based retailers that compete for prime mall locations, including various apparel, footwear and specialty retailers. As a retailer whose signature product is a stuffed animal that is typically purchased as a toy or gift, we also compete with big box retailers and toy stores, as well as manufacturers that sell plush toys. Since we offer our guests an experience as well as merchandise, we also view our competition as any company that competes for our guests’ time and entertainment dollars, such as movie theaters, restaurants, amusement parks and arcades. In addition, there are several small companies that operate “make your own” teddy bear and stuffed animal experiences in retail stores and kiosks. Although we believe that none of these companies currently offer the breadth and depth of the Build-A-Bear Workshop products and experience, we cannot be certain that they will not compete directly with us in the future.</w:t>
      </w:r>
    </w:p>
    <w:p>
      <w:pPr>
        <w:spacing w:after="0" w:line="178" w:lineRule="exact"/>
        <w:rPr>
          <w:sz w:val="20"/>
          <w:szCs w:val="20"/>
          <w:color w:val="auto"/>
        </w:rPr>
      </w:pPr>
    </w:p>
    <w:p>
      <w:pPr>
        <w:ind w:right="120" w:firstLine="486"/>
        <w:spacing w:after="0" w:line="311" w:lineRule="auto"/>
        <w:rPr>
          <w:sz w:val="20"/>
          <w:szCs w:val="20"/>
          <w:color w:val="auto"/>
        </w:rPr>
      </w:pPr>
      <w:r>
        <w:rPr>
          <w:rFonts w:ascii="Arial" w:cs="Arial" w:eastAsia="Arial" w:hAnsi="Arial"/>
          <w:sz w:val="16"/>
          <w:szCs w:val="16"/>
          <w:color w:val="auto"/>
        </w:rPr>
        <w:t>Many of our competitors have longer operating histories, significantly greater financial, marketing and other resources, and greater name recognition. We cannot be certain that we will be able to compete successfully with them in the future, particularly in geographic locations that represent new markets for us. If we fail to compete successfully, our market share and results of operations could be materially and adversely affected.</w:t>
      </w:r>
    </w:p>
    <w:p>
      <w:pPr>
        <w:spacing w:after="0" w:line="14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retail sector has experienced an immense increase in sales initiated online and using mobile applications, as well as online sales for both in-store or curbside pick-up. Online and multi-channel retailers continue to focus on delivery services, with customers increasingly seeking faster, guaranteed delivery times and low-cost or free shipping. Our ability to be competitive on delivery times and delivery costs depends on many factors, and our failure to successfully manage these factors and offer competitive delivery options could negatively impact the demand for our products and our profit margins.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If we are unable to generate interest in and demand for our interactive retail experience and products, including being able to identify and respond to consumer preferences in a timely manner, our sales, financial condition and profitability could be adversely affected.</w:t>
      </w:r>
    </w:p>
    <w:p>
      <w:pPr>
        <w:spacing w:after="0" w:line="14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believe that our success depends in large part upon our ability to continue to attract new and repeat guests with our interactive shopping experience, and our ability to anticipate, gauge and respond in a timely manner to changing consumer preferences, such as online buying, and fashion trends including licensed relationships. We cannot be certain that there will continue to be a demand for our “make-your-own stuffed animal” interactive experience, including our store design and brand appearance, or for our stuffed animals, related apparel and accessories. A decline in demand for our interactive shopping experience, our stuffed animals, related apparel or accessories, or a misjudgment of consumer preferences, fashion trends or the demand for licensed products, including those that are associated with new movie releases, could have a negative impact on our business, financial condition and results of operations. In addition, due to COVID, we modified our interactive shopping experience in order to comply with social distancing guidelines and sanitation practices, which could have a negative impact on the appeal of our interactive shopping experience. Conversely, if we either do not modify our experience to a sufficient degree to address safety concerns relative to social distancing, masking or other remediation, or alternatively relax our remediation procedures more quickly than our customers desire, the perception that we are not adequately addressing these concerns may adversely affect our brand.</w:t>
      </w:r>
    </w:p>
    <w:p>
      <w:pPr>
        <w:spacing w:after="0" w:line="182" w:lineRule="exact"/>
        <w:rPr>
          <w:sz w:val="20"/>
          <w:szCs w:val="20"/>
          <w:color w:val="auto"/>
        </w:rPr>
      </w:pPr>
    </w:p>
    <w:p>
      <w:pPr>
        <w:jc w:val="both"/>
        <w:ind w:right="20" w:firstLine="486"/>
        <w:spacing w:after="0" w:line="254" w:lineRule="auto"/>
        <w:rPr>
          <w:sz w:val="20"/>
          <w:szCs w:val="20"/>
          <w:color w:val="auto"/>
        </w:rPr>
      </w:pPr>
      <w:r>
        <w:rPr>
          <w:rFonts w:ascii="Arial" w:cs="Arial" w:eastAsia="Arial" w:hAnsi="Arial"/>
          <w:sz w:val="18"/>
          <w:szCs w:val="18"/>
          <w:color w:val="auto"/>
        </w:rPr>
        <w:t>Our future success depends, in part, on the popularity and consumer demand for brands of licensors such as Disney, NBCUniversal, Lucasfilm, Warner Bros., and Nintendo. If we are not able to meet our contractual commitments or are unable to maintain licensing agreements with key brands, our business would be adversely affected. There can be no certainty that our access to licensed brands will continue to be successful or enable us to maintain high levels of sales in the future and the timing of future entertainment projects may not coincide with the timing of previous successes impacting our ability to maintain sales levels. In addition, if we miscalculate the market for our merchandise or the purchasing preferences of our guests, we may be required to sell a significant amount of our inventory at discounted prices or even below costs, thereby adversely affecting our financial condition and profitability.</w:t>
      </w:r>
    </w:p>
    <w:p>
      <w:pPr>
        <w:spacing w:after="0" w:line="1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Failure to successfully execute our omnichannel strategy and the cost of our investments in 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commerce and digital technology may materially adversely affect our financial condition and profitability.</w:t>
      </w:r>
    </w:p>
    <w:p>
      <w:pPr>
        <w:spacing w:after="0" w:line="211"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retail business continues to rapidly evolve and consumers increasingly embrace digital shopping. As a result, the portion of total consumer expenditures with retailers occurring through digital platforms is increasing and the pace of this increase could continue to accelerate.</w:t>
      </w:r>
    </w:p>
    <w:p>
      <w:pPr>
        <w:spacing w:after="0" w:line="14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strategy, which includes investments in e-commerce platforms, digital technology, and other consumer initiatives, may not adequately or effectively allow us to continue to grow our e-commerce business, increase sales, and grow our position in the specialty retail and gifting and collectibles markets such as adult to adult gifting (e.g. Heartbox), adult driven affinity (e.g. The Bear Cave), and occasion gifting (e.g. graduation, Valentine's Day) which is in addition to our historically core consumer base of adult to children gifting. The success of our strategy will depend on our ability to continue building and delivering a seamless omnichannel shopping experience for our customers. With an increasing allocation of capital expenditures focused on digital initiatives, our failure to successfully execute on individual components of this strategy may adversely affect our financial performance. In addition, a greater concentration of e-commerce sales could result in a reduction in the amount of traffic in our stores and materially adversely affect our financial performance.</w:t>
      </w:r>
    </w:p>
    <w:p>
      <w:pPr>
        <w:spacing w:after="0" w:line="19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Furthermore, the cost of certain investments in e-commerce and digital technology may adversely impact our financial performance in the short-term and failure to realize the benefits of these investments may adversely impact our financial performance over the longer term.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technology and digital operations.</w:t>
      </w:r>
    </w:p>
    <w:p>
      <w:pPr>
        <w:spacing w:after="0" w:line="229" w:lineRule="exact"/>
        <w:rPr>
          <w:sz w:val="20"/>
          <w:szCs w:val="20"/>
          <w:color w:val="auto"/>
        </w:rPr>
      </w:pPr>
    </w:p>
    <w:p>
      <w:pPr>
        <w:jc w:val="both"/>
        <w:ind w:right="140" w:firstLine="486"/>
        <w:spacing w:after="0" w:line="296" w:lineRule="auto"/>
        <w:rPr>
          <w:sz w:val="20"/>
          <w:szCs w:val="20"/>
          <w:color w:val="auto"/>
        </w:rPr>
      </w:pPr>
      <w:r>
        <w:rPr>
          <w:rFonts w:ascii="Arial" w:cs="Arial" w:eastAsia="Arial" w:hAnsi="Arial"/>
          <w:sz w:val="16"/>
          <w:szCs w:val="16"/>
          <w:color w:val="auto"/>
        </w:rPr>
        <w:t>Our operations are subject to numerous technology related risks, including risks related to the failure of the computer systems that operate our point of sale and inventory systems, websites and mobile sites and their related support systems. We engage key third-party business partners to support various functions of our business, including, but not limited to, information technology, web hosting and cloud-based services. We, and those third-party businesses that support us, are also subject to risks related to computer viruses, telecommunications failures, and similar disruptions. Also, we may require additional capital in the future to sustain or grow our technological infrastructure and digital commerce capabilities.</w:t>
      </w:r>
    </w:p>
    <w:p>
      <w:pPr>
        <w:spacing w:after="0" w:line="161" w:lineRule="exact"/>
        <w:rPr>
          <w:sz w:val="20"/>
          <w:szCs w:val="20"/>
          <w:color w:val="auto"/>
        </w:rPr>
      </w:pPr>
    </w:p>
    <w:p>
      <w:pPr>
        <w:jc w:val="both"/>
        <w:ind w:right="140" w:firstLine="486"/>
        <w:spacing w:after="0" w:line="257" w:lineRule="auto"/>
        <w:rPr>
          <w:sz w:val="20"/>
          <w:szCs w:val="20"/>
          <w:color w:val="auto"/>
        </w:rPr>
      </w:pPr>
      <w:r>
        <w:rPr>
          <w:rFonts w:ascii="Arial" w:cs="Arial" w:eastAsia="Arial" w:hAnsi="Arial"/>
          <w:sz w:val="18"/>
          <w:szCs w:val="18"/>
          <w:color w:val="auto"/>
        </w:rPr>
        <w:t>Business risks related to technology and digital commerce include risks associated with the need to keep pace with rapid technological change, internet security risks, risks of system failure or inadequacy, governmental regulation and legal uncertainties with respect to the internet, and collection of sales or other taxes by additional states or foreign jurisdictions. If any of these risks materialize, it could have a material adverse effect on our business. Further, as our online sales have increased and have become critical to our growth, the risk of any interruption of our information technology system capabilities is heightened.</w:t>
      </w:r>
    </w:p>
    <w:p>
      <w:pPr>
        <w:spacing w:after="0" w:line="184" w:lineRule="exact"/>
        <w:rPr>
          <w:sz w:val="20"/>
          <w:szCs w:val="20"/>
          <w:color w:val="auto"/>
        </w:rPr>
      </w:pPr>
    </w:p>
    <w:p>
      <w:pPr>
        <w:jc w:val="both"/>
        <w:ind w:right="140"/>
        <w:spacing w:after="0" w:line="282" w:lineRule="auto"/>
        <w:rPr>
          <w:sz w:val="20"/>
          <w:szCs w:val="20"/>
          <w:color w:val="auto"/>
        </w:rPr>
      </w:pPr>
      <w:r>
        <w:rPr>
          <w:rFonts w:ascii="Arial" w:cs="Arial" w:eastAsia="Arial" w:hAnsi="Arial"/>
          <w:sz w:val="18"/>
          <w:szCs w:val="18"/>
          <w:b w:val="1"/>
          <w:bCs w:val="1"/>
          <w:color w:val="auto"/>
        </w:rPr>
        <w:t>If we are unable to renew, renegotiate or replace our store leases or enter into leases for new stores on favorable terms, or if we violate any of the terms of our current leases, our revenue and profitability could be harmed.</w:t>
      </w:r>
    </w:p>
    <w:p>
      <w:pPr>
        <w:spacing w:after="0" w:line="166" w:lineRule="exact"/>
        <w:rPr>
          <w:sz w:val="20"/>
          <w:szCs w:val="20"/>
          <w:color w:val="auto"/>
        </w:rPr>
      </w:pPr>
    </w:p>
    <w:p>
      <w:pPr>
        <w:jc w:val="both"/>
        <w:ind w:right="120" w:firstLine="486"/>
        <w:spacing w:after="0" w:line="288" w:lineRule="auto"/>
        <w:rPr>
          <w:sz w:val="20"/>
          <w:szCs w:val="20"/>
          <w:color w:val="auto"/>
        </w:rPr>
      </w:pPr>
      <w:r>
        <w:rPr>
          <w:rFonts w:ascii="Arial" w:cs="Arial" w:eastAsia="Arial" w:hAnsi="Arial"/>
          <w:sz w:val="16"/>
          <w:szCs w:val="16"/>
          <w:color w:val="auto"/>
        </w:rPr>
        <w:t>We lease all of our corporately-managed store locations. The majority of our store leases contain provisions for base rent plus percentage rent based on sales in excess of an agreed upon minimum annual sales level. A number of our leases include a termination provision which applies if we do not meet certain sales levels during a specified period, typically in the third to fourth year and the sixth to seventh year of the lease, which may be at either the landlord’s option or ours. Although we have largely shifted our leases in North America to shorter term leases to provide flexibility in aligning stores with market trends, this strategy has risk if we renew leases at a time when commercial rental rates are higher than the rate we could have secured with a longer-term lease. Furthermore, some of our leases contain various restrictions relating to change of control of our company. Our leases also subject us to risks relating to compliance with changing shopping location rules and the exercise of discretion by our landlords on various matters within these locations. We may not be able to maintain or obtain favorable locations within these desirable shopping locations. The terms of new leases may not be as favorable, which could cause an increase in store expenses negatively impacting overall profitability. If we execute termination rights, we may incur expenses and charges associated with those closures that could negatively impact our profitability.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jc w:val="both"/>
        <w:ind w:firstLine="486"/>
        <w:spacing w:after="0" w:line="311" w:lineRule="auto"/>
        <w:rPr>
          <w:sz w:val="20"/>
          <w:szCs w:val="20"/>
          <w:color w:val="auto"/>
        </w:rPr>
      </w:pPr>
      <w:r>
        <w:rPr>
          <w:rFonts w:ascii="Arial" w:cs="Arial" w:eastAsia="Arial" w:hAnsi="Arial"/>
          <w:sz w:val="16"/>
          <w:szCs w:val="16"/>
          <w:color w:val="auto"/>
        </w:rPr>
        <w:t>Additionally, several large landlords dominate the ownership of prime malls, particularly in the U.S. and Canada, and because of our dependence on these landlords for a substantial number of our locations, any significant erosion in their financial conditions or our relationships with these landlords could negatively affect our ability to obtain and retain store locations. Further landlord consolidation may negatively impact our results of operations.</w:t>
      </w:r>
    </w:p>
    <w:p>
      <w:pPr>
        <w:spacing w:after="0" w:line="14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Our leases in the U.K. and Ireland also typically contain provisions requiring rent reviews every five years in which the base rent that we pay is adjusted to current market rates. These rent reviews require that base rents cannot be reduced if market conditions have deteriorated but can be changed “upwards only.” We may be required to pay base rents that are significantly higher than we have projected. As a result of these and other factors, we may not be able to operate our European store locations profitably. If we are unable to do so, our results of operations and financial condition could be harmed, and we may be required to record significant additional impairment charges.</w:t>
      </w:r>
    </w:p>
    <w:p>
      <w:pPr>
        <w:spacing w:after="0" w:line="172"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Our company-owned distribution center that services the majority of our stores in North America and our third-party distribution center providers used in the western U.S. and Europe may be required to close and operations may experience disruptions or may operate inefficiently.</w:t>
      </w:r>
    </w:p>
    <w:p>
      <w:pPr>
        <w:spacing w:after="0" w:line="12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operation of our stores is dependent on our ability to distribute merchandise to locations throughout the U.S., Canada, and Europe in a timely manner. We own a 350,000-square-foot distribution center in Groveport, Ohio and rely on this warehouse to receive, store and distribute merchandise for the majority of our North American stores. To operate this location, our ability to meet changing labor needs while controlling our costs is subject to external factors such as labor laws, regulations, unemployment levels, prevailing wage rates, and changing demographics. In addition, we rely on third parties to manage all of the warehousing and distribution aspects of our business in the western U.S. and Europe. For example, as noted above, in Europe, we contract with a third-party distribution center in Selby, England under an agreement that ends in January 2025. Any significant interruption in the operation of the distribution centers due to natural disasters or severe weather, events such as fire, accidents, power outages, system failures, public health issues such as the current COVID pandemic (or other future pandemics), or other unforeseen causes could damage a significant portion of our inventory. These factors may also impair our ability to adequately stock our stores and fulfill e-commerce orders and could decrease our sales and increase our costs associated with our supply chain.</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not be able to evolve our store locations over time to align with market trends, successfully diversify our store models and formats in accordance with our strategic goals or otherwise effectively manage our overall portfolio of stores which could adversely affect our ability to grow and could significantly harm our profitability.</w:t>
      </w:r>
    </w:p>
    <w:p>
      <w:pPr>
        <w:spacing w:after="0" w:line="18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future results will largely depend on our ability to optimize store productivity and profitability by strategically evolving our real estate portfolio to align with market trends while selectively opening new locations and systematically refreshing our store base. For example, our strategy includes a focus on tourist locations due to changing consumer preferences and declining traditional mall traffic and we cannot be certain that this strategy will be successful. Our ability to manage our portfolio of stores in future years, in desirable locations, as well as to operate stores profitably, particularly in multi-store markets, are key factors in our ability to achieve sustained profitable growth. We cannot be certain when or whether desirable locations will become available, the number of Build-A-Bear Workshop stores that we can or will ultimately open, or whether any such new or relocated stores can be profitably operated. We may decide to close other stores in the future.</w:t>
      </w:r>
    </w:p>
    <w:p>
      <w:pPr>
        <w:spacing w:after="0" w:line="17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Additionally, in fiscal 2021 we operated 22 stores located within other retailers’ stores and 61 stores through our "third-party wholesale" model and as such are subject to the operational risks of these retailers, including but not limited to, ineffective store operations, labor disputes and negative publicity, all of which could have a negative impact on our sales and operating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operate our international corporately-managed locations profitably.</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our U.S. locations, we currently operate stores in the U.K., Canada, and Ireland. Our future success in international markets may be impacted by differences in consumer demand, regulatory and cultural differences, economic conditions, public health issues such as COVID, changes in foreign government policies and regulations, changes in trading status, compliance with U.S. laws affecting operations outside the U.S., such as the Foreign Corrupt Practices Act, as well as</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84" w:right="479" w:bottom="1440" w:gutter="0" w:footer="0" w:header="0"/>
        </w:sectPr>
      </w:pPr>
    </w:p>
    <w:bookmarkStart w:id="14" w:name="page15"/>
    <w:bookmarkEnd w:id="14"/>
    <w:p>
      <w:pPr>
        <w:jc w:val="both"/>
        <w:spacing w:after="0" w:line="291" w:lineRule="auto"/>
        <w:rPr>
          <w:sz w:val="20"/>
          <w:szCs w:val="20"/>
          <w:color w:val="auto"/>
        </w:rPr>
      </w:pPr>
      <w:r>
        <w:rPr>
          <w:rFonts w:ascii="Arial" w:cs="Arial" w:eastAsia="Arial" w:hAnsi="Arial"/>
          <w:sz w:val="16"/>
          <w:szCs w:val="16"/>
          <w:color w:val="auto"/>
        </w:rPr>
        <w:t>other risks that we may not anticipate. Brand awareness in international markets may be lower than in the U.S. and we may face higher labor and rent costs, as well as different holiday schedules. Although we have realized benefits from our operations in the U.K. and Ireland, we may be unable to continue to do so on a consistent basis. For example, in the U.K. we recorded a full valuation allowance as of the end of fiscal 2020 on our deferred tax assets and continue to have a full valuation allowance recorded against our deferred tax assets as of the end of fiscal 2021, and during fiscal 2020 we recorded $1.9 million in long-lived asset impairments including right-of-use assets. In addition, the impacts of COVID on our internationally corporately-managed locations, including government mandated temporary store closures, limited store operating hours, restricted crowd levels and reduced customer traffic and consumer spending, such as those seen in the U.K. in 2020 and 2021, may affect profitability at these locations.</w:t>
      </w:r>
    </w:p>
    <w:p>
      <w:pPr>
        <w:spacing w:after="0" w:line="166" w:lineRule="exact"/>
        <w:rPr>
          <w:sz w:val="20"/>
          <w:szCs w:val="20"/>
          <w:color w:val="auto"/>
        </w:rPr>
      </w:pPr>
    </w:p>
    <w:p>
      <w:pPr>
        <w:jc w:val="both"/>
        <w:ind w:right="140" w:firstLine="486"/>
        <w:spacing w:after="0" w:line="254" w:lineRule="auto"/>
        <w:rPr>
          <w:sz w:val="20"/>
          <w:szCs w:val="20"/>
          <w:color w:val="auto"/>
        </w:rPr>
      </w:pPr>
      <w:r>
        <w:rPr>
          <w:rFonts w:ascii="Arial" w:cs="Arial" w:eastAsia="Arial" w:hAnsi="Arial"/>
          <w:sz w:val="18"/>
          <w:szCs w:val="18"/>
          <w:color w:val="auto"/>
        </w:rPr>
        <w:t>Additionally, we conduct business globally in many different jurisdictions with currencies other than U.S. dollars. Our results could be negatively impacted by changes or fluctuations in currency exchange rates since we report our consolidated financial results in U.S. dollars. For example, we may purchase products in U.S. dollars but sell them to customers in local currencies, which exposes us to foreign exchange risk, as described in “</w:t>
      </w:r>
      <w:r>
        <w:rPr>
          <w:rFonts w:ascii="Arial" w:cs="Arial" w:eastAsia="Arial" w:hAnsi="Arial"/>
          <w:sz w:val="18"/>
          <w:szCs w:val="18"/>
          <w:i w:val="1"/>
          <w:iCs w:val="1"/>
          <w:color w:val="auto"/>
        </w:rPr>
        <w:t>Our</w:t>
      </w:r>
      <w:r>
        <w:rPr>
          <w:rFonts w:ascii="Arial" w:cs="Arial" w:eastAsia="Arial" w:hAnsi="Arial"/>
          <w:sz w:val="18"/>
          <w:szCs w:val="18"/>
          <w:color w:val="auto"/>
        </w:rPr>
        <w:t xml:space="preserve"> </w:t>
      </w:r>
      <w:r>
        <w:rPr>
          <w:rFonts w:ascii="Arial" w:cs="Arial" w:eastAsia="Arial" w:hAnsi="Arial"/>
          <w:sz w:val="18"/>
          <w:szCs w:val="18"/>
          <w:i w:val="1"/>
          <w:iCs w:val="1"/>
          <w:color w:val="auto"/>
        </w:rPr>
        <w:t>merchandise is manufactured by foreign manufacturers and we transact business in various foreign countries, and the availability and costs of our products, as well as our product pricing, may be negatively affected by risks associated with international manufacturing and trade and foreign currency fluctuations</w:t>
      </w:r>
      <w:r>
        <w:rPr>
          <w:rFonts w:ascii="Arial" w:cs="Arial" w:eastAsia="Arial" w:hAnsi="Arial"/>
          <w:sz w:val="18"/>
          <w:szCs w:val="18"/>
          <w:color w:val="auto"/>
        </w:rPr>
        <w:t>” below. In addition, we could experience restrictions on the transfer of funds to and from foreign countries, including potentially negative</w:t>
      </w:r>
      <w:r>
        <w:rPr>
          <w:rFonts w:ascii="Arial" w:cs="Arial" w:eastAsia="Arial" w:hAnsi="Arial"/>
          <w:sz w:val="18"/>
          <w:szCs w:val="18"/>
          <w:i w:val="1"/>
          <w:iCs w:val="1"/>
          <w:color w:val="auto"/>
        </w:rPr>
        <w:t xml:space="preserve"> </w:t>
      </w:r>
      <w:r>
        <w:rPr>
          <w:rFonts w:ascii="Arial" w:cs="Arial" w:eastAsia="Arial" w:hAnsi="Arial"/>
          <w:sz w:val="18"/>
          <w:szCs w:val="18"/>
          <w:color w:val="auto"/>
        </w:rPr>
        <w:t>tax consequences.</w:t>
      </w:r>
    </w:p>
    <w:p>
      <w:pPr>
        <w:spacing w:after="0" w:line="191" w:lineRule="exact"/>
        <w:rPr>
          <w:sz w:val="20"/>
          <w:szCs w:val="20"/>
          <w:color w:val="auto"/>
        </w:rPr>
      </w:pPr>
    </w:p>
    <w:p>
      <w:pPr>
        <w:jc w:val="both"/>
        <w:ind w:right="140"/>
        <w:spacing w:after="0" w:line="312" w:lineRule="auto"/>
        <w:rPr>
          <w:sz w:val="20"/>
          <w:szCs w:val="20"/>
          <w:color w:val="auto"/>
        </w:rPr>
      </w:pPr>
      <w:r>
        <w:rPr>
          <w:rFonts w:ascii="Arial" w:cs="Arial" w:eastAsia="Arial" w:hAnsi="Arial"/>
          <w:sz w:val="17"/>
          <w:szCs w:val="17"/>
          <w:b w:val="1"/>
          <w:bCs w:val="1"/>
          <w:color w:val="auto"/>
        </w:rPr>
        <w:t>We rely on a few global supply chain vendors to supply substantially all of our merchandise, and significant price increases or any disruption in their ability to deliver merchandise could harm our ability to source products and supply inventory to our stores.</w:t>
      </w:r>
    </w:p>
    <w:p>
      <w:pPr>
        <w:spacing w:after="0" w:line="144" w:lineRule="exact"/>
        <w:rPr>
          <w:sz w:val="20"/>
          <w:szCs w:val="20"/>
          <w:color w:val="auto"/>
        </w:rPr>
      </w:pPr>
    </w:p>
    <w:p>
      <w:pPr>
        <w:jc w:val="both"/>
        <w:ind w:right="140" w:firstLine="486"/>
        <w:spacing w:after="0" w:line="268" w:lineRule="auto"/>
        <w:rPr>
          <w:sz w:val="20"/>
          <w:szCs w:val="20"/>
          <w:color w:val="auto"/>
        </w:rPr>
      </w:pPr>
      <w:r>
        <w:rPr>
          <w:rFonts w:ascii="Arial" w:cs="Arial" w:eastAsia="Arial" w:hAnsi="Arial"/>
          <w:sz w:val="17"/>
          <w:szCs w:val="17"/>
          <w:color w:val="auto"/>
        </w:rPr>
        <w:t>We do not own or operate any factories that produce our plush products, clothing, shoes or accessories. For fiscal 2021 and fiscal 2020, we purchased 74% and 77% of our merchandise from four vendors, respectively. These vendors in turn contract for the production of merchandise with multiple manufacturing facilities. Prior to 2020, over 90% of merchandise received annally was produced in China, however, our efforts to diversify our supply chain reduced China sourcing to 58% of merchandise received as production shifted primarily to Vietnam, which provided 34% of our merchandise in 2021. Our relationships with our vendors generally are on a purchase order basis and do not provide a contractual obligation to provide adequate supply or acceptable pricing on a long-term basis. Our vendors could discontinue sourcing merchandise for us at any time. If any of our significant vendors were to discontinue their relationship with us, or if the factories with which they contract were to suffer a disruption in their production, we may be unable to replace the vendors in a timely manner, which could result in short-term disruption to our inventory flow or quality of the inventory as we transition our orders to new vendors or factories which could, in turn, disrupt our store operations and have an adverse effect on our business, financial condition and results of operations. Such disruptions may result from public health issues such as the current COVID pandemic (or other future pandemics), weather related events, natural disasters, trade restrictions, tariffs, changes in local laws, work stoppages or slowdowns, shipping capacity constraints, supply or shipping interruptions, or other factors beyond our control. Additionally, in the event of a significant price increase from these suppliers, we may not be able to find alternative sources of supply in a timely manner or raise prices to offset the increases, which could have an adverse effect on our business, financial condition and results of operations.</w:t>
      </w:r>
    </w:p>
    <w:p>
      <w:pPr>
        <w:spacing w:after="0" w:line="180"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Our merchandise is manufactured by foreign manufacturers and we transact business in various foreign countries, and the availability and costs of our products, as well as our product pricing, may be negatively affected by risks associated with international manufacturing and trade and foreign currency fluctuations.</w:t>
      </w:r>
    </w:p>
    <w:p>
      <w:pPr>
        <w:spacing w:after="0" w:line="180"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We purchase the majority of our merchandise directly from manufacturers in foreign countries, primarily in China and Vietnam. Any event causing a disruption of imports, including the imposition of import restrictions, taxes or fees, or labor strikes or lockouts and pandemics, could adversely affect our business. For example, our vendors in China and Vietnam were temporarily closed for periods of time in 2020 and 2021 as a result of COVID, ceasing production of inventory and supplies. The flow of merchandise from our vendors could also be adversely affected by financial or political instability in any of the countries in which the goods we purchase are manufactured, if the instability affects the production or export of merchandise from those countries. We are subject to trade restrictions in the form of tariffs or quotas, or both, applicable to the products we sell as well as to raw material imported to manufacture those products. Such tariffs or quotas are subject to change.</w:t>
      </w:r>
    </w:p>
    <w:p>
      <w:pPr>
        <w:spacing w:after="0" w:line="177"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Our compliance with the regulations is subject to interpretation and review by applicable authorities. Change in regulations or interpretation could negatively impact our operations by increasing the cost of and reducing the supply of products available to us. In addition, decreases in the value of the U.S. dollar against foreign currencies, particularly the Chinese renminbi and Vietnamese dong, could increase the cost of products we purchase from overseas vendors. The pricing of our products in our stores may also be affected by changes in foreign currency rates and require us to make adjustments that would impact our revenue and profit in various markets. Additionally, because most of our foreign subsidiaries buy their inventory in U.S. dollars, we are also exposed to risk when their</w:t>
      </w:r>
    </w:p>
    <w:p>
      <w:pPr>
        <w:spacing w:after="0" w:line="19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jc w:val="both"/>
        <w:ind w:left="20"/>
        <w:spacing w:after="0" w:line="263" w:lineRule="auto"/>
        <w:rPr>
          <w:sz w:val="20"/>
          <w:szCs w:val="20"/>
          <w:color w:val="auto"/>
        </w:rPr>
      </w:pPr>
      <w:r>
        <w:rPr>
          <w:rFonts w:ascii="Arial" w:cs="Arial" w:eastAsia="Arial" w:hAnsi="Arial"/>
          <w:sz w:val="18"/>
          <w:szCs w:val="18"/>
          <w:color w:val="auto"/>
        </w:rPr>
        <w:t>functional currencies fluctuate relative to the U.S. Dollar. Our business in the U.K. may be adversely impacted by ongoing uncertainty, fluctuations in currency exchange rates, changes in trade policies, or changes in labor, immigration, tax, data privacy or other laws. Any of these effects, among others, could materially and adversely affect our business, results of operations, and financial condition.</w:t>
      </w:r>
    </w:p>
    <w:p>
      <w:pPr>
        <w:spacing w:after="0" w:line="180" w:lineRule="exact"/>
        <w:rPr>
          <w:sz w:val="20"/>
          <w:szCs w:val="20"/>
          <w:color w:val="auto"/>
        </w:rPr>
      </w:pPr>
    </w:p>
    <w:p>
      <w:pPr>
        <w:jc w:val="both"/>
        <w:ind w:left="20" w:right="140"/>
        <w:spacing w:after="0" w:line="312" w:lineRule="auto"/>
        <w:rPr>
          <w:sz w:val="20"/>
          <w:szCs w:val="20"/>
          <w:color w:val="auto"/>
        </w:rPr>
      </w:pPr>
      <w:r>
        <w:rPr>
          <w:rFonts w:ascii="Arial" w:cs="Arial" w:eastAsia="Arial" w:hAnsi="Arial"/>
          <w:sz w:val="17"/>
          <w:szCs w:val="17"/>
          <w:b w:val="1"/>
          <w:bCs w:val="1"/>
          <w:color w:val="auto"/>
        </w:rPr>
        <w:t>If we are unable to effectively manage our international franchises, attract new franchisees or if the laws relating to our international franchises change, our growth and profitability could be adversely affected, and we could be exposed to additional liability.</w:t>
      </w:r>
    </w:p>
    <w:p>
      <w:pPr>
        <w:spacing w:after="0" w:line="144" w:lineRule="exact"/>
        <w:rPr>
          <w:sz w:val="20"/>
          <w:szCs w:val="20"/>
          <w:color w:val="auto"/>
        </w:rPr>
      </w:pPr>
    </w:p>
    <w:p>
      <w:pPr>
        <w:jc w:val="both"/>
        <w:ind w:left="20" w:right="120" w:firstLine="486"/>
        <w:spacing w:after="0" w:line="254" w:lineRule="auto"/>
        <w:rPr>
          <w:sz w:val="20"/>
          <w:szCs w:val="20"/>
          <w:color w:val="auto"/>
        </w:rPr>
      </w:pPr>
      <w:r>
        <w:rPr>
          <w:rFonts w:ascii="Arial" w:cs="Arial" w:eastAsia="Arial" w:hAnsi="Arial"/>
          <w:sz w:val="18"/>
          <w:szCs w:val="18"/>
          <w:color w:val="auto"/>
        </w:rPr>
        <w:t>As of January 29, 2022, there were 72 Build-A-Bear Workshop international franchised stores. We cannot ensure that our franchisees will be successful in identifying and securing desirable locations or in operating their stores. International markets frequently have different demographic characteristics, competitive conditions, consumer tastes and discretionary spending patterns than our existing corporately-managed markets, which impact the performance of these stores. Additionally, our franchisees may experience financing, merchandising and distribution expenses and challenges that are different from those we encounter in our corporately-managed markets. The operations and results of our franchisees could be negatively impacted by the economic, public health (such as COVID), or political factors in the countries in which they operate or foreign currency fluctuations. These challenges, as well as others, could have a material adverse effect on their business and in turn negatively impact our own business, financial condition and results of operations.</w:t>
      </w:r>
    </w:p>
    <w:p>
      <w:pPr>
        <w:spacing w:after="0" w:line="192" w:lineRule="exact"/>
        <w:rPr>
          <w:sz w:val="20"/>
          <w:szCs w:val="20"/>
          <w:color w:val="auto"/>
        </w:rPr>
      </w:pPr>
    </w:p>
    <w:p>
      <w:pPr>
        <w:jc w:val="both"/>
        <w:ind w:left="20" w:right="140" w:firstLine="441"/>
        <w:spacing w:after="0" w:line="270" w:lineRule="auto"/>
        <w:rPr>
          <w:sz w:val="20"/>
          <w:szCs w:val="20"/>
          <w:color w:val="auto"/>
        </w:rPr>
      </w:pPr>
      <w:r>
        <w:rPr>
          <w:rFonts w:ascii="Arial" w:cs="Arial" w:eastAsia="Arial" w:hAnsi="Arial"/>
          <w:sz w:val="17"/>
          <w:szCs w:val="17"/>
          <w:color w:val="auto"/>
        </w:rPr>
        <w:t>The success of our franchising business depends upon our ability to attract and maintain qualified franchisees with sufficient financial resources to develop and grow their operations and upon the ability of those franchisees to successfully develop and operate their franchised stores. Franchisees may not operate stores in a manner consistent with our standards and requirements, may not hire and train qualified managers and other store personnel, may not operate their stores profitably and may not pay amounts due to us. As a result, our franchising operations may not be profitable. Moreover, our brand image and reputation may suffer. If franchisees perform below expectations, we may transfer those agreements to other parties, take over the operations directly or discontinue the franchise agreement. Furthermore, the interests of franchisees might sometimes conflict with our interests. For example, whereas franchisees are concerned with their individual business objectives, we are responsible for ensuring the success of the Build-A-Bear brand and all of our stores. In addition, we have recently terminated franchise agreements covering Mexico, Thailand and Germany resulting in the closure of all stores in these territories.</w:t>
      </w:r>
    </w:p>
    <w:p>
      <w:pPr>
        <w:spacing w:after="0" w:line="181" w:lineRule="exact"/>
        <w:rPr>
          <w:sz w:val="20"/>
          <w:szCs w:val="20"/>
          <w:color w:val="auto"/>
        </w:rPr>
      </w:pPr>
    </w:p>
    <w:p>
      <w:pPr>
        <w:jc w:val="both"/>
        <w:ind w:left="20" w:right="140" w:firstLine="441"/>
        <w:spacing w:after="0" w:line="286" w:lineRule="auto"/>
        <w:rPr>
          <w:sz w:val="20"/>
          <w:szCs w:val="20"/>
          <w:color w:val="auto"/>
        </w:rPr>
      </w:pPr>
      <w:r>
        <w:rPr>
          <w:rFonts w:ascii="Arial" w:cs="Arial" w:eastAsia="Arial" w:hAnsi="Arial"/>
          <w:sz w:val="17"/>
          <w:szCs w:val="17"/>
          <w:color w:val="auto"/>
        </w:rPr>
        <w:t>The laws of the various foreign countries in which our franchisees operate as well as compliance with U.S. laws affecting operations outside the U.S., such as the Foreign Corrupt Practices Act, govern our relationships with our franchisees. These laws, and any new laws that may be enacted, may detrimentally affect the rights and obligations between us and our franchisees and could expose us to additional liability.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TECHNOLOGY AND INTELLECTUAL PROPERTY RISKS</w:t>
      </w:r>
    </w:p>
    <w:p>
      <w:pPr>
        <w:spacing w:after="0" w:line="225" w:lineRule="exact"/>
        <w:rPr>
          <w:sz w:val="20"/>
          <w:szCs w:val="20"/>
          <w:color w:val="auto"/>
        </w:rPr>
      </w:pPr>
    </w:p>
    <w:p>
      <w:pPr>
        <w:jc w:val="both"/>
        <w:ind w:left="20" w:right="140"/>
        <w:spacing w:after="0" w:line="266" w:lineRule="auto"/>
        <w:rPr>
          <w:sz w:val="20"/>
          <w:szCs w:val="20"/>
          <w:color w:val="auto"/>
        </w:rPr>
      </w:pPr>
      <w:r>
        <w:rPr>
          <w:rFonts w:ascii="Arial" w:cs="Arial" w:eastAsia="Arial" w:hAnsi="Arial"/>
          <w:sz w:val="18"/>
          <w:szCs w:val="18"/>
          <w:b w:val="1"/>
          <w:bCs w:val="1"/>
          <w:color w:val="auto"/>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as well as damage to our reputation.</w:t>
      </w:r>
    </w:p>
    <w:p>
      <w:pPr>
        <w:spacing w:after="0" w:line="180" w:lineRule="exact"/>
        <w:rPr>
          <w:sz w:val="20"/>
          <w:szCs w:val="20"/>
          <w:color w:val="auto"/>
        </w:rPr>
      </w:pPr>
    </w:p>
    <w:p>
      <w:pPr>
        <w:jc w:val="both"/>
        <w:ind w:left="20" w:right="140" w:firstLine="486"/>
        <w:spacing w:after="0" w:line="255" w:lineRule="auto"/>
        <w:rPr>
          <w:sz w:val="20"/>
          <w:szCs w:val="20"/>
          <w:color w:val="auto"/>
        </w:rPr>
      </w:pPr>
      <w:r>
        <w:rPr>
          <w:rFonts w:ascii="Arial" w:cs="Arial" w:eastAsia="Arial" w:hAnsi="Arial"/>
          <w:sz w:val="18"/>
          <w:szCs w:val="18"/>
          <w:color w:val="auto"/>
        </w:rPr>
        <w:t>Information technology is a critically important part of our business operations. We depend on information systems to process transactions, manage inventory, operate our websites, manage consumer databases, purchase, sell and ship goods on a timely basis, and maintain cost-efficient operations. There is a risk that we could experience a business interruption, theft of information, or reputational damage as a result of a cyber-attack, such as an infiltration of a data center, or data leakage of confidential information either internally or at our third-party providers. We may experience operational problems with our information systems as a result of system failures, system implementation issues, viruses, malicious hackers, sabotage, code anomalies, “Acts of God,” human error or other causes.</w:t>
      </w:r>
    </w:p>
    <w:p>
      <w:pPr>
        <w:spacing w:after="0" w:line="192" w:lineRule="exact"/>
        <w:rPr>
          <w:sz w:val="20"/>
          <w:szCs w:val="20"/>
          <w:color w:val="auto"/>
        </w:rPr>
      </w:pPr>
    </w:p>
    <w:p>
      <w:pPr>
        <w:jc w:val="both"/>
        <w:ind w:left="20" w:right="140" w:firstLine="486"/>
        <w:spacing w:after="0" w:line="255" w:lineRule="auto"/>
        <w:rPr>
          <w:sz w:val="20"/>
          <w:szCs w:val="20"/>
          <w:color w:val="auto"/>
        </w:rPr>
      </w:pPr>
      <w:r>
        <w:rPr>
          <w:rFonts w:ascii="Arial" w:cs="Arial" w:eastAsia="Arial" w:hAnsi="Arial"/>
          <w:sz w:val="18"/>
          <w:szCs w:val="18"/>
          <w:color w:val="auto"/>
        </w:rPr>
        <w:t>Our business involves the storage and transmission of consumers’ personal information, such as personal preferences and credit card information. We invest in industry-standard security technology to protect our data and business processes against the risk of data security breaches and cyber-attacks. Our data security management program includes identity, trust, vulnerability and threat management business processes, as well as enforcement of standard data protection policies such as Payment Card Industry compliance. We measure our data security effectiveness through industry accepted methods and remediate critical findings. Additionally, we certify our major technology suppliers and any outsourced services through accepted security certification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57" w:right="339" w:bottom="1440" w:gutter="0" w:footer="0" w:header="0"/>
        </w:sectPr>
      </w:pPr>
    </w:p>
    <w:bookmarkStart w:id="16" w:name="page17"/>
    <w:bookmarkEnd w:id="16"/>
    <w:p>
      <w:pPr>
        <w:ind w:right="60"/>
        <w:spacing w:after="0" w:line="263" w:lineRule="auto"/>
        <w:rPr>
          <w:sz w:val="20"/>
          <w:szCs w:val="20"/>
          <w:color w:val="auto"/>
        </w:rPr>
      </w:pPr>
      <w:r>
        <w:rPr>
          <w:rFonts w:ascii="Arial" w:cs="Arial" w:eastAsia="Arial" w:hAnsi="Arial"/>
          <w:sz w:val="18"/>
          <w:szCs w:val="18"/>
          <w:color w:val="auto"/>
        </w:rPr>
        <w:t>measures. We maintain and routinely test backup systems and disaster recovery, along with external network security penetration testing by an independent third party as part of our business continuity preparedness. Internet privacy is a rapidly changing area and we may be subject to future requirements and legislation that are costly to implement and may negatively impact our results.</w:t>
      </w:r>
    </w:p>
    <w:p>
      <w:pPr>
        <w:spacing w:after="0" w:line="184"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While we believe that our security technology and processes are adequate in preventing security breaches and in reducing cyber security risks, given the ever-increasing abilities of those intent on breaching cyber security measures and given our reliance on the security and other efforts of third-party vendors, the total security effort at any point in time may not be completely effective, and any such security breaches and cyber incidents could adversely affect our business. Failure of our systems, including failures due to cyber-attacks that would prevent the ability of systems to function as intended, could cause transaction errors, loss of customers and sales, and could have negative consequences to us, our employees, and those with whom we do business. In addition, due to COVID, our workforce is in a state of transition to a combination of remote work and flexible work schedules opening us up for cyber-security threats and potential breaches as a result of increased employee usage of networks other than company-managed. Any security breach involving the misappropriation, loss, or other unauthorized disclosure of confidential information could also severely damage our reputation, expose us to the risks of litigation and liability, and harm our business. While we carry insurance that would mitigate the losses to an extent, such insurance may be insufficient to compensate us for potentially significant losses.</w:t>
      </w:r>
    </w:p>
    <w:p>
      <w:pPr>
        <w:spacing w:after="0" w:line="185" w:lineRule="exact"/>
        <w:rPr>
          <w:sz w:val="20"/>
          <w:szCs w:val="20"/>
          <w:color w:val="auto"/>
        </w:rPr>
      </w:pPr>
    </w:p>
    <w:p>
      <w:pPr>
        <w:jc w:val="both"/>
        <w:ind w:right="120" w:firstLine="486"/>
        <w:spacing w:after="0" w:line="285" w:lineRule="auto"/>
        <w:rPr>
          <w:sz w:val="20"/>
          <w:szCs w:val="20"/>
          <w:color w:val="auto"/>
        </w:rPr>
      </w:pPr>
      <w:r>
        <w:rPr>
          <w:rFonts w:ascii="Arial" w:cs="Arial" w:eastAsia="Arial" w:hAnsi="Arial"/>
          <w:sz w:val="16"/>
          <w:szCs w:val="16"/>
          <w:color w:val="auto"/>
        </w:rPr>
        <w:t>We currently obtain and retain personal information about our website users, store shoppers and loyalty program members. Federal, state and foreign governments have enacted or may enact laws or regulations regarding the collection and use of personal information, with particular emphasis on the collection of information regarding minors. Such regulation may also include enforcement and redress provisions. We have a stringent, comprehensive privacy policy covering the information we collect from our guests and have established security features to protect our consumer database and websites. While we have implemented programs and procedures designed to protect the privacy of people from whom we collect information which may include information regarding their children, and our websites are designed to be fully compliant with all applicable regulations including the Federal Children’s Online Privacy Protection Act, there can be no assurance that such programs will conform to all applicable laws or regulations. If we fail to fully comply, we may be subjected to liability and damage to our reputation. In addition, because our guest database primarily includes personal information of the parents of children and children frequently interact with our websites, we are potentially vulnerable to charges from parents, children’s organizations, governmental entities, and the media of engaging in inappropriate collection, distribution or other use of data collected from children. Additionally, while we have security features, our security measures may not protect users’ identities and our online safety measures may be questioned, which may result in negative publicity or a decrease in visitors to our sites. If site users act inappropriately or seek unauthorized contact with other users of the site, it could harm our reputation and, therefore, our business and we could be subject to liability. For example, the EU’s General Data Protection Regulation (“GDPR”), which became effective in May 2018, and the California Consumer Privacy Act (“CCPA”), which became effective in January 2020, greatly increase the jurisdictional reach of EU and California law, respectively, and adds a broad array of requirements related to personal data, including individual notice and opt-out preferences and the public disclosure of significant data breaches. Additionally, violations of GDPR can result in fines calculated as a percentage of a company’s annual revenue and CCPA provides civil penalty violations, as well as a private right of action for data breaches. Other governments have enacted or are expected to enact similar data protection laws and are considering data localization laws that require data to stay within their borders. All of these evolving compliance and operational requirements impose significant costs and regulatory risks that are likely to increase over time.</w:t>
      </w:r>
    </w:p>
    <w:p>
      <w:pPr>
        <w:spacing w:after="0" w:line="38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A determination that there have been violations of laws relating to our practices under communications-based laws could also expose us to significant damage awards, fines and other penalties that could, individually or in the aggregate, materially harm our business. In particular, because of our marketing and other promotional texts, emails and other communications we send to our users, communications laws that provide a specified monetary damage award or fine for each violation (such as those described below) could result in particularly large awards or fines. For example, the Federal Communications Commission amended certain of its regulations under the Telephone Consumer Protection Act, or TCPA, in 2012 and 2013 in a manner that has increased our exposure to liability for certain types of telephonic communication with customers, including but not limited to text messages to mobile phones. Under the TCPA, plaintiffs seek actual monetary loss or statutory damages of $500 per violation, whichever is greater, and courts could treble the damage award for willful or knowing violations. Given the varied number of communications we send to our users, a determination that there have been violations of the TCPA, or other communications-based statutes, has exposed us to significant damage awards that could, individually or in the aggregate, materially harm our business. We are currently subject to one lawsuit, and a possible class action lawsuit, containing allegations that our business violated the TCPA.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jc w:val="both"/>
        <w:ind w:right="20"/>
        <w:spacing w:after="0" w:line="266" w:lineRule="auto"/>
        <w:rPr>
          <w:sz w:val="20"/>
          <w:szCs w:val="20"/>
          <w:color w:val="auto"/>
        </w:rPr>
      </w:pPr>
      <w:r>
        <w:rPr>
          <w:rFonts w:ascii="Arial" w:cs="Arial" w:eastAsia="Arial" w:hAnsi="Arial"/>
          <w:sz w:val="18"/>
          <w:szCs w:val="18"/>
          <w:b w:val="1"/>
          <w:bCs w:val="1"/>
          <w:color w:val="auto"/>
        </w:rPr>
        <w:t>We may fail to renew, register or otherwise protect our trademarks or other intellectual property and may be sued by third parties for infringement or misappropriation of their proprietary rights, which could be costly, distract our management and personnel and result in the diminution in value of our trademarks and other important intellectual property.</w:t>
      </w:r>
    </w:p>
    <w:p>
      <w:pPr>
        <w:spacing w:after="0" w:line="180" w:lineRule="exact"/>
        <w:rPr>
          <w:sz w:val="20"/>
          <w:szCs w:val="20"/>
          <w:color w:val="auto"/>
        </w:rPr>
      </w:pPr>
    </w:p>
    <w:p>
      <w:pPr>
        <w:jc w:val="both"/>
        <w:ind w:right="20" w:firstLine="486"/>
        <w:spacing w:after="0" w:line="257" w:lineRule="auto"/>
        <w:rPr>
          <w:sz w:val="20"/>
          <w:szCs w:val="20"/>
          <w:color w:val="auto"/>
        </w:rPr>
      </w:pPr>
      <w:r>
        <w:rPr>
          <w:rFonts w:ascii="Arial" w:cs="Arial" w:eastAsia="Arial" w:hAnsi="Arial"/>
          <w:sz w:val="18"/>
          <w:szCs w:val="18"/>
          <w:color w:val="auto"/>
        </w:rPr>
        <w:t>Other parties have asserted in the past, and may assert in the future, trademark, patent, copyright or other intellectual property rights that are important to our business. We cannot be certain that others will not seek to block the use of or seek monetary damages or other remedies for the prior use of our brand names or other intellectual property or the sale of our products or services as a violation of their trademark, patent or other proprietary rights. Defending any claims, even claims without merit, could be time-consuming, result in costly settlements, litigation or restrictions on our business and damage our reputation.</w:t>
      </w:r>
    </w:p>
    <w:p>
      <w:pPr>
        <w:spacing w:after="0" w:line="188" w:lineRule="exact"/>
        <w:rPr>
          <w:sz w:val="20"/>
          <w:szCs w:val="20"/>
          <w:color w:val="auto"/>
        </w:rPr>
      </w:pPr>
    </w:p>
    <w:p>
      <w:pPr>
        <w:jc w:val="both"/>
        <w:ind w:right="20" w:firstLine="486"/>
        <w:spacing w:after="0" w:line="254" w:lineRule="auto"/>
        <w:rPr>
          <w:sz w:val="20"/>
          <w:szCs w:val="20"/>
          <w:color w:val="auto"/>
        </w:rPr>
      </w:pPr>
      <w:r>
        <w:rPr>
          <w:rFonts w:ascii="Arial" w:cs="Arial" w:eastAsia="Arial" w:hAnsi="Arial"/>
          <w:sz w:val="18"/>
          <w:szCs w:val="18"/>
          <w:color w:val="auto"/>
        </w:rPr>
        <w:t>In addition, there may be prior registrations or use of intellectual property in the U.S. or foreign countries for similar or competing marks or other proprietary rights of which we are not aware. In all such countries, it may be possible for any third-party owner of a national trademark registration or other proprietary right to enjoin or limit our expansion into those countries or to seek damages for our use of such intellectual property in such countries. In the event a claim against us was successful and we could not obtain a license to the relevant intellectual property or redesign or rename our products or operations to avoid infringement, our business, financial condition or results of operations could be harmed. Securing registrations does not fully insulate us against intellectual property claims, as another party may have rights superior to our registration, or our registration may be vulnerable to attack on various grounds.</w:t>
      </w:r>
    </w:p>
    <w:p>
      <w:pPr>
        <w:spacing w:after="0" w:line="19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spacing w:after="0" w:line="180" w:lineRule="exact"/>
        <w:rPr>
          <w:sz w:val="20"/>
          <w:szCs w:val="20"/>
          <w:color w:val="auto"/>
        </w:rPr>
      </w:pPr>
    </w:p>
    <w:p>
      <w:pPr>
        <w:jc w:val="both"/>
        <w:ind w:right="20" w:firstLine="486"/>
        <w:spacing w:after="0" w:line="257" w:lineRule="auto"/>
        <w:rPr>
          <w:sz w:val="20"/>
          <w:szCs w:val="20"/>
          <w:color w:val="auto"/>
        </w:rPr>
      </w:pPr>
      <w:r>
        <w:rPr>
          <w:rFonts w:ascii="Arial" w:cs="Arial" w:eastAsia="Arial" w:hAnsi="Arial"/>
          <w:sz w:val="18"/>
          <w:szCs w:val="18"/>
          <w:color w:val="auto"/>
        </w:rPr>
        <w:t>Although we require our manufacturers to meet governmental safety standards, including food safety regulations for certain locations, and our product specifications as well as submitting our products for testing, we cannot fully control the materials used by, or the workmanship of, our manufacturers. Additionally, through our agreements, our licensees are required to ensure that their manufacturers meet applicable safety and testing standards. If any of these manufacturers ship merchandise that does not meet our required standards, we could in turn experience negative publicity or be sued.</w:t>
      </w:r>
    </w:p>
    <w:p>
      <w:pPr>
        <w:spacing w:after="0" w:line="188"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Many of our products are used by small children and infants who may be injured from usage if age grading or warnings are not followed. We may decide or be required to recall products or be subject to claims or lawsuits resulting from injuries. For example, we have voluntarily recalled six products in the past ten years due to possible safety issues. While our vendors have historically reimbursed us for certain related expenses, negative publicity in the event of any recall or if any children are injured from our products could have a material adverse effect on sales of our products and our business, and related recalls or lawsuits with respect to such injuries could have a material adverse effect on our financial position. Additionally, we could incur fines related to consumer product safety issues from the regulatory authorities in the countries in which we operate. Although we currently have liability insurance, we cannot assure you that it would cover product recalls or related fines, and we face the risk that claims or liabilities will exceed our insurance coverage. Furthermore, we may not be able to maintain adequate liability insurance in the future. While our licensing agreements typically indemnify us against financial losses resulting from a safety or quality issue from Build-A-Bear branded products sold by our licensees, such indemnification may not fully protect us financially and, whether or not it does, our brand reputation may be negatively impacted.</w:t>
      </w:r>
    </w:p>
    <w:p>
      <w:pPr>
        <w:spacing w:after="0" w:line="16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suffer negative publicity or be sued if the manufacturers of our merchandise violate labor laws or engage in practices that consumers believe are unethical.</w:t>
      </w:r>
    </w:p>
    <w:p>
      <w:pPr>
        <w:spacing w:after="0" w:line="166" w:lineRule="exact"/>
        <w:rPr>
          <w:sz w:val="20"/>
          <w:szCs w:val="20"/>
          <w:color w:val="auto"/>
        </w:rPr>
      </w:pPr>
    </w:p>
    <w:p>
      <w:pPr>
        <w:jc w:val="both"/>
        <w:ind w:right="20" w:firstLine="486"/>
        <w:spacing w:after="0" w:line="279" w:lineRule="auto"/>
        <w:rPr>
          <w:sz w:val="20"/>
          <w:szCs w:val="20"/>
          <w:color w:val="auto"/>
        </w:rPr>
      </w:pPr>
      <w:r>
        <w:rPr>
          <w:rFonts w:ascii="Arial" w:cs="Arial" w:eastAsia="Arial" w:hAnsi="Arial"/>
          <w:sz w:val="17"/>
          <w:szCs w:val="17"/>
          <w:color w:val="auto"/>
        </w:rPr>
        <w:t>We rely on our sourcing personnel to select manufacturers with legal and ethical labor practices, but we cannot control the business and labor practices of our manufacturers. If one of these manufacturers violates labor laws or other applicable regulations or is accused of violating these laws and regulations, or if such a manufacturer engages in labor or other practices that diverge from those typically acceptable in the U.S., we could in turn experience negative publicity, reputational harm, increased compliance and operating costs or be sued.</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18" w:name="page19"/>
    <w:bookmarkEnd w:id="18"/>
    <w:p>
      <w:pPr>
        <w:jc w:val="both"/>
        <w:spacing w:after="0" w:line="282" w:lineRule="auto"/>
        <w:rPr>
          <w:sz w:val="20"/>
          <w:szCs w:val="20"/>
          <w:color w:val="auto"/>
        </w:rPr>
      </w:pPr>
      <w:r>
        <w:rPr>
          <w:rFonts w:ascii="Arial" w:cs="Arial" w:eastAsia="Arial" w:hAnsi="Arial"/>
          <w:sz w:val="18"/>
          <w:szCs w:val="18"/>
          <w:b w:val="1"/>
          <w:bCs w:val="1"/>
          <w:color w:val="auto"/>
        </w:rPr>
        <w:t>We may suffer negative publicity or a decrease in sales or profitability if the products from other companies that we sell in our stores do not meet our quality standards or fail to achieve our sales expectations.</w:t>
      </w:r>
    </w:p>
    <w:p>
      <w:pPr>
        <w:spacing w:after="0" w:line="16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may expand our product assortment to include products manufactured by other companies. If sales of such products do not meet our expectations or are impacted by competitors’ pricing, we may have to take markdowns or employ other strategies to liquidate the product. If other companies do not meet quality or safety standards or violate any manufacturing or labor laws, we may suffer negative publicity and may not realize our sales plans.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Fluctuations in our operating results could reduce our cash flow, or trigger restrictions under our credit agreement, and we may be unable to repurchase shares at all or at the times or in the amounts we desire, or the results of our share repurchase program may not be as beneficial as we would like.</w:t>
      </w:r>
    </w:p>
    <w:p>
      <w:pPr>
        <w:spacing w:after="0" w:line="18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From time to time, we have repurchased shares under plans authorized by our Board of Directors, including a $25 million program adopted in November 2021. Such programs generally do not require us to repurchase any specific number of shares, and may be modified, suspended or terminated at any time without prior notice. Shares repurchased under the program will be subsequently retired. If our cash flow decreases as a result of decreased sales, increased expenses or capital expenditures or other uses of cash, we may not be able to repurchase shares of our common stock at all or at times or in the amounts we desire. As a result, the results of any share repurchase program may not be as beneficial as expected. In addition, our credit agreement restricts our ability to repurchase shares when certain liquidity conditions exist.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our quarterly results of operations could cause the price of our common stock to substantially decline.</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Retailers generally are subject to fluctuations in quarterly results. Our operating results for one period may not be indicative of results for other periods, and may fluctuate significantly due to a variety of factors, including:</w:t>
      </w:r>
    </w:p>
    <w:p>
      <w:pPr>
        <w:spacing w:after="0" w:line="170" w:lineRule="exact"/>
        <w:rPr>
          <w:sz w:val="20"/>
          <w:szCs w:val="20"/>
          <w:color w:val="auto"/>
        </w:rPr>
      </w:pPr>
    </w:p>
    <w:p>
      <w:pPr>
        <w:ind w:left="960" w:hanging="385"/>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profitability of our stores;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or decreases in total revenues;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general economic conditions and consumer spending patterns;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frequency of our marketing initiatives;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 shopping patterns;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store closures, relocations and openings and related expenses;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effectiveness of our inventory management;</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consumer preferences;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continued introduction and expansion of merchandise offerings including those associated with major motion pictures;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actions of competitors or mall anchors and co-tenants;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weather conditions and natural disasters;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 health issues such as COVID, and associated impacts on store openings and store operations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frequency of national media appearances and other public relations events; and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80" w:right="479" w:bottom="1440" w:gutter="0" w:footer="0" w:header="0"/>
        </w:sectPr>
      </w:pPr>
    </w:p>
    <w:bookmarkStart w:id="19" w:name="page20"/>
    <w:bookmarkEnd w:id="19"/>
    <w:p>
      <w:pPr>
        <w:ind w:left="960" w:hanging="385"/>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a 53rd week in our fiscal year, which occurs approximately every six years, (e.g., next to occur in fiscal 2023).</w:t>
      </w:r>
    </w:p>
    <w:p>
      <w:pPr>
        <w:spacing w:after="0" w:line="225"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If our future quarterly results fluctuate significantly or fail to meet the expectations of the investment community, then the market price of our common stock could decline substantially.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is subject to volatility, which could attract the interest of activist shareholders.</w:t>
      </w:r>
    </w:p>
    <w:p>
      <w:pPr>
        <w:spacing w:after="0" w:line="229" w:lineRule="exact"/>
        <w:rPr>
          <w:sz w:val="20"/>
          <w:szCs w:val="20"/>
          <w:color w:val="auto"/>
        </w:rPr>
      </w:pPr>
    </w:p>
    <w:p>
      <w:pPr>
        <w:jc w:val="both"/>
        <w:ind w:right="260" w:firstLine="486"/>
        <w:spacing w:after="0" w:line="253" w:lineRule="auto"/>
        <w:rPr>
          <w:sz w:val="20"/>
          <w:szCs w:val="20"/>
          <w:color w:val="auto"/>
        </w:rPr>
      </w:pPr>
      <w:r>
        <w:rPr>
          <w:rFonts w:ascii="Arial" w:cs="Arial" w:eastAsia="Arial" w:hAnsi="Arial"/>
          <w:sz w:val="18"/>
          <w:szCs w:val="18"/>
          <w:color w:val="auto"/>
        </w:rPr>
        <w:t>During fiscal 2021, the trading price of our common stock fluctuated between $4.65 and $23.50 per share. The market price of our common stock may be significantly affected by a number of factors, including, but not limited to, actual or anticipated variations in our operating results or those of our competitors as compared to analyst expectations, changes in financial estimates by research analysts with respect to us or others in the retail industry, and announcements of significant transactions (including mergers or acquisitions, divestitures, joint ventures, stock repurchases or other strategic initiatives) by us or other similar companies. In addition, the equity markets have experienced price and volume fluctuations that affect the stock price of companies in ways that have been unrelated to an individual company’s operating performance. The price of our common stock may continue to be volatile, based on factors specific to our company and industry, as well as factors related to the equity markets overall. Moreover, such volatility could attract the interest of activist shareholders. Responding to activist shareholders can be costly and time-consuming, and the perceived uncertainties as to our future direction resulting from responding to activist strategies could itself then further affect the market price and volatility of our common stock.</w:t>
      </w:r>
    </w:p>
    <w:p>
      <w:pPr>
        <w:spacing w:after="0" w:line="190" w:lineRule="exact"/>
        <w:rPr>
          <w:sz w:val="20"/>
          <w:szCs w:val="20"/>
          <w:color w:val="auto"/>
        </w:rPr>
      </w:pPr>
    </w:p>
    <w:p>
      <w:pPr>
        <w:ind w:right="140"/>
        <w:spacing w:after="0" w:line="312" w:lineRule="auto"/>
        <w:rPr>
          <w:sz w:val="20"/>
          <w:szCs w:val="20"/>
          <w:color w:val="auto"/>
        </w:rPr>
      </w:pPr>
      <w:r>
        <w:rPr>
          <w:rFonts w:ascii="Arial" w:cs="Arial" w:eastAsia="Arial" w:hAnsi="Arial"/>
          <w:sz w:val="17"/>
          <w:szCs w:val="17"/>
          <w:b w:val="1"/>
          <w:bCs w:val="1"/>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Our basic corporate documents and Delaware law contain provisions that might enable our management to resist a takeover. These provisions:</w:t>
      </w:r>
    </w:p>
    <w:p>
      <w:pPr>
        <w:spacing w:after="0" w:line="237" w:lineRule="exact"/>
        <w:rPr>
          <w:sz w:val="20"/>
          <w:szCs w:val="20"/>
          <w:color w:val="auto"/>
        </w:rPr>
      </w:pPr>
    </w:p>
    <w:p>
      <w:pPr>
        <w:ind w:left="500" w:hanging="371"/>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 various types of business combinations with significant stockholders;</w:t>
      </w:r>
    </w:p>
    <w:p>
      <w:pPr>
        <w:spacing w:after="0" w:line="225" w:lineRule="exact"/>
        <w:rPr>
          <w:rFonts w:ascii="Arial" w:cs="Arial" w:eastAsia="Arial" w:hAnsi="Arial"/>
          <w:sz w:val="18"/>
          <w:szCs w:val="18"/>
          <w:color w:val="auto"/>
        </w:rPr>
      </w:pPr>
    </w:p>
    <w:p>
      <w:pPr>
        <w:ind w:left="500" w:hanging="371"/>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for a classified board of directors;</w:t>
      </w:r>
    </w:p>
    <w:p>
      <w:pPr>
        <w:spacing w:after="0" w:line="225" w:lineRule="exact"/>
        <w:rPr>
          <w:rFonts w:ascii="Arial" w:cs="Arial" w:eastAsia="Arial" w:hAnsi="Arial"/>
          <w:sz w:val="18"/>
          <w:szCs w:val="18"/>
          <w:color w:val="auto"/>
        </w:rPr>
      </w:pPr>
    </w:p>
    <w:p>
      <w:pPr>
        <w:ind w:left="500" w:hanging="371"/>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the right of stockholders to remove directors or change the size of the board of directors;</w:t>
      </w:r>
    </w:p>
    <w:p>
      <w:pPr>
        <w:spacing w:after="0" w:line="225" w:lineRule="exact"/>
        <w:rPr>
          <w:rFonts w:ascii="Arial" w:cs="Arial" w:eastAsia="Arial" w:hAnsi="Arial"/>
          <w:sz w:val="18"/>
          <w:szCs w:val="18"/>
          <w:color w:val="auto"/>
        </w:rPr>
      </w:pPr>
    </w:p>
    <w:p>
      <w:pPr>
        <w:ind w:left="500" w:hanging="371"/>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the right of stockholders to fill vacancies on the board of directors;</w:t>
      </w:r>
    </w:p>
    <w:p>
      <w:pPr>
        <w:spacing w:after="0" w:line="225" w:lineRule="exact"/>
        <w:rPr>
          <w:rFonts w:ascii="Arial" w:cs="Arial" w:eastAsia="Arial" w:hAnsi="Arial"/>
          <w:sz w:val="18"/>
          <w:szCs w:val="18"/>
          <w:color w:val="auto"/>
        </w:rPr>
      </w:pPr>
    </w:p>
    <w:p>
      <w:pPr>
        <w:ind w:left="500" w:hanging="371"/>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the right of stockholders to act by written consent and to call a special meeting of stockholders or propose other actions;</w:t>
      </w:r>
    </w:p>
    <w:p>
      <w:pPr>
        <w:spacing w:after="0" w:line="225" w:lineRule="exact"/>
        <w:rPr>
          <w:rFonts w:ascii="Arial" w:cs="Arial" w:eastAsia="Arial" w:hAnsi="Arial"/>
          <w:sz w:val="18"/>
          <w:szCs w:val="18"/>
          <w:color w:val="auto"/>
        </w:rPr>
      </w:pPr>
    </w:p>
    <w:p>
      <w:pPr>
        <w:ind w:left="500" w:right="20" w:hanging="371"/>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a higher percentage of stockholders than would otherwise be required to amend, alter, change or repeal our bylaws and certain provisions of our certificate of incorporation; and</w:t>
      </w:r>
    </w:p>
    <w:p>
      <w:pPr>
        <w:spacing w:after="0" w:line="170" w:lineRule="exact"/>
        <w:rPr>
          <w:rFonts w:ascii="Arial" w:cs="Arial" w:eastAsia="Arial" w:hAnsi="Arial"/>
          <w:sz w:val="18"/>
          <w:szCs w:val="18"/>
          <w:color w:val="auto"/>
        </w:rPr>
      </w:pPr>
    </w:p>
    <w:p>
      <w:pPr>
        <w:ind w:left="500" w:hanging="371"/>
        <w:spacing w:after="0" w:line="308"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authorize the issuance of preferred stock with any voting rights, dividend rights, conversion privileges, redemption rights and liquidation rights and other rights, preferences, privileges, powers, qualifications, limitations or restrictions as may be specified by our board of directors.</w:t>
      </w:r>
    </w:p>
    <w:p>
      <w:pPr>
        <w:spacing w:after="0" w:line="200" w:lineRule="exact"/>
        <w:rPr>
          <w:sz w:val="20"/>
          <w:szCs w:val="20"/>
          <w:color w:val="auto"/>
        </w:rPr>
      </w:pPr>
    </w:p>
    <w:p>
      <w:pPr>
        <w:spacing w:after="0" w:line="378" w:lineRule="exact"/>
        <w:rPr>
          <w:sz w:val="20"/>
          <w:szCs w:val="20"/>
          <w:color w:val="auto"/>
        </w:rPr>
      </w:pPr>
    </w:p>
    <w:p>
      <w:pPr>
        <w:ind w:left="500" w:hanging="371"/>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discourage, delay or prevent a change in the control of our company or a change in our management, even if such change may be in the best interests of our stockholders;</w:t>
      </w:r>
    </w:p>
    <w:p>
      <w:pPr>
        <w:spacing w:after="0" w:line="170" w:lineRule="exact"/>
        <w:rPr>
          <w:rFonts w:ascii="Arial" w:cs="Arial" w:eastAsia="Arial" w:hAnsi="Arial"/>
          <w:sz w:val="18"/>
          <w:szCs w:val="18"/>
          <w:color w:val="auto"/>
        </w:rPr>
      </w:pPr>
    </w:p>
    <w:p>
      <w:pPr>
        <w:ind w:left="500" w:hanging="371"/>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adversely affect the voting power of holders of common stock; and</w:t>
      </w:r>
    </w:p>
    <w:p>
      <w:pPr>
        <w:spacing w:after="0" w:line="225" w:lineRule="exact"/>
        <w:rPr>
          <w:rFonts w:ascii="Arial" w:cs="Arial" w:eastAsia="Arial" w:hAnsi="Arial"/>
          <w:sz w:val="18"/>
          <w:szCs w:val="18"/>
          <w:color w:val="auto"/>
        </w:rPr>
      </w:pPr>
    </w:p>
    <w:p>
      <w:pPr>
        <w:ind w:left="500" w:hanging="371"/>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the price that investors might be willing to pay in the future for shares of our 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GENERAL RISKS</w:t>
      </w:r>
    </w:p>
    <w:p>
      <w:pPr>
        <w:spacing w:after="0" w:line="225" w:lineRule="exact"/>
        <w:rPr>
          <w:sz w:val="20"/>
          <w:szCs w:val="20"/>
          <w:color w:val="auto"/>
        </w:rPr>
      </w:pPr>
    </w:p>
    <w:p>
      <w:pPr>
        <w:jc w:val="both"/>
        <w:ind w:right="140"/>
        <w:spacing w:after="0" w:line="282" w:lineRule="auto"/>
        <w:rPr>
          <w:sz w:val="20"/>
          <w:szCs w:val="20"/>
          <w:color w:val="auto"/>
        </w:rPr>
      </w:pPr>
      <w:r>
        <w:rPr>
          <w:rFonts w:ascii="Arial" w:cs="Arial" w:eastAsia="Arial" w:hAnsi="Arial"/>
          <w:sz w:val="18"/>
          <w:szCs w:val="18"/>
          <w:b w:val="1"/>
          <w:bCs w:val="1"/>
          <w:color w:val="auto"/>
        </w:rPr>
        <w:t>We may not be able to operate successfully if we lose key personnel, are unable to hire qualified additional personnel, or experience turnover of our management team.</w:t>
      </w:r>
    </w:p>
    <w:p>
      <w:pPr>
        <w:spacing w:after="0" w:line="166" w:lineRule="exact"/>
        <w:rPr>
          <w:sz w:val="20"/>
          <w:szCs w:val="20"/>
          <w:color w:val="auto"/>
        </w:rPr>
      </w:pPr>
    </w:p>
    <w:p>
      <w:pPr>
        <w:jc w:val="both"/>
        <w:ind w:right="140" w:firstLine="486"/>
        <w:spacing w:after="0" w:line="286" w:lineRule="auto"/>
        <w:rPr>
          <w:sz w:val="20"/>
          <w:szCs w:val="20"/>
          <w:color w:val="auto"/>
        </w:rPr>
      </w:pPr>
      <w:r>
        <w:rPr>
          <w:rFonts w:ascii="Arial" w:cs="Arial" w:eastAsia="Arial" w:hAnsi="Arial"/>
          <w:sz w:val="17"/>
          <w:szCs w:val="17"/>
          <w:color w:val="auto"/>
        </w:rPr>
        <w:t>The success of our business depends upon the quality of associates throughout our organization and our ability to attract and retain qualified key employees. The loss of certain key employees, our inability to attract and retain other qualified key employees or a labor shortage that reduces the pool of qualified candidates could have a material adverse effect on our business, financial condition and results of operations.</w:t>
      </w:r>
    </w:p>
    <w:p>
      <w:pPr>
        <w:spacing w:after="0" w:line="161" w:lineRule="exact"/>
        <w:rPr>
          <w:sz w:val="20"/>
          <w:szCs w:val="20"/>
          <w:color w:val="auto"/>
        </w:rPr>
      </w:pPr>
    </w:p>
    <w:p>
      <w:pPr>
        <w:jc w:val="both"/>
        <w:ind w:right="140"/>
        <w:spacing w:after="0" w:line="282" w:lineRule="auto"/>
        <w:rPr>
          <w:sz w:val="20"/>
          <w:szCs w:val="20"/>
          <w:color w:val="auto"/>
        </w:rPr>
      </w:pPr>
      <w:r>
        <w:rPr>
          <w:rFonts w:ascii="Arial" w:cs="Arial" w:eastAsia="Arial" w:hAnsi="Arial"/>
          <w:sz w:val="18"/>
          <w:szCs w:val="18"/>
          <w:b w:val="1"/>
          <w:bCs w:val="1"/>
          <w:color w:val="auto"/>
        </w:rPr>
        <w:t>We may be unsuccessful in acquiring businesses or engaging in other strategic transactions, which may negatively affect our financial condition and profitability.</w:t>
      </w:r>
    </w:p>
    <w:p>
      <w:pPr>
        <w:spacing w:after="0" w:line="166" w:lineRule="exact"/>
        <w:rPr>
          <w:sz w:val="20"/>
          <w:szCs w:val="20"/>
          <w:color w:val="auto"/>
        </w:rPr>
      </w:pPr>
    </w:p>
    <w:p>
      <w:pPr>
        <w:jc w:val="both"/>
        <w:ind w:right="120" w:firstLine="486"/>
        <w:spacing w:after="0" w:line="301" w:lineRule="auto"/>
        <w:rPr>
          <w:sz w:val="20"/>
          <w:szCs w:val="20"/>
          <w:color w:val="auto"/>
        </w:rPr>
      </w:pPr>
      <w:r>
        <w:rPr>
          <w:rFonts w:ascii="Arial" w:cs="Arial" w:eastAsia="Arial" w:hAnsi="Arial"/>
          <w:sz w:val="16"/>
          <w:szCs w:val="16"/>
          <w:color w:val="auto"/>
        </w:rPr>
        <w:t>We may from time to time engage in discussions and negotiations regarding acquisitions or other strategic transactions that could affect our financial condition, profitability or other aspects of our business. There can be no assurance that we will be able to identify suitable acquisition targets that we believe complement our existing business. There can also be no assurance that if we acquire a business, we will be successful in integrating it into our overall operations, or that any such acquired company will operate profitably or will not otherwise adversely impact our financial condition.</w:t>
      </w:r>
    </w:p>
    <w:p>
      <w:pPr>
        <w:spacing w:after="0" w:line="36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lease all of our store locations. As of January 29, 2022, we operated 346 retail stores located primarily in major malls throughout the U.S., Canada, the U.K., and Ireland in our DTC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Non-Store Properties</w:t>
      </w:r>
    </w:p>
    <w:p>
      <w:pPr>
        <w:spacing w:after="0" w:line="22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addition to leasing all of our store locations, we own a warehouse and distribution center in Groveport, Ohio, which is utilized primarily by our DTC segment. The facility is approximately 350,000 square feet and includes our North American e-commerce fulfillment center. We lease 51,600 square feet in a building that we use as our corporate headquarters in downtown St. Louis, Missouri with a lease of eleven years commencing in June 2020. We also lease an approximately 9,250 square foot portion of our prior headquarters in Overland, Missouri with the lease commencing in July 2020 and continuing through June 2023. In the U.K., we lease approximately 6,500 square feet for our regional headquarters in Slough, England under a lease that commenced in March 2016 with a term of 10 years. We also contract with a third-party warehouse in southern California to service our West Coast stores. The contract has a one-year term and is renewable. In Europe, we contract with a third-party distribution center in Selby, England under an agreement that ends in January 2025. This agreement contains clauses that allow for termination if certain performance criteria are not met. In Asia, we contract with a third-party distribution center and office space in Shanghai, China, both of which end in April 2023.</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From time to time, we are involved in ordinary routine litigation typical for companies engaged in our line of business, including actions seeking to enforce our intellectual property rights or to determine the validity and scope of the proprietary rights of others. Information with respect to certain legal proceedings is set forth in Note 10 Commitments and Contingencies to the Consolidated Financial Statements (included in Part IV of this form 10-K) and is incorporated herein by reference.</w:t>
      </w:r>
    </w:p>
    <w:p>
      <w:pPr>
        <w:spacing w:after="0" w:line="18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000" w:right="80" w:hanging="984"/>
        <w:spacing w:after="0" w:line="282" w:lineRule="auto"/>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Our common stock is listed on the New York Stock Exchange (NYSE) under the symbol “BBW.” Our common stock commenced trading on the NYSE on October 28, 2004.</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April 11, 2022, the number of holders of record of the Company’s common stock totaled approximately 1,976.</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00" w:lineRule="exact"/>
        <w:rPr>
          <w:sz w:val="20"/>
          <w:szCs w:val="20"/>
          <w:color w:val="auto"/>
        </w:rPr>
      </w:pPr>
    </w:p>
    <w:p>
      <w:pPr>
        <w:spacing w:after="0" w:line="24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(d) Maximum</w:t>
            </w:r>
          </w:p>
        </w:tc>
      </w:tr>
      <w:tr>
        <w:trPr>
          <w:trHeight w:val="216"/>
        </w:trPr>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 Total Number</w:t>
            </w:r>
          </w:p>
        </w:tc>
        <w:tc>
          <w:tcPr>
            <w:tcW w:w="12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Number (or</w:t>
            </w:r>
          </w:p>
        </w:tc>
      </w:tr>
      <w:tr>
        <w:trPr>
          <w:trHeight w:val="216"/>
        </w:trPr>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of Shares (or</w:t>
            </w:r>
          </w:p>
        </w:tc>
        <w:tc>
          <w:tcPr>
            <w:tcW w:w="12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Units) Purchased</w:t>
            </w:r>
          </w:p>
        </w:tc>
        <w:tc>
          <w:tcPr>
            <w:tcW w:w="14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as Part of</w:t>
            </w:r>
          </w:p>
        </w:tc>
        <w:tc>
          <w:tcPr>
            <w:tcW w:w="14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Shares (or Units)</w:t>
            </w:r>
          </w:p>
        </w:tc>
      </w:tr>
      <w:tr>
        <w:trPr>
          <w:trHeight w:val="216"/>
        </w:trPr>
        <w:tc>
          <w:tcPr>
            <w:tcW w:w="298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 Total Number</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Publicly</w:t>
            </w:r>
          </w:p>
        </w:tc>
        <w:tc>
          <w:tcPr>
            <w:tcW w:w="14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298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of Shares (or</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(b) Average Price</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Announced</w:t>
            </w:r>
          </w:p>
        </w:tc>
        <w:tc>
          <w:tcPr>
            <w:tcW w:w="14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298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Units) Purchased</w:t>
            </w:r>
          </w:p>
        </w:tc>
        <w:tc>
          <w:tcPr>
            <w:tcW w:w="10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Paid Per Share</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Plans or</w:t>
            </w:r>
          </w:p>
        </w:tc>
        <w:tc>
          <w:tcPr>
            <w:tcW w:w="12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Period</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(or Unit) (2)</w:t>
            </w:r>
          </w:p>
        </w:tc>
        <w:tc>
          <w:tcPr>
            <w:tcW w:w="16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Programs (3)</w:t>
            </w:r>
          </w:p>
        </w:tc>
        <w:tc>
          <w:tcPr>
            <w:tcW w:w="80" w:type="dxa"/>
            <w:vAlign w:val="bottom"/>
          </w:tcPr>
          <w:p>
            <w:pPr>
              <w:spacing w:after="0"/>
              <w:rPr>
                <w:sz w:val="20"/>
                <w:szCs w:val="20"/>
                <w:color w:val="auto"/>
              </w:rPr>
            </w:pPr>
          </w:p>
        </w:tc>
      </w:tr>
      <w:tr>
        <w:trPr>
          <w:trHeight w:val="21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 31, 2021 - Nov 27, 2021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tcPr>
          <w:p>
            <w:pPr>
              <w:ind w:left="20"/>
              <w:spacing w:after="0"/>
              <w:rPr>
                <w:sz w:val="20"/>
                <w:szCs w:val="20"/>
                <w:color w:val="auto"/>
              </w:rPr>
            </w:pPr>
            <w:r>
              <w:rPr>
                <w:rFonts w:ascii="Arial" w:cs="Arial" w:eastAsia="Arial" w:hAnsi="Arial"/>
                <w:sz w:val="18"/>
                <w:szCs w:val="18"/>
                <w:color w:val="auto"/>
              </w:rPr>
              <w:t>Nov 28, 2021 - Jan 1, 2022</w:t>
            </w:r>
          </w:p>
        </w:tc>
        <w:tc>
          <w:tcPr>
            <w:tcW w:w="1360" w:type="dxa"/>
            <w:vAlign w:val="bottom"/>
          </w:tcPr>
          <w:p>
            <w:pPr>
              <w:jc w:val="right"/>
              <w:spacing w:after="0"/>
              <w:rPr>
                <w:sz w:val="20"/>
                <w:szCs w:val="20"/>
                <w:color w:val="auto"/>
              </w:rPr>
            </w:pPr>
            <w:r>
              <w:rPr>
                <w:rFonts w:ascii="Arial" w:cs="Arial" w:eastAsia="Arial" w:hAnsi="Arial"/>
                <w:sz w:val="18"/>
                <w:szCs w:val="18"/>
                <w:color w:val="auto"/>
              </w:rPr>
              <w:t>181,409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17.37</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166,855</w:t>
            </w: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21,996,093</w:t>
            </w:r>
          </w:p>
        </w:tc>
      </w:tr>
      <w:tr>
        <w:trPr>
          <w:trHeight w:val="216"/>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 2, 2022 - Jan 29, 2022</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78,699</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16.83</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78,699</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20,641,704</w:t>
            </w:r>
          </w:p>
        </w:tc>
      </w:tr>
      <w:tr>
        <w:trPr>
          <w:trHeight w:val="20"/>
        </w:trPr>
        <w:tc>
          <w:tcPr>
            <w:tcW w:w="29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980" w:type="dxa"/>
            <w:vAlign w:val="bottom"/>
          </w:tcPr>
          <w:p>
            <w:pPr>
              <w:ind w:left="180"/>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spacing w:after="0"/>
              <w:rPr>
                <w:sz w:val="20"/>
                <w:szCs w:val="20"/>
                <w:color w:val="auto"/>
              </w:rPr>
            </w:pPr>
            <w:r>
              <w:rPr>
                <w:rFonts w:ascii="Arial" w:cs="Arial" w:eastAsia="Arial" w:hAnsi="Arial"/>
                <w:sz w:val="18"/>
                <w:szCs w:val="18"/>
                <w:color w:val="auto"/>
              </w:rPr>
              <w:t>260,108</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17.21</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245,554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20,641,704</w:t>
            </w:r>
          </w:p>
        </w:tc>
      </w:tr>
      <w:tr>
        <w:trPr>
          <w:trHeight w:val="20"/>
        </w:trPr>
        <w:tc>
          <w:tcPr>
            <w:tcW w:w="29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Includes shares of our common stock delivered to us in satisfaction of the tax withholding obligation of holders of</w:t>
      </w:r>
    </w:p>
    <w:p>
      <w:pPr>
        <w:spacing w:after="0" w:line="23" w:lineRule="exact"/>
        <w:rPr>
          <w:sz w:val="20"/>
          <w:szCs w:val="20"/>
          <w:color w:val="auto"/>
        </w:rPr>
      </w:pPr>
    </w:p>
    <w:p>
      <w:pPr>
        <w:jc w:val="both"/>
        <w:ind w:left="1540" w:right="1200" w:hanging="314"/>
        <w:spacing w:after="0" w:line="187" w:lineRule="auto"/>
        <w:tabs>
          <w:tab w:leader="none" w:pos="1540" w:val="left"/>
        </w:tabs>
        <w:numPr>
          <w:ilvl w:val="0"/>
          <w:numId w:val="11"/>
        </w:numPr>
        <w:rPr>
          <w:rFonts w:ascii="Arial" w:cs="Arial" w:eastAsia="Arial" w:hAnsi="Arial"/>
          <w:sz w:val="36"/>
          <w:szCs w:val="36"/>
          <w:color w:val="auto"/>
          <w:vertAlign w:val="subscript"/>
        </w:rPr>
      </w:pPr>
      <w:r>
        <w:rPr>
          <w:rFonts w:ascii="Arial" w:cs="Arial" w:eastAsia="Arial" w:hAnsi="Arial"/>
          <w:sz w:val="18"/>
          <w:szCs w:val="18"/>
          <w:color w:val="auto"/>
        </w:rPr>
        <w:t>restricted shares which vested during the quarter. Our equity incentive plans provide that the value of shares delivered to us to pay the withholding tax obligations is calculated at the closing trading price of our common stock on the date the relevant transactions occur.</w:t>
      </w:r>
    </w:p>
    <w:p>
      <w:pPr>
        <w:spacing w:after="0" w:line="2" w:lineRule="exact"/>
        <w:rPr>
          <w:rFonts w:ascii="Arial" w:cs="Arial" w:eastAsia="Arial" w:hAnsi="Arial"/>
          <w:sz w:val="36"/>
          <w:szCs w:val="36"/>
          <w:color w:val="auto"/>
          <w:vertAlign w:val="subscript"/>
        </w:rPr>
      </w:pPr>
    </w:p>
    <w:p>
      <w:pPr>
        <w:ind w:left="1540" w:hanging="314"/>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 Price Paid Per Share includes commissions.</w:t>
      </w:r>
    </w:p>
    <w:p>
      <w:pPr>
        <w:spacing w:after="0" w:line="9"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In November 2021, the Board of Directors adopted a share repurchase program authorizing the repurchase of up to</w:t>
      </w:r>
    </w:p>
    <w:p>
      <w:pPr>
        <w:spacing w:after="0" w:line="9" w:lineRule="exact"/>
        <w:rPr>
          <w:rFonts w:ascii="Arial" w:cs="Arial" w:eastAsia="Arial" w:hAnsi="Arial"/>
          <w:sz w:val="18"/>
          <w:szCs w:val="18"/>
          <w:color w:val="auto"/>
        </w:rPr>
      </w:pPr>
    </w:p>
    <w:p>
      <w:pPr>
        <w:ind w:left="1540" w:right="1160" w:hanging="314"/>
        <w:spacing w:after="0" w:line="211" w:lineRule="auto"/>
        <w:tabs>
          <w:tab w:leader="none" w:pos="1540" w:val="left"/>
        </w:tabs>
        <w:numPr>
          <w:ilvl w:val="0"/>
          <w:numId w:val="11"/>
        </w:numPr>
        <w:rPr>
          <w:rFonts w:ascii="Arial" w:cs="Arial" w:eastAsia="Arial" w:hAnsi="Arial"/>
          <w:sz w:val="32"/>
          <w:szCs w:val="32"/>
          <w:color w:val="auto"/>
          <w:vertAlign w:val="subscript"/>
        </w:rPr>
      </w:pPr>
      <w:r>
        <w:rPr>
          <w:rFonts w:ascii="Arial" w:cs="Arial" w:eastAsia="Arial" w:hAnsi="Arial"/>
          <w:sz w:val="16"/>
          <w:szCs w:val="16"/>
          <w:color w:val="auto"/>
        </w:rPr>
        <w:t>$25 million of our common stock. This program authorizes the Company to repurchase shares through November 30, 2023 and does not require the Company to repurchase any specific number of shares, and may be modified, suspended or terminated at any time without prior noticed. Shares repurchased under the program will be subsequently retired.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sales of unregistered securities during the past three years.</w:t>
      </w:r>
    </w:p>
    <w:p>
      <w:pPr>
        <w:spacing w:after="0" w:line="200" w:lineRule="exact"/>
        <w:rPr>
          <w:sz w:val="20"/>
          <w:szCs w:val="20"/>
          <w:color w:val="auto"/>
        </w:rPr>
      </w:pPr>
    </w:p>
    <w:p>
      <w:pPr>
        <w:spacing w:after="0" w:line="23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spacing w:after="0"/>
        <w:tabs>
          <w:tab w:leader="none" w:pos="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i w:val="1"/>
          <w:iCs w:val="1"/>
          <w:color w:val="auto"/>
        </w:rPr>
        <w:t>The following Management’s Discussion and Analysis of Financial Condition and Results of Operations contains forward-looking statements that involve risks and uncertainties. Our actual results may differ materially from the results discussed in the forward-looking statements. Factors that might cause such a difference include, but are not limited to, those discussed in “Risk Factors” and elsewhere in this Annual Report on Form 10-K. The following section is qualified in its entirety by the more detailed information, including our financial statements and the notes thereto, which appears elsewhere in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Build-A-Bear Workshop started as a mall-based, experiential specialty retailer where children and their families could create their own stuffed animals. Over the last nearly 25 years, Build-A-Bear has become a brand with high consumer awareness and positive affinity with over 200 million furry friends made by guests around the world. We seek to provide outstanding guest service and experiences across all channels and touch points including our stores, our e-commerce sites, our mobile sites and apps as well as traditional, digital and social media. We believe the hands-on and interactive nature of our stores, our personal service model and engaging digital shopping experiences result in guests forming an emotional connection with our brand which has multi-generational appeal that captures today’s zeitgeist including desire for experience, personalization and “DIY” while being recognized as trusted, giving, and a part of pop culture.</w:t>
      </w:r>
    </w:p>
    <w:p>
      <w:pPr>
        <w:spacing w:after="0" w:line="19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operate a vertical retail channel with stores that feature a unique combination of experience and product in which guests can “make their own stuffed animals” by participating in the stuffing, fluffing, dressing, accessorizing and naming of their own teddy bears and other stuffed animals. We also operate e-commerce sites that focus on gift-giving, collectible merchandise and licensed products that appeal to consumers that have an affinity for characters from a range of entertainment, sports, art, and gaming properties. Our engaging digital purchasing experiences include our online “Bear-Builder”, the animated “Bear Builder 3D Workshop”, an age-gated adult-focused “Bear Cave” and the recently introduced “HeartBox” gift site. Our retail stores also act as “mini distribution centers” that provide efficient omnichannel support for our growing digital demand. The primary consumer target for our retail stores is families with children while our e-commerce sites focus on collectors and gift givers that are primarily tweens, teens and adults. We have also extended our business model to develop a circle of continuous engagement by leveraging our brand strength and owned intellectual properties through the creation of engaging content for kids and adults while also offering products at wholesale and in non-plush consumer categories via outbound licensing agreements with leading manufacturers.</w:t>
      </w:r>
    </w:p>
    <w:p>
      <w:pPr>
        <w:spacing w:after="0" w:line="18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strategy includes leveraging our brand strength to continue to strategically evolve our brick-and-mortar retail footprint beyond traditional malls with a versatile range of formats and locations including tourist destinations, expand into international markets primarily via a franchise model, and broaden the consumer base beyond children by adding teens and adults with entertainment/sports licensing, collectible and gifting offerings. Build-A-Bear’s pop-culture and multi-generational appeal have also played a key role in the Company’s digital transformation with a focus on accelerating our initiatives to expand our digitally-driven, diversified omnichannel capabilities that offer interactive entertainment experiences via both physical and e-commerce engagement, targeting a range of consumer segments and purchasing occasions.</w:t>
      </w:r>
    </w:p>
    <w:p>
      <w:pPr>
        <w:spacing w:after="0" w:line="17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As of January 29, 2022, we had 346 corporate-managed stores globally, 61 locations operating through our "third-party retail" model in which we sell our products on a wholesale basis to other companies that then in turn execute our retail experience, and 72 franchised stores operating internationally under the Build-A-Bear Workshop brand. In addition to our stores, we sold product on our company-owned e-commerce sites.</w:t>
      </w:r>
    </w:p>
    <w:p>
      <w:pPr>
        <w:spacing w:after="0" w:line="165"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We operate in three segments that share the same infrastructure, including management, systems, merchandising and marketing, and generate revenues as follows:</w:t>
      </w:r>
    </w:p>
    <w:p>
      <w:pPr>
        <w:spacing w:after="0" w:line="170" w:lineRule="exact"/>
        <w:rPr>
          <w:sz w:val="20"/>
          <w:szCs w:val="20"/>
          <w:color w:val="auto"/>
        </w:rPr>
      </w:pPr>
    </w:p>
    <w:p>
      <w:pPr>
        <w:ind w:left="440" w:hanging="324"/>
        <w:spacing w:after="0" w:line="258"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 to Consumer (“DTC”) – Corporately-managed retail stores located in the U.S., Canada, Puerto Rico, the U.K., Ireland, and two e-commerce sites as well as Denmark and China which have now closed;</w:t>
      </w:r>
    </w:p>
    <w:p>
      <w:pPr>
        <w:spacing w:after="0" w:line="1" w:lineRule="exact"/>
        <w:rPr>
          <w:rFonts w:ascii="Arial" w:cs="Arial" w:eastAsia="Arial" w:hAnsi="Arial"/>
          <w:sz w:val="18"/>
          <w:szCs w:val="18"/>
          <w:color w:val="auto"/>
        </w:rPr>
      </w:pPr>
    </w:p>
    <w:p>
      <w:pPr>
        <w:ind w:left="440" w:hanging="324"/>
        <w:spacing w:after="0" w:line="250"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Commercial – Transactions with other businesses, mainly comprised of wholesale product sales and licensing our intellectual property, including entertainment properties, for third-party use; and</w:t>
      </w:r>
    </w:p>
    <w:p>
      <w:pPr>
        <w:ind w:left="440" w:hanging="324"/>
        <w:spacing w:after="0"/>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International franchising – Royalties as well as product and fixture sales from other international operations under franchise agreements.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jc w:val="both"/>
        <w:ind w:firstLine="441"/>
        <w:spacing w:after="0" w:line="277" w:lineRule="auto"/>
        <w:rPr>
          <w:sz w:val="20"/>
          <w:szCs w:val="20"/>
          <w:color w:val="auto"/>
        </w:rPr>
      </w:pPr>
      <w:r>
        <w:rPr>
          <w:rFonts w:ascii="Arial" w:cs="Arial" w:eastAsia="Arial" w:hAnsi="Arial"/>
          <w:sz w:val="18"/>
          <w:szCs w:val="18"/>
          <w:color w:val="auto"/>
        </w:rPr>
        <w:t>Selected financial data attributable to each segment for fiscal 2021 and 2020 are presented in Note 15 — Segment Information to our consolidated financial statements included elsewhere in this Annual Report on Form 10-K.</w:t>
      </w:r>
    </w:p>
    <w:p>
      <w:pPr>
        <w:spacing w:after="0" w:line="17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At the beginning of fiscal 2021, our U.S. store portfolio was open and operating while our stores in the U.K., Ireland and Canada remained temporarily closed due to the pandemic. In April 2021, stores in the U.K. reopened as the government lifted lockdown restrictions resulting in almost all of our stores operating at the end of the 2021 first fiscal quarter with the remaining stores in the U.K. and Ireland opening in the second fiscal quarter thereby ending that period with all stores open in those geographies. The majority of our Canadian stores remained temporarily closed at the beginning of the second quarter with the majority reopening in June 2021 and with all stores ending the second fiscal quarter open. Our year-over-year results discussed below are impacted by prior year store closures and operating hour reductions as a result of the pandemic.</w:t>
      </w:r>
    </w:p>
    <w:p>
      <w:pPr>
        <w:spacing w:after="0" w:line="178"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Our consolidated net income was $47.3 million in fiscal 2021 compared to net loss of $23.0 million in fiscal 2020. We believe that we have a concept that has broad demographic appeal which, for North American stores open for the entire year averaged net retail sales per store of $1.0 million and $0.6 million in fiscal 2021 and 2020, respectively. We use store contribution as the key performance metric for our retail stores. Consolidated store contribution, which consists of store location net retail sales less cost of product, marketing and store related expenses, as a percentage of net retail sales was 27.3% for fiscal 2021 and 8.5% for fiscal 2020, the latter reflecting the negative impact of COVID. Non-store general and administrative expenses are excluded as are our revenues and expenses associated with e-commerce sites and adjustments to deferred revenue related to gift card breakage and our loyalty program. The diversification of our real estate portfolio and shift to smaller more flexible store formats may result in lower average store revenue but is expected to improve store contribution on a long-term basis. See “Non-GAAP Financial Measures” for a reconciliation of store contribution to net income. The increase in consolidated store contribution as a percent of net retail sales in fiscal 2021 compared to fiscal 2020 was due to increased retail gross margin by 1,240 basis points primarily driven by increased leverage of fixed occupancy costs as a percent of revenue by 1,048 basis points.</w:t>
      </w:r>
    </w:p>
    <w:p>
      <w:pPr>
        <w:spacing w:after="0" w:line="168"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ended fiscal 2021 with no borrowings under our credit agreement and with $32.8 million in cash, cash equivalents and restricted cash after investing $8.1 million in capital projects throughout the year. In November 2021, our Board of Directors authorized a share repurchase program of up to $25 million and as of January 29, 2022, we had utilized $4.4 million in cash to repurchase 245,554 shares under the program. Additionally, we paid a special dividend of $19.9 million to shareholders of record as of December 10, 2021.</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a description and discussion of the major components of our statement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retail sales, commercial revenue and international franchising: </w:t>
      </w:r>
      <w:r>
        <w:rPr>
          <w:rFonts w:ascii="Arial" w:cs="Arial" w:eastAsia="Arial" w:hAnsi="Arial"/>
          <w:sz w:val="18"/>
          <w:szCs w:val="18"/>
          <w:color w:val="auto"/>
        </w:rPr>
        <w:t>See Note 3 — Revenue to the consolidated financial statements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information.</w:t>
      </w:r>
    </w:p>
    <w:p>
      <w:pPr>
        <w:spacing w:after="0" w:line="170"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We use net retail sales per square foot as a performance measure for our business. The following table details net retail sales per square foot for stores open throughout the fiscal year other than periods of temporary government-mandated closures, for the periods presented:</w:t>
      </w:r>
    </w:p>
    <w:p>
      <w:pPr>
        <w:spacing w:after="0" w:line="142"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Fiscal year ended</w:t>
            </w:r>
          </w:p>
        </w:tc>
      </w:tr>
      <w:tr>
        <w:trPr>
          <w:trHeight w:val="191"/>
        </w:trPr>
        <w:tc>
          <w:tcPr>
            <w:tcW w:w="64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0"/>
              </w:rPr>
              <w:t>January 29,</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0"/>
              </w:rPr>
              <w:t>January 30,</w:t>
            </w:r>
          </w:p>
        </w:tc>
        <w:tc>
          <w:tcPr>
            <w:tcW w:w="80" w:type="dxa"/>
            <w:vAlign w:val="bottom"/>
          </w:tcPr>
          <w:p>
            <w:pPr>
              <w:spacing w:after="0"/>
              <w:rPr>
                <w:sz w:val="16"/>
                <w:szCs w:val="16"/>
                <w:color w:val="auto"/>
              </w:rPr>
            </w:pPr>
          </w:p>
        </w:tc>
      </w:tr>
      <w:tr>
        <w:trPr>
          <w:trHeight w:val="234"/>
        </w:trPr>
        <w:tc>
          <w:tcPr>
            <w:tcW w:w="6400" w:type="dxa"/>
            <w:vAlign w:val="bottom"/>
          </w:tcPr>
          <w:p>
            <w:pPr>
              <w:ind w:left="20"/>
              <w:spacing w:after="0"/>
              <w:rPr>
                <w:sz w:val="20"/>
                <w:szCs w:val="20"/>
                <w:color w:val="auto"/>
              </w:rPr>
            </w:pPr>
            <w:r>
              <w:rPr>
                <w:rFonts w:ascii="Arial" w:cs="Arial" w:eastAsia="Arial" w:hAnsi="Arial"/>
                <w:sz w:val="18"/>
                <w:szCs w:val="18"/>
                <w:color w:val="auto"/>
              </w:rPr>
              <w:t>Net retail sales per square foot</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6400" w:type="dxa"/>
            <w:vAlign w:val="bottom"/>
            <w:shd w:val="clear" w:color="auto" w:fill="CCEEFF"/>
          </w:tcPr>
          <w:p>
            <w:pPr>
              <w:ind w:left="20"/>
              <w:spacing w:after="0" w:line="210" w:lineRule="exact"/>
              <w:rPr>
                <w:sz w:val="20"/>
                <w:szCs w:val="20"/>
                <w:color w:val="auto"/>
              </w:rPr>
            </w:pPr>
            <w:r>
              <w:rPr>
                <w:rFonts w:ascii="Arial" w:cs="Arial" w:eastAsia="Arial" w:hAnsi="Arial"/>
                <w:sz w:val="15"/>
                <w:szCs w:val="15"/>
                <w:color w:val="auto"/>
              </w:rPr>
              <w:t xml:space="preserve">North America </w:t>
            </w:r>
            <w:r>
              <w:rPr>
                <w:rFonts w:ascii="Arial" w:cs="Arial" w:eastAsia="Arial" w:hAnsi="Arial"/>
                <w:sz w:val="24"/>
                <w:szCs w:val="24"/>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w:t>
            </w:r>
          </w:p>
        </w:tc>
      </w:tr>
      <w:tr>
        <w:trPr>
          <w:trHeight w:val="390"/>
        </w:trPr>
        <w:tc>
          <w:tcPr>
            <w:tcW w:w="6400" w:type="dxa"/>
            <w:vAlign w:val="bottom"/>
          </w:tcPr>
          <w:p>
            <w:pPr>
              <w:ind w:left="20"/>
              <w:spacing w:after="0"/>
              <w:rPr>
                <w:sz w:val="20"/>
                <w:szCs w:val="20"/>
                <w:color w:val="auto"/>
              </w:rPr>
            </w:pPr>
            <w:r>
              <w:rPr>
                <w:rFonts w:ascii="Arial" w:cs="Arial" w:eastAsia="Arial" w:hAnsi="Arial"/>
                <w:sz w:val="18"/>
                <w:szCs w:val="18"/>
                <w:color w:val="auto"/>
              </w:rPr>
              <w:t xml:space="preserve">United Kingdom </w:t>
            </w:r>
            <w:r>
              <w:rPr>
                <w:rFonts w:ascii="Arial" w:cs="Arial" w:eastAsia="Arial" w:hAnsi="Arial"/>
                <w:sz w:val="29"/>
                <w:szCs w:val="29"/>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199</w:t>
            </w:r>
          </w:p>
        </w:tc>
      </w:tr>
    </w:tbl>
    <w:p>
      <w:pPr>
        <w:spacing w:after="0" w:line="28" w:lineRule="exact"/>
        <w:rPr>
          <w:sz w:val="20"/>
          <w:szCs w:val="20"/>
          <w:color w:val="auto"/>
        </w:rPr>
      </w:pPr>
    </w:p>
    <w:p>
      <w:pPr>
        <w:ind w:left="1560" w:right="1140" w:hanging="429"/>
        <w:spacing w:after="0" w:line="291" w:lineRule="auto"/>
        <w:tabs>
          <w:tab w:leader="none" w:pos="1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Net retail sales per square foot in North America represents net retail sales from stores open throughout the entire period in North America, excluding e-commerce sales, divided by the total leased square footage of such stores.</w:t>
      </w:r>
    </w:p>
    <w:p>
      <w:pPr>
        <w:ind w:left="1560" w:right="1140" w:hanging="429"/>
        <w:spacing w:after="0" w:line="290" w:lineRule="auto"/>
        <w:tabs>
          <w:tab w:leader="none" w:pos="15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Net retail sales per square foot in the U.K. represents net retail sales from stores open throughout the entire period in the U.K., excluding e-commerce sales, divided by the total selling square footage of such stores.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Costs and Expenses</w:t>
      </w:r>
    </w:p>
    <w:p>
      <w:pPr>
        <w:spacing w:after="0" w:line="22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Cost of merchandise sold: </w:t>
      </w:r>
      <w:r>
        <w:rPr>
          <w:rFonts w:ascii="Arial" w:cs="Arial" w:eastAsia="Arial" w:hAnsi="Arial"/>
          <w:sz w:val="16"/>
          <w:szCs w:val="16"/>
          <w:color w:val="auto"/>
        </w:rPr>
        <w:t>Cost of merchandise sold is driven primarily by our retail segment. Cost of merchandise sold – retail includes the cost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merchandise, including royalties paid to licensors of third party branded merchandise, store occupancy cost, including store depreciation and store asset impairment charges (if not disclosed separately due to materiality) (See Note 6 — Property and Equipment, net to the consolidated financial statements for additional accounting information regarding store asset impairment), cost of warehousing and distribution, packaging, stuffing, damages and shortages, and shipping and handling costs incurred in shipment to customers. Retail gross margin is defined as net retail sales less the cost of merchandise sold - retail. For the commercial segment, cost of merchandise includes the cost of merchandise sold to third-party retailers on a wholesale basis for sale within their stores. For the franchise segment, cost of merchandise includes the sale of furniture, fixtures, and supplies to our franchise partners.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Selling, general and administrative expense (“SGA”): </w:t>
      </w:r>
      <w:r>
        <w:rPr>
          <w:rFonts w:ascii="Arial" w:cs="Arial" w:eastAsia="Arial" w:hAnsi="Arial"/>
          <w:sz w:val="17"/>
          <w:szCs w:val="17"/>
          <w:color w:val="auto"/>
        </w:rPr>
        <w:t>These expenses include store payroll and benefits, advertising, credit card fees, store supplies and</w:t>
      </w:r>
      <w:r>
        <w:rPr>
          <w:rFonts w:ascii="Arial" w:cs="Arial" w:eastAsia="Arial" w:hAnsi="Arial"/>
          <w:sz w:val="17"/>
          <w:szCs w:val="17"/>
          <w:i w:val="1"/>
          <w:iCs w:val="1"/>
          <w:color w:val="auto"/>
        </w:rPr>
        <w:t xml:space="preserve"> </w:t>
      </w:r>
      <w:r>
        <w:rPr>
          <w:rFonts w:ascii="Arial" w:cs="Arial" w:eastAsia="Arial" w:hAnsi="Arial"/>
          <w:sz w:val="17"/>
          <w:szCs w:val="17"/>
          <w:color w:val="auto"/>
        </w:rPr>
        <w:t>normal store pre-opening and closing expenses as well as central office general and administrative expenses, including costs for management payroll, benefits, incentive compensation, travel, information systems, accounting, insurance, legal and public relations. These expenses also include depreciation of central office assets and the amortization of other assets. Certain store expenses such as credit card fees historically have increased or decreased proportionately with net retail sales. In addition, bad debt expenses and accounts receivable related charges are recorded in SGA. Additionally, as a result of COVID, governments enacted relief legislation and stimulus packages to help combat the economic effects of the pandemic through such things as payroll expense reimbursement and business grants, whose effects are recorded within SGA.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Corporately-managed locations: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number of Build-A-Bear Workshop stores in the U.S., Canada and Puerto Rico (collectively, North America), the U.K. and Ireland (collectively,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Europe) and China for the last two fiscal years is summarized as follows:</w:t>
      </w:r>
    </w:p>
    <w:p>
      <w:pPr>
        <w:spacing w:after="0" w:line="207"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8"/>
                <w:szCs w:val="18"/>
                <w:b w:val="1"/>
                <w:bCs w:val="1"/>
                <w:color w:val="auto"/>
                <w:w w:val="92"/>
              </w:rPr>
              <w:t>Fiscal year ended</w:t>
            </w: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19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8"/>
                <w:szCs w:val="18"/>
                <w:b w:val="1"/>
                <w:bCs w:val="1"/>
                <w:color w:val="auto"/>
              </w:rPr>
              <w:t>January 29, 2022</w:t>
            </w:r>
          </w:p>
        </w:tc>
        <w:tc>
          <w:tcPr>
            <w:tcW w:w="7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b w:val="1"/>
                <w:bCs w:val="1"/>
                <w:color w:val="auto"/>
                <w:w w:val="97"/>
              </w:rPr>
              <w:t>January 30, 2021</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1920" w:type="dxa"/>
            <w:vAlign w:val="bottom"/>
          </w:tcPr>
          <w:p>
            <w:pPr>
              <w:spacing w:after="0"/>
              <w:rPr>
                <w:sz w:val="16"/>
                <w:szCs w:val="16"/>
                <w:color w:val="auto"/>
              </w:rPr>
            </w:pPr>
          </w:p>
        </w:tc>
        <w:tc>
          <w:tcPr>
            <w:tcW w:w="90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rPr>
              <w:t>North</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rPr>
              <w:t>North</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192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America</w:t>
            </w:r>
          </w:p>
        </w:tc>
        <w:tc>
          <w:tcPr>
            <w:tcW w:w="180" w:type="dxa"/>
            <w:vAlign w:val="bottom"/>
          </w:tcPr>
          <w:p>
            <w:pPr>
              <w:spacing w:after="0"/>
              <w:rPr>
                <w:sz w:val="20"/>
                <w:szCs w:val="20"/>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Europe</w:t>
            </w:r>
          </w:p>
        </w:tc>
        <w:tc>
          <w:tcPr>
            <w:tcW w:w="180" w:type="dxa"/>
            <w:vAlign w:val="bottom"/>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China</w:t>
            </w:r>
          </w:p>
        </w:tc>
        <w:tc>
          <w:tcPr>
            <w:tcW w:w="180" w:type="dxa"/>
            <w:vAlign w:val="bottom"/>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America</w:t>
            </w:r>
          </w:p>
        </w:tc>
        <w:tc>
          <w:tcPr>
            <w:tcW w:w="1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Europe</w:t>
            </w:r>
          </w:p>
        </w:tc>
        <w:tc>
          <w:tcPr>
            <w:tcW w:w="160" w:type="dxa"/>
            <w:vAlign w:val="bottom"/>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China</w:t>
            </w:r>
          </w:p>
        </w:tc>
        <w:tc>
          <w:tcPr>
            <w:tcW w:w="160" w:type="dxa"/>
            <w:vAlign w:val="bottom"/>
          </w:tcPr>
          <w:p>
            <w:pPr>
              <w:spacing w:after="0"/>
              <w:rPr>
                <w:sz w:val="20"/>
                <w:szCs w:val="20"/>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w:t>
            </w: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rPr>
              <w:t>Opened</w:t>
            </w: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16"/>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Closed</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0"/>
        </w:trPr>
        <w:tc>
          <w:tcPr>
            <w:tcW w:w="19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192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720" w:type="dxa"/>
            <w:vAlign w:val="bottom"/>
          </w:tcPr>
          <w:p>
            <w:pPr>
              <w:jc w:val="right"/>
              <w:spacing w:after="0"/>
              <w:rPr>
                <w:sz w:val="20"/>
                <w:szCs w:val="20"/>
                <w:color w:val="auto"/>
              </w:rPr>
            </w:pPr>
            <w:r>
              <w:rPr>
                <w:rFonts w:ascii="Arial" w:cs="Arial" w:eastAsia="Arial" w:hAnsi="Arial"/>
                <w:sz w:val="18"/>
                <w:szCs w:val="18"/>
                <w:color w:val="auto"/>
              </w:rPr>
              <w:t>305</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346</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305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354</w:t>
            </w:r>
          </w:p>
        </w:tc>
      </w:tr>
      <w:tr>
        <w:trPr>
          <w:trHeight w:val="20"/>
        </w:trPr>
        <w:tc>
          <w:tcPr>
            <w:tcW w:w="19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During fiscal 2021, our retail business model continued to evolve to address changing shopping patterns by diversifying our locations, formats and geographies. We are updating our store portfolio with our Discovery format, which represented 42% of our store base as of January 29, 2022. During fiscal 2021, we executed 5 planned new store openings in North America, all Discovery format and 4 of which were in tourist sites. Through our third-party retail model, there were 61 stores in operation at the end of the fiscal year with relationships that included Carnival Cruise Line, Great Wolf Lodge Resorts, Landry's and Beaches Family Resorts. As in prior years, we operated in a number of other non-traditional locations as well as shop-in-shop arrangements within other retailers’ stores. Temporary locations generally have lease terms of two to eighteen months. These specific sites are designed to capitalize on short-term opportunities. In the future, we expect to close certain stores in accordance with natural lease events as an ongoing part of our real estate management and day-to-day operational plans.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International Franchise Locations: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first franchisee location was opened in November 2003. All franchised stores have similar signage, store layout and merchandise assortments as our corporately-managed stores. As of January 29, 2022, we had six master franchise agreements, which typically grant franchise rights for a particular country or group of countries, covering an aggregate of 10 countries.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number of international, franchised stores opened and closed for the periods presented below is summarized as follows:</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96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Fiscal year ended</w:t>
            </w:r>
          </w:p>
        </w:tc>
      </w:tr>
      <w:tr>
        <w:trPr>
          <w:trHeight w:val="210"/>
        </w:trPr>
        <w:tc>
          <w:tcPr>
            <w:tcW w:w="6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January 29, 2022</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January 30, 2021</w:t>
            </w:r>
          </w:p>
        </w:tc>
        <w:tc>
          <w:tcPr>
            <w:tcW w:w="80" w:type="dxa"/>
            <w:vAlign w:val="bottom"/>
          </w:tcPr>
          <w:p>
            <w:pPr>
              <w:spacing w:after="0"/>
              <w:rPr>
                <w:sz w:val="18"/>
                <w:szCs w:val="18"/>
                <w:color w:val="auto"/>
              </w:rPr>
            </w:pPr>
          </w:p>
        </w:tc>
      </w:tr>
      <w:tr>
        <w:trPr>
          <w:trHeight w:val="209"/>
        </w:trPr>
        <w:tc>
          <w:tcPr>
            <w:tcW w:w="680" w:type="dxa"/>
            <w:vAlign w:val="bottom"/>
          </w:tcPr>
          <w:p>
            <w:pPr>
              <w:spacing w:after="0"/>
              <w:rPr>
                <w:sz w:val="18"/>
                <w:szCs w:val="18"/>
                <w:color w:val="auto"/>
              </w:rPr>
            </w:pP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r>
      <w:tr>
        <w:trPr>
          <w:trHeight w:val="216"/>
        </w:trPr>
        <w:tc>
          <w:tcPr>
            <w:tcW w:w="680" w:type="dxa"/>
            <w:vAlign w:val="bottom"/>
          </w:tcPr>
          <w:p>
            <w:pPr>
              <w:spacing w:after="0"/>
              <w:rPr>
                <w:sz w:val="18"/>
                <w:szCs w:val="18"/>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Opened</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r>
      <w:tr>
        <w:trPr>
          <w:trHeight w:val="216"/>
        </w:trPr>
        <w:tc>
          <w:tcPr>
            <w:tcW w:w="680" w:type="dxa"/>
            <w:vAlign w:val="bottom"/>
          </w:tcPr>
          <w:p>
            <w:pPr>
              <w:spacing w:after="0"/>
              <w:rPr>
                <w:sz w:val="18"/>
                <w:szCs w:val="18"/>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Closed</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r>
      <w:tr>
        <w:trPr>
          <w:trHeight w:val="20"/>
        </w:trPr>
        <w:tc>
          <w:tcPr>
            <w:tcW w:w="680" w:type="dxa"/>
            <w:vAlign w:val="bottom"/>
          </w:tcPr>
          <w:p>
            <w:pPr>
              <w:spacing w:after="0" w:line="20" w:lineRule="exact"/>
              <w:rPr>
                <w:sz w:val="1"/>
                <w:szCs w:val="1"/>
                <w:color w:val="auto"/>
              </w:rPr>
            </w:pPr>
          </w:p>
        </w:tc>
        <w:tc>
          <w:tcPr>
            <w:tcW w:w="6020" w:type="dxa"/>
            <w:vAlign w:val="bottom"/>
            <w:shd w:val="clear" w:color="auto" w:fill="CCEEFF"/>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8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138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r>
      <w:tr>
        <w:trPr>
          <w:trHeight w:val="20"/>
        </w:trPr>
        <w:tc>
          <w:tcPr>
            <w:tcW w:w="6700" w:type="dxa"/>
            <w:vAlign w:val="bottom"/>
            <w:gridSpan w:val="2"/>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8240" w:type="dxa"/>
            <w:vAlign w:val="bottom"/>
            <w:gridSpan w:val="4"/>
          </w:tcPr>
          <w:p>
            <w:pPr>
              <w:jc w:val="right"/>
              <w:ind w:right="880"/>
              <w:spacing w:after="0"/>
              <w:rPr>
                <w:sz w:val="20"/>
                <w:szCs w:val="20"/>
                <w:color w:val="auto"/>
              </w:rPr>
            </w:pPr>
            <w:r>
              <w:rPr>
                <w:rFonts w:ascii="Arial" w:cs="Arial" w:eastAsia="Arial" w:hAnsi="Arial"/>
                <w:sz w:val="18"/>
                <w:szCs w:val="18"/>
                <w:color w:val="auto"/>
                <w:w w:val="90"/>
              </w:rPr>
              <w:t>As of January 29, 2022, the distribution of franchised locations among these countries was as follows:</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 Africa</w:t>
            </w:r>
          </w:p>
        </w:tc>
        <w:tc>
          <w:tcPr>
            <w:tcW w:w="13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w:t>
            </w:r>
          </w:p>
        </w:tc>
      </w:tr>
      <w:tr>
        <w:trPr>
          <w:trHeight w:val="216"/>
        </w:trPr>
        <w:tc>
          <w:tcPr>
            <w:tcW w:w="68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Australia</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w:t>
            </w:r>
          </w:p>
        </w:tc>
      </w:tr>
      <w:tr>
        <w:trPr>
          <w:trHeight w:val="216"/>
        </w:trPr>
        <w:tc>
          <w:tcPr>
            <w:tcW w:w="680" w:type="dxa"/>
            <w:vAlign w:val="bottom"/>
          </w:tcPr>
          <w:p>
            <w:pPr>
              <w:spacing w:after="0"/>
              <w:rPr>
                <w:sz w:val="18"/>
                <w:szCs w:val="18"/>
                <w:color w:val="auto"/>
              </w:rPr>
            </w:pPr>
          </w:p>
        </w:tc>
        <w:tc>
          <w:tcPr>
            <w:tcW w:w="60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India </w:t>
            </w:r>
            <w:r>
              <w:rPr>
                <w:rFonts w:ascii="Arial" w:cs="Arial" w:eastAsia="Arial" w:hAnsi="Arial"/>
                <w:sz w:val="25"/>
                <w:szCs w:val="25"/>
                <w:color w:val="auto"/>
                <w:vertAlign w:val="superscript"/>
              </w:rPr>
              <w:t>(1)</w:t>
            </w:r>
          </w:p>
        </w:tc>
        <w:tc>
          <w:tcPr>
            <w:tcW w:w="13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w:t>
            </w:r>
          </w:p>
        </w:tc>
      </w:tr>
      <w:tr>
        <w:trPr>
          <w:trHeight w:val="216"/>
        </w:trPr>
        <w:tc>
          <w:tcPr>
            <w:tcW w:w="680" w:type="dxa"/>
            <w:vAlign w:val="bottom"/>
          </w:tcPr>
          <w:p>
            <w:pPr>
              <w:spacing w:after="0"/>
              <w:rPr>
                <w:sz w:val="18"/>
                <w:szCs w:val="18"/>
                <w:color w:val="auto"/>
              </w:rPr>
            </w:pPr>
          </w:p>
        </w:tc>
        <w:tc>
          <w:tcPr>
            <w:tcW w:w="60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China </w:t>
            </w:r>
            <w:r>
              <w:rPr>
                <w:rFonts w:ascii="Arial" w:cs="Arial" w:eastAsia="Arial" w:hAnsi="Arial"/>
                <w:sz w:val="25"/>
                <w:szCs w:val="25"/>
                <w:color w:val="auto"/>
                <w:vertAlign w:val="superscript"/>
              </w:rPr>
              <w:t>(2)</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w:t>
            </w:r>
          </w:p>
        </w:tc>
      </w:tr>
      <w:tr>
        <w:trPr>
          <w:trHeight w:val="216"/>
        </w:trPr>
        <w:tc>
          <w:tcPr>
            <w:tcW w:w="680" w:type="dxa"/>
            <w:vAlign w:val="bottom"/>
          </w:tcPr>
          <w:p>
            <w:pPr>
              <w:spacing w:after="0"/>
              <w:rPr>
                <w:sz w:val="18"/>
                <w:szCs w:val="18"/>
                <w:color w:val="auto"/>
              </w:rPr>
            </w:pPr>
          </w:p>
        </w:tc>
        <w:tc>
          <w:tcPr>
            <w:tcW w:w="60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Gulf States </w:t>
            </w:r>
            <w:r>
              <w:rPr>
                <w:rFonts w:ascii="Arial" w:cs="Arial" w:eastAsia="Arial" w:hAnsi="Arial"/>
                <w:sz w:val="25"/>
                <w:szCs w:val="25"/>
                <w:color w:val="auto"/>
                <w:vertAlign w:val="superscript"/>
              </w:rPr>
              <w:t>(3)</w:t>
            </w:r>
          </w:p>
        </w:tc>
        <w:tc>
          <w:tcPr>
            <w:tcW w:w="13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w:t>
            </w:r>
          </w:p>
        </w:tc>
      </w:tr>
      <w:tr>
        <w:trPr>
          <w:trHeight w:val="216"/>
        </w:trPr>
        <w:tc>
          <w:tcPr>
            <w:tcW w:w="68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Chile</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w:t>
            </w:r>
          </w:p>
        </w:tc>
      </w:tr>
      <w:tr>
        <w:trPr>
          <w:trHeight w:val="20"/>
        </w:trPr>
        <w:tc>
          <w:tcPr>
            <w:tcW w:w="6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680" w:type="dxa"/>
            <w:vAlign w:val="bottom"/>
          </w:tcPr>
          <w:p>
            <w:pPr>
              <w:spacing w:after="0"/>
              <w:rPr>
                <w:sz w:val="19"/>
                <w:szCs w:val="19"/>
                <w:color w:val="auto"/>
              </w:rPr>
            </w:pP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72</w:t>
            </w:r>
          </w:p>
        </w:tc>
      </w:tr>
      <w:tr>
        <w:trPr>
          <w:trHeight w:val="20"/>
        </w:trPr>
        <w:tc>
          <w:tcPr>
            <w:tcW w:w="680" w:type="dxa"/>
            <w:vAlign w:val="bottom"/>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India master franchise agreement includes Sri Lanka where no stores are currently open.</w:t>
      </w:r>
    </w:p>
    <w:p>
      <w:pPr>
        <w:spacing w:after="0" w:line="23"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China master franchise agreement includes Hong Kong where no stores are currently open.</w:t>
      </w:r>
    </w:p>
    <w:p>
      <w:pPr>
        <w:spacing w:after="0" w:line="9" w:lineRule="exact"/>
        <w:rPr>
          <w:rFonts w:ascii="Arial" w:cs="Arial" w:eastAsia="Arial" w:hAnsi="Arial"/>
          <w:sz w:val="18"/>
          <w:szCs w:val="18"/>
          <w:color w:val="auto"/>
        </w:rPr>
      </w:pPr>
    </w:p>
    <w:p>
      <w:pPr>
        <w:ind w:left="760" w:right="40" w:hanging="320"/>
        <w:spacing w:after="0" w:line="260"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Gulf States master franchise agreement includes Kuwait, Qatar and the United Arab Emirates which all have stores as well as Bahrain and Oman where no stores are currently open.</w:t>
      </w:r>
    </w:p>
    <w:p>
      <w:pPr>
        <w:spacing w:after="0" w:line="18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the ordinary course of business, we anticipate signing additional master franchise agreements in the future and terminating other such agreements. We source fixtures and other supplies for our franchisees from China which significantly reduces the capital and lowers the expenses required to open franchises. We are leveraging new formats that have been developed for our corporately-managed locations such as concourses and shop-in-shops with our franchisees.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Overview</w:t>
      </w:r>
    </w:p>
    <w:p>
      <w:pPr>
        <w:spacing w:after="0" w:line="22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performance continues to reflect the success of our strategy which has allowed us to put the building blocks in place to develop a powerful platform to support our initiatives to deliver consistent profitable growth. We believe our elevated omnichannel business model, which includes a highly profitable e-commerce and experiential retail store base, complimented by diversified revenue streams and disciplined expense and balance sheet management, puts us in a solid position for continued future success. We delivered a full year pre-tax profit of $50.7 million, which was the highest in our company’s history. In response to a variety of external pressures including changes in consumer shopping habits resulting in the rapid rise of the digital economy and shifting mall traffic patterns, we remained focused on accelerating and expanding our key initiatives by investing in and executing plans to improve operations and profitability. While we believe the majority of our positive performance was driven by the disciplined execution of our strategic initiatives, impact from pent-up demand and government stimulus may have also helped to contribute to a 61.2% increase in total revenue to $411.5 million in fiscal 2021. We ended the year with cash and cash equivalents of $32.8 million with no outstanding borrowings on our credit facility. We returned $24.3 million in value to shareholders through $4.4 million in share repurchases and payment of a $19.9 million special dividend in fiscal 2021.</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ind w:firstLine="441"/>
        <w:spacing w:after="0" w:line="277" w:lineRule="auto"/>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total revenues, except where otherwise indicated. Percentages do total due to immaterial rounding:</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3400" w:type="dxa"/>
            <w:vAlign w:val="bottom"/>
            <w:gridSpan w:val="4"/>
          </w:tcPr>
          <w:p>
            <w:pPr>
              <w:jc w:val="right"/>
              <w:ind w:right="1100"/>
              <w:spacing w:after="0"/>
              <w:rPr>
                <w:sz w:val="20"/>
                <w:szCs w:val="20"/>
                <w:color w:val="auto"/>
              </w:rPr>
            </w:pPr>
            <w:r>
              <w:rPr>
                <w:rFonts w:ascii="Arial" w:cs="Arial" w:eastAsia="Arial" w:hAnsi="Arial"/>
                <w:sz w:val="18"/>
                <w:szCs w:val="18"/>
                <w:b w:val="1"/>
                <w:bCs w:val="1"/>
                <w:color w:val="auto"/>
              </w:rPr>
              <w:t>Fiscal year ended</w:t>
            </w:r>
          </w:p>
        </w:tc>
      </w:tr>
      <w:tr>
        <w:trPr>
          <w:trHeight w:val="191"/>
        </w:trPr>
        <w:tc>
          <w:tcPr>
            <w:tcW w:w="5580" w:type="dxa"/>
            <w:vAlign w:val="bottom"/>
          </w:tcPr>
          <w:p>
            <w:pPr>
              <w:spacing w:after="0"/>
              <w:rPr>
                <w:sz w:val="16"/>
                <w:szCs w:val="16"/>
                <w:color w:val="auto"/>
              </w:rPr>
            </w:pPr>
          </w:p>
        </w:tc>
        <w:tc>
          <w:tcPr>
            <w:tcW w:w="174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2"/>
              </w:rPr>
              <w:t>January 29,</w:t>
            </w:r>
          </w:p>
        </w:tc>
        <w:tc>
          <w:tcPr>
            <w:tcW w:w="150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rPr>
              <w:t>January 30,</w:t>
            </w:r>
          </w:p>
        </w:tc>
        <w:tc>
          <w:tcPr>
            <w:tcW w:w="160" w:type="dxa"/>
            <w:vAlign w:val="bottom"/>
          </w:tcPr>
          <w:p>
            <w:pPr>
              <w:spacing w:after="0"/>
              <w:rPr>
                <w:sz w:val="16"/>
                <w:szCs w:val="16"/>
                <w:color w:val="auto"/>
              </w:rPr>
            </w:pPr>
          </w:p>
        </w:tc>
      </w:tr>
      <w:tr>
        <w:trPr>
          <w:trHeight w:val="234"/>
        </w:trPr>
        <w:tc>
          <w:tcPr>
            <w:tcW w:w="558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09"/>
        </w:trPr>
        <w:tc>
          <w:tcPr>
            <w:tcW w:w="5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580" w:type="dxa"/>
            <w:vAlign w:val="bottom"/>
          </w:tcPr>
          <w:p>
            <w:pPr>
              <w:ind w:left="340"/>
              <w:spacing w:after="0"/>
              <w:rPr>
                <w:sz w:val="20"/>
                <w:szCs w:val="20"/>
                <w:color w:val="auto"/>
              </w:rPr>
            </w:pPr>
            <w:r>
              <w:rPr>
                <w:rFonts w:ascii="Arial" w:cs="Arial" w:eastAsia="Arial" w:hAnsi="Arial"/>
                <w:sz w:val="18"/>
                <w:szCs w:val="18"/>
                <w:color w:val="auto"/>
              </w:rPr>
              <w:t>Net retail sales</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96.6%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97.6%</w:t>
            </w:r>
          </w:p>
        </w:tc>
      </w:tr>
      <w:tr>
        <w:trPr>
          <w:trHeight w:val="216"/>
        </w:trPr>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revenue</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r>
      <w:tr>
        <w:trPr>
          <w:trHeight w:val="216"/>
        </w:trPr>
        <w:tc>
          <w:tcPr>
            <w:tcW w:w="5580" w:type="dxa"/>
            <w:vAlign w:val="bottom"/>
          </w:tcPr>
          <w:p>
            <w:pPr>
              <w:ind w:left="340"/>
              <w:spacing w:after="0"/>
              <w:rPr>
                <w:sz w:val="20"/>
                <w:szCs w:val="20"/>
                <w:color w:val="auto"/>
              </w:rPr>
            </w:pPr>
            <w:r>
              <w:rPr>
                <w:rFonts w:ascii="Arial" w:cs="Arial" w:eastAsia="Arial" w:hAnsi="Arial"/>
                <w:sz w:val="18"/>
                <w:szCs w:val="18"/>
                <w:color w:val="auto"/>
              </w:rPr>
              <w:t>International franchising</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r>
      <w:tr>
        <w:trPr>
          <w:trHeight w:val="20"/>
        </w:trPr>
        <w:tc>
          <w:tcPr>
            <w:tcW w:w="55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5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 revenues</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r>
      <w:tr>
        <w:trPr>
          <w:trHeight w:val="210"/>
        </w:trPr>
        <w:tc>
          <w:tcPr>
            <w:tcW w:w="558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58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Cost of merchandise sold - retail </w:t>
            </w:r>
            <w:r>
              <w:rPr>
                <w:rFonts w:ascii="Arial" w:cs="Arial" w:eastAsia="Arial" w:hAnsi="Arial"/>
                <w:sz w:val="25"/>
                <w:szCs w:val="25"/>
                <w:color w:val="auto"/>
                <w:vertAlign w:val="superscript"/>
              </w:rPr>
              <w:t>(1)</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46.9</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59.3</w:t>
            </w:r>
          </w:p>
        </w:tc>
      </w:tr>
      <w:tr>
        <w:trPr>
          <w:trHeight w:val="216"/>
        </w:trPr>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Store asset impairment</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r>
      <w:tr>
        <w:trPr>
          <w:trHeight w:val="216"/>
        </w:trPr>
        <w:tc>
          <w:tcPr>
            <w:tcW w:w="558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Cost of merchandise sold - commercial </w:t>
            </w:r>
            <w:r>
              <w:rPr>
                <w:rFonts w:ascii="Arial" w:cs="Arial" w:eastAsia="Arial" w:hAnsi="Arial"/>
                <w:sz w:val="25"/>
                <w:szCs w:val="25"/>
                <w:color w:val="auto"/>
                <w:vertAlign w:val="superscript"/>
              </w:rPr>
              <w:t>(1)</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49.1</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41.5</w:t>
            </w:r>
          </w:p>
        </w:tc>
      </w:tr>
      <w:tr>
        <w:trPr>
          <w:trHeight w:val="216"/>
        </w:trPr>
        <w:tc>
          <w:tcPr>
            <w:tcW w:w="558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 xml:space="preserve">Cost of merchandise sold - international franchising </w:t>
            </w:r>
            <w:r>
              <w:rPr>
                <w:rFonts w:ascii="Arial" w:cs="Arial" w:eastAsia="Arial" w:hAnsi="Arial"/>
                <w:sz w:val="25"/>
                <w:szCs w:val="25"/>
                <w:color w:val="auto"/>
                <w:vertAlign w:val="superscript"/>
              </w:rPr>
              <w:t>(1)</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66.1</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w:t>
            </w:r>
          </w:p>
        </w:tc>
      </w:tr>
      <w:tr>
        <w:trPr>
          <w:trHeight w:val="20"/>
        </w:trPr>
        <w:tc>
          <w:tcPr>
            <w:tcW w:w="55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580" w:type="dxa"/>
            <w:vAlign w:val="bottom"/>
          </w:tcPr>
          <w:p>
            <w:pPr>
              <w:ind w:left="980"/>
              <w:spacing w:after="0"/>
              <w:rPr>
                <w:sz w:val="20"/>
                <w:szCs w:val="20"/>
                <w:color w:val="auto"/>
              </w:rPr>
            </w:pPr>
            <w:r>
              <w:rPr>
                <w:rFonts w:ascii="Arial" w:cs="Arial" w:eastAsia="Arial" w:hAnsi="Arial"/>
                <w:sz w:val="18"/>
                <w:szCs w:val="18"/>
                <w:color w:val="auto"/>
              </w:rPr>
              <w:t>Total cost of merchandise sold</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47.0</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61.8</w:t>
            </w:r>
          </w:p>
        </w:tc>
      </w:tr>
      <w:tr>
        <w:trPr>
          <w:trHeight w:val="20"/>
        </w:trPr>
        <w:tc>
          <w:tcPr>
            <w:tcW w:w="55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gross profit</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53.0</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w:t>
            </w:r>
          </w:p>
        </w:tc>
      </w:tr>
      <w:tr>
        <w:trPr>
          <w:trHeight w:val="216"/>
        </w:trPr>
        <w:tc>
          <w:tcPr>
            <w:tcW w:w="55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40.6</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46.1</w:t>
            </w:r>
          </w:p>
        </w:tc>
      </w:tr>
      <w:tr>
        <w:trPr>
          <w:trHeight w:val="216"/>
        </w:trPr>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 expense, net</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r>
      <w:tr>
        <w:trPr>
          <w:trHeight w:val="20"/>
        </w:trPr>
        <w:tc>
          <w:tcPr>
            <w:tcW w:w="55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580" w:type="dxa"/>
            <w:vAlign w:val="bottom"/>
          </w:tcPr>
          <w:p>
            <w:pPr>
              <w:ind w:left="980"/>
              <w:spacing w:after="0"/>
              <w:rPr>
                <w:sz w:val="20"/>
                <w:szCs w:val="20"/>
                <w:color w:val="auto"/>
              </w:rPr>
            </w:pPr>
            <w:r>
              <w:rPr>
                <w:rFonts w:ascii="Arial" w:cs="Arial" w:eastAsia="Arial" w:hAnsi="Arial"/>
                <w:sz w:val="18"/>
                <w:szCs w:val="18"/>
                <w:color w:val="auto"/>
              </w:rPr>
              <w:t>Income (loss) before income taxes</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12.3</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r>
      <w:tr>
        <w:trPr>
          <w:trHeight w:val="20"/>
        </w:trPr>
        <w:tc>
          <w:tcPr>
            <w:tcW w:w="55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580" w:type="dxa"/>
            <w:vAlign w:val="bottom"/>
          </w:tcPr>
          <w:p>
            <w:pPr>
              <w:ind w:left="980"/>
              <w:spacing w:after="0"/>
              <w:rPr>
                <w:sz w:val="20"/>
                <w:szCs w:val="20"/>
                <w:color w:val="auto"/>
              </w:rPr>
            </w:pPr>
            <w:r>
              <w:rPr>
                <w:rFonts w:ascii="Arial" w:cs="Arial" w:eastAsia="Arial" w:hAnsi="Arial"/>
                <w:sz w:val="18"/>
                <w:szCs w:val="18"/>
                <w:color w:val="auto"/>
              </w:rPr>
              <w:t>Net income (loss)</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11.5</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0"/>
        </w:trPr>
        <w:tc>
          <w:tcPr>
            <w:tcW w:w="55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5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390"/>
        </w:trPr>
        <w:tc>
          <w:tcPr>
            <w:tcW w:w="5580" w:type="dxa"/>
            <w:vAlign w:val="bottom"/>
          </w:tcPr>
          <w:p>
            <w:pPr>
              <w:ind w:left="20"/>
              <w:spacing w:after="0"/>
              <w:rPr>
                <w:sz w:val="20"/>
                <w:szCs w:val="20"/>
                <w:color w:val="auto"/>
              </w:rPr>
            </w:pPr>
            <w:r>
              <w:rPr>
                <w:rFonts w:ascii="Arial" w:cs="Arial" w:eastAsia="Arial" w:hAnsi="Arial"/>
                <w:sz w:val="18"/>
                <w:szCs w:val="18"/>
                <w:color w:val="auto"/>
              </w:rPr>
              <w:t xml:space="preserve">Retail gross margin </w:t>
            </w:r>
            <w:r>
              <w:rPr>
                <w:rFonts w:ascii="Arial" w:cs="Arial" w:eastAsia="Arial" w:hAnsi="Arial"/>
                <w:sz w:val="29"/>
                <w:szCs w:val="29"/>
                <w:color w:val="auto"/>
                <w:vertAlign w:val="superscript"/>
              </w:rPr>
              <w:t>(2)</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53.1%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40.7%</w:t>
            </w:r>
          </w:p>
        </w:tc>
      </w:tr>
    </w:tbl>
    <w:p>
      <w:pPr>
        <w:spacing w:after="0" w:line="28" w:lineRule="exact"/>
        <w:rPr>
          <w:sz w:val="20"/>
          <w:szCs w:val="20"/>
          <w:color w:val="auto"/>
        </w:rPr>
      </w:pPr>
    </w:p>
    <w:p>
      <w:pPr>
        <w:ind w:left="440" w:hanging="432"/>
        <w:spacing w:after="0" w:line="291" w:lineRule="auto"/>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ind w:left="440" w:right="420" w:hanging="432"/>
        <w:spacing w:after="0" w:line="260"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merchandise sold – retail; retail gross margin percentage represents retail gross margin divided by net retail sales.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Ended January 29, 2022 Compared to Fiscal Year Ended January 30, 2021</w:t>
      </w:r>
    </w:p>
    <w:p>
      <w:pPr>
        <w:spacing w:after="0" w:line="22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Net retail sales were $397.7 million for fiscal 2021, compared to $249.2 million for fiscal 2020, an increase of $148.5 million or 59.6%,</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an increase in North America of $138.0 million or 62.7% and in Europe of $17.5 million or 51.8%. The components of this increase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9"/>
              </w:rPr>
              <w:t>Fiscal year ended</w:t>
            </w:r>
          </w:p>
        </w:tc>
        <w:tc>
          <w:tcPr>
            <w:tcW w:w="11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2"/>
              </w:rPr>
              <w:t>January 29, 2022</w:t>
            </w: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(dollars in millions)</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from:</w:t>
            </w:r>
          </w:p>
        </w:tc>
        <w:tc>
          <w:tcPr>
            <w:tcW w:w="4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Existing stores</w:t>
            </w:r>
          </w:p>
        </w:tc>
        <w:tc>
          <w:tcPr>
            <w:tcW w:w="4800" w:type="dxa"/>
            <w:vAlign w:val="bottom"/>
            <w:gridSpan w:val="2"/>
          </w:tcPr>
          <w:p>
            <w:pPr>
              <w:ind w:left="4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138.0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E-commerce</w:t>
            </w:r>
          </w:p>
        </w:tc>
        <w:tc>
          <w:tcPr>
            <w:tcW w:w="4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New stores</w:t>
            </w:r>
          </w:p>
        </w:tc>
        <w:tc>
          <w:tcPr>
            <w:tcW w:w="4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 closures</w:t>
            </w:r>
          </w:p>
        </w:tc>
        <w:tc>
          <w:tcPr>
            <w:tcW w:w="4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Gift card breakage</w:t>
            </w:r>
          </w:p>
        </w:tc>
        <w:tc>
          <w:tcPr>
            <w:tcW w:w="4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1140" w:type="dxa"/>
            <w:vAlign w:val="bottom"/>
          </w:tcPr>
          <w:p>
            <w:pPr>
              <w:spacing w:after="0"/>
              <w:rPr>
                <w:sz w:val="18"/>
                <w:szCs w:val="18"/>
                <w:color w:val="auto"/>
              </w:rPr>
            </w:pPr>
          </w:p>
        </w:tc>
      </w:tr>
      <w:tr>
        <w:trPr>
          <w:trHeight w:val="230"/>
        </w:trPr>
        <w:tc>
          <w:tcPr>
            <w:tcW w:w="112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estimates</w:t>
            </w:r>
          </w:p>
        </w:tc>
        <w:tc>
          <w:tcPr>
            <w:tcW w:w="4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1140" w:type="dxa"/>
            <w:vAlign w:val="bottom"/>
          </w:tcPr>
          <w:p>
            <w:pPr>
              <w:spacing w:after="0"/>
              <w:rPr>
                <w:sz w:val="19"/>
                <w:szCs w:val="19"/>
                <w:color w:val="auto"/>
              </w:rPr>
            </w:pPr>
          </w:p>
        </w:tc>
      </w:tr>
      <w:tr>
        <w:trPr>
          <w:trHeight w:val="216"/>
        </w:trPr>
        <w:tc>
          <w:tcPr>
            <w:tcW w:w="112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4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3240" w:type="dxa"/>
            <w:vAlign w:val="bottom"/>
            <w:shd w:val="clear" w:color="auto" w:fill="CCEEFF"/>
          </w:tcPr>
          <w:p>
            <w:pPr>
              <w:spacing w:after="0"/>
              <w:rPr>
                <w:sz w:val="21"/>
                <w:szCs w:val="21"/>
                <w:color w:val="auto"/>
              </w:rPr>
            </w:pPr>
          </w:p>
        </w:tc>
        <w:tc>
          <w:tcPr>
            <w:tcW w:w="4800" w:type="dxa"/>
            <w:vAlign w:val="bottom"/>
            <w:gridSpan w:val="2"/>
            <w:shd w:val="clear" w:color="auto" w:fill="CCEEFF"/>
          </w:tcPr>
          <w:p>
            <w:pPr>
              <w:ind w:left="4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148.5</w:t>
            </w:r>
          </w:p>
        </w:tc>
        <w:tc>
          <w:tcPr>
            <w:tcW w:w="1140" w:type="dxa"/>
            <w:vAlign w:val="bottom"/>
          </w:tcPr>
          <w:p>
            <w:pPr>
              <w:spacing w:after="0"/>
              <w:rPr>
                <w:sz w:val="21"/>
                <w:szCs w:val="21"/>
                <w:color w:val="auto"/>
              </w:rPr>
            </w:pPr>
          </w:p>
        </w:tc>
      </w:tr>
      <w:tr>
        <w:trPr>
          <w:trHeight w:val="412"/>
        </w:trPr>
        <w:tc>
          <w:tcPr>
            <w:tcW w:w="1120" w:type="dxa"/>
            <w:vAlign w:val="bottom"/>
          </w:tcPr>
          <w:p>
            <w:pPr>
              <w:spacing w:after="0"/>
              <w:rPr>
                <w:sz w:val="24"/>
                <w:szCs w:val="24"/>
                <w:color w:val="auto"/>
              </w:rPr>
            </w:pPr>
          </w:p>
        </w:tc>
        <w:tc>
          <w:tcPr>
            <w:tcW w:w="3240" w:type="dxa"/>
            <w:vAlign w:val="bottom"/>
            <w:tcBorders>
              <w:top w:val="single" w:sz="8" w:color="CCEEFF"/>
            </w:tcBorders>
          </w:tcPr>
          <w:p>
            <w:pPr>
              <w:spacing w:after="0"/>
              <w:rPr>
                <w:sz w:val="24"/>
                <w:szCs w:val="24"/>
                <w:color w:val="auto"/>
              </w:rPr>
            </w:pPr>
          </w:p>
        </w:tc>
        <w:tc>
          <w:tcPr>
            <w:tcW w:w="4240" w:type="dxa"/>
            <w:vAlign w:val="bottom"/>
            <w:tcBorders>
              <w:top w:val="single" w:sz="8" w:color="CCEEFF"/>
            </w:tcBorders>
          </w:tcPr>
          <w:p>
            <w:pPr>
              <w:jc w:val="right"/>
              <w:ind w:right="2790"/>
              <w:spacing w:after="0"/>
              <w:rPr>
                <w:sz w:val="20"/>
                <w:szCs w:val="20"/>
                <w:color w:val="auto"/>
              </w:rPr>
            </w:pPr>
            <w:r>
              <w:rPr>
                <w:rFonts w:ascii="Arial" w:cs="Arial" w:eastAsia="Arial" w:hAnsi="Arial"/>
                <w:sz w:val="18"/>
                <w:szCs w:val="18"/>
                <w:color w:val="auto"/>
              </w:rPr>
              <w:t>27</w:t>
            </w:r>
          </w:p>
        </w:tc>
        <w:tc>
          <w:tcPr>
            <w:tcW w:w="5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27" w:name="page28"/>
    <w:bookmarkEnd w:id="27"/>
    <w:p>
      <w:pPr>
        <w:ind w:right="280" w:firstLine="486"/>
        <w:spacing w:after="0" w:line="277" w:lineRule="auto"/>
        <w:rPr>
          <w:sz w:val="20"/>
          <w:szCs w:val="20"/>
          <w:color w:val="auto"/>
        </w:rPr>
      </w:pPr>
      <w:r>
        <w:rPr>
          <w:rFonts w:ascii="Arial" w:cs="Arial" w:eastAsia="Arial" w:hAnsi="Arial"/>
          <w:sz w:val="18"/>
          <w:szCs w:val="18"/>
          <w:color w:val="auto"/>
        </w:rPr>
        <w:t>The retail revenue increase was primarily the result of the increase in store operating days of corporately-managed stores due to a reduced impact from COVID in fiscal 2021 and consolidated e-commerce sales.</w:t>
      </w:r>
    </w:p>
    <w:p>
      <w:pPr>
        <w:spacing w:after="0" w:line="170"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Commercial revenue was $11.5 million for fiscal 2021 compared to $4.4 million for fiscal 2020, an increase of $7.1 million or 159.9% primarily due to increased sales volume from our commercial accounts versus the prior year which was impacted by pandemic driven closures of third-party retail locations serviced by these customers.</w:t>
      </w:r>
    </w:p>
    <w:p>
      <w:pPr>
        <w:spacing w:after="0" w:line="184" w:lineRule="exact"/>
        <w:rPr>
          <w:sz w:val="20"/>
          <w:szCs w:val="20"/>
          <w:color w:val="auto"/>
        </w:rPr>
      </w:pPr>
    </w:p>
    <w:p>
      <w:pPr>
        <w:jc w:val="both"/>
        <w:ind w:right="20" w:firstLine="441"/>
        <w:spacing w:after="0" w:line="263" w:lineRule="auto"/>
        <w:rPr>
          <w:sz w:val="20"/>
          <w:szCs w:val="20"/>
          <w:color w:val="auto"/>
        </w:rPr>
      </w:pPr>
      <w:r>
        <w:rPr>
          <w:rFonts w:ascii="Arial" w:cs="Arial" w:eastAsia="Arial" w:hAnsi="Arial"/>
          <w:sz w:val="18"/>
          <w:szCs w:val="18"/>
          <w:color w:val="auto"/>
        </w:rPr>
        <w:t>Revenue from international franchising was $2.3 million for fiscal 2021 compared to $1.7 million for fiscal 2020. This $0.7 million or 39.0% increase was primarily due to having more stores in operation in 2021 compared to the same period in 2020 when significantly more locations were temporarily closed due to pandemic-related mandated government restrictions.</w:t>
      </w:r>
    </w:p>
    <w:p>
      <w:pPr>
        <w:spacing w:after="0" w:line="184"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i w:val="1"/>
          <w:iCs w:val="1"/>
          <w:color w:val="auto"/>
        </w:rPr>
        <w:t>Retail gross margin</w:t>
      </w:r>
      <w:r>
        <w:rPr>
          <w:rFonts w:ascii="Arial" w:cs="Arial" w:eastAsia="Arial" w:hAnsi="Arial"/>
          <w:sz w:val="17"/>
          <w:szCs w:val="17"/>
          <w:color w:val="auto"/>
        </w:rPr>
        <w:t>. Retail gross margin was $211.3 million in fiscal 2021 compared to $101.4 million in fiscal 2020, an increase of $109.9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or 108.3% As a percentage of net retail sales, retail gross margin increased to 53.1% for fiscal 2021 from 40.7% for fiscal 2020, or 1,240 basis points as a percentage of net retail sales. The increase in gross margin was the result of growth in total revenues driving increased leverage of fixed occupancy costs of 1,048 basis points compared to the prior year, overall lower promotional activity resulting is less discounts, and strategic price increases on highly sought-after products. These strong results were partially offset by increased air and ocean freight costs.</w:t>
      </w:r>
    </w:p>
    <w:p>
      <w:pPr>
        <w:spacing w:after="0" w:line="17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i w:val="1"/>
          <w:iCs w:val="1"/>
          <w:color w:val="auto"/>
        </w:rPr>
        <w:t xml:space="preserve">Impairment of long-lived assets, including right-of-use assets. </w:t>
      </w:r>
      <w:r>
        <w:rPr>
          <w:rFonts w:ascii="Arial" w:cs="Arial" w:eastAsia="Arial" w:hAnsi="Arial"/>
          <w:sz w:val="18"/>
          <w:szCs w:val="18"/>
          <w:color w:val="auto"/>
        </w:rPr>
        <w:t>We incurred no impairment charges in fiscal 2021. This compared to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of $7.3 million recorded in fiscal 2020.</w:t>
      </w:r>
    </w:p>
    <w:p>
      <w:pPr>
        <w:spacing w:after="0" w:line="170"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i w:val="1"/>
          <w:iCs w:val="1"/>
          <w:color w:val="auto"/>
        </w:rPr>
        <w:t>Selling, general and administrative</w:t>
      </w:r>
      <w:r>
        <w:rPr>
          <w:rFonts w:ascii="Arial" w:cs="Arial" w:eastAsia="Arial" w:hAnsi="Arial"/>
          <w:sz w:val="17"/>
          <w:szCs w:val="17"/>
          <w:color w:val="auto"/>
        </w:rPr>
        <w:t>. Selling, general and administrative expenses were $167.3 million or 40.6% of consolidated revenue for</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2021 as compared to $117.6 million or 46.1% of consolidated revenue for fiscal 2020. The primary increase in overall expense was primarily due to higher labor costs given the re-opening of our store base, the recording of full corporate salaries in fiscal 2021 as opposed to the prior year, and an increase incentive compensation expense due to our financial performance. Additionally, we saw an increase in advertising expense of $8.3 million or 102.5% driven by depressed advertising spend in fiscal 2020 while we were in a cash management position due to COVID.</w:t>
      </w:r>
    </w:p>
    <w:p>
      <w:pPr>
        <w:spacing w:after="0" w:line="176"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i w:val="1"/>
          <w:iCs w:val="1"/>
          <w:color w:val="auto"/>
        </w:rPr>
        <w:t>Interest expense (income)</w:t>
      </w:r>
      <w:r>
        <w:rPr>
          <w:rFonts w:ascii="Arial" w:cs="Arial" w:eastAsia="Arial" w:hAnsi="Arial"/>
          <w:sz w:val="18"/>
          <w:szCs w:val="18"/>
          <w:color w:val="auto"/>
        </w:rPr>
        <w:t>,</w:t>
      </w:r>
      <w:r>
        <w:rPr>
          <w:rFonts w:ascii="Arial" w:cs="Arial" w:eastAsia="Arial" w:hAnsi="Arial"/>
          <w:sz w:val="18"/>
          <w:szCs w:val="18"/>
          <w:i w:val="1"/>
          <w:iCs w:val="1"/>
          <w:color w:val="auto"/>
        </w:rPr>
        <w:t xml:space="preserve"> net. </w:t>
      </w:r>
      <w:r>
        <w:rPr>
          <w:rFonts w:ascii="Arial" w:cs="Arial" w:eastAsia="Arial" w:hAnsi="Arial"/>
          <w:sz w:val="18"/>
          <w:szCs w:val="18"/>
          <w:color w:val="auto"/>
        </w:rPr>
        <w:t>For fiscal 2021, we had an immaterial amount of interest income compared to an immaterial amount of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in fiscal 2020, resulting in an immaterial difference in activity.</w:t>
      </w:r>
    </w:p>
    <w:p>
      <w:pPr>
        <w:spacing w:after="0" w:line="170"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The provision for income taxes was $3.4 million in fiscal 2021 compared to $2.8 million in fiscal 2020. The 2021</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rate of 6.8% differed from the statutory rate of 21% primarily due to the tax benefit resulting from the reversal of the valuation allowance in North America of $7.8 million. The 2020 effective rate of (13.9%) differed from the statutory rate of 21% primarily due to no tax benefit being recorded on the pretax loss as a full valuation allowance had been recorded globally. Fiscal 2020 was also impacted by the $3.3 million valuation allowance recorded on the beginning balance of the net deferred tax assets in certain jurisdictions.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use the term “store contribution” throughout this Annual Report on Form 10-K. Store contribution consists of income (loss) before income tax expense, interest, general and administrative expense, excluding income from franchise and commercial activities and contribution from our e-commerce sites, locations, other than periods of temporary government-mandated closures, for the full fiscal year and adjustments to deferred revenue related to our loyalty program and gift card breakage. This term, as we define it, may not be comparable to similarly titled measures used by other companies and is not a measure of performance presented in accordance with U.S. generally accepted accounting principles (“GAAP”). We use store contribution as a measure of our stores’ operating performance.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ind w:firstLine="486"/>
        <w:spacing w:after="0" w:line="257" w:lineRule="auto"/>
        <w:rPr>
          <w:sz w:val="20"/>
          <w:szCs w:val="20"/>
          <w:color w:val="auto"/>
        </w:rPr>
      </w:pPr>
      <w:r>
        <w:rPr>
          <w:rFonts w:ascii="Arial" w:cs="Arial" w:eastAsia="Arial" w:hAnsi="Arial"/>
          <w:sz w:val="18"/>
          <w:szCs w:val="18"/>
          <w:color w:val="auto"/>
        </w:rPr>
        <w:t>Store contribution should not be considered a substitute for net income, net income per store, cash flows provided by operating activities, cash flows provided by operating activities per store, or other income or cash flow data prepared in accordance with U.S. GAAP. Additionally, store-level performance measures are inherently limited in that they exclude certain expenses that are recurring in nature and are necessary to support the operation and development of our stores. We believe store contribution is useful to investors in evaluating our operating performance because it, along with the number of stores in operation, directly impacts our profitability.</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table sets forth a reconciliation of store contribution to net income (loss) for our corporately-managed stores located in the U.S., Canada and Puerto Rico (collectively “North America”); stores located in the U.K. and Ireland (collectively “Europe”); and China, for our consolidated store base (dollars in thousands). For fiscal 2021, corporately-managed stores included are those that were not newly opened or permanently closed in fiscal 2021. For year-over-year comparison purposes, temporarily closed stores in fiscal 2020 were included in the below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9"/>
              </w:rPr>
              <w:t>Fiscal 2021</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89"/>
              </w:rPr>
              <w:t>Fiscal 2020</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580"/>
              <w:spacing w:after="0" w:line="191" w:lineRule="exact"/>
              <w:rPr>
                <w:sz w:val="20"/>
                <w:szCs w:val="20"/>
                <w:color w:val="auto"/>
              </w:rPr>
            </w:pPr>
            <w:r>
              <w:rPr>
                <w:rFonts w:ascii="Arial" w:cs="Arial" w:eastAsia="Arial" w:hAnsi="Arial"/>
                <w:sz w:val="18"/>
                <w:szCs w:val="18"/>
                <w:b w:val="1"/>
                <w:bCs w:val="1"/>
                <w:color w:val="auto"/>
              </w:rPr>
              <w:t>North</w:t>
            </w:r>
          </w:p>
        </w:tc>
        <w:tc>
          <w:tcPr>
            <w:tcW w:w="120" w:type="dxa"/>
            <w:vAlign w:val="bottom"/>
          </w:tcPr>
          <w:p>
            <w:pPr>
              <w:spacing w:after="0"/>
              <w:rPr>
                <w:sz w:val="16"/>
                <w:szCs w:val="16"/>
                <w:color w:val="auto"/>
              </w:rPr>
            </w:pPr>
          </w:p>
        </w:tc>
        <w:tc>
          <w:tcPr>
            <w:tcW w:w="124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3"/>
              </w:rPr>
              <w:t>Europe</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500"/>
              <w:spacing w:after="0" w:line="191" w:lineRule="exact"/>
              <w:rPr>
                <w:sz w:val="20"/>
                <w:szCs w:val="20"/>
                <w:color w:val="auto"/>
              </w:rPr>
            </w:pPr>
            <w:r>
              <w:rPr>
                <w:rFonts w:ascii="Arial" w:cs="Arial" w:eastAsia="Arial" w:hAnsi="Arial"/>
                <w:sz w:val="18"/>
                <w:szCs w:val="18"/>
                <w:color w:val="auto"/>
                <w:w w:val="95"/>
              </w:rPr>
              <w:t>North</w:t>
            </w:r>
          </w:p>
        </w:tc>
        <w:tc>
          <w:tcPr>
            <w:tcW w:w="100" w:type="dxa"/>
            <w:vAlign w:val="bottom"/>
          </w:tcPr>
          <w:p>
            <w:pPr>
              <w:spacing w:after="0"/>
              <w:rPr>
                <w:sz w:val="16"/>
                <w:szCs w:val="16"/>
                <w:color w:val="auto"/>
              </w:rPr>
            </w:pPr>
          </w:p>
        </w:tc>
        <w:tc>
          <w:tcPr>
            <w:tcW w:w="1280" w:type="dxa"/>
            <w:vAlign w:val="bottom"/>
            <w:gridSpan w:val="2"/>
          </w:tcPr>
          <w:p>
            <w:pPr>
              <w:jc w:val="right"/>
              <w:ind w:right="560"/>
              <w:spacing w:after="0" w:line="191" w:lineRule="exact"/>
              <w:rPr>
                <w:sz w:val="20"/>
                <w:szCs w:val="20"/>
                <w:color w:val="auto"/>
              </w:rPr>
            </w:pPr>
            <w:r>
              <w:rPr>
                <w:rFonts w:ascii="Arial" w:cs="Arial" w:eastAsia="Arial" w:hAnsi="Arial"/>
                <w:sz w:val="18"/>
                <w:szCs w:val="18"/>
                <w:color w:val="auto"/>
              </w:rPr>
              <w:t>Europe</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America</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and China</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3"/>
              </w:rPr>
              <w:t>America</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7"/>
              </w:rPr>
              <w:t>and China</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43,182</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4,083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47,265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(22,983)</w:t>
            </w:r>
          </w:p>
        </w:tc>
        <w:tc>
          <w:tcPr>
            <w:tcW w:w="0" w:type="dxa"/>
            <w:vAlign w:val="bottom"/>
          </w:tcPr>
          <w:p>
            <w:pPr>
              <w:spacing w:after="0"/>
              <w:rPr>
                <w:sz w:val="1"/>
                <w:szCs w:val="1"/>
                <w:color w:val="auto"/>
              </w:rPr>
            </w:pP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rPr>
              <w:t>Items excluded: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3,445</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3,445</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2,796</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16"/>
        </w:trPr>
        <w:tc>
          <w:tcPr>
            <w:tcW w:w="3020" w:type="dxa"/>
            <w:vAlign w:val="bottom"/>
          </w:tcPr>
          <w:p>
            <w:pPr>
              <w:ind w:left="340"/>
              <w:spacing w:after="0"/>
              <w:rPr>
                <w:sz w:val="20"/>
                <w:szCs w:val="20"/>
                <w:color w:val="auto"/>
              </w:rPr>
            </w:pPr>
            <w:r>
              <w:rPr>
                <w:rFonts w:ascii="Arial" w:cs="Arial" w:eastAsia="Arial" w:hAnsi="Arial"/>
                <w:sz w:val="18"/>
                <w:szCs w:val="18"/>
                <w:color w:val="auto"/>
              </w:rPr>
              <w:t>Interest (income) expense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Store asset impairment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5,429</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1,917</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7,346</w:t>
            </w:r>
          </w:p>
        </w:tc>
        <w:tc>
          <w:tcPr>
            <w:tcW w:w="0" w:type="dxa"/>
            <w:vAlign w:val="bottom"/>
          </w:tcPr>
          <w:p>
            <w:pPr>
              <w:spacing w:after="0"/>
              <w:rPr>
                <w:sz w:val="1"/>
                <w:szCs w:val="1"/>
                <w:color w:val="auto"/>
              </w:rPr>
            </w:pPr>
          </w:p>
        </w:tc>
      </w:tr>
      <w:tr>
        <w:trPr>
          <w:trHeight w:val="202"/>
        </w:trPr>
        <w:tc>
          <w:tcPr>
            <w:tcW w:w="3020" w:type="dxa"/>
            <w:vAlign w:val="bottom"/>
          </w:tcPr>
          <w:p>
            <w:pPr>
              <w:ind w:left="340"/>
              <w:spacing w:after="0" w:line="201" w:lineRule="exact"/>
              <w:rPr>
                <w:sz w:val="20"/>
                <w:szCs w:val="20"/>
                <w:color w:val="auto"/>
              </w:rPr>
            </w:pPr>
            <w:r>
              <w:rPr>
                <w:rFonts w:ascii="Arial" w:cs="Arial" w:eastAsia="Arial" w:hAnsi="Arial"/>
                <w:sz w:val="18"/>
                <w:szCs w:val="18"/>
                <w:color w:val="auto"/>
              </w:rPr>
              <w:t>Non-store related general and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340"/>
              <w:spacing w:after="0" w:line="230" w:lineRule="exact"/>
              <w:rPr>
                <w:sz w:val="20"/>
                <w:szCs w:val="20"/>
                <w:color w:val="auto"/>
              </w:rPr>
            </w:pPr>
            <w:r>
              <w:rPr>
                <w:rFonts w:ascii="Arial" w:cs="Arial" w:eastAsia="Arial" w:hAnsi="Arial"/>
                <w:sz w:val="16"/>
                <w:szCs w:val="16"/>
                <w:color w:val="auto"/>
              </w:rPr>
              <w:t xml:space="preserve">administrative expense </w:t>
            </w:r>
            <w:r>
              <w:rPr>
                <w:rFonts w:ascii="Arial" w:cs="Arial" w:eastAsia="Arial" w:hAnsi="Arial"/>
                <w:sz w:val="26"/>
                <w:szCs w:val="26"/>
                <w:color w:val="auto"/>
                <w:vertAlign w:val="superscript"/>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57,888</w:t>
            </w:r>
          </w:p>
        </w:tc>
        <w:tc>
          <w:tcPr>
            <w:tcW w:w="12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4,660</w:t>
            </w:r>
          </w:p>
        </w:tc>
        <w:tc>
          <w:tcPr>
            <w:tcW w:w="2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62,548</w:t>
            </w:r>
          </w:p>
        </w:tc>
        <w:tc>
          <w:tcPr>
            <w:tcW w:w="18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41,972</w:t>
            </w:r>
          </w:p>
        </w:tc>
        <w:tc>
          <w:tcPr>
            <w:tcW w:w="10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2,657</w:t>
            </w:r>
          </w:p>
        </w:tc>
        <w:tc>
          <w:tcPr>
            <w:tcW w:w="2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44,629</w:t>
            </w:r>
          </w:p>
        </w:tc>
        <w:tc>
          <w:tcPr>
            <w:tcW w:w="0" w:type="dxa"/>
            <w:vAlign w:val="bottom"/>
          </w:tcPr>
          <w:p>
            <w:pPr>
              <w:spacing w:after="0"/>
              <w:rPr>
                <w:sz w:val="1"/>
                <w:szCs w:val="1"/>
                <w:color w:val="auto"/>
              </w:rPr>
            </w:pPr>
          </w:p>
        </w:tc>
      </w:tr>
      <w:tr>
        <w:trPr>
          <w:trHeight w:val="202"/>
        </w:trPr>
        <w:tc>
          <w:tcPr>
            <w:tcW w:w="30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Contribution from other retail</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340"/>
              <w:spacing w:after="0" w:line="230" w:lineRule="exact"/>
              <w:rPr>
                <w:sz w:val="20"/>
                <w:szCs w:val="20"/>
                <w:color w:val="auto"/>
              </w:rPr>
            </w:pPr>
            <w:r>
              <w:rPr>
                <w:rFonts w:ascii="Arial" w:cs="Arial" w:eastAsia="Arial" w:hAnsi="Arial"/>
                <w:sz w:val="16"/>
                <w:szCs w:val="16"/>
                <w:color w:val="auto"/>
              </w:rPr>
              <w:t xml:space="preserve">activities </w:t>
            </w:r>
            <w:r>
              <w:rPr>
                <w:rFonts w:ascii="Arial" w:cs="Arial" w:eastAsia="Arial" w:hAnsi="Arial"/>
                <w:sz w:val="26"/>
                <w:szCs w:val="26"/>
                <w:color w:val="auto"/>
                <w:vertAlign w:val="superscript"/>
              </w:rPr>
              <w:t>(2)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(17,493)</w:t>
            </w:r>
          </w:p>
        </w:tc>
        <w:tc>
          <w:tcPr>
            <w:tcW w:w="12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w:t>
            </w:r>
          </w:p>
        </w:tc>
        <w:tc>
          <w:tcPr>
            <w:tcW w:w="22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(18,026)</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(10,632)</w:t>
            </w:r>
          </w:p>
        </w:tc>
        <w:tc>
          <w:tcPr>
            <w:tcW w:w="100" w:type="dxa"/>
            <w:vAlign w:val="bottom"/>
            <w:shd w:val="clear" w:color="auto" w:fill="CCEEFF"/>
          </w:tcPr>
          <w:p>
            <w:pPr>
              <w:spacing w:after="0"/>
              <w:rPr>
                <w:sz w:val="20"/>
                <w:szCs w:val="20"/>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(4,126)</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(14,758)</w:t>
            </w:r>
          </w:p>
        </w:tc>
        <w:tc>
          <w:tcPr>
            <w:tcW w:w="0" w:type="dxa"/>
            <w:vAlign w:val="bottom"/>
          </w:tcPr>
          <w:p>
            <w:pPr>
              <w:spacing w:after="0"/>
              <w:rPr>
                <w:sz w:val="1"/>
                <w:szCs w:val="1"/>
                <w:color w:val="auto"/>
              </w:rPr>
            </w:pPr>
          </w:p>
        </w:tc>
      </w:tr>
      <w:tr>
        <w:trPr>
          <w:trHeight w:val="216"/>
        </w:trPr>
        <w:tc>
          <w:tcPr>
            <w:tcW w:w="302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Other contribution </w:t>
            </w:r>
            <w:r>
              <w:rPr>
                <w:rFonts w:ascii="Arial" w:cs="Arial" w:eastAsia="Arial" w:hAnsi="Arial"/>
                <w:sz w:val="25"/>
                <w:szCs w:val="25"/>
                <w:color w:val="auto"/>
                <w:vertAlign w:val="superscript"/>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(3,245)</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(3,480)</w:t>
            </w:r>
          </w:p>
        </w:tc>
        <w:tc>
          <w:tcPr>
            <w:tcW w:w="1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Store contribution</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83,763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7,984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91,747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15,747</w:t>
            </w:r>
          </w:p>
        </w:tc>
        <w:tc>
          <w:tcPr>
            <w:tcW w:w="0" w:type="dxa"/>
            <w:vAlign w:val="bottom"/>
          </w:tcPr>
          <w:p>
            <w:pPr>
              <w:spacing w:after="0"/>
              <w:rPr>
                <w:sz w:val="1"/>
                <w:szCs w:val="1"/>
                <w:color w:val="auto"/>
              </w:rPr>
            </w:pPr>
          </w:p>
        </w:tc>
      </w:tr>
      <w:tr>
        <w:trPr>
          <w:trHeight w:val="197"/>
        </w:trPr>
        <w:tc>
          <w:tcPr>
            <w:tcW w:w="30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 revenues from external customers</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361,605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49,917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411,522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216,809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38,501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255,310</w:t>
            </w:r>
          </w:p>
        </w:tc>
        <w:tc>
          <w:tcPr>
            <w:tcW w:w="0" w:type="dxa"/>
            <w:vAlign w:val="bottom"/>
          </w:tcPr>
          <w:p>
            <w:pPr>
              <w:spacing w:after="0"/>
              <w:rPr>
                <w:sz w:val="1"/>
                <w:szCs w:val="1"/>
                <w:color w:val="auto"/>
              </w:rPr>
            </w:pP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rPr>
              <w:t>Items excluded: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020" w:type="dxa"/>
            <w:vAlign w:val="bottom"/>
            <w:shd w:val="clear" w:color="auto" w:fill="CCEEFF"/>
          </w:tcPr>
          <w:p>
            <w:pPr>
              <w:ind w:left="340"/>
              <w:spacing w:after="0" w:line="206" w:lineRule="exact"/>
              <w:rPr>
                <w:sz w:val="20"/>
                <w:szCs w:val="20"/>
                <w:color w:val="auto"/>
              </w:rPr>
            </w:pPr>
            <w:r>
              <w:rPr>
                <w:rFonts w:ascii="Arial" w:cs="Arial" w:eastAsia="Arial" w:hAnsi="Arial"/>
                <w:sz w:val="18"/>
                <w:szCs w:val="18"/>
                <w:color w:val="auto"/>
                <w:w w:val="92"/>
              </w:rPr>
              <w:t>Revenues from other retail activities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(61,784)</w:t>
            </w:r>
          </w:p>
        </w:tc>
        <w:tc>
          <w:tcPr>
            <w:tcW w:w="12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396</w:t>
            </w:r>
          </w:p>
        </w:tc>
        <w:tc>
          <w:tcPr>
            <w:tcW w:w="22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(61,388)</w:t>
            </w:r>
          </w:p>
        </w:tc>
        <w:tc>
          <w:tcPr>
            <w:tcW w:w="18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(43,951)</w:t>
            </w:r>
          </w:p>
        </w:tc>
        <w:tc>
          <w:tcPr>
            <w:tcW w:w="10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(19,154)</w:t>
            </w:r>
          </w:p>
        </w:tc>
        <w:tc>
          <w:tcPr>
            <w:tcW w:w="22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(63,105)</w:t>
            </w:r>
          </w:p>
        </w:tc>
        <w:tc>
          <w:tcPr>
            <w:tcW w:w="0" w:type="dxa"/>
            <w:vAlign w:val="bottom"/>
          </w:tcPr>
          <w:p>
            <w:pPr>
              <w:spacing w:after="0"/>
              <w:rPr>
                <w:sz w:val="1"/>
                <w:szCs w:val="1"/>
                <w:color w:val="auto"/>
              </w:rPr>
            </w:pPr>
          </w:p>
        </w:tc>
      </w:tr>
      <w:tr>
        <w:trPr>
          <w:trHeight w:val="186"/>
        </w:trPr>
        <w:tc>
          <w:tcPr>
            <w:tcW w:w="30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tcBorders>
              <w:right w:val="single" w:sz="8" w:color="CCEEFF"/>
            </w:tcBorders>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tcBorders>
              <w:right w:val="single" w:sz="8" w:color="CCEEFF"/>
            </w:tcBorders>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tcBorders>
              <w:right w:val="single" w:sz="8" w:color="CCEEFF"/>
            </w:tcBorders>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020" w:type="dxa"/>
            <w:vAlign w:val="bottom"/>
          </w:tcPr>
          <w:p>
            <w:pPr>
              <w:ind w:left="340"/>
              <w:spacing w:after="0" w:line="201" w:lineRule="exact"/>
              <w:rPr>
                <w:sz w:val="20"/>
                <w:szCs w:val="20"/>
                <w:color w:val="auto"/>
              </w:rPr>
            </w:pPr>
            <w:r>
              <w:rPr>
                <w:rFonts w:ascii="Arial" w:cs="Arial" w:eastAsia="Arial" w:hAnsi="Arial"/>
                <w:sz w:val="18"/>
                <w:szCs w:val="18"/>
                <w:color w:val="auto"/>
              </w:rPr>
              <w:t>Other revenues from external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(12,602)</w:t>
            </w:r>
          </w:p>
        </w:tc>
        <w:tc>
          <w:tcPr>
            <w:tcW w:w="120" w:type="dxa"/>
            <w:vAlign w:val="bottom"/>
          </w:tcPr>
          <w:p>
            <w:pPr>
              <w:spacing w:after="0"/>
              <w:rPr>
                <w:sz w:val="17"/>
                <w:szCs w:val="17"/>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(1,230)</w:t>
            </w:r>
          </w:p>
        </w:tc>
        <w:tc>
          <w:tcPr>
            <w:tcW w:w="220" w:type="dxa"/>
            <w:vAlign w:val="bottom"/>
          </w:tcPr>
          <w:p>
            <w:pPr>
              <w:spacing w:after="0"/>
              <w:rPr>
                <w:sz w:val="17"/>
                <w:szCs w:val="17"/>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(13,832)</w:t>
            </w:r>
          </w:p>
        </w:tc>
        <w:tc>
          <w:tcPr>
            <w:tcW w:w="180" w:type="dxa"/>
            <w:vAlign w:val="bottom"/>
          </w:tcPr>
          <w:p>
            <w:pPr>
              <w:spacing w:after="0"/>
              <w:rPr>
                <w:sz w:val="17"/>
                <w:szCs w:val="17"/>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(5,644)</w:t>
            </w:r>
          </w:p>
        </w:tc>
        <w:tc>
          <w:tcPr>
            <w:tcW w:w="100" w:type="dxa"/>
            <w:vAlign w:val="bottom"/>
          </w:tcPr>
          <w:p>
            <w:pPr>
              <w:spacing w:after="0"/>
              <w:rPr>
                <w:sz w:val="17"/>
                <w:szCs w:val="17"/>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(456)</w:t>
            </w:r>
          </w:p>
        </w:tc>
        <w:tc>
          <w:tcPr>
            <w:tcW w:w="220" w:type="dxa"/>
            <w:vAlign w:val="bottom"/>
          </w:tcPr>
          <w:p>
            <w:pPr>
              <w:spacing w:after="0"/>
              <w:rPr>
                <w:sz w:val="17"/>
                <w:szCs w:val="17"/>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17"/>
        </w:trPr>
        <w:tc>
          <w:tcPr>
            <w:tcW w:w="3020" w:type="dxa"/>
            <w:vAlign w:val="bottom"/>
          </w:tcPr>
          <w:p>
            <w:pPr>
              <w:ind w:left="340"/>
              <w:spacing w:after="0" w:line="217" w:lineRule="exact"/>
              <w:rPr>
                <w:sz w:val="20"/>
                <w:szCs w:val="20"/>
                <w:color w:val="auto"/>
              </w:rPr>
            </w:pPr>
            <w:r>
              <w:rPr>
                <w:rFonts w:ascii="Arial" w:cs="Arial" w:eastAsia="Arial" w:hAnsi="Arial"/>
                <w:sz w:val="16"/>
                <w:szCs w:val="16"/>
                <w:color w:val="auto"/>
              </w:rPr>
              <w:t xml:space="preserve">customers </w:t>
            </w:r>
            <w:r>
              <w:rPr>
                <w:rFonts w:ascii="Arial" w:cs="Arial" w:eastAsia="Arial" w:hAnsi="Arial"/>
                <w:sz w:val="25"/>
                <w:szCs w:val="25"/>
                <w:color w:val="auto"/>
                <w:vertAlign w:val="superscript"/>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Store location net retail sales</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287,219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49,083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336,302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167,214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18,891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186,105</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20" w:type="dxa"/>
            <w:vAlign w:val="bottom"/>
          </w:tcPr>
          <w:p>
            <w:pPr>
              <w:spacing w:after="0" w:line="182" w:lineRule="exact"/>
              <w:rPr>
                <w:sz w:val="20"/>
                <w:szCs w:val="20"/>
                <w:color w:val="auto"/>
              </w:rPr>
            </w:pPr>
            <w:r>
              <w:rPr>
                <w:rFonts w:ascii="Arial" w:cs="Arial" w:eastAsia="Arial" w:hAnsi="Arial"/>
                <w:sz w:val="18"/>
                <w:szCs w:val="18"/>
                <w:color w:val="auto"/>
              </w:rPr>
              <w:t>Store contribution as a percentage of</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5"/>
                <w:szCs w:val="15"/>
                <w:color w:val="auto"/>
              </w:rPr>
            </w:pP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5"/>
                <w:szCs w:val="15"/>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15"/>
                <w:szCs w:val="15"/>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5"/>
                <w:szCs w:val="15"/>
                <w:color w:val="auto"/>
              </w:rPr>
            </w:pPr>
          </w:p>
        </w:tc>
        <w:tc>
          <w:tcPr>
            <w:tcW w:w="12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5"/>
                <w:szCs w:val="15"/>
                <w:color w:val="auto"/>
              </w:rPr>
            </w:pPr>
          </w:p>
        </w:tc>
        <w:tc>
          <w:tcPr>
            <w:tcW w:w="10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0"/>
        </w:trPr>
        <w:tc>
          <w:tcPr>
            <w:tcW w:w="3020" w:type="dxa"/>
            <w:vAlign w:val="bottom"/>
          </w:tcPr>
          <w:p>
            <w:pPr>
              <w:spacing w:after="0" w:line="190" w:lineRule="exact"/>
              <w:rPr>
                <w:sz w:val="20"/>
                <w:szCs w:val="20"/>
                <w:color w:val="auto"/>
              </w:rPr>
            </w:pPr>
            <w:r>
              <w:rPr>
                <w:rFonts w:ascii="Arial" w:cs="Arial" w:eastAsia="Arial" w:hAnsi="Arial"/>
                <w:sz w:val="18"/>
                <w:szCs w:val="18"/>
                <w:color w:val="auto"/>
              </w:rPr>
              <w:t>store location net retail sales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Total net income (loss) as a percentage</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5"/>
                <w:szCs w:val="15"/>
                <w:color w:val="auto"/>
              </w:rPr>
            </w:pPr>
          </w:p>
        </w:tc>
        <w:tc>
          <w:tcPr>
            <w:tcW w:w="12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5"/>
                <w:szCs w:val="15"/>
                <w:color w:val="auto"/>
              </w:rPr>
            </w:pPr>
          </w:p>
        </w:tc>
        <w:tc>
          <w:tcPr>
            <w:tcW w:w="11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5"/>
                <w:szCs w:val="15"/>
                <w:color w:val="auto"/>
              </w:rPr>
            </w:pPr>
          </w:p>
        </w:tc>
        <w:tc>
          <w:tcPr>
            <w:tcW w:w="12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of total revenues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440" w:hanging="432"/>
        <w:spacing w:after="0" w:line="286"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Non-store related general and administrative expense consists primarily of non-store related expenses such as overhead management compensation, travel, information systems, accounting, purchasing and legal costs. Additionally, non-store related depreciation and amortization, store closing and pre-opening expenses are included within non-store related general and administrative expense. Further, non-store related general and administrative expenses include marketing costs, payroll and related benefits expense, but exclude advertising expenses, which are included in store contribution.</w:t>
      </w:r>
    </w:p>
    <w:p>
      <w:pPr>
        <w:spacing w:after="0" w:line="1" w:lineRule="exact"/>
        <w:rPr>
          <w:rFonts w:ascii="Arial" w:cs="Arial" w:eastAsia="Arial" w:hAnsi="Arial"/>
          <w:sz w:val="16"/>
          <w:szCs w:val="16"/>
          <w:color w:val="auto"/>
        </w:rPr>
      </w:pPr>
    </w:p>
    <w:p>
      <w:pPr>
        <w:ind w:left="440" w:hanging="432"/>
        <w:spacing w:after="0" w:line="250"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retail activities are comprised primarily of our e-commerce sites, stores not open for the full year and adjustments to deferred revenue for breakage related to our loyalty program and gift cards.</w:t>
      </w:r>
    </w:p>
    <w:p>
      <w:pPr>
        <w:ind w:left="440" w:right="20" w:hanging="432"/>
        <w:spacing w:after="0" w:line="265" w:lineRule="auto"/>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Other contribution includes commercial revenue, international franchising and intercompany revenues as well as all expenses attributable to the commercial and international franchising segments, excluding interest expense (income) and income tax expense (benefit).</w:t>
      </w:r>
    </w:p>
    <w:p>
      <w:pPr>
        <w:ind w:left="440" w:hanging="432"/>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revenues from external customers are comprised of commercial revenue and international franchising.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-1236345</wp:posOffset>
            </wp:positionV>
            <wp:extent cx="7112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cash requirements are primarily for the opening, remodeling or reformatting of stores, installation and upgrades of information systems and working capital. Over the past several years, we have met these requirements through cash generated from operations.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6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Fiscal year ended</w:t>
            </w:r>
          </w:p>
        </w:tc>
      </w:tr>
      <w:tr>
        <w:trPr>
          <w:trHeight w:val="191"/>
        </w:trPr>
        <w:tc>
          <w:tcPr>
            <w:tcW w:w="55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2"/>
              </w:rPr>
              <w:t>January 29,</w:t>
            </w: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rPr>
              <w:t>January 30,</w:t>
            </w:r>
          </w:p>
        </w:tc>
        <w:tc>
          <w:tcPr>
            <w:tcW w:w="80" w:type="dxa"/>
            <w:vAlign w:val="bottom"/>
          </w:tcPr>
          <w:p>
            <w:pPr>
              <w:spacing w:after="0"/>
              <w:rPr>
                <w:sz w:val="16"/>
                <w:szCs w:val="16"/>
                <w:color w:val="auto"/>
              </w:rPr>
            </w:pPr>
          </w:p>
        </w:tc>
      </w:tr>
      <w:tr>
        <w:trPr>
          <w:trHeight w:val="234"/>
        </w:trPr>
        <w:tc>
          <w:tcPr>
            <w:tcW w:w="5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28,077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13,386</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(8,130)</w:t>
            </w:r>
          </w:p>
        </w:tc>
        <w:tc>
          <w:tcPr>
            <w:tcW w:w="2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(5,046)</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(22,456)</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Effect of exchange rates on cash</w:t>
            </w:r>
          </w:p>
        </w:tc>
        <w:tc>
          <w:tcPr>
            <w:tcW w:w="22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514</w:t>
            </w:r>
          </w:p>
        </w:tc>
        <w:tc>
          <w:tcPr>
            <w:tcW w:w="2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r>
      <w:tr>
        <w:trPr>
          <w:trHeight w:val="20"/>
        </w:trPr>
        <w:tc>
          <w:tcPr>
            <w:tcW w:w="5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cash, cash equivalents and restricted cash</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8,114</w:t>
            </w:r>
          </w:p>
        </w:tc>
      </w:tr>
    </w:tbl>
    <w:p>
      <w:pPr>
        <w:spacing w:after="0" w:line="202"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Cash flows provided by operating activities were $28.1 million and $13.4 million in fiscal years 2021 and 2020,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Cash flows from operating activities increased in fiscal 2021 as compared to fiscal 2020 primarily driven by increased retail store operating days at corporately-managed stores and sales volume to commercial customers, both due to the reduced impact of COVID in fiscal 2021, resulting in higher net income. This was offset by an increase in cash spent on inventory purchases throughout the year to match increased revenue growth as well as accelerated purchases made in the fourth quarter of fiscal 2021 of core and evergreen merchandise collections to support our business momentum and as part of our efforts to mitigate inflationary and supply chain COVID-related pressures and anticipated continued increases in product and freight costs.</w:t>
      </w:r>
    </w:p>
    <w:p>
      <w:pPr>
        <w:spacing w:after="0" w:line="164"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Cash flows used in investing activities were $8.1 million and $5.0 million in fiscal years 2021 and 2020, respectively. Cash used</w:t>
      </w:r>
      <w:r>
        <w:rPr>
          <w:rFonts w:ascii="Arial" w:cs="Arial" w:eastAsia="Arial" w:hAnsi="Arial"/>
          <w:sz w:val="18"/>
          <w:szCs w:val="18"/>
          <w:i w:val="1"/>
          <w:iCs w:val="1"/>
          <w:color w:val="auto"/>
        </w:rPr>
        <w:t xml:space="preserve"> </w:t>
      </w:r>
      <w:r>
        <w:rPr>
          <w:rFonts w:ascii="Arial" w:cs="Arial" w:eastAsia="Arial" w:hAnsi="Arial"/>
          <w:sz w:val="18"/>
          <w:szCs w:val="18"/>
          <w:color w:val="auto"/>
        </w:rPr>
        <w:t>in investing activities in fiscal 2021 increased as compared to fiscal 2020 primarily driven by reductions in planned capital expenditures in fiscal 2020 as a result of COVID cash management initiatives.</w:t>
      </w:r>
    </w:p>
    <w:p>
      <w:pPr>
        <w:spacing w:after="0" w:line="184"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Financing activities used cash of $22.5 million in fiscal 2021 compared to $0.1 million in fiscal 2020. Cash used in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in fiscal 2021 increased as compared to fiscal 2020, driven primarily by the payment of a special cash dividend of $19.9 million and repurchases of our common stock for $4.4 million, offset by proceeds from stock option exercises.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Capital Resources</w:t>
      </w:r>
      <w:r>
        <w:rPr>
          <w:rFonts w:ascii="Arial" w:cs="Arial" w:eastAsia="Arial" w:hAnsi="Arial"/>
          <w:sz w:val="18"/>
          <w:szCs w:val="18"/>
          <w:color w:val="auto"/>
        </w:rPr>
        <w:t>. As of January 29, 2022, we had a cash balance of $32.8 million, of which 69% was domiciled within the U.S.</w:t>
      </w:r>
    </w:p>
    <w:p>
      <w:pPr>
        <w:spacing w:after="0" w:line="22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On December 17, 2021, we entered into a First Amendment to Revolving Credit and Security Agreement with PNC Bank, National Association, as agent. The First Amendment amended the Revolving Credit and Security Agreement dated as of August 25, 2020. The Credit Agreement continues to provide for a senior secured revolving loan in aggregate principal amount of up to $25,000,000, which may be increased by an amount not to exceed $25,000,000. The borrowing base under the Credit Agreement continues to be based on specified percentages of Eligible Credit Card Receivables, Eligible Inventory and, under certain circumstances, Eligible Foreign In-Transit Inventory and, at the discretion of the Agent, Eligible Receivables. The First Amendment eliminated certain eligibility requirements for Eligible Foreign In-Transit Inventory and Eligible Inventory. The Credit Agreement continues to provide for swingline loans of up to $5,000,000 and the issuance of standby or commercial letters of credit of up to $5,000,000.</w:t>
      </w:r>
    </w:p>
    <w:p>
      <w:pPr>
        <w:spacing w:after="0" w:line="16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First Amendment (i) extended the maturity date of the Credit Agreement to December 17, 2026, (ii) eliminated the minimum interest payment requirement, (iii) reduced the facility fee related to undrawn availability, (iv) reduced the availability requirement under the financial covenant, (v) provided the Company with additional flexibility to make permitted investments, declare dividends, repay intercompany loans or repurchase its stock, (vi) increased the threshold amounts for certain events of default, and (vii) reduced the required frequency of various information and reporting requirements under certain circumstances.</w:t>
      </w:r>
    </w:p>
    <w:p>
      <w:pPr>
        <w:spacing w:after="0" w:line="18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Borrowings under the Credit Agreement continue to bear interest (a) at a base rate determined under the Credit Agreement, or (b) at the Borrower’s option, at a rate based on LIBOR, plus in either case a margin based on average undrawn availability as determined in accordance with the Credit Agreement, but the First Amendment reduced such rates and reduced the LIBOR floor. A $500,000 minimum interest payment requirement has been eliminated and the Facility Fee Percentage, which previously was either 0.50% or 0.375% depending on the Average Undrawn Availability, was reduced to 0.25%.</w:t>
      </w:r>
    </w:p>
    <w:p>
      <w:pPr>
        <w:spacing w:after="0" w:line="18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jc w:val="both"/>
        <w:ind w:firstLine="486"/>
        <w:spacing w:after="0" w:line="259" w:lineRule="auto"/>
        <w:rPr>
          <w:sz w:val="20"/>
          <w:szCs w:val="20"/>
          <w:color w:val="auto"/>
        </w:rPr>
      </w:pPr>
      <w:r>
        <w:rPr>
          <w:rFonts w:ascii="Arial" w:cs="Arial" w:eastAsia="Arial" w:hAnsi="Arial"/>
          <w:sz w:val="18"/>
          <w:szCs w:val="18"/>
          <w:color w:val="auto"/>
        </w:rPr>
        <w:t>The First Amendment revised a covenant to require us to maintain availability (as determined in accordance with the Credit Agreement) at all times equal to or greater than the greater of (a) 10.0% of the Loan Cap and (b) $1,875,000 (subject to increase upon exercise of the Increase Option). The “Loan Cap” is the lesser of (1) $25,000,000 less the outstanding amount of loans and letters of credit under the Credit Agreement and (2) the borrowing base from time to time under the Credit Agreement.</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At the closing date of the First Amendment, we had a $750,000 letter of credit issued and no outstanding indebtedness under the Credit Agreement; and, we were in compliance with the Credit Agreement covenants. As of January 29, 2022, the Company had a borrowing base of $22.3 million. As a result of a $750,000 letter of credit against the line of credit at the end of fiscal 2021, approximately $22.5 million was available for borrowing. As of January 29, 2022, the Company had no outstanding borrowings.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ended fiscal 2021 with $32.8 million in cash, cash equivalents and restricted cash after investing $8.1 million in capital projects throughout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January 29, 2022, we have utilized $4.4 million in cash to repurchase 245,554 shares under our $25.0 million program that was authorized by our Board of Directors on November 30, 2021. As of April 11, 2022, we have utilized a total of $12.1 million under the program to purchase 716,760 shares and currently have $12.9 million available under the authorization.</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fourth quarter of fiscal 2021, we made a $19.9 million special dividend payment to shareholders. The fiscal 2021 ending cash balance also reflected increased investment in working capital.</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January 29, 2022, we had restricted cash of $1.0 million compared to $1.7 million as of January 30, 2021. The decrease in long-term deposits is the result of a reduction to our required deposit with the U.K. Customs Authority.</w:t>
      </w:r>
    </w:p>
    <w:p>
      <w:pPr>
        <w:spacing w:after="0" w:line="170"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During fiscal 2020, we renegotiated a large portion of our store lease portfolio resulting in a combination of rent reductions, deferments, and abatements in North America, the U.K. and Ireland. These prior year negotiations and new leases, extensions, and modification in fiscal 2021 have increased the percentage of leases with variable rent structures resulting in the increase in variable rent expense in fiscal 2021 compared to fiscal 2020.</w:t>
      </w:r>
    </w:p>
    <w:p>
      <w:pPr>
        <w:spacing w:after="0" w:line="149"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Most of our retail stores are located within shopping malls and all are operated under leases classified as operating leases. Our leases in North America have shifted to shorter term leases to provide flexibility in aligning stores with market trends.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leases contain incentives to help defray the cost of construction of a new store. Typically, a portion of the incentive must be repaid to the landlord if we choose to terminate the lease prior to its contracted term.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spacing w:after="0" w:line="178"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Our leases in the U.K. and Ireland typically have terms of ten years and generally contain a provision whereby every fifth year the rental rate can be adjusted to reflect the current market rates. The leases typically provide the lessee with the first right for renewal at the end of the lease. We may also be required to make deposits and rent guarantees to secure new leases as we expand. Real estate taxes also change according to government time schedules to reflect current market rental rates for the locations we lease. Rents are invoiced monthly or quarterly and paid in advance.</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Capital spending in fiscal 2021 totaled $8.1 million and was primarily used to support our ongoing omnichannel strategy and digital initiatives.</w:t>
      </w:r>
    </w:p>
    <w:p>
      <w:pPr>
        <w:spacing w:after="0" w:line="23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various contractual or other obligations, including operating lease commitments and obligations under deferred compensation plans. Additional information is provided in the notes to our consolidated financial statements. As of January 29, 2022, we had purchase obligations totaling approximately $99.9 million, of which $25.7 million are due in the next 12 months. We believe our operating cash flows are sufficient to meet our material cash requirements for at least the next 12 months.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no off-balance sheet arrangements as of January 29,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impact of inflation on the Company's business operations was seen throughout fiscal 2021 and began to have an adverse impact on our business in the fourth quarter of the year, mainly in freight and other supply chain related costs. However, due to mitigating actions taken by the Company, such as strategic price increases on highly sought-after products and accelerated purchases of inventory, the impact of general price inflation on our 2021 financial position and results of operations has not been significant. We expect the inflationary pressures experienced at the end of fiscal 2021 to continue into fiscal 2022. We continue to monitor the impact of inflation on our business operations on an ongoing basis and may need to adjust our prices further to mitigate the impacts of changes to the rate of inflation during 2022 or in future years. Future volatility of general price inflation and the impact of inflation on costs and availability of materials, costs for shipping and warehousing and other operational overhead could adversely affect our financial results. Inflationary pressures may be exacerbated by higher transportation costs due to ware and other geopolitical conflicts, such as the current Russia-Ukraine crisis. We cannot provide an estimate or range of impact that such inflations may have our future results of operations. However, if we are unable to recover the impact of these costs through price increases to our customers, or if consumer spending decreases as a result of inflation, our business, results of operations, financial condition and cash flows may be adversely affected. In addition, ongoing inflation in product costs may result in lower gross margins due to a requirement to maintain higher inventory reserves.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12" w:lineRule="exact"/>
        <w:rPr>
          <w:sz w:val="20"/>
          <w:szCs w:val="20"/>
          <w:color w:val="auto"/>
        </w:rPr>
      </w:pPr>
    </w:p>
    <w:p>
      <w:pPr>
        <w:ind w:firstLine="486"/>
        <w:spacing w:after="0" w:line="236" w:lineRule="auto"/>
        <w:rPr>
          <w:sz w:val="20"/>
          <w:szCs w:val="20"/>
          <w:color w:val="auto"/>
        </w:rPr>
      </w:pPr>
      <w:r>
        <w:rPr>
          <w:rFonts w:ascii="Arial" w:cs="Arial" w:eastAsia="Arial" w:hAnsi="Arial"/>
          <w:sz w:val="22"/>
          <w:szCs w:val="22"/>
          <w:color w:val="auto"/>
        </w:rPr>
        <w:t>The preparation of financial statements in conformity with generally accepted accounting principles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94"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We believe application of accounting policies, and the estimates inherently required therein, are reasonable. These accounting policies and estimates are periodically reevaluated,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accounting policies are more fully described in Note 2 to our consolidated financial statements, which appear elsewhere in this Annual Report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10-K. We have identified the following critical accounting estimates: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 Impairments</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 xml:space="preserve">In accordance with ASC 360-10-35, we assess the potential impairment of long-lived assets, which include property, plant and equipment and operating lease right-of-use assets (subsequent to the adoption of ASC 842, </w:t>
      </w:r>
      <w:r>
        <w:rPr>
          <w:rFonts w:ascii="Arial" w:cs="Arial" w:eastAsia="Arial" w:hAnsi="Arial"/>
          <w:sz w:val="17"/>
          <w:szCs w:val="17"/>
          <w:i w:val="1"/>
          <w:iCs w:val="1"/>
          <w:color w:val="auto"/>
        </w:rPr>
        <w:t>Leases</w:t>
      </w:r>
      <w:r>
        <w:rPr>
          <w:rFonts w:ascii="Arial" w:cs="Arial" w:eastAsia="Arial" w:hAnsi="Arial"/>
          <w:sz w:val="17"/>
          <w:szCs w:val="17"/>
          <w:color w:val="auto"/>
        </w:rPr>
        <w:t>) when events or changes in circumstances indicate that the carrying value may not be recoverable. Management's judgments regarding the existence of impairment indicators are based on market conditions and financial performance. Recoverability is measured by comparing the carrying amount of an asset, or asset group, to expected future net cash flows generated by the asset, or asset group. If the carrying amount exceeds its estimated undiscounted future cash flows, the carrying amount is compared to its fair value and an impairment charge is recognized to the extent of the difference. For operating lease right-of-use assets, we determine the fair value of the lease right-of-use assets by comparing the contractual rent payments to estimated market rental rates. Fair value is calculated as the present value of estimated future cash flows for each asset group.</w:t>
      </w:r>
    </w:p>
    <w:p>
      <w:pPr>
        <w:spacing w:after="0" w:line="178"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For purposes of evaluating store assets for impairment, we have determined that each store location is an asset group, inclusive of the right-of-use asset attributable to each store. Factors that we consider important which could individually or in combination trigger an impairment review include, but are not limited to, the following: (1) significant underperformance relative to historical or projected future operating results; (2) significant changes in the manner of our use of the acquired assets or the strategy for our overall business; and (3) significant changes in our business strategies and/or negative industry or economic trends. We assess events and changes in circumstances or strategy that could potentially indicate that the carrying value of long-lived assets may not be recoverable as they occur. Due to the significance of the fourth quarter to individual store locations, we assess store performance quarterly, using rolling twelve-month results (i.e. full fiscal year). We consider a historical and/or projected negative cash flow trend for a store location to be an indicator that the carrying value of that asset group may not be recoverable. Impairment charges related to this assessment are typically included in Store asset impairment as a component of income (loss) before income taxes in the DTC segment. See Note 4 - Leases and Note 6 - Property and Equipment, Net to our consolidated financial statements for further discussion.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ind w:right="60" w:firstLine="486"/>
        <w:spacing w:after="0" w:line="238" w:lineRule="auto"/>
        <w:rPr>
          <w:sz w:val="20"/>
          <w:szCs w:val="20"/>
          <w:color w:val="auto"/>
        </w:rPr>
      </w:pPr>
      <w:r>
        <w:rPr>
          <w:rFonts w:ascii="Arial" w:cs="Arial" w:eastAsia="Arial" w:hAnsi="Arial"/>
          <w:sz w:val="22"/>
          <w:szCs w:val="22"/>
          <w:color w:val="auto"/>
        </w:rPr>
        <w:t>During fiscal 2021, we did not record any impairment charges. In fiscal 2020, we recorded impairment charges on long-live assets totaling $ 7.3 million, $ 3.5 million for property and equipment and $ 3.8 million for right-of-use lease assets. As a measure of sensitivity for fiscal 2021, a hypothetical 10% decrease in the undiscounted future cash flows for the stores would not have resulted in impairments for the year.</w:t>
      </w:r>
    </w:p>
    <w:p>
      <w:pPr>
        <w:spacing w:after="0" w:line="21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Additionally, we consider a more likely than not assessment that an individual location will close prior to the end of its lease term as a triggering event to review the store asset group for recoverability. These assessments are reviewed on a quarterly basis. When indicated, the carrying value of the assets is reduced to fair value, calculated as the estimated future cash flows for each asset group.</w:t>
      </w:r>
    </w:p>
    <w:p>
      <w:pPr>
        <w:spacing w:after="0" w:line="18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the event that we decide to close any or all of these stores in the future, we may be required to record additional impairments, lease termination fees, severance and other charges. Impairment losses in the future are dependent on a number of factors such as site selection, general economic trends, public health issues (such as the COVID pandemic) and thus could be significantly different than historical results. The assumptions used in future calculations of fair value may change significantly which could result in further impairment charges in future periods.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7"/>
          <w:szCs w:val="17"/>
          <w:color w:val="auto"/>
        </w:rPr>
        <w:t>For our gift cards, revenue is deferred for single transactions until redemption including any related gift card discounts. Three-quarters of our gift cards are redeemed within three years of issuance and over the last three years, approximately 60% of gift cards issued have been redeemed within the first twelve months. In addition, unredeemed gift cards or breakage revenue is recorded in proportion to the customer’s redemption pattern using an estimated breakage rate based on historical experience. The Company utilizes historical redemption data to develop a model to analyze the amount of breakage expected for gift cards sold to customers and business partners. The Company reviews historical gift card redemption information and considers any changes in redemption patterns as a result of the current economic environment, to assess the reasonableness of projected gift card breakage rates and patterns of redemption. The Company continues to evaluate expected breakage annually and adjusts the breakage rates in the fourth quarter of each year, or other times, if significant changes in customer behavior are detected. Future gift card usage may be different than our historical experience and as a result our estimate of cards not expected to be redeemed is subject to inherent uncertainty. If actual redemption activity differs significantly from our historical experience, our gift card liability and results of operations could be materially impacted, given the significant dollar value of gift cards outstanding. As a matter of sensitivity, a hypothetical 1% change in our gift card breakage rate in fiscal 2021 would have resulted in a change in breakage revenue of $1.3 million.</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7"/>
          <w:szCs w:val="17"/>
          <w:color w:val="auto"/>
        </w:rPr>
        <w:t>For certain qualifying transactions, a portion of revenue transactions are deferred for the obligation related to our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our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In regard to the consolidated balance sheet, contract liabilities for gift cards are classified as gift cards and customer deposits, and contract liabilities related to the loyalty program are classified as deferred revenue and other.</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3 - Revenue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9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determine if an arrangement is a lease at inception. The right-of-use assets and liabilities are recognized at the commencement date based on the present value of lease payments using a discounted cash flow analysis, considering lease terms and our internal borrowing rate, over the lease term for those arrangements where there is an identified asset and the contract conveys the right to control its use. Our lease term includes options to extend or terminate a lease only when it is reasonably certain that we will exercise that option.</w:t>
      </w:r>
    </w:p>
    <w:p>
      <w:pPr>
        <w:spacing w:after="0" w:line="18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majority of our leases do not provide an implicit rate and therefore, we estimate the incremental borrowing discount rate based on information available at lease commencement. The discount rates used are indicative of a synthetic credit rating based on quantitative and qualitative analysis and adjusted one notch higher to estimate a secured credit rating. For non-U.S. locations, a risk-free rate yield based on the currency of the lease is used to estimate the incremental borrowing rate. The weighted average risk-free rates were based on the Treasury BVAL rates curve in Bloomberg. Rates were developed for length of lease term for each year 1 through 10 and for 12, 15, 20, 25, and 30-year terms.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recognize deferred tax assets resulting from tax credit carryforwards and deductible temporary differences between taxable income on our income tax returns and income before taxes under GAAP. Deferred tax assets generally represent future tax benefits to be received when these carryforwards can be applied against future taxable income or when expenses previously reported in our consolidated financial statements become deductible for income tax purposes. A deferred tax asset valuation allowance is required when some portion or all of the deferred tax assets may not be realized. We consider the weight of all available evidence, both positive and negative, in assessing the realizability of the deferred tax assets by each taxing jurisdiction. We consider the Company’s ability to carry back its tax losses or credits for refunds, the availability of tax planning strategies and reversals of existing taxable temporary differences as well as projections of future taxable income. In the fourth quarter of fiscal 2021, we performed an analysis of all available positive and negative evidence. As we were no longer in a cumulative loss in North America for the three-year period ending January 29, 2022 driven by the record pretax performance of fiscal 2021 and with the expectation that this strong financial performance will continue given our recent strategic initiatives coupled with the fact that almost all available tax attribute carryforwards were utilized in North American in fiscal 2021, the Company recorded a benefit of $7.8 million for the reversal of the beginning-of-the-year valuation allowance in North America. As we had incurred a cumulative book loss in the U.K. over the three-year period ended February 2, 2019, we evaluated the realizability of our UK deferred tax assets and, accordingly, in the fourth quarter of fiscal 2018, the Company recorded a $3.7 million valuation allowance on its U.K. deferred tax assets, and remains in a full valuation allowance, as the U.K. continues to be in a three year cumulative loss.</w:t>
      </w:r>
    </w:p>
    <w:p>
      <w:pPr>
        <w:spacing w:after="0" w:line="184"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Significant judgment is required in evaluating our uncertain tax positions. We establish accruals for uncertain tax positions when we believe that the full amount of the associated tax benefit may not be realized. In the future, if we prevail in matters for which accruals have been established previously or pay amounts in excess of reserves, there could be an effect on our income tax provisions in the period in which such determination is made. Tax authorities regularly examine the Company’s returns in the jurisdictions in which the Company does business. Management regularly assesses the tax risk of the company’s return filing positions and believes its accruals for uncertain tax benefits are adequate as of January 29, 2022 and January 30,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2 – Summary of Significant Accounting Policies for additional information.</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and schedules are listed under Item 15(a)(1) and filed as part of this Annual Report on Form 10-K.</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spacing w:after="0"/>
        <w:tabs>
          <w:tab w:leader="none" w:pos="9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management, with the participation of our President and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we are required to disclose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January 29, 2022, the end of the period covered by this Annual Report.</w:t>
      </w:r>
    </w:p>
    <w:p>
      <w:pPr>
        <w:spacing w:after="0" w:line="192"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Securities Exchange Act of 1934. Under the supervision and with the participation of our management, including the President and Chief Executive Officer and the Chief Financial Officer, we conducted an evaluation of the effectiveness of our internal control over financial reporting as of January 29, 2022. Our management, with the participation of our President and Chief Executive Officer and our Chief Financial Officer, also conducted an evaluation of our internal control over financial reporting to determine whether any changes occurred during the period covered by this report that have materially affected, or are reasonably likely to materially affect, our internal control over financial reporting. All internal control systems have inherent limitations, including the possibility of circumvention and overriding the control. Accordingly, even effective internal control can provide only reasonable assurance as to the reliability of financial statement preparation and presentation. Further, because of changes in conditions, the effectiveness of internal control may vary over time.</w:t>
      </w:r>
    </w:p>
    <w:p>
      <w:pPr>
        <w:spacing w:after="0" w:line="196"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In making its evaluation, our management used the criteria set forth by the Committee of Sponsoring Organizations of the Treadway Commission in Internal Control-Integrated Framework (2013 framework). Based upon this evaluation, our management has concluded that our internal control over financial reporting as of January 29, 2022 is effective.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During fiscal 2021, the Company implemented new processes and internal controls around inventory cycle count procedures at our Company-owned warehouse in Ohio. This resulted in inventory counting procedures at the warehouse being completed on a daily or weekly basis compared to the historical full physical inventory count completed one time a year. The Company cycle counted all inventory locations at its warehouse once per quarter during the fiscal year and assessed the completeness and accuracy of those counts on a monthly basis. There has been no other change in our internal control over financial reporting during the year covered by this report that has materially affected, or is reasonably likely to materially affect, our internal control over financial reporting.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Build-A-Bear Workshop,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audited Build-A-Bear Workshop Inc. and Subsidiaries’ internal control over financial reporting as of January 29, 2022, based on criteria established in Internal Control— Integrated Framework issued by the Committee of Sponsoring Organizations of the Treadway Commission (2013 Framework) (the COSO criteria). In our opinion, Build-A-Bear Workshop, Inc. and Subsidiaries (collectively, the Company) maintained, in all material respects, effective internal control over financial reporting as of January 29, 2022, based on the COSO criteria.</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Build-A-Bear Workshop, Inc. and Subsidiaries as of January 29, 2022 and January 30, 2021, the related consolidated statements of operations and comprehensive income (loss), stockholders' equity and cash flows for each of the two years in the period ended January 29, 2022, and the related notes and the financial statement schedule listed in the Index at Item 15(a)(2) and our report dated April 14, 2022 expressed an unqualified opinion thereon.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14, 2022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spacing w:after="0"/>
        <w:tabs>
          <w:tab w:leader="none" w:pos="98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Information concerning directors, appearing in the sections titled “Directors,” “The Board of Directors and its Committees,” and “Committee Charters, Corporate Governance Guidelines, Business Conduct Policy and Code of Ethics” in our Proxy Statement (the “Proxy Statement”) to be filed with the SEC in connection with our Annual Meeting of Stockholders scheduled to be held on June 9, 2022, is incorporated by reference in response to this Item 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Conduct Policy</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Board of Directors has adopted a Business Conduct Policy applicable to our directors, officers and employees, including all executive officers. The Business Conduct Policy has been posted in the Investor Relations section of our corporate website at http://ir.buildabear.com. We intend to satisfy the amendment and waiver disclosure requirements under applicable securities regulations by posting any amendments of, or waivers to, the Business Conduct Policy on our website.</w:t>
      </w:r>
    </w:p>
    <w:p>
      <w:pPr>
        <w:spacing w:after="0" w:line="18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information appearing in the section titled “Committee Charters, Corporate Governance Guidelines, Business Conduct Policy and Code of Ethics” in the Proxy Statement is incorporated by reference in response to this Item 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Employees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Sharon Price John</w:t>
      </w:r>
      <w:r>
        <w:rPr>
          <w:rFonts w:ascii="Arial" w:cs="Arial" w:eastAsia="Arial" w:hAnsi="Arial"/>
          <w:sz w:val="17"/>
          <w:szCs w:val="17"/>
          <w:color w:val="auto"/>
        </w:rPr>
        <w:t>, 58, was appointed to the Board of Directors on June 3, 2013, in connection with her employment as Chief Executive Officer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Bear of the Company. Effective March 2016, she now holds the title of President and Chief Executive Officer. From January 2010 through May 2013, Ms. John served as President of Stride Rite Children’s Group LLC, a division of Wolverine Worldwide, Inc., which designs and markets footwear for children. From 2002 through 2009, she held positions of broadened portfolio and increased responsibility at Hasbro, Inc., a multinational toy and board game company, including as General Manager &amp; Senior Vice President of its U.S. Toy Division from 2006 to 2008 and General Manager &amp; Senior Vice President of its Global Preschool unit from June 2008 through 2009. Ms. John also founded and served as Chief Executive Officer of Checkerboard Toys, served as Vice President, U.S. Toy Division with VTech Industries, Inc., and served in a range of roles at Mattel, Inc. She started her career in advertising, overseeing accounts such as Hershey’s and the Snickers/M&amp;M Mars business. Ms. John serves on the Board of Directors of Jack in the Box Inc., a publicly traded restaurant company.</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Eric Fencl</w:t>
      </w:r>
      <w:r>
        <w:rPr>
          <w:rFonts w:ascii="Arial" w:cs="Arial" w:eastAsia="Arial" w:hAnsi="Arial"/>
          <w:sz w:val="17"/>
          <w:szCs w:val="17"/>
          <w:i w:val="1"/>
          <w:iCs w:val="1"/>
          <w:color w:val="auto"/>
        </w:rPr>
        <w:t>, 59</w:t>
      </w:r>
      <w:r>
        <w:rPr>
          <w:rFonts w:ascii="Arial" w:cs="Arial" w:eastAsia="Arial" w:hAnsi="Arial"/>
          <w:sz w:val="17"/>
          <w:szCs w:val="17"/>
          <w:color w:val="auto"/>
        </w:rPr>
        <w:t>, joined Build-A-Bear Workshop in July 2008 as Chief Bearrister—General Counsel. Effective October 2015, Mr. Fencl now holds the title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Chief Administrative Officer, General Counsel and Secretary. Prior to joining the Company, Mr. Fencl was Executive Vice President, General Counsel and Secretary for Outsourcing Solutions Inc., a national accounts receivable management firm from August 1998 to June 2008. From September 1990 to August 1998, Mr. Fencl held legal positions at Monsanto Company, McDonnell Douglas Corporation and Bryan Cave Leighton Paisner LLP (formerly known as Bryan Cave LLP). Mr. Fencl began his career as an auditor with Arthur Young &amp; Company.</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J. Christopher Hurt</w:t>
      </w:r>
      <w:r>
        <w:rPr>
          <w:rFonts w:ascii="Arial" w:cs="Arial" w:eastAsia="Arial" w:hAnsi="Arial"/>
          <w:sz w:val="17"/>
          <w:szCs w:val="17"/>
          <w:i w:val="1"/>
          <w:iCs w:val="1"/>
          <w:color w:val="auto"/>
        </w:rPr>
        <w:t>, 56</w:t>
      </w:r>
      <w:r>
        <w:rPr>
          <w:rFonts w:ascii="Arial" w:cs="Arial" w:eastAsia="Arial" w:hAnsi="Arial"/>
          <w:sz w:val="17"/>
          <w:szCs w:val="17"/>
          <w:color w:val="auto"/>
        </w:rPr>
        <w:t>, joined Build-A-Bear Workshop in April 2015 as Chief Operations Officer. Effective June 2020, he now holds the title of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and Experience Officer. Prior to joining the Company, Mr. Hurt was at American Eagle Outfitters, Inc. from 2002 to April 2015 in various senior leadership roles of increasing responsibility, including Senior Vice President, North America and Vice President/General Manager—Factory, Canada, Mexico Retail from 2011 to April 2015, and East Zone Vice President and Regional Director from 2002 to 2011. Before joining American Eagle Outfitters, Mr. Hurt held positions of increasing responsibility at companies including Polo Ralph Lauren and The Procter &amp; Gamble Company.</w:t>
      </w:r>
    </w:p>
    <w:p>
      <w:pPr>
        <w:spacing w:after="0" w:line="3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Jennifer Kretchmar</w:t>
      </w:r>
      <w:r>
        <w:rPr>
          <w:rFonts w:ascii="Arial" w:cs="Arial" w:eastAsia="Arial" w:hAnsi="Arial"/>
          <w:sz w:val="18"/>
          <w:szCs w:val="18"/>
          <w:color w:val="auto"/>
        </w:rPr>
        <w:t>, 49, joined Build-A-Bear Workshop in August 2014 as Chief Product Officer and Innovation Bear. In March 2016, she became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Merchandising Officer and, effective June 2020, she now holds the title of Chief Digital and Merchandising Officer. Ms. Kretchmar serves on the Board of Directors of Mace Security International, Inc., a publicly traded personal security company. Prior to joining the Company, Ms. Kretchmar was Senior Vice President of Product and Brand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color w:val="auto"/>
        </w:rPr>
        <w:t>Management with the Stride Rite Children’s Group of Wolverine Worldwide, Inc. where since 2004 she was responsible for the global product creation strategy for a diverse portfolio of children’s footwear brands, including Stride Rite, Sperry Top- Sider®, Saucony®, Keds®, Merrell®, Robeez®, Jessica Simpson® and Hush Puppies®. Before joining Stride Rite, Ms. Kretchmar held positions of increasing responsibility at The Timberland Company, Goldbug, and the United States Department of Agriculture Foreign Service.</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Voin Todorovic</w:t>
      </w:r>
      <w:r>
        <w:rPr>
          <w:rFonts w:ascii="Arial" w:cs="Arial" w:eastAsia="Arial" w:hAnsi="Arial"/>
          <w:sz w:val="16"/>
          <w:szCs w:val="16"/>
          <w:color w:val="auto"/>
        </w:rPr>
        <w:t>, 47, joined Build-A-Bear Workshop in September 2014 as Chief Financial Officer. Prior to joining the Company, Mr. Todorovic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employed at Wolverine Worldwide, Inc., a leading global footwear and apparel company, where since September 2013 Mr. Todorovic served as the head of finance and operations for its Lifestyle Group, which includes a portfolio of iconic brands such as Sperry Top-Sider®, Hush Puppies®, Keds®, and Stride Rite®. From 2011 to 2013 Mr. Todorovic was Vice President—Finance and Administration of the Stride Rite Children’s Group business, operating in wholesale, direct to consumer and international franchising, and from 2010 to 2011 Mr. Todorovic was Vice President of the Performance + Lifestyle Group. Prior to his tenure at Wolverine World Wide he held positions of increasing responsibility at Collective Brands, Inc. and Payless ShoeSource.</w:t>
      </w:r>
    </w:p>
    <w:p>
      <w:pPr>
        <w:spacing w:after="0" w:line="37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The information contained in the sections titled “Executive Compensation” and “Board of Directors Compensation” in the Proxy Statement is incorporated herein by reference in response to this Item 11.</w:t>
      </w:r>
    </w:p>
    <w:p>
      <w:pPr>
        <w:spacing w:after="0" w:line="166" w:lineRule="exact"/>
        <w:rPr>
          <w:sz w:val="20"/>
          <w:szCs w:val="20"/>
          <w:color w:val="auto"/>
        </w:rPr>
      </w:pPr>
    </w:p>
    <w:p>
      <w:pPr>
        <w:jc w:val="both"/>
        <w:ind w:left="1000" w:hanging="984"/>
        <w:spacing w:after="0" w:line="282" w:lineRule="auto"/>
        <w:tabs>
          <w:tab w:leader="none" w:pos="98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information contained in the section titled “Security Ownership of Certain Beneficial Owners and Management” in the Proxy Statement is incorporated herein by reference in response to this Item 12.</w:t>
      </w:r>
    </w:p>
    <w:p>
      <w:pPr>
        <w:spacing w:after="0" w:line="166"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5060" w:type="dxa"/>
            <w:vAlign w:val="bottom"/>
            <w:gridSpan w:val="6"/>
          </w:tcPr>
          <w:p>
            <w:pPr>
              <w:ind w:left="820"/>
              <w:spacing w:after="0"/>
              <w:rPr>
                <w:sz w:val="20"/>
                <w:szCs w:val="20"/>
                <w:color w:val="auto"/>
              </w:rPr>
            </w:pPr>
            <w:r>
              <w:rPr>
                <w:rFonts w:ascii="Arial" w:cs="Arial" w:eastAsia="Arial" w:hAnsi="Arial"/>
                <w:sz w:val="18"/>
                <w:szCs w:val="18"/>
                <w:b w:val="1"/>
                <w:bCs w:val="1"/>
                <w:color w:val="auto"/>
              </w:rPr>
              <w:t>Equity Compensation Plan Information</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(b)</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available for</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future issuance</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6"/>
              </w:rPr>
              <w:t>securities to</w:t>
            </w:r>
          </w:p>
        </w:tc>
        <w:tc>
          <w:tcPr>
            <w:tcW w:w="160" w:type="dxa"/>
            <w:vAlign w:val="bottom"/>
          </w:tcPr>
          <w:p>
            <w:pPr>
              <w:spacing w:after="0"/>
              <w:rPr>
                <w:sz w:val="18"/>
                <w:szCs w:val="18"/>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Weighted-average</w:t>
            </w: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4"/>
              </w:rPr>
              <w:t>be issued upon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exercise price of</w:t>
            </w: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plans</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outstanding</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(excluding</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options,</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warrants and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warrants and</w:t>
            </w: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reflected in</w:t>
            </w:r>
          </w:p>
        </w:tc>
      </w:tr>
      <w:tr>
        <w:trPr>
          <w:trHeight w:val="234"/>
        </w:trPr>
        <w:tc>
          <w:tcPr>
            <w:tcW w:w="186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86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rights</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rights</w:t>
            </w:r>
          </w:p>
        </w:tc>
        <w:tc>
          <w:tcPr>
            <w:tcW w:w="16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column (a))</w:t>
            </w:r>
          </w:p>
        </w:tc>
        <w:tc>
          <w:tcPr>
            <w:tcW w:w="80" w:type="dxa"/>
            <w:vAlign w:val="bottom"/>
          </w:tcPr>
          <w:p>
            <w:pPr>
              <w:spacing w:after="0"/>
              <w:rPr>
                <w:sz w:val="20"/>
                <w:szCs w:val="20"/>
                <w:color w:val="auto"/>
              </w:rPr>
            </w:pPr>
          </w:p>
        </w:tc>
      </w:tr>
      <w:tr>
        <w:trPr>
          <w:trHeight w:val="182"/>
        </w:trPr>
        <w:tc>
          <w:tcPr>
            <w:tcW w:w="516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 security</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0"/>
        </w:trPr>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holders</w:t>
            </w:r>
          </w:p>
        </w:tc>
        <w:tc>
          <w:tcPr>
            <w:tcW w:w="18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318,569</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416,391</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0"/>
        </w:trPr>
        <w:tc>
          <w:tcPr>
            <w:tcW w:w="1860" w:type="dxa"/>
            <w:vAlign w:val="bottom"/>
          </w:tcPr>
          <w:p>
            <w:pPr>
              <w:spacing w:after="0"/>
              <w:rPr>
                <w:sz w:val="20"/>
                <w:szCs w:val="20"/>
                <w:color w:val="auto"/>
              </w:rPr>
            </w:pPr>
            <w:r>
              <w:rPr>
                <w:rFonts w:ascii="Arial" w:cs="Arial" w:eastAsia="Arial" w:hAnsi="Arial"/>
                <w:sz w:val="18"/>
                <w:szCs w:val="18"/>
                <w:color w:val="auto"/>
              </w:rPr>
              <w:t>Total</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318,569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13.23</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416,391</w:t>
            </w:r>
          </w:p>
        </w:tc>
      </w:tr>
      <w:tr>
        <w:trPr>
          <w:trHeight w:val="20"/>
        </w:trPr>
        <w:tc>
          <w:tcPr>
            <w:tcW w:w="1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information contained in the section titled “Related Party Transactions” in the Proxy Statement is incorporated herein by reference in response to this Item 13.</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right="540" w:firstLine="441"/>
        <w:spacing w:after="0" w:line="308" w:lineRule="auto"/>
        <w:rPr>
          <w:sz w:val="20"/>
          <w:szCs w:val="20"/>
          <w:color w:val="auto"/>
        </w:rPr>
      </w:pPr>
      <w:r>
        <w:rPr>
          <w:rFonts w:ascii="Arial" w:cs="Arial" w:eastAsia="Arial" w:hAnsi="Arial"/>
          <w:sz w:val="17"/>
          <w:szCs w:val="17"/>
          <w:color w:val="auto"/>
        </w:rPr>
        <w:t>The information contained in the sections titled “Principal Accountant Fees” and “Policy Regarding Pre-Approval of Services Provided by the Independent Registered Public Accounting Firm” in the Proxy Statement is incorporated herein by reference in response to Item 14.</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financial statements and schedules set forth below are filed on the indicated pages as part of this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9240" w:type="dxa"/>
            <w:vAlign w:val="bottom"/>
            <w:gridSpan w:val="10"/>
            <w:vMerge w:val="restart"/>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Report of Independent Registered Public Accounting Firm (PCAOB ID: 42)</w:t>
              </w:r>
            </w:hyperlink>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3"/>
              </w:rPr>
              <w:t>Page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9240" w:type="dxa"/>
            <w:vAlign w:val="bottom"/>
            <w:gridSpan w:val="10"/>
            <w:vMerge w:val="continue"/>
          </w:tcPr>
          <w:p>
            <w:pPr>
              <w:spacing w:after="0"/>
              <w:rPr>
                <w:sz w:val="14"/>
                <w:szCs w:val="14"/>
                <w:color w:val="auto"/>
              </w:rPr>
            </w:pPr>
          </w:p>
        </w:tc>
        <w:tc>
          <w:tcPr>
            <w:tcW w:w="880" w:type="dxa"/>
            <w:vAlign w:val="bottom"/>
            <w:gridSpan w:val="3"/>
          </w:tcPr>
          <w:p>
            <w:pPr>
              <w:jc w:val="center"/>
              <w:ind w:right="20"/>
              <w:spacing w:after="0" w:line="169"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40</w:t>
              </w:r>
            </w:hyperlink>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5360" w:type="dxa"/>
            <w:vAlign w:val="bottom"/>
            <w:gridSpan w:val="5"/>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Consolidated Balance Sheets as of January 29, 2022 and January 30, 2021</w:t>
              </w:r>
            </w:hyperlink>
          </w:p>
        </w:tc>
        <w:tc>
          <w:tcPr>
            <w:tcW w:w="140" w:type="dxa"/>
            <w:vAlign w:val="bottom"/>
          </w:tcPr>
          <w:p>
            <w:pPr>
              <w:spacing w:after="0"/>
              <w:rPr>
                <w:sz w:val="17"/>
                <w:szCs w:val="17"/>
                <w:color w:val="auto"/>
              </w:rPr>
            </w:pPr>
          </w:p>
        </w:tc>
        <w:tc>
          <w:tcPr>
            <w:tcW w:w="374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center"/>
              <w:ind w:right="360"/>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9240" w:type="dxa"/>
            <w:vAlign w:val="bottom"/>
            <w:gridSpan w:val="10"/>
          </w:tcPr>
          <w:p>
            <w:pPr>
              <w:spacing w:after="0" w:line="196" w:lineRule="exact"/>
              <w:rPr>
                <w:rFonts w:ascii="Arial" w:cs="Arial" w:eastAsia="Arial" w:hAnsi="Arial"/>
                <w:sz w:val="18"/>
                <w:szCs w:val="18"/>
                <w:color w:val="0000EE"/>
                <w:w w:val="93"/>
              </w:rPr>
            </w:pPr>
            <w:hyperlink w:anchor="page43">
              <w:r>
                <w:rPr>
                  <w:rFonts w:ascii="Arial" w:cs="Arial" w:eastAsia="Arial" w:hAnsi="Arial"/>
                  <w:sz w:val="18"/>
                  <w:szCs w:val="18"/>
                  <w:color w:val="0000EE"/>
                  <w:w w:val="93"/>
                </w:rPr>
                <w:t>Consolidated Statements of Operations and Comprehensive Income (Loss) for the fiscal years ended January 29, 2022 and</w:t>
              </w:r>
            </w:hyperlink>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January 30, 2021</w:t>
              </w:r>
            </w:hyperlink>
          </w:p>
        </w:tc>
        <w:tc>
          <w:tcPr>
            <w:tcW w:w="7360" w:type="dxa"/>
            <w:vAlign w:val="bottom"/>
            <w:tcBorders>
              <w:top w:val="single" w:sz="8" w:color="0000EE"/>
            </w:tcBorders>
            <w:gridSpan w:val="7"/>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center"/>
              <w:ind w:right="360"/>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43</w:t>
              </w:r>
            </w:hyperlink>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8280" w:type="dxa"/>
            <w:vAlign w:val="bottom"/>
            <w:gridSpan w:val="8"/>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Consolidated Statements of Stockholders’ Equity for the fiscal years ended January 29, 2022 and January 30, 2021</w:t>
              </w:r>
            </w:hyperlink>
          </w:p>
        </w:tc>
        <w:tc>
          <w:tcPr>
            <w:tcW w:w="96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center"/>
              <w:ind w:right="360"/>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7600" w:type="dxa"/>
            <w:vAlign w:val="bottom"/>
            <w:gridSpan w:val="7"/>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Consolidated Statements of Cash Flows for the fiscal years ended January 29, 2022 and January 30, 2021</w:t>
              </w:r>
            </w:hyperlink>
          </w:p>
        </w:tc>
        <w:tc>
          <w:tcPr>
            <w:tcW w:w="68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center"/>
              <w:ind w:right="360"/>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80" w:type="dxa"/>
            <w:vAlign w:val="bottom"/>
            <w:gridSpan w:val="3"/>
            <w:shd w:val="clear" w:color="auto" w:fill="0000EE"/>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3160" w:type="dxa"/>
            <w:vAlign w:val="bottom"/>
            <w:gridSpan w:val="3"/>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Notes to Consolidated Financial Statements</w:t>
              </w:r>
            </w:hyperlink>
          </w:p>
        </w:tc>
        <w:tc>
          <w:tcPr>
            <w:tcW w:w="4440" w:type="dxa"/>
            <w:vAlign w:val="bottom"/>
            <w:gridSpan w:val="4"/>
          </w:tcPr>
          <w:p>
            <w:pPr>
              <w:spacing w:after="0"/>
              <w:rPr>
                <w:sz w:val="17"/>
                <w:szCs w:val="17"/>
                <w:color w:val="auto"/>
              </w:rPr>
            </w:pPr>
          </w:p>
        </w:tc>
        <w:tc>
          <w:tcPr>
            <w:tcW w:w="1640" w:type="dxa"/>
            <w:vAlign w:val="bottom"/>
            <w:gridSpan w:val="3"/>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center"/>
              <w:ind w:right="360"/>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9240" w:type="dxa"/>
            <w:vAlign w:val="bottom"/>
            <w:gridSpan w:val="10"/>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Schedule II - Valuation and Qualifying Accounts</w:t>
              </w:r>
            </w:hyperlink>
          </w:p>
        </w:tc>
        <w:tc>
          <w:tcPr>
            <w:tcW w:w="880" w:type="dxa"/>
            <w:vAlign w:val="bottom"/>
            <w:gridSpan w:val="3"/>
          </w:tcPr>
          <w:p>
            <w:pPr>
              <w:jc w:val="center"/>
              <w:ind w:right="20"/>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65</w:t>
              </w:r>
            </w:hyperlink>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60" w:type="dxa"/>
            <w:vAlign w:val="bottom"/>
          </w:tcPr>
          <w:p>
            <w:pPr>
              <w:spacing w:after="0"/>
              <w:rPr>
                <w:sz w:val="24"/>
                <w:szCs w:val="24"/>
                <w:color w:val="auto"/>
              </w:rPr>
            </w:pPr>
          </w:p>
        </w:tc>
        <w:tc>
          <w:tcPr>
            <w:tcW w:w="3520" w:type="dxa"/>
            <w:vAlign w:val="bottom"/>
            <w:tcBorders>
              <w:top w:val="single" w:sz="8" w:color="0000EE"/>
            </w:tcBorders>
            <w:gridSpan w:val="4"/>
          </w:tcPr>
          <w:p>
            <w:pPr>
              <w:spacing w:after="0"/>
              <w:rPr>
                <w:sz w:val="24"/>
                <w:szCs w:val="24"/>
                <w:color w:val="auto"/>
              </w:rPr>
            </w:pP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39" w:name="page40"/>
    <w:bookmarkEnd w:id="39"/>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Build-A-Bear Workshop,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have audited the accompanying consolidated balance sheets of Build-A-Bear Workshop, Inc. and Subsidiaries (collectively, the Company) as of January 29, 2022 and January 30, 2021, the related consolidated statements of operations and comprehensive income (loss), stockholders' equity and cash flows for each of the two years in the period ended January 29, 2022,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January 29, 2022 and January 30, 2021, and the results of its operations and its cash flows for each of the two years in the period ended January 29, 2022, in conformity with U.S. generally accepted accounting principles.</w:t>
      </w:r>
    </w:p>
    <w:p>
      <w:pPr>
        <w:spacing w:after="0" w:line="1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January 29, 2022, based on criteria established in Internal Control-Integrated Framework issued by the Committee of Sponsoring Organizations of the Treadway Commission (2013 Framework) and our report dated April 14, 2022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8920" w:type="dxa"/>
            <w:vAlign w:val="bottom"/>
          </w:tcPr>
          <w:p>
            <w:pPr>
              <w:ind w:left="1820"/>
              <w:spacing w:after="0"/>
              <w:rPr>
                <w:sz w:val="20"/>
                <w:szCs w:val="20"/>
                <w:color w:val="auto"/>
              </w:rPr>
            </w:pPr>
            <w:r>
              <w:rPr>
                <w:rFonts w:ascii="Arial" w:cs="Arial" w:eastAsia="Arial" w:hAnsi="Arial"/>
                <w:sz w:val="18"/>
                <w:szCs w:val="18"/>
                <w:b w:val="1"/>
                <w:bCs w:val="1"/>
                <w:color w:val="auto"/>
              </w:rPr>
              <w:t>Revenue recognition - gift card breakage</w:t>
            </w:r>
          </w:p>
        </w:tc>
      </w:tr>
      <w:tr>
        <w:trPr>
          <w:trHeight w:val="418"/>
        </w:trPr>
        <w:tc>
          <w:tcPr>
            <w:tcW w:w="2320" w:type="dxa"/>
            <w:vAlign w:val="bottom"/>
          </w:tcPr>
          <w:p>
            <w:pPr>
              <w:spacing w:after="0"/>
              <w:rPr>
                <w:sz w:val="20"/>
                <w:szCs w:val="20"/>
                <w:color w:val="auto"/>
              </w:rPr>
            </w:pPr>
            <w:r>
              <w:rPr>
                <w:rFonts w:ascii="Arial" w:cs="Arial" w:eastAsia="Arial" w:hAnsi="Arial"/>
                <w:sz w:val="18"/>
                <w:szCs w:val="18"/>
                <w:i w:val="1"/>
                <w:iCs w:val="1"/>
                <w:color w:val="auto"/>
              </w:rPr>
              <w:t>Description of the Matter</w:t>
            </w:r>
          </w:p>
        </w:tc>
        <w:tc>
          <w:tcPr>
            <w:tcW w:w="8920" w:type="dxa"/>
            <w:vAlign w:val="bottom"/>
          </w:tcPr>
          <w:p>
            <w:pPr>
              <w:ind w:left="500"/>
              <w:spacing w:after="0"/>
              <w:rPr>
                <w:sz w:val="20"/>
                <w:szCs w:val="20"/>
                <w:color w:val="auto"/>
              </w:rPr>
            </w:pPr>
            <w:r>
              <w:rPr>
                <w:rFonts w:ascii="Arial" w:cs="Arial" w:eastAsia="Arial" w:hAnsi="Arial"/>
                <w:sz w:val="18"/>
                <w:szCs w:val="18"/>
                <w:color w:val="auto"/>
                <w:w w:val="93"/>
              </w:rPr>
              <w:t>As described in Note 3, for the Company’s gift cards, revenue is deferred for single transactions until redemption.</w:t>
            </w:r>
          </w:p>
        </w:tc>
      </w:tr>
      <w:tr>
        <w:trPr>
          <w:trHeight w:val="216"/>
        </w:trPr>
        <w:tc>
          <w:tcPr>
            <w:tcW w:w="2320" w:type="dxa"/>
            <w:vAlign w:val="bottom"/>
          </w:tcPr>
          <w:p>
            <w:pPr>
              <w:spacing w:after="0"/>
              <w:rPr>
                <w:sz w:val="18"/>
                <w:szCs w:val="18"/>
                <w:color w:val="auto"/>
              </w:rPr>
            </w:pPr>
          </w:p>
        </w:tc>
        <w:tc>
          <w:tcPr>
            <w:tcW w:w="8920" w:type="dxa"/>
            <w:vAlign w:val="bottom"/>
          </w:tcPr>
          <w:p>
            <w:pPr>
              <w:ind w:left="500"/>
              <w:spacing w:after="0"/>
              <w:rPr>
                <w:sz w:val="20"/>
                <w:szCs w:val="20"/>
                <w:color w:val="auto"/>
              </w:rPr>
            </w:pPr>
            <w:r>
              <w:rPr>
                <w:rFonts w:ascii="Arial" w:cs="Arial" w:eastAsia="Arial" w:hAnsi="Arial"/>
                <w:sz w:val="18"/>
                <w:szCs w:val="18"/>
                <w:color w:val="auto"/>
                <w:w w:val="90"/>
              </w:rPr>
              <w:t>The unredeemed gift cards or breakage revenue is recorded in proportion to the customer’s redemption pattern using</w:t>
            </w:r>
          </w:p>
        </w:tc>
      </w:tr>
      <w:tr>
        <w:trPr>
          <w:trHeight w:val="216"/>
        </w:trPr>
        <w:tc>
          <w:tcPr>
            <w:tcW w:w="2320" w:type="dxa"/>
            <w:vAlign w:val="bottom"/>
          </w:tcPr>
          <w:p>
            <w:pPr>
              <w:spacing w:after="0"/>
              <w:rPr>
                <w:sz w:val="18"/>
                <w:szCs w:val="18"/>
                <w:color w:val="auto"/>
              </w:rPr>
            </w:pPr>
          </w:p>
        </w:tc>
        <w:tc>
          <w:tcPr>
            <w:tcW w:w="8920" w:type="dxa"/>
            <w:vAlign w:val="bottom"/>
          </w:tcPr>
          <w:p>
            <w:pPr>
              <w:ind w:left="500"/>
              <w:spacing w:after="0"/>
              <w:rPr>
                <w:sz w:val="20"/>
                <w:szCs w:val="20"/>
                <w:color w:val="auto"/>
              </w:rPr>
            </w:pPr>
            <w:r>
              <w:rPr>
                <w:rFonts w:ascii="Arial" w:cs="Arial" w:eastAsia="Arial" w:hAnsi="Arial"/>
                <w:sz w:val="18"/>
                <w:szCs w:val="18"/>
                <w:color w:val="auto"/>
                <w:w w:val="93"/>
              </w:rPr>
              <w:t>an estimated breakage rate based on historical experience. For the year ended January 29, 2022, net retail sales</w:t>
            </w:r>
          </w:p>
        </w:tc>
      </w:tr>
      <w:tr>
        <w:trPr>
          <w:trHeight w:val="230"/>
        </w:trPr>
        <w:tc>
          <w:tcPr>
            <w:tcW w:w="2320" w:type="dxa"/>
            <w:vAlign w:val="bottom"/>
          </w:tcPr>
          <w:p>
            <w:pPr>
              <w:spacing w:after="0"/>
              <w:rPr>
                <w:sz w:val="20"/>
                <w:szCs w:val="20"/>
                <w:color w:val="auto"/>
              </w:rPr>
            </w:pPr>
          </w:p>
        </w:tc>
        <w:tc>
          <w:tcPr>
            <w:tcW w:w="8920" w:type="dxa"/>
            <w:vAlign w:val="bottom"/>
          </w:tcPr>
          <w:p>
            <w:pPr>
              <w:ind w:left="500"/>
              <w:spacing w:after="0"/>
              <w:rPr>
                <w:sz w:val="20"/>
                <w:szCs w:val="20"/>
                <w:color w:val="auto"/>
              </w:rPr>
            </w:pPr>
            <w:r>
              <w:rPr>
                <w:rFonts w:ascii="Arial" w:cs="Arial" w:eastAsia="Arial" w:hAnsi="Arial"/>
                <w:sz w:val="18"/>
                <w:szCs w:val="18"/>
                <w:color w:val="auto"/>
              </w:rPr>
              <w:t>included gift card breakage revenue of $6.5 million.</w:t>
            </w:r>
          </w:p>
        </w:tc>
      </w:tr>
      <w:tr>
        <w:trPr>
          <w:trHeight w:val="432"/>
        </w:trPr>
        <w:tc>
          <w:tcPr>
            <w:tcW w:w="2320" w:type="dxa"/>
            <w:vAlign w:val="bottom"/>
          </w:tcPr>
          <w:p>
            <w:pPr>
              <w:spacing w:after="0"/>
              <w:rPr>
                <w:sz w:val="24"/>
                <w:szCs w:val="24"/>
                <w:color w:val="auto"/>
              </w:rPr>
            </w:pPr>
          </w:p>
        </w:tc>
        <w:tc>
          <w:tcPr>
            <w:tcW w:w="8920" w:type="dxa"/>
            <w:vAlign w:val="bottom"/>
          </w:tcPr>
          <w:p>
            <w:pPr>
              <w:ind w:left="3220"/>
              <w:spacing w:after="0"/>
              <w:rPr>
                <w:sz w:val="20"/>
                <w:szCs w:val="20"/>
                <w:color w:val="auto"/>
              </w:rPr>
            </w:pPr>
            <w:r>
              <w:rPr>
                <w:rFonts w:ascii="Arial" w:cs="Arial" w:eastAsia="Arial" w:hAnsi="Arial"/>
                <w:sz w:val="18"/>
                <w:szCs w:val="18"/>
                <w:color w:val="auto"/>
              </w:rPr>
              <w:t>40</w:t>
            </w:r>
          </w:p>
        </w:tc>
      </w:tr>
      <w:tr>
        <w:trPr>
          <w:trHeight w:val="115"/>
        </w:trPr>
        <w:tc>
          <w:tcPr>
            <w:tcW w:w="232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40" w:name="page41"/>
    <w:bookmarkEnd w:id="40"/>
    <w:p>
      <w:pPr>
        <w:jc w:val="both"/>
        <w:ind w:left="2820"/>
        <w:spacing w:after="0" w:line="259" w:lineRule="auto"/>
        <w:rPr>
          <w:sz w:val="20"/>
          <w:szCs w:val="20"/>
          <w:color w:val="auto"/>
        </w:rPr>
      </w:pPr>
      <w:r>
        <w:rPr>
          <w:rFonts w:ascii="Arial" w:cs="Arial" w:eastAsia="Arial" w:hAnsi="Arial"/>
          <w:sz w:val="18"/>
          <w:szCs w:val="18"/>
          <w:color w:val="auto"/>
        </w:rPr>
        <w:t>Auditing the Company’s breakage revenue related to unredeemed gift cards was complex and judgmental due to the complexity of the model and the subjectivity related to the judgments that are made by the Company to estimate the breakage rate. Further, given the magnitude of the Company's gift card liability, changes in breakage rates have a significant impact on the amount of breakage revenue recognized.</w:t>
      </w:r>
    </w:p>
    <w:p>
      <w:pPr>
        <w:sectPr>
          <w:pgSz w:w="11900" w:h="16838" w:orient="portrait"/>
          <w:cols w:equalWidth="0" w:num="1">
            <w:col w:w="11240"/>
          </w:cols>
          <w:pgMar w:left="320" w:top="584" w:right="339" w:bottom="1440" w:gutter="0" w:footer="0" w:header="0"/>
        </w:sectPr>
      </w:pP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management’s determination of gift card breakage revenue, including the model and data inputs used in the model, as well as significant underlying assumptions selected by management in establishing the breakage rates.</w:t>
      </w:r>
    </w:p>
    <w:p>
      <w:pPr>
        <w:spacing w:after="0" w:line="149" w:lineRule="exact"/>
        <w:rPr>
          <w:sz w:val="20"/>
          <w:szCs w:val="20"/>
          <w:color w:val="auto"/>
        </w:rPr>
      </w:pPr>
    </w:p>
    <w:p>
      <w:pPr>
        <w:sectPr>
          <w:pgSz w:w="11900" w:h="16838" w:orient="portrait"/>
          <w:cols w:equalWidth="0" w:num="2">
            <w:col w:w="2380" w:space="440"/>
            <w:col w:w="8420"/>
          </w:cols>
          <w:pgMar w:left="320" w:top="584" w:right="339" w:bottom="1440" w:gutter="0" w:footer="0" w:header="0"/>
          <w:type w:val="continuous"/>
        </w:sectPr>
      </w:pPr>
    </w:p>
    <w:p>
      <w:pPr>
        <w:jc w:val="both"/>
        <w:ind w:left="2820"/>
        <w:spacing w:after="0" w:line="259" w:lineRule="auto"/>
        <w:rPr>
          <w:sz w:val="20"/>
          <w:szCs w:val="20"/>
          <w:color w:val="auto"/>
        </w:rPr>
      </w:pPr>
      <w:r>
        <w:rPr>
          <w:rFonts w:ascii="Arial" w:cs="Arial" w:eastAsia="Arial" w:hAnsi="Arial"/>
          <w:sz w:val="18"/>
          <w:szCs w:val="18"/>
          <w:color w:val="auto"/>
        </w:rPr>
        <w:t>We performed audit procedures that included, among others, evaluating the methodologies, assessing the judgments and testing the completeness and accuracy of the historical data used by the Company in its determination of the breakage rate. In addition, we performed sensitivity analyses over the breakage rate to evaluate the impact changes in breakage rates had on breakage revenue recorded.</w:t>
      </w:r>
    </w:p>
    <w:p>
      <w:pPr>
        <w:sectPr>
          <w:pgSz w:w="11900" w:h="16838" w:orient="portrait"/>
          <w:cols w:equalWidth="0" w:num="1">
            <w:col w:w="11240"/>
          </w:cols>
          <w:pgMar w:left="320" w:top="584" w:right="339" w:bottom="1440" w:gutter="0" w:footer="0" w:header="0"/>
          <w:type w:val="continuous"/>
        </w:sectPr>
      </w:pP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14, 2022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30,</w:t>
            </w:r>
          </w:p>
        </w:tc>
      </w:tr>
      <w:tr>
        <w:trPr>
          <w:trHeight w:val="234"/>
        </w:trPr>
        <w:tc>
          <w:tcPr>
            <w:tcW w:w="43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4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jc w:val="right"/>
              <w:ind w:right="2280"/>
              <w:spacing w:after="0"/>
              <w:rPr>
                <w:sz w:val="20"/>
                <w:szCs w:val="20"/>
                <w:color w:val="auto"/>
              </w:rPr>
            </w:pPr>
            <w:r>
              <w:rPr>
                <w:rFonts w:ascii="Arial" w:cs="Arial" w:eastAsia="Arial" w:hAnsi="Arial"/>
                <w:sz w:val="18"/>
                <w:szCs w:val="18"/>
                <w:b w:val="1"/>
                <w:bCs w:val="1"/>
                <w:color w:val="auto"/>
              </w:rPr>
              <w:t>ASSETS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Current assets:</w:t>
            </w: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cash equivalents and restricted cash</w:t>
            </w:r>
          </w:p>
        </w:tc>
        <w:tc>
          <w:tcPr>
            <w:tcW w:w="3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32,845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34,840</w:t>
            </w:r>
          </w:p>
        </w:tc>
      </w:tr>
      <w:tr>
        <w:trPr>
          <w:trHeight w:val="216"/>
        </w:trPr>
        <w:tc>
          <w:tcPr>
            <w:tcW w:w="430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71,809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46,947</w:t>
            </w:r>
          </w:p>
        </w:tc>
      </w:tr>
      <w:tr>
        <w:trPr>
          <w:trHeight w:val="216"/>
        </w:trPr>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 net</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8,295</w:t>
            </w:r>
          </w:p>
        </w:tc>
      </w:tr>
      <w:tr>
        <w:trPr>
          <w:trHeight w:val="216"/>
        </w:trPr>
        <w:tc>
          <w:tcPr>
            <w:tcW w:w="43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10,111</w:t>
            </w:r>
          </w:p>
        </w:tc>
        <w:tc>
          <w:tcPr>
            <w:tcW w:w="100" w:type="dxa"/>
            <w:vAlign w:val="bottom"/>
          </w:tcPr>
          <w:p>
            <w:pPr>
              <w:spacing w:after="0"/>
              <w:rPr>
                <w:sz w:val="18"/>
                <w:szCs w:val="18"/>
                <w:color w:val="auto"/>
              </w:rPr>
            </w:pPr>
          </w:p>
        </w:tc>
      </w:tr>
      <w:tr>
        <w:trPr>
          <w:trHeight w:val="210"/>
        </w:trPr>
        <w:tc>
          <w:tcPr>
            <w:tcW w:w="43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 current assets</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100,193</w:t>
            </w:r>
          </w:p>
        </w:tc>
      </w:tr>
    </w:tbl>
    <w:p>
      <w:pPr>
        <w:spacing w:after="0" w:line="200" w:lineRule="exact"/>
        <w:rPr>
          <w:sz w:val="20"/>
          <w:szCs w:val="20"/>
          <w:color w:val="auto"/>
        </w:rPr>
      </w:pPr>
    </w:p>
    <w:p>
      <w:pPr>
        <w:sectPr>
          <w:pgSz w:w="11900" w:h="16838" w:orient="portrait"/>
          <w:cols w:equalWidth="0" w:num="1">
            <w:col w:w="11240"/>
          </w:cols>
          <w:pgMar w:left="320" w:top="823"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right-of-use asset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assets, net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77,671</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104,825</w:t>
            </w:r>
          </w:p>
        </w:tc>
      </w:tr>
      <w:tr>
        <w:trPr>
          <w:trHeight w:val="216"/>
        </w:trPr>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48,966</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52,973</w:t>
            </w:r>
          </w:p>
        </w:tc>
      </w:tr>
      <w:tr>
        <w:trPr>
          <w:trHeight w:val="216"/>
        </w:trPr>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7,613</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2,076</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3,381</w:t>
            </w:r>
          </w:p>
        </w:tc>
      </w:tr>
      <w:tr>
        <w:trPr>
          <w:trHeight w:val="209"/>
        </w:trPr>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266,324</w:t>
            </w: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261,372</w:t>
            </w:r>
          </w:p>
        </w:tc>
        <w:tc>
          <w:tcPr>
            <w:tcW w:w="20" w:type="dxa"/>
            <w:vAlign w:val="bottom"/>
          </w:tcPr>
          <w:p>
            <w:pPr>
              <w:spacing w:after="0"/>
              <w:rPr>
                <w:sz w:val="18"/>
                <w:szCs w:val="18"/>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-719455</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-445135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-162560</wp:posOffset>
            </wp:positionV>
            <wp:extent cx="71323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240"/>
          </w:cols>
          <w:pgMar w:left="320" w:top="823"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ind w:left="3620"/>
              <w:spacing w:after="0"/>
              <w:rPr>
                <w:sz w:val="20"/>
                <w:szCs w:val="20"/>
                <w:color w:val="auto"/>
              </w:rPr>
            </w:pPr>
            <w:r>
              <w:rPr>
                <w:rFonts w:ascii="Arial" w:cs="Arial" w:eastAsia="Arial" w:hAnsi="Arial"/>
                <w:sz w:val="18"/>
                <w:szCs w:val="18"/>
                <w:b w:val="1"/>
                <w:bCs w:val="1"/>
                <w:color w:val="auto"/>
              </w:rPr>
              <w:t>LIABILITIES AND STOCKHOLDERS' EQUITY</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21,849</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17,901</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25,543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17,551</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liability short term</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25,245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32,402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Gift cards and customer deposits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20,937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19,029</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revenue and other</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97,382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89,328</w:t>
            </w:r>
          </w:p>
        </w:tc>
      </w:tr>
      <w:tr>
        <w:trPr>
          <w:trHeight w:val="209"/>
        </w:trPr>
        <w:tc>
          <w:tcPr>
            <w:tcW w:w="80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Operating lease liability long term</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73,307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101,462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franchise revenue</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liabilities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1,218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2,354</w:t>
            </w:r>
          </w:p>
        </w:tc>
      </w:tr>
      <w:tr>
        <w:trPr>
          <w:trHeight w:val="216"/>
        </w:trPr>
        <w:tc>
          <w:tcPr>
            <w:tcW w:w="8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Preferred stock, par value $0.01, Shares authorized: 15,000,000; No shares issued or outstanding at January</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29, 2022 and January 30, 2021</w:t>
            </w:r>
          </w:p>
        </w:tc>
        <w:tc>
          <w:tcPr>
            <w:tcW w:w="4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tcPr>
          <w:p>
            <w:pPr>
              <w:spacing w:after="0" w:line="201" w:lineRule="exact"/>
              <w:rPr>
                <w:sz w:val="20"/>
                <w:szCs w:val="20"/>
                <w:color w:val="auto"/>
              </w:rPr>
            </w:pPr>
            <w:r>
              <w:rPr>
                <w:rFonts w:ascii="Arial" w:cs="Arial" w:eastAsia="Arial" w:hAnsi="Arial"/>
                <w:sz w:val="18"/>
                <w:szCs w:val="18"/>
                <w:color w:val="auto"/>
                <w:w w:val="94"/>
              </w:rPr>
              <w:t>Common stock, par value $0.01, Shares authorized: 50,000,000; Issued and outstanding: 16,146,332 and</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15,930,958 shares, respectively</w:t>
            </w:r>
          </w:p>
        </w:tc>
        <w:tc>
          <w:tcPr>
            <w:tcW w:w="4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75,490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72,822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4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(12,470)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(12,615)</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Total stockholders' equity</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67,308</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266,324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261,372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Fiscal year ended</w:t>
            </w:r>
          </w:p>
        </w:tc>
      </w:tr>
      <w:tr>
        <w:trPr>
          <w:trHeight w:val="191"/>
        </w:trPr>
        <w:tc>
          <w:tcPr>
            <w:tcW w:w="80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January 29,</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w w:val="98"/>
              </w:rPr>
              <w:t>January 30,</w:t>
            </w:r>
          </w:p>
        </w:tc>
        <w:tc>
          <w:tcPr>
            <w:tcW w:w="100" w:type="dxa"/>
            <w:vAlign w:val="bottom"/>
          </w:tcPr>
          <w:p>
            <w:pPr>
              <w:spacing w:after="0"/>
              <w:rPr>
                <w:sz w:val="16"/>
                <w:szCs w:val="16"/>
                <w:color w:val="auto"/>
              </w:rPr>
            </w:pPr>
          </w:p>
        </w:tc>
      </w:tr>
      <w:tr>
        <w:trPr>
          <w:trHeight w:val="234"/>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retail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397,690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249,210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revenue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4,426</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International franchising</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411,522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255,310</w:t>
            </w:r>
          </w:p>
        </w:tc>
      </w:tr>
      <w:tr>
        <w:trPr>
          <w:trHeight w:val="209"/>
        </w:trPr>
        <w:tc>
          <w:tcPr>
            <w:tcW w:w="80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Cost of merchandise sold - retail</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186,382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147,783</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Store asset impairment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7,346</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Cost of merchandise sold - commercial</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5,648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1,837</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merchandise sold - international franchising</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Total cost of merchandise sold</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157,901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Consolidated gross profit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217,955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97,409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167,250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117,585</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 expense, net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0"/>
        </w:trPr>
        <w:tc>
          <w:tcPr>
            <w:tcW w:w="8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50,710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(20,186)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98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47,265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(22,983)</w:t>
            </w: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(601)</w:t>
            </w:r>
          </w:p>
        </w:tc>
      </w:tr>
      <w:tr>
        <w:trPr>
          <w:trHeight w:val="20"/>
        </w:trPr>
        <w:tc>
          <w:tcPr>
            <w:tcW w:w="8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(23,584)</w:t>
            </w:r>
          </w:p>
        </w:tc>
      </w:tr>
      <w:tr>
        <w:trPr>
          <w:trHeight w:val="197"/>
        </w:trPr>
        <w:tc>
          <w:tcPr>
            <w:tcW w:w="80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common share:</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0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2.93</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(1.54)</w:t>
            </w:r>
          </w:p>
        </w:tc>
      </w:tr>
      <w:tr>
        <w:trPr>
          <w:trHeight w:val="196"/>
        </w:trPr>
        <w:tc>
          <w:tcPr>
            <w:tcW w:w="80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common per share amounts: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15,460,634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14,923,304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16,122,583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14,923,304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other</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Common</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paid-in</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comprehensive</w:t>
            </w:r>
          </w:p>
        </w:tc>
        <w:tc>
          <w:tcPr>
            <w:tcW w:w="1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capital</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income (loss)</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0"/>
        </w:trPr>
        <w:tc>
          <w:tcPr>
            <w:tcW w:w="3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February 1, 2020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70,633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29,925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88,631</w:t>
            </w:r>
          </w:p>
        </w:tc>
      </w:tr>
      <w:tr>
        <w:trPr>
          <w:trHeight w:val="216"/>
        </w:trPr>
        <w:tc>
          <w:tcPr>
            <w:tcW w:w="3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w w:val="94"/>
              </w:rPr>
              <w:t>Shares issued under employee stock plans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491</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7"/>
              </w:rPr>
              <w:t>Shares withheld in lieu of tax withholdings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(536)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(536)</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(22,983)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(22,983)</w:t>
            </w:r>
          </w:p>
        </w:tc>
      </w:tr>
      <w:tr>
        <w:trPr>
          <w:trHeight w:val="216"/>
        </w:trPr>
        <w:tc>
          <w:tcPr>
            <w:tcW w:w="3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30, 2021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72,822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6,942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67,308</w:t>
            </w:r>
          </w:p>
        </w:tc>
      </w:tr>
      <w:tr>
        <w:trPr>
          <w:trHeight w:val="197"/>
        </w:trPr>
        <w:tc>
          <w:tcPr>
            <w:tcW w:w="326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w w:val="94"/>
              </w:rPr>
              <w:t>Shares issued under employee stock plans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3,866</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3,873</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7"/>
              </w:rPr>
              <w:t>Shares withheld in lieu of tax withholdings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Repurchase of Company stock</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(1,132)</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(3,224)</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(4,358)</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(20,482)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(20,482)</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47,265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47,265</w:t>
            </w:r>
          </w:p>
        </w:tc>
      </w:tr>
      <w:tr>
        <w:trPr>
          <w:trHeight w:val="216"/>
        </w:trPr>
        <w:tc>
          <w:tcPr>
            <w:tcW w:w="3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29, 2022</w:t>
            </w: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75,490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30,501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93,683</w:t>
            </w:r>
          </w:p>
        </w:tc>
      </w:tr>
      <w:tr>
        <w:trPr>
          <w:trHeight w:val="20"/>
        </w:trPr>
        <w:tc>
          <w:tcPr>
            <w:tcW w:w="32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260" w:type="dxa"/>
            <w:vAlign w:val="bottom"/>
          </w:tcPr>
          <w:p>
            <w:pPr>
              <w:spacing w:after="0"/>
              <w:rPr>
                <w:sz w:val="24"/>
                <w:szCs w:val="24"/>
                <w:color w:val="auto"/>
              </w:rPr>
            </w:pPr>
          </w:p>
        </w:tc>
        <w:tc>
          <w:tcPr>
            <w:tcW w:w="5440" w:type="dxa"/>
            <w:vAlign w:val="bottom"/>
            <w:gridSpan w:val="10"/>
          </w:tcPr>
          <w:p>
            <w:pPr>
              <w:jc w:val="right"/>
              <w:ind w:right="860"/>
              <w:spacing w:after="0"/>
              <w:rPr>
                <w:sz w:val="20"/>
                <w:szCs w:val="20"/>
                <w:color w:val="auto"/>
              </w:rPr>
            </w:pPr>
            <w:r>
              <w:rPr>
                <w:rFonts w:ascii="Arial" w:cs="Arial" w:eastAsia="Arial" w:hAnsi="Arial"/>
                <w:sz w:val="18"/>
                <w:szCs w:val="18"/>
                <w:color w:val="auto"/>
                <w:w w:val="91"/>
              </w:rPr>
              <w:t>See accompanying notes to consolidated financial statements.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2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Fiscal year ended</w:t>
            </w:r>
          </w:p>
        </w:tc>
      </w:tr>
      <w:tr>
        <w:trPr>
          <w:trHeight w:val="191"/>
        </w:trPr>
        <w:tc>
          <w:tcPr>
            <w:tcW w:w="80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January 29,</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w w:val="98"/>
              </w:rPr>
              <w:t>January 30,</w:t>
            </w:r>
          </w:p>
        </w:tc>
        <w:tc>
          <w:tcPr>
            <w:tcW w:w="100" w:type="dxa"/>
            <w:vAlign w:val="bottom"/>
          </w:tcPr>
          <w:p>
            <w:pPr>
              <w:spacing w:after="0"/>
              <w:rPr>
                <w:sz w:val="16"/>
                <w:szCs w:val="16"/>
                <w:color w:val="auto"/>
              </w:rPr>
            </w:pPr>
          </w:p>
        </w:tc>
      </w:tr>
      <w:tr>
        <w:trPr>
          <w:trHeight w:val="234"/>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operating activities: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47,265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(22,983)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13,292</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Share-based and performance-based stock compensation expense</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2,631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1,525</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Impairment of right-of-use assets and fixed assets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7,346</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Deferred taxes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(7,613)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3,388</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Provision/adjustments for doubtful accounts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Loss on disposal of property and equipment</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 in assets and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(25,126)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6,785</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2,747</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(2,579)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(2,063)</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4,028</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(8,193)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Gift cards and customer deposits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(1,209)</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(471)</w:t>
            </w:r>
          </w:p>
        </w:tc>
      </w:tr>
      <w:tr>
        <w:trPr>
          <w:trHeight w:val="210"/>
        </w:trPr>
        <w:tc>
          <w:tcPr>
            <w:tcW w:w="800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(5,046)</w:t>
            </w:r>
          </w:p>
        </w:tc>
      </w:tr>
      <w:tr>
        <w:trPr>
          <w:trHeight w:val="20"/>
        </w:trPr>
        <w:tc>
          <w:tcPr>
            <w:tcW w:w="8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130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(8,130)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(5,046)</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financing activities: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Proceeds from exercise of employee stock options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1,835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common stock for retirement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Cash dividends paid</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(19,933)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(22,456)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r>
      <w:tr>
        <w:trPr>
          <w:trHeight w:val="20"/>
        </w:trPr>
        <w:tc>
          <w:tcPr>
            <w:tcW w:w="8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r>
      <w:tr>
        <w:trPr>
          <w:trHeight w:val="20"/>
        </w:trPr>
        <w:tc>
          <w:tcPr>
            <w:tcW w:w="8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26,726</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32,845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34,840</w:t>
            </w:r>
          </w:p>
        </w:tc>
      </w:tr>
      <w:tr>
        <w:trPr>
          <w:trHeight w:val="196"/>
        </w:trPr>
        <w:tc>
          <w:tcPr>
            <w:tcW w:w="80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Reconciliation of cash, cash equivalents and restricted cash </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31,808</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33,142</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from long-term deposits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cash, cash equivalents and restricted cash</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32,845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34,840</w:t>
            </w: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Net cash paid (received) during the period for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10,378</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bl>
    <w:p>
      <w:pPr>
        <w:spacing w:after="0" w:line="187" w:lineRule="exact"/>
        <w:rPr>
          <w:sz w:val="20"/>
          <w:szCs w:val="20"/>
          <w:color w:val="auto"/>
        </w:rPr>
      </w:pPr>
    </w:p>
    <w:p>
      <w:pPr>
        <w:ind w:left="3400" w:right="1980" w:hanging="3392"/>
        <w:spacing w:after="0" w:line="530" w:lineRule="auto"/>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See cash, cash equivalents and restricted cash in Note 2 - Summary of Significant Accounting Policies for further discussion. See accompanying 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5" w:name="page46"/>
    <w:bookmarkEnd w:id="45"/>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ind w:left="460" w:hanging="43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Preparation</w:t>
      </w:r>
    </w:p>
    <w:p>
      <w:pPr>
        <w:spacing w:after="0" w:line="229" w:lineRule="exact"/>
        <w:rPr>
          <w:sz w:val="20"/>
          <w:szCs w:val="20"/>
          <w:color w:val="auto"/>
        </w:rPr>
      </w:pPr>
    </w:p>
    <w:p>
      <w:pPr>
        <w:jc w:val="both"/>
        <w:ind w:left="20" w:firstLine="486"/>
        <w:spacing w:after="0" w:line="273" w:lineRule="auto"/>
        <w:rPr>
          <w:sz w:val="20"/>
          <w:szCs w:val="20"/>
          <w:color w:val="auto"/>
        </w:rPr>
      </w:pPr>
      <w:r>
        <w:rPr>
          <w:rFonts w:ascii="Arial" w:cs="Arial" w:eastAsia="Arial" w:hAnsi="Arial"/>
          <w:sz w:val="17"/>
          <w:szCs w:val="17"/>
          <w:color w:val="auto"/>
        </w:rPr>
        <w:t>Build-A-Bear Workshop, Inc. and subsidiaries (collectively, the “Company”) is a multi-channel retailer of plush animals and related products. The Company began operations in October 1997. The Company sells its products through its 346 corporately-managed locations operated primarily in leased mall locations in the U.S., Canada, Ireland, and the U.K. along with its e-commerce sites. With the closure of its one corporately-managed location in China in May 2021, as of the balance sheet date, operations in foreign countries where the Company does not have corporately-managed locations are through franchise agreements. The Company also sold product through its "third-party retail" model at 61 stores in which it sells its products on a wholesale basis to other companies that then in turn execute the Company's retail experience.</w:t>
      </w:r>
    </w:p>
    <w:p>
      <w:pPr>
        <w:spacing w:after="0" w:line="178" w:lineRule="exact"/>
        <w:rPr>
          <w:sz w:val="20"/>
          <w:szCs w:val="20"/>
          <w:color w:val="auto"/>
        </w:rPr>
      </w:pPr>
    </w:p>
    <w:p>
      <w:pPr>
        <w:jc w:val="both"/>
        <w:ind w:left="20" w:right="20" w:firstLine="486"/>
        <w:spacing w:after="0" w:line="342" w:lineRule="auto"/>
        <w:rPr>
          <w:sz w:val="20"/>
          <w:szCs w:val="20"/>
          <w:color w:val="auto"/>
        </w:rPr>
      </w:pPr>
      <w:r>
        <w:rPr>
          <w:rFonts w:ascii="Arial" w:cs="Arial" w:eastAsia="Arial" w:hAnsi="Arial"/>
          <w:sz w:val="16"/>
          <w:szCs w:val="16"/>
          <w:color w:val="auto"/>
        </w:rPr>
        <w:t>The Company’s consolidated financial statements have been prepared in accordance U.S. GAAP. Certain amounts in prior fiscal periods have been reclassified to conform to current year presentation with no impact to the consolidated statement of operations and comprehensive income (loss).</w:t>
      </w:r>
    </w:p>
    <w:p>
      <w:pPr>
        <w:spacing w:after="0" w:line="363" w:lineRule="exact"/>
        <w:rPr>
          <w:sz w:val="20"/>
          <w:szCs w:val="20"/>
          <w:color w:val="auto"/>
        </w:rPr>
      </w:pPr>
    </w:p>
    <w:p>
      <w:pPr>
        <w:ind w:left="460" w:hanging="43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right="140" w:firstLine="486"/>
        <w:spacing w:after="0" w:line="308" w:lineRule="auto"/>
        <w:rPr>
          <w:sz w:val="20"/>
          <w:szCs w:val="20"/>
          <w:color w:val="auto"/>
        </w:rPr>
      </w:pPr>
      <w:r>
        <w:rPr>
          <w:rFonts w:ascii="Arial" w:cs="Arial" w:eastAsia="Arial" w:hAnsi="Arial"/>
          <w:sz w:val="17"/>
          <w:szCs w:val="17"/>
          <w:color w:val="auto"/>
        </w:rPr>
        <w:t>For each accounting topic that is addressed in its own note, the description of the accounting policy may be found in the related note. The Company’s other significant accounting policies applied in the preparation of the accompanying consolidated financial statements are as follows: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accompanying consolidated financial statements include the accounts of Build-A-Bear Workshop, Inc. and its wholly-owned subsidiaries.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intercompany accounts are eliminated in consolidation.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Fiscal Year</w:t>
      </w:r>
    </w:p>
    <w:p>
      <w:pPr>
        <w:spacing w:after="0" w:line="225" w:lineRule="exact"/>
        <w:rPr>
          <w:sz w:val="20"/>
          <w:szCs w:val="20"/>
          <w:color w:val="auto"/>
        </w:rPr>
      </w:pPr>
    </w:p>
    <w:p>
      <w:pPr>
        <w:jc w:val="both"/>
        <w:ind w:left="20" w:firstLine="441"/>
        <w:spacing w:after="0" w:line="263" w:lineRule="auto"/>
        <w:rPr>
          <w:sz w:val="20"/>
          <w:szCs w:val="20"/>
          <w:color w:val="auto"/>
        </w:rPr>
      </w:pPr>
      <w:r>
        <w:rPr>
          <w:rFonts w:ascii="Arial" w:cs="Arial" w:eastAsia="Arial" w:hAnsi="Arial"/>
          <w:sz w:val="18"/>
          <w:szCs w:val="18"/>
          <w:color w:val="auto"/>
        </w:rPr>
        <w:t>The Company operates on a 52- or 53-week fiscal year ending on the Saturday closest to January 31. The periods presented in these financial statements are fiscal 2021 (52 weeks ended January 29, 2022) and fiscal 2020 (52 weeks ended January 30, 2021). References to years in these financial statements relate to fiscal years or year ends rather than calendar years.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25" w:lineRule="exact"/>
        <w:rPr>
          <w:sz w:val="20"/>
          <w:szCs w:val="20"/>
          <w:color w:val="auto"/>
        </w:rPr>
      </w:pPr>
    </w:p>
    <w:p>
      <w:pPr>
        <w:jc w:val="both"/>
        <w:ind w:left="20" w:firstLine="441"/>
        <w:spacing w:after="0" w:line="275" w:lineRule="auto"/>
        <w:rPr>
          <w:sz w:val="20"/>
          <w:szCs w:val="20"/>
          <w:color w:val="auto"/>
        </w:rPr>
      </w:pPr>
      <w:r>
        <w:rPr>
          <w:rFonts w:ascii="Arial" w:cs="Arial" w:eastAsia="Arial" w:hAnsi="Arial"/>
          <w:sz w:val="17"/>
          <w:szCs w:val="17"/>
          <w:color w:val="auto"/>
        </w:rPr>
        <w:t>Cash and cash equivalents include cash and short-term highly liquid investments with an original maturity of three months or less held in both domestic and foreign financial institutions. In addition, the Company has long-term deposits at multiple institutions to satisfy contractual terms with one landlord in China and the UK Customs Authority (unrelated to the matter discussed in Note 10 - Commitments and Contingencies). The Company also has deposits from franchisees under contractual agreements which are refundable. The long-term and franchisee deposits are considered restricted cash and disclosed within the supplemental disclosure within the consolidated statement of cash flows.</w:t>
      </w:r>
    </w:p>
    <w:p>
      <w:pPr>
        <w:spacing w:after="0" w:line="176" w:lineRule="exact"/>
        <w:rPr>
          <w:sz w:val="20"/>
          <w:szCs w:val="20"/>
          <w:color w:val="auto"/>
        </w:rPr>
      </w:pPr>
    </w:p>
    <w:p>
      <w:pPr>
        <w:jc w:val="both"/>
        <w:ind w:left="20" w:firstLine="441"/>
        <w:spacing w:after="0" w:line="342" w:lineRule="auto"/>
        <w:rPr>
          <w:sz w:val="20"/>
          <w:szCs w:val="20"/>
          <w:color w:val="auto"/>
        </w:rPr>
      </w:pPr>
      <w:r>
        <w:rPr>
          <w:rFonts w:ascii="Arial" w:cs="Arial" w:eastAsia="Arial" w:hAnsi="Arial"/>
          <w:sz w:val="16"/>
          <w:szCs w:val="16"/>
          <w:color w:val="auto"/>
        </w:rPr>
        <w:t>The majority of the Company’s cash and cash equivalents exceed federal deposit insurance limits. The Company has not experienced any losses in such accounts and management believes that the Company is not exposed to any significant credit risk on cash, cash equivalents, and restricted cash.</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left="20" w:firstLine="441"/>
        <w:spacing w:after="0" w:line="311" w:lineRule="auto"/>
        <w:rPr>
          <w:sz w:val="20"/>
          <w:szCs w:val="20"/>
          <w:color w:val="auto"/>
        </w:rPr>
      </w:pPr>
      <w:r>
        <w:rPr>
          <w:rFonts w:ascii="Arial" w:cs="Arial" w:eastAsia="Arial" w:hAnsi="Arial"/>
          <w:sz w:val="16"/>
          <w:szCs w:val="16"/>
          <w:color w:val="auto"/>
        </w:rPr>
        <w:t>Inventories are stated at the lower of cost or net realizable value, with cost determined on an average-cost basis. Inventory includes supplies of $4.4 million and $2.8 million as of January 29, 2022 and January 30, 2021, respectively. A reserve for estimated shortage is accrued throughout the year based on detailed historical averages. The inventory reserve was $0.9 million and $1.0 million as of January 29, 2022 and January 30, 2021, respectively.</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80" w:right="339" w:bottom="1440" w:gutter="0" w:footer="0" w:header="0"/>
        </w:sectPr>
      </w:pPr>
    </w:p>
    <w:bookmarkStart w:id="46" w:name="page47"/>
    <w:bookmarkEnd w:id="46"/>
    <w:p>
      <w:pPr>
        <w:ind w:left="460"/>
        <w:spacing w:after="0"/>
        <w:rPr>
          <w:sz w:val="20"/>
          <w:szCs w:val="20"/>
          <w:color w:val="auto"/>
        </w:rPr>
      </w:pPr>
      <w:r>
        <w:rPr>
          <w:rFonts w:ascii="Arial" w:cs="Arial" w:eastAsia="Arial" w:hAnsi="Arial"/>
          <w:sz w:val="18"/>
          <w:szCs w:val="18"/>
          <w:b w:val="1"/>
          <w:bCs w:val="1"/>
          <w:i w:val="1"/>
          <w:iCs w:val="1"/>
          <w:color w:val="auto"/>
        </w:rPr>
        <w:t>Receivables</w:t>
      </w:r>
    </w:p>
    <w:p>
      <w:pPr>
        <w:spacing w:after="0" w:line="225" w:lineRule="exact"/>
        <w:rPr>
          <w:sz w:val="20"/>
          <w:szCs w:val="20"/>
          <w:color w:val="auto"/>
        </w:rPr>
      </w:pPr>
    </w:p>
    <w:p>
      <w:pPr>
        <w:jc w:val="both"/>
        <w:ind w:left="20" w:firstLine="441"/>
        <w:spacing w:after="0" w:line="301" w:lineRule="auto"/>
        <w:rPr>
          <w:sz w:val="20"/>
          <w:szCs w:val="20"/>
          <w:color w:val="auto"/>
        </w:rPr>
      </w:pPr>
      <w:r>
        <w:rPr>
          <w:rFonts w:ascii="Arial" w:cs="Arial" w:eastAsia="Arial" w:hAnsi="Arial"/>
          <w:sz w:val="16"/>
          <w:szCs w:val="16"/>
          <w:color w:val="auto"/>
        </w:rPr>
        <w:t>Receivables consist primarily of amounts due to the Company in relation to tenant allowances, wholesale and corporate product sales, franchisee royalties and product sales, certain amounts due from taxing authorities and licensing revenue. The Company assesses the collectability of all receivables on an ongoing basis by considering its historical credit loss experience, current economic conditions, and other relevant factors. Based on this analysis, the Company has established an allowance for doubtful accounts of $7.1 million and $7.4 million as of January 29, 2022 and January 30, 2021, respectively.</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left="20" w:firstLine="441"/>
        <w:spacing w:after="0" w:line="271" w:lineRule="auto"/>
        <w:rPr>
          <w:sz w:val="20"/>
          <w:szCs w:val="20"/>
          <w:color w:val="auto"/>
        </w:rPr>
      </w:pPr>
      <w:r>
        <w:rPr>
          <w:rFonts w:ascii="Arial" w:cs="Arial" w:eastAsia="Arial" w:hAnsi="Arial"/>
          <w:sz w:val="17"/>
          <w:szCs w:val="17"/>
          <w:color w:val="auto"/>
        </w:rPr>
        <w:t>Property and equipment consist of leasehold improvements, furniture and fixtures, computer equipment and software, building and land and are stated at cost. Leasehold improvements are depreciated using the straight-line method over the shorter of the useful life of the assets or the life of the lease ranging from one to ten years. Furniture and fixtures and computer equipment are depreciated using the straight-line method over the estimated service lives ranging from three to seven years. Computer software includes certain costs, including internal payroll costs incurred in connection with the development or acquisition of software for internal use and is amortized using the straight-line method over a period of three to five years. New store construction deposits are recorded at the time the deposit is made as construction-in-progress and reclassified to the appropriate property and equipment category at the time of completion of construction, when operations of the store commence. Maintenance and repairs are expensed as incurred and improvements are capitalized. Gains or losses on the disposition of fixed assets are recorded upon disposal.</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right="120" w:firstLine="486"/>
        <w:spacing w:after="0" w:line="289" w:lineRule="auto"/>
        <w:rPr>
          <w:sz w:val="20"/>
          <w:szCs w:val="20"/>
          <w:color w:val="auto"/>
        </w:rPr>
      </w:pPr>
      <w:r>
        <w:rPr>
          <w:rFonts w:ascii="Arial" w:cs="Arial" w:eastAsia="Arial" w:hAnsi="Arial"/>
          <w:sz w:val="16"/>
          <w:szCs w:val="16"/>
          <w:color w:val="auto"/>
        </w:rPr>
        <w:t>The majority of the Company's leases relate to retail stores and corporate offices. For leases with terms greater than 12 months, the Company records the related asset and obligation at the present value of lease payments over the term. Most retail store leases have an original term of five to ten-year base period and the term can be extended on a lease-by-lease basis with additional terms that are typically much shorter than the original lease term giving the Company lease optionality. The renewal options are not included in the measurement of the right of use assets and right of use liabilities unless the Company is reasonably certain to exercise the optional renewal periods. Some leases also include early termination options, which can be exercised under specific conditions. Additionally, the Company may operate stores for a period of time on a month-to-month basis after the expiration of the lease term. The Company's lease agreements do not contain any material residual value guarantees or material restrictive covenants. Additionally, certain leases contain incentives, such as construction allowances from landlords and/or rent abatements subsequent to taking possession of the leased property. These incentives reduce the right-of-use asset related to the lease and are amortized through the right-of-use asset as reductions of expense over the lease term.</w:t>
      </w:r>
    </w:p>
    <w:p>
      <w:pPr>
        <w:spacing w:after="0" w:line="166" w:lineRule="exact"/>
        <w:rPr>
          <w:sz w:val="20"/>
          <w:szCs w:val="20"/>
          <w:color w:val="auto"/>
        </w:rPr>
      </w:pPr>
    </w:p>
    <w:p>
      <w:pPr>
        <w:jc w:val="both"/>
        <w:ind w:right="140" w:firstLine="486"/>
        <w:spacing w:after="0" w:line="293" w:lineRule="auto"/>
        <w:rPr>
          <w:sz w:val="20"/>
          <w:szCs w:val="20"/>
          <w:color w:val="auto"/>
        </w:rPr>
      </w:pPr>
      <w:r>
        <w:rPr>
          <w:rFonts w:ascii="Arial" w:cs="Arial" w:eastAsia="Arial" w:hAnsi="Arial"/>
          <w:sz w:val="16"/>
          <w:szCs w:val="16"/>
          <w:color w:val="auto"/>
        </w:rPr>
        <w:t>The Company's leases typically contain rent escalations over the lease term and the Company recognizes expense for these leases on a straight-line basis over the lease term. The Company recognizes the related rental expense on a straight-line basis and records the difference between the recognized rental expense and amounts payable under the lease as part of the lease right-of-use asset. Some of the Company's leases include rent escalations based on inflation indexes and fair market value adjustments. Operating lease liabilities are calculated using the prevailing index or rate at lease commencement. Subsequent escalations in the index or rate and contingent rental payments are recognized as variable lease expenses. Certain leases contain contingent rental provisions that include a fixed base rent plus an additional percentage of the store’s sales in excess of stipulated amounts.</w:t>
      </w:r>
    </w:p>
    <w:p>
      <w:pPr>
        <w:spacing w:after="0" w:line="164"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The Company has elected the practical expedient allowed by the standard to account for all fixed consideration in a lease as a single lease component. Therefore, the lease payments used to measure the lease liability for these leases include fixed minimum rentals along with fixed operating costs such as common area maintenance and utilities.</w:t>
      </w:r>
    </w:p>
    <w:p>
      <w:pPr>
        <w:spacing w:after="0" w:line="184" w:lineRule="exact"/>
        <w:rPr>
          <w:sz w:val="20"/>
          <w:szCs w:val="20"/>
          <w:color w:val="auto"/>
        </w:rPr>
      </w:pPr>
    </w:p>
    <w:p>
      <w:pPr>
        <w:jc w:val="both"/>
        <w:ind w:left="20" w:firstLine="486"/>
        <w:spacing w:after="0" w:line="259" w:lineRule="auto"/>
        <w:rPr>
          <w:sz w:val="20"/>
          <w:szCs w:val="20"/>
          <w:color w:val="auto"/>
        </w:rPr>
      </w:pPr>
      <w:r>
        <w:rPr>
          <w:rFonts w:ascii="Arial" w:cs="Arial" w:eastAsia="Arial" w:hAnsi="Arial"/>
          <w:sz w:val="18"/>
          <w:szCs w:val="18"/>
          <w:color w:val="auto"/>
        </w:rPr>
        <w:t>Most of the Company’s leases do not provide a readily available implicit interest rate. Therefore, the Company estimates the incremental borrowing discount rate based on information available at lease commencement. The discount rates used are indicative of a synthetic credit rating based on quantitative and qualitative analysis and adjusted one notch higher to estimate a secured credit rating. For non-U.S. locations, a risk-free rate yield based on the currency of the lease is used to adjust the estimate of the incremental borrowing rate.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611" w:right="339" w:bottom="1440" w:gutter="0" w:footer="0" w:header="0"/>
        </w:sectPr>
      </w:pPr>
    </w:p>
    <w:bookmarkStart w:id="47" w:name="page48"/>
    <w:bookmarkEnd w:id="47"/>
    <w:p>
      <w:pPr>
        <w:ind w:left="440"/>
        <w:spacing w:after="0"/>
        <w:rPr>
          <w:sz w:val="20"/>
          <w:szCs w:val="20"/>
          <w:color w:val="auto"/>
        </w:rPr>
      </w:pPr>
      <w:r>
        <w:rPr>
          <w:rFonts w:ascii="Arial" w:cs="Arial" w:eastAsia="Arial" w:hAnsi="Arial"/>
          <w:sz w:val="18"/>
          <w:szCs w:val="18"/>
          <w:b w:val="1"/>
          <w:bCs w:val="1"/>
          <w:i w:val="1"/>
          <w:iCs w:val="1"/>
          <w:color w:val="auto"/>
        </w:rPr>
        <w:t>Other Assets, net</w:t>
      </w:r>
    </w:p>
    <w:p>
      <w:pPr>
        <w:spacing w:after="0" w:line="225"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Other assets consist primarily of the non-current portion of prepaid income taxes and deferred costs related to franchise agreements, financing agreements, and capitalized film production costs. Deferred franchise costs are initial costs related to the Company’s franchise agreements that are deferred and amortized over the life of the respective franchise agreement. Deferred financing costs are the initial issuance costs and fees incurred in obtaining the Company's new credit agreement. The Company had no outstanding borrowings at the beginning of the facility or at of the date of the first amendment, therefore these costs and fees incurred for the original agreement and amendment were recorded as a deferred asset and the unamortized costs will be amortized over the length of the amended agreement. Film production costs include capitalizable direct costs, production overhead, interest and development costs and are stated at the lower of cost, less accumulated amortization, or fair value.</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Whenever facts and circumstances indicate that the carrying value of a long-lived asset (asset group) and right-of-use operating lease assets may not be recoverable, the carrying value of those assets is reviewed for potential impairment. If this review indicates that the carrying value of the asset (asset group) will not be recovered, as determined based on projected undiscounted cash flows related to the asset (asset group) over its remaining life, the carrying value of the asset (asset group) is reduced to its estimated fair value. The Company typically performs an annual assessment of its store assets in the DTC segment, based on operating performance and forecasts of future performance. For the purposes of evaluating store assets for impairment, the Company has determined that each store location is an asset group, inclusive of the right-of-use asset attributable to each store. In periods where the Company identifies indicators of impairment for its store fleet, the Company performs a recoverability test for these assets by comparing the estimated undiscounted future cash flows over the remaining useful life of the asset (asset group) to the carry value of the asset (asset group). Based on this, the Company determines if certain stores had long-lived and right-of-use assets with carrying values that exceed their estimated undiscounted future cash flows for the remaining useful life of the respective assets.</w:t>
      </w:r>
    </w:p>
    <w:p>
      <w:pPr>
        <w:spacing w:after="0" w:line="18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An impairment charge is recognized to the extent the carrying value exceeded the fair value of the asset (asset group). The Company estimates fair values of these long-lived assets based on its discounted future cash flow analysis for the remaining useful life of the asset or its market rent assessment. For operating lease assets, the Company determines the fair value of the assets by comparing the contractual rent payments to estimated market rental rates. An individual asset within an asset group is not impaired below its estimated fair value. Asset impairment charges are recorded in Store asset impairment within the Consolidated Statement of Operations and Comprehensive Income (Loss). The Company's analysis identified no indicators of impairment and the Company incurred no impairment charges during fiscal 2021 for long-lived assets. The Company recorded total impairment charges for fiscal 2020 of approximately $7.3 million, with approximately $3.8 million for right-of-use lease assets and $3.5 million for fixed assets including leasehold improvements and fixtures, furniture and fixtures, machinery and equipment, and construction-in-progress.</w:t>
      </w:r>
    </w:p>
    <w:p>
      <w:pPr>
        <w:spacing w:after="0" w:line="16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determination of estimated market rent used in the fair value estimate of the Company’s operating lease assets included within the respective store asset group requires significant management judgment. Changes in these estimates could have a significant impact on whether long-lived store assets should be further evaluated for impairment and could have a significant impact on the resulting impairment charge. The significant estimates, all of which are considered Level 3 inputs, used in the fair value methodology include: the Company’s expectations for future operations and projected cash flows, including revenues, operating expenses including market rents, and market conditions.</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Entertainment Production Costs</w:t>
      </w:r>
    </w:p>
    <w:p>
      <w:pPr>
        <w:spacing w:after="0" w:line="22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Costs of producing entertainment assets, which include direct costs, production overhead and development costs, are capitalized when incurred and are stated at the lower of cost, less accumulated amortization, or fair value. For film related costs, the Company expects assets to be monetized individually and are amortized using the individual film-forecast-computation method which amortizes such costs in the same ratio that current period actual revenue bears to the estimated remaining unrecognized total revenues (ultimate revenue). Ultimate revenue includes estimates over a period not to exceed ten years from the date of initial release of the film. Participation costs and residuals are accrued and expensed over the applicable product life cycle based upon the ratio of the current period's revenues to the estimated remaining total revenues for each production.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8" w:name="page49"/>
    <w:bookmarkEnd w:id="48"/>
    <w:p>
      <w:pPr>
        <w:jc w:val="both"/>
        <w:ind w:firstLine="486"/>
        <w:spacing w:after="0" w:line="289" w:lineRule="auto"/>
        <w:rPr>
          <w:sz w:val="20"/>
          <w:szCs w:val="20"/>
          <w:color w:val="auto"/>
        </w:rPr>
      </w:pPr>
      <w:r>
        <w:rPr>
          <w:rFonts w:ascii="Arial" w:cs="Arial" w:eastAsia="Arial" w:hAnsi="Arial"/>
          <w:sz w:val="16"/>
          <w:szCs w:val="16"/>
          <w:color w:val="auto"/>
        </w:rPr>
        <w:t>Costs of entertainment productions are subject to recoverability assessments, whenever events or changes in circumstances indicate that the fair value of the film may be less than the unamortized cost, which for content predominantly monetized individually, involves comparing the estimated fair values with the unamortized cost. The fair value is determined based on a discounted cash flow analysis of the cash flows directly attributable to the entertainment assets. The discounted cash flow analysis includes cash flow estimates of ultimate revenue as well as a discount rate (a Level 3 fair value measurement). The discount rate used in the Company’s discounted cash flow model reflects the time value of money, expectations about variation in the amount or timing of the most likely cash flows, and the price market participants would seek for bearing the uncertainty inherent with the film asset. The amount by which the unamortized costs of entertainment assets exceed their estimated fair values are written off. As of January 29, 2022 and January 30, 2021, the Company had capitalized entertainment production costs of $0.8 million and $1.7 million, respectively. The January 29, 2022 balance for entertainment production costs is mostly comprised of several in-development entertainment projects.</w:t>
      </w:r>
    </w:p>
    <w:p>
      <w:pPr>
        <w:spacing w:after="0" w:line="16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October 2021, the Company co-released the film Honey Girls and began recording film cost amortization. The Company does not have any history with this type of entertainment transaction, therefore the Company made a reasonable estimate of ultimate revenues for the film, and amortization of the film costs. The Company recorded an immaterial amount of net revenue and film cost amortization during fiscal 2021 within the Selling, general and administrative line in the Consolidated Statement of Operations and Comprehensive Income (Loss) and includes it in the financial information of the Commercial reportable segment presented in Note 15 - Segment Information. Additionally, as a result of the delivery and release of the film, the Company recorded receivables totaling approximately $4.0 million during the third quarter stemming from a refundable Canadian Film Tax Credit and other contractual obligations. These receivables were recorded as a reduction to the film costs associated with the movie as they relate directly to previously capitalized expenses. Cash was received in the fourth quarter for the receivables related to the contractual obligations. The refundable Canadian Film Tax Credit of approximately $1.0 million was outstanding as of January 29, 2022. The remaining net production entertainment asset related the Honey Girls film as of January 29, 2022 is immaterial to the consolidated financial statements.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3 — Revenue for additional accounting information.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Merchandise Sold</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Cost of merchandise sold - retail includes the cost of the merchandise, including royalties paid to licensors of third-party branded merchandise; store occupancy cost, including store depreciation; cost of warehousing and distribution; packaging; stuffing; damages and shortages; and shipping and handling costs incurred in shipment to customers. Cost of merchandise sold - commercial includes the cost of the merchandise, including royalties paid to licensors of third-party branded merchandise; cost of warehousing and distribution; packaging; stuffing; damages and shortages; and shipping and handling costs incurred in shipment to customers.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6"/>
          <w:szCs w:val="16"/>
          <w:color w:val="auto"/>
        </w:rPr>
        <w:t>Selling, general, and administrative expenses include store payroll and related benefits, advertising, credit card fees, store supplies and store closing costs, as well as central office management payroll and related benefits, travel, information systems, accounting, insurance, legal, and public relations. It also includes depreciation and amortization of central office leasehold improvements, furniture, fixtures, and equipment. In addition, bad debt expenses and accounts receivable related charges are included. Further, it includes store preopening expenses which represent costs incurred prior to store openings, remodels and relocations including certain store set-up, labor and hiring costs, rental charges, payroll, marketing, travel and relocation costs.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costs of advertising and marketing programs are charged to operations in the first period the program takes place. Advertising expense was $16.4 million and $8.1 million for fiscal years 2021 and 2020,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9" w:name="page50"/>
    <w:bookmarkEnd w:id="49"/>
    <w:p>
      <w:pPr>
        <w:ind w:left="440"/>
        <w:spacing w:after="0"/>
        <w:rPr>
          <w:sz w:val="20"/>
          <w:szCs w:val="20"/>
          <w:color w:val="auto"/>
        </w:rPr>
      </w:pPr>
      <w:r>
        <w:rPr>
          <w:rFonts w:ascii="Arial" w:cs="Arial" w:eastAsia="Arial" w:hAnsi="Arial"/>
          <w:sz w:val="18"/>
          <w:szCs w:val="18"/>
          <w:b w:val="1"/>
          <w:bCs w:val="1"/>
          <w:i w:val="1"/>
          <w:iCs w:val="1"/>
          <w:color w:val="auto"/>
        </w:rPr>
        <w:t>Government Grants</w:t>
      </w:r>
    </w:p>
    <w:p>
      <w:pPr>
        <w:spacing w:after="0" w:line="212"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As a result of the pandemic, governments enacted relief legislation and stimulus packages to help combat the economic effects through such things as payroll expense reimbursement and business and restart grants. Due to the nature of these grants relating to income, they can be presented in one of two ways: ( 1) a credit in the income statement under a general heading such as "other income" or ( 2) as a reduction to the related expense. The Company applied for reimbursement of payroll expenses in certain jurisdictions through COVID related government programs for payroll paid to employees who were paid while not providing services to the Company and for business and restart grants from the U.K government for businesses in the retail, hospitality and leisure sectors. The Company recorded a reduction of expenses of $ 0.9 million and $ 0.8 million for the fifty-two weeks ended January 29, 2022 and January 30, 2021, respectively, related to these wages within the Selling, general and administrative line in the Consolidated Statement of Operations and Comprehensive Income (Loss). The business and restart grants in the U.K. for businesses in the non-essential retail, hospitality and leisure sectors, were applied for on a per-property basis to support businesses through the latest lockdown restrictions. For the fifty-two weeks ended January 29, 2022 and January 30, 2021, the Company recorded business and restart grants of $ 1.4 million and $ 4.2 million, respectively. These amounts were recorded within the Selling, general and administrative line in the Condensed Consolidated Statement of Operations and Comprehensive Income (Loss).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Income taxes are accounted for using a balance sheet approach known as the liability method. The liability method accounts for deferred income taxes by applying the rate, based on enacted tax law, that will be in effect in the period in which the temporary differences between the book basis and the tax basis of assets and liabilities reverse or are settled. Deferred taxes are reported on a jurisdictional basis.</w:t>
      </w:r>
    </w:p>
    <w:p>
      <w:pPr>
        <w:spacing w:after="0" w:line="18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Tax positions are reviewed at least quarterly and adjusted as new information becomes available. The recoverability of deferred tax assets is evaluated by assessing the adequacy of future expected taxable income from all sources, including reversal of taxable temporary differences, forecasted operating earnings and available tax planning strategies. These estimates of future taxable income inherently require significant judgment. To the extent it is considered more likely than not that a deferred tax asset will be not recovered, a valuation allowance is established.</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assesses its total liability for uncertain tax positions on a quarterly basis. The Company recognizes estimated interest and penalties related to unrecognized tax benefits in income tax expense. See Note 8—Income Taxes for further discussion.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Per Share</w:t>
      </w:r>
    </w:p>
    <w:p>
      <w:pPr>
        <w:spacing w:after="0" w:line="225"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Basic income per share is determined by dividing net income allocated to common stockholders by the weighted average number of common shares outstanding during the period. In periods of net loss, no effect is given to the Company’s participating securities as they do not contractually participate in the losses of the Company. Diluted income per share reflects the potential dilution that could occur if options to issue common stock were exercised. In periods in which the inclusion of such instruments is anti-dilutive, the effect of such securities is not given consideration.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Company has share-based compensation plans covering certain management groups and its Board of Directors. The Company accounts for share-based payments utilizing the fair value recognition provisions of ASC 718 Compensation - Stock Compensation. The Company recognizes compensation cost for equity awards over the requisite service period for the entire award and forfeitures as they occur. See Note 12 — Stock Incentive Plans for additional information.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0" w:name="page51"/>
    <w:bookmarkEnd w:id="50"/>
    <w:p>
      <w:pPr>
        <w:ind w:left="44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Comprehensive income (loss) is comprised of net income (loss) and foreign currency translation adjustments.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225" w:lineRule="exact"/>
        <w:rPr>
          <w:sz w:val="20"/>
          <w:szCs w:val="20"/>
          <w:color w:val="auto"/>
        </w:rPr>
      </w:pPr>
    </w:p>
    <w:p>
      <w:pPr>
        <w:jc w:val="both"/>
        <w:ind w:firstLine="440"/>
        <w:spacing w:after="0" w:line="289" w:lineRule="auto"/>
        <w:rPr>
          <w:sz w:val="20"/>
          <w:szCs w:val="20"/>
          <w:color w:val="auto"/>
        </w:rPr>
      </w:pPr>
      <w:r>
        <w:rPr>
          <w:rFonts w:ascii="Arial" w:cs="Arial" w:eastAsia="Arial" w:hAnsi="Arial"/>
          <w:sz w:val="16"/>
          <w:szCs w:val="16"/>
          <w:color w:val="auto"/>
        </w:rPr>
        <w:t>The Company maintains a Deferred Compensation Plan for the benefit of certain management employees. The investment funds offered to participants generally correspond to the funds offered in the Company’s 401(k) plan, and the account balance fluctuates with the investment returns on those funds. The fair value of the assets, classified as trading securities, and corresponding liabilities are based on unadjusted quoted market prices for the funds in active markets with sufficient volume and frequency (Level 1). As of January 29, 2022, the current portions of the assets and related liabilities of $0.4 million are presented in prepaid expenses and other current assets and accrued expenses in the accompanying Consolidated Balance Sheets, and the non-current portions of the assets and the related liabilities of $0.6 million are presented in other assets, net and other liabilities in the accompanying Consolidated Balance Sheets. As of January 30, 2021, the current portions of the assets and related liabilities of $0.4 million are presented in prepaid expenses and other current assets and accrued expenses in the accompanying Consolidated Balance Sheets, and the non-current portions of the assets and the related liabilities of $0.9 million are presented in other assets, net and other liabilities in the accompanying Consolidated Balance Sheets.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For purposes of financial reporting, management has determined that the fair value of financial instruments, including cash, cash equivalents and restricted cash, receivables, short term investments, accounts payable and accrued expenses, approximates book value at January 29, 2022 and January 30, 2021.</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preparation of the consolidated financial statements requires management of the Company to make a number of estimates and assumptions relating to the reported amount of assets and liabilities and the disclosure of contingent assets and liabilities at the date of the consolidated financial statements and the reported amounts of revenues and expenses during the reporting period. The assumptions used by management in future estimates could change significantly due to changes in circumstances, including, but not limited to, challenging economic conditions. Accordingly, future estimates may change significantly. Significant items subject to such estimates and assumptions include the calculation of revenue from gift card breakage, valuation of long-lived asset for asset impairments, income tax valuation allowances on deferred income tax assets, and the determination of deferred revenue under the Company’s customer loyalty program.</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 Tax Policy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revenues in the consolidated statement of operations are net of sales taxes.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6"/>
          <w:szCs w:val="16"/>
          <w:color w:val="auto"/>
        </w:rPr>
        <w:t>Assets and liabilities of the Company’s foreign operations with functional currencies other than the U.S. dollar are translated at the exchange rate in effect at the balance sheet date, while revenues and expenses are translated at average rates prevailing during the year. Translation adjustments are reported in accumulated other comprehensive income, a separate component of stockholders’ equity. Gains and losses resulting from foreign exchange transactions, including the impact of the re-measurement of the Company’s balance sheet, are recorded as a component of selling, general and administrative expenses. The Company recorded a loss of $0.5 million and a gain of $0.6 million related to foreign currency in fiscal 2021 and 2020, respectively.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1" w:name="page52"/>
    <w:bookmarkEnd w:id="51"/>
    <w:p>
      <w:pPr>
        <w:ind w:left="500"/>
        <w:spacing w:after="0"/>
        <w:rPr>
          <w:sz w:val="20"/>
          <w:szCs w:val="20"/>
          <w:color w:val="auto"/>
        </w:rPr>
      </w:pPr>
      <w:r>
        <w:rPr>
          <w:rFonts w:ascii="Arial" w:cs="Arial" w:eastAsia="Arial" w:hAnsi="Arial"/>
          <w:sz w:val="18"/>
          <w:szCs w:val="18"/>
          <w:b w:val="1"/>
          <w:bCs w:val="1"/>
          <w:i w:val="1"/>
          <w:iCs w:val="1"/>
          <w:color w:val="auto"/>
        </w:rPr>
        <w:t>Recent Accounting Pronouncements – Adopted in the current year</w:t>
      </w:r>
    </w:p>
    <w:p>
      <w:pPr>
        <w:spacing w:after="0" w:line="198" w:lineRule="exact"/>
        <w:rPr>
          <w:sz w:val="20"/>
          <w:szCs w:val="20"/>
          <w:color w:val="auto"/>
        </w:rPr>
      </w:pPr>
    </w:p>
    <w:p>
      <w:pPr>
        <w:jc w:val="both"/>
        <w:ind w:firstLine="486"/>
        <w:spacing w:after="0"/>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simplifies the accounting for income taxes by eliminating certain exceptions related to intraperiod tax allocation, simplifies certain elements of accounting for basis differences and deferred tax liabilities during a business combination, and standardizes the classification of franchise taxes. The ASU is effective for fiscal years beginning after December 15, 2020, including interim periods within those fiscal years, and early adoption is permitted. The Company adopted this ASU effective January 31, 2021. The adoption of this ASU did not have a material impact on the Company's consolidated financial statements.</w:t>
      </w:r>
    </w:p>
    <w:p>
      <w:pPr>
        <w:spacing w:after="0" w:line="17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7"/>
          <w:szCs w:val="17"/>
          <w:color w:val="auto"/>
        </w:rPr>
        <w:t>In November 2020, the SEC issued Rule 33-10890, “Management’s Discussion and Analysis, Selected Financial Data, and Supplementary Financial Information.” Registrants are required to apply the amended rules for their first fiscal year ending on or after August 9, 2021 and could be early adopted in its entirety as of February 10, 2021. This rule is effective for the Company's Annual Report on Form 10-K for the year ended January 29, 2022. The rule modernized, simplified and enhanced financial statement disclosures required by Regulation S-K. The Company adopted this rule in the fiscal 2021 Annual Report on Form 10-K which did not result in any material changes to the Company's Item 7. Management's Discussion and Analysis section due to its Smaller Reporting Company filing status. The Company provides narrative explanations for the full fiscal year's results as viewed by management, its material cash requirements, liquidity, and capital obligations, the effects of inflation on its business, and its critical accounting estimates, among other things, within Management's Discussion and Analysis that meet the required enhancements outlined in this Rule.</w:t>
      </w:r>
    </w:p>
    <w:p>
      <w:pPr>
        <w:spacing w:after="0" w:line="167"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In November 2021, the FASB issued ASU No. 2021-10, "Government Assistance (Topic 832), Disclosures by Business Entities About Government Assistance", which requires entities to provide disclosures on material government assistance transactions for annual reporting periods. The disclosures included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ASU is effective for fiscal years beginning after December 15, 2021 and early adoption is permitted with an entity either applying the update prospectively from the date of adoption or retrospectively to applicable transactions. The Company chose to early adopt this ASU upon its release using the retrospective transition option for the fiscal year beginning February 2, 2020 in the Annual Report on Form 10-K as of January 29, 2022 for the government grants it received in fiscal years 2020 and 2021 as part of COVID-related assistance programs. The Company has documented its accounting policy, the nature of the grants received, their effects on the financial statements, and the conditions of the grants within the "Government Grants" accounting policy. The adoption of this ASU did not have a material impact on the Company's consolidated financial statements.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Accounting Pronouncements – Pending adoption</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This ASU requires entities to report “expected” credit losses on financial instruments and other commitments to extend credit rather than the current “incurred loss” model. These expected credit losses for financial assets held at the reporting date are to be based on historical experience, current conditions and reasonable and supportable forecasts. This ASU will also require enhanced disclosures relating to significant estimates and judgments used in estimating credit losses, as well as the credit quality. As the Company is currently filing as a Smaller Reporting Company, this ASU is not effective until the fiscal year beginning after December 15, 2022. The Company is currently evaluating the impact the adoption of this ASU will have on its consolidated financial statements.</w:t>
      </w:r>
    </w:p>
    <w:p>
      <w:pPr>
        <w:spacing w:after="0" w:line="19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March 2020 and January 2021, the FASB issued ASU No. 2020-04, "Reference Rate Reform (Topic 848): Facilitation of the Effects of Reference Rate Reform on Financial Reporting" and ASU 2021-01, "Reference Rate Reform (Topic 848): Scope", respectively. The ASUs provide optional expedients and exceptions for applying U.S. GAAP to contracts, hedging relationships, and other transactions that reference the London Interbank Offered Rate ("LIBOR") or another reference rate expected to be discontinued because of reference rate reform, if certain criteria are met. The guidance in these ASUs were effective upon issuance and, once adopted, may be applied prospectively to contract modifications and hedging relationships through December 31, 2022. The Company's debt agreement, and the first amendment, currently utilizes LIBOR and, therefore, this ASU is not yet effective for the Company. To the extent the debt arrangement changes to another accepted rate, we will evaluate whether the option expedients and exceptions outlined in this ASU can be utilized.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2" w:name="page53"/>
    <w:bookmarkEnd w:id="52"/>
    <w:p>
      <w:pPr>
        <w:ind w:firstLine="486"/>
        <w:spacing w:after="0" w:line="277" w:lineRule="auto"/>
        <w:rPr>
          <w:sz w:val="20"/>
          <w:szCs w:val="20"/>
          <w:color w:val="auto"/>
        </w:rPr>
      </w:pPr>
      <w:r>
        <w:rPr>
          <w:rFonts w:ascii="Arial" w:cs="Arial" w:eastAsia="Arial" w:hAnsi="Arial"/>
          <w:sz w:val="18"/>
          <w:szCs w:val="18"/>
          <w:color w:val="auto"/>
        </w:rPr>
        <w:t>We have reviewed all other recently issued, but not yet effective, accounting pronouncements and do not expect the future adoption of any such pronouncements will have a material impact on our financial condition or the results of our operations.</w:t>
      </w:r>
    </w:p>
    <w:p>
      <w:pPr>
        <w:spacing w:after="0" w:line="193"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6"/>
          <w:szCs w:val="16"/>
          <w:color w:val="auto"/>
        </w:rPr>
        <w:t>Nearly all of the Company’s revenue is derived from retail sales (including e-commerce sites) and is recognized when control of the merchandise is transferred to the customer. The Company accounts for revenue in accordance with Topic 606, Revenue from Contracts with Customers. The Company's disaggregated revenue is fully disclosed as net sales to external customers by reporting segment and by geographic area (See Note 15 — Segment Information for additional information). The Company's direct-to-consumer reporting segment represents nearly 97% of consolidated revenue. The majority of these sales transactions are single performance obligations that are recorded when control is transferred to the customer.</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description of principal activities from which the Company generates its revenue, by reportable segment.</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The Company’s direct-to-consumer segment includes the operating activities of corporately-managed stores, other retail-delivered operations and online sales. Direct-to-consumer revenue is recognized when control of the merchandise is transferred to the customer and for the Company’s online sales, control generally transfers upon delivery to the customer. Revenue is measured as the amount of consideration, including any discounts or incentives, the Company expects to receive in exchange for transferring the merchandise. Product returns have historically averaged less than one-half of one percent due to the interactive nature of sales, where consumers customize their own stuffed animal. The Company has elected to exclude from revenue all collected sales, value add and other taxes paid by its customers.</w:t>
      </w:r>
    </w:p>
    <w:p>
      <w:pPr>
        <w:spacing w:after="0" w:line="192"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For the Company’s gift cards, revenue is deferred for single transactions until redemption including any related gift card discounts. Three-quarters of gift cards are redeemed within three years of issuance and over the last three years, approximately 60% of gift cards issued have been redeemed within the first twelve months. In addition, unredeemed gift cards or breakage revenue is recorded in proportion to the customer’s redemption pattern using an estimated breakage rate based on historical experience. Breakage rates are calculated annually at the end of the fiscal year and are used to record gift card breakage over the next fiscal year until the annual breakage rate update is performed. In regard to the consolidated balance sheet, contract liabilities for gift cards are classified as gift cards and customer deposits.</w:t>
      </w:r>
    </w:p>
    <w:p>
      <w:pPr>
        <w:spacing w:after="0" w:line="192"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During fiscal 2021 and 2020, the Company experienced lower redemptions of its gift cards for all periods of outstanding activated cards compared to pre-COVID redemption patterns (fiscal year 2019 and earlier), which impacts the gift card breakage rate. The Company does not believe that the redemption pattern experienced in fiscal 2020 and 2021 reflects the pattern in the future and has adjusted the historical redemption data used to calculate the breakage rate. The Company utilizes historical redemption data to develop a model to analyze the amount of breakage expected for gift cards sold to customers and business partners. The Company continues to evaluate expected breakage annually and adjusts the breakage rates in the fourth quarter of each year, or other times, if significant changes in customer behavior are detected. Changes to breakage estimates impact revenue recognition prospectively. Further, given the magnitude of the Company's gift card liability, the changes in breakage rates could have a significant impact on the amount of breakage revenue recognized in future periods. For the fifty-two weeks ended January 29, 2022 and January 30, 2021, net retail sales included gift card breakage revenue of $6.5 million and $3.7 million, respectively.</w:t>
      </w:r>
    </w:p>
    <w:p>
      <w:pPr>
        <w:spacing w:after="0" w:line="181"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The Company issues certifications monthly for those loyalty program members who have earned 100 or more points in the previous month with certifications historically expiring in three months if not redeemed. The Company assesses the redemption rates of its certifications on a quarterly basis to update the rate at which loyalty program points turn into certifications and the rate that certifications are redeemed. In regard to the consolidated balance sheet, contract liabilities related to the loyalty program are classified as deferred revenue and other.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3" w:name="page54"/>
    <w:bookmarkEnd w:id="53"/>
    <w:p>
      <w:pPr>
        <w:jc w:val="both"/>
        <w:ind w:firstLine="441"/>
        <w:spacing w:after="0" w:line="290" w:lineRule="auto"/>
        <w:rPr>
          <w:sz w:val="20"/>
          <w:szCs w:val="20"/>
          <w:color w:val="auto"/>
        </w:rPr>
      </w:pPr>
      <w:r>
        <w:rPr>
          <w:rFonts w:ascii="Arial" w:cs="Arial" w:eastAsia="Arial" w:hAnsi="Arial"/>
          <w:sz w:val="16"/>
          <w:szCs w:val="16"/>
          <w:color w:val="auto"/>
        </w:rPr>
        <w:t>The Company’s commercial segment includes transactions with other businesses and are mainly comprised wholesale sales of merchandise, supplies and fixtures, licensing the Company’s intellectual properties for third-party use, and revenues generated from entertainment activities. Revenue for wholesale sales is recognized when control of the merchandise or fixtures is transferred to the customer, which generally occurs upon delivery to the customer. The license agreements provide the customer with highly interrelated rights that are not distinct in the context of the contract and, therefore, have been accounted for as a single performance obligation and recognized as licensee sales occur. If the contract includes a guaranteed minimum, the minimum guarantee is recognized as licensee sales occur over the guarantee term until such time as royalties earned through licensee sales exceed the minimum guarantee. The Company classifies these guaranteed minimum contract liabilities as deferred revenue and other on the consolidated balance sheet. Entertainment revenue is generated through the sale of entertainment assets directly to customers or through licensing agreements.</w:t>
      </w:r>
    </w:p>
    <w:p>
      <w:pPr>
        <w:spacing w:after="0" w:line="165"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The Company’s international franchising segment includes the activities with franchisees who operate store locations in certain countries and includes development fees, sales-based royalties, merchandise, supplies and fixture sales. The Company’s obligations under the franchise agreement are ongoing and include operations and product development support and training, generally concentrated around new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The Company classifies these initial, one-time nonrefundable franchise fee contract liabilities as deferred revenue and other on the consolidated balance sheet. Revenue from merchandise and fixture sales is recognized when control is transferred to the franchisee which generally occurs upon delivery to the customer.</w:t>
      </w:r>
    </w:p>
    <w:p>
      <w:pPr>
        <w:spacing w:after="0" w:line="178"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Company also incurs expenses directly related to the startup of new franchises, including finder’s fees, legal and travel costs as well as expenses related to its ongoing support of the franchisees, predominantly travel and employee compensation. Accordingly, the Company’s policy is to capitalize the finder’s fee, an incremental cost, and expense all other costs as incurred. Additionally, the Company amortizes these capitalized costs into expense in the same pattern as the development fee's recording of revenue as described previously.</w:t>
      </w:r>
    </w:p>
    <w:p>
      <w:pPr>
        <w:spacing w:after="0" w:line="210"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information related to the lease costs for operating leases for the periods presented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For the Year Ended</w:t>
            </w:r>
          </w:p>
        </w:tc>
      </w:tr>
      <w:tr>
        <w:trPr>
          <w:trHeight w:val="234"/>
        </w:trPr>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29, 2022</w:t>
            </w:r>
          </w:p>
        </w:tc>
        <w:tc>
          <w:tcPr>
            <w:tcW w:w="10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January 30, 2021</w:t>
            </w:r>
          </w:p>
        </w:tc>
      </w:tr>
      <w:tr>
        <w:trPr>
          <w:trHeight w:val="210"/>
        </w:trPr>
        <w:tc>
          <w:tcPr>
            <w:tcW w:w="5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35,923</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Variable lease costs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2,808</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lease costs</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r>
      <w:tr>
        <w:trPr>
          <w:trHeight w:val="20"/>
        </w:trPr>
        <w:tc>
          <w:tcPr>
            <w:tcW w:w="56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680" w:type="dxa"/>
            <w:vAlign w:val="bottom"/>
          </w:tcPr>
          <w:p>
            <w:pPr>
              <w:ind w:left="180"/>
              <w:spacing w:after="0"/>
              <w:rPr>
                <w:sz w:val="20"/>
                <w:szCs w:val="20"/>
                <w:color w:val="auto"/>
              </w:rPr>
            </w:pPr>
            <w:r>
              <w:rPr>
                <w:rFonts w:ascii="Arial" w:cs="Arial" w:eastAsia="Arial" w:hAnsi="Arial"/>
                <w:sz w:val="18"/>
                <w:szCs w:val="18"/>
                <w:color w:val="auto"/>
              </w:rPr>
              <w:t>Total Operating Lease costs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40,957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38,775</w:t>
            </w:r>
          </w:p>
        </w:tc>
      </w:tr>
      <w:tr>
        <w:trPr>
          <w:trHeight w:val="20"/>
        </w:trPr>
        <w:tc>
          <w:tcPr>
            <w:tcW w:w="5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presents supplemental cash flow information related to leases for the periods presented (in thousands).</w:t>
      </w:r>
    </w:p>
    <w:p>
      <w:pPr>
        <w:spacing w:after="0" w:line="207"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For the Year Ended</w:t>
            </w:r>
          </w:p>
        </w:tc>
      </w:tr>
      <w:tr>
        <w:trPr>
          <w:trHeight w:val="234"/>
        </w:trPr>
        <w:tc>
          <w:tcPr>
            <w:tcW w:w="5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January 29, 2022</w:t>
            </w:r>
          </w:p>
        </w:tc>
        <w:tc>
          <w:tcPr>
            <w:tcW w:w="160" w:type="dxa"/>
            <w:vAlign w:val="bottom"/>
          </w:tcPr>
          <w:p>
            <w:pPr>
              <w:spacing w:after="0"/>
              <w:rPr>
                <w:sz w:val="20"/>
                <w:szCs w:val="20"/>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January 30, 2021</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for operating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43,627</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36,068</w:t>
            </w: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Operating cash flows for operating leases for fiscal 2021 exceeded expense recorded for the same period as the Company paid the majority of its deferred rent obligations obtained during rent negotiations in fiscal 2020. The Company had no deferred rent remaining to be paid as of the January 29, 2022.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4" w:name="page55"/>
    <w:bookmarkEnd w:id="54"/>
    <w:p>
      <w:pPr>
        <w:ind w:firstLine="486"/>
        <w:spacing w:after="0" w:line="277" w:lineRule="auto"/>
        <w:rPr>
          <w:sz w:val="20"/>
          <w:szCs w:val="20"/>
          <w:color w:val="auto"/>
        </w:rPr>
      </w:pPr>
      <w:r>
        <w:rPr>
          <w:rFonts w:ascii="Arial" w:cs="Arial" w:eastAsia="Arial" w:hAnsi="Arial"/>
          <w:sz w:val="18"/>
          <w:szCs w:val="18"/>
          <w:color w:val="auto"/>
        </w:rPr>
        <w:t>As of January 29, 2022, the weighted-average remaining operating lease term was 4.3 years and the weighted-average discount rate was 6.0% for operating leases recognized on the consolidated balance sheet.</w:t>
      </w:r>
    </w:p>
    <w:p>
      <w:pPr>
        <w:spacing w:after="0" w:line="170"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Company recorded no impairment charges during fiscal 2021 against right-of-use operating lease assets. The Company recorded total impairment charges for fiscal 2020 of $3.8 million on right-of-use lease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Undiscounted cash flows</w:t>
      </w:r>
    </w:p>
    <w:p>
      <w:pPr>
        <w:spacing w:after="0" w:line="23"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The table below reconciles the undiscounted cash flows for each of the first five years and total remaining years to the operating lease liabilities recorded on the balance sheet (in thousands).</w:t>
      </w:r>
    </w:p>
    <w:p>
      <w:pPr>
        <w:spacing w:after="0" w:line="18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Operating Leases</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30,280</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25,741</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21,089</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15,468</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8,926</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11,403</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112,907</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Less: amount of lease payments representing interest</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(14,355)</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Present value of future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98,552</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Less: current obligations under leases</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(25,245)</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lease obligations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73,307</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January 29, 2022, the Company did not have executed leases that have not yet commenced.</w:t>
      </w:r>
    </w:p>
    <w:p>
      <w:pPr>
        <w:spacing w:after="0" w:line="200" w:lineRule="exact"/>
        <w:rPr>
          <w:sz w:val="20"/>
          <w:szCs w:val="20"/>
          <w:color w:val="auto"/>
        </w:rPr>
      </w:pPr>
    </w:p>
    <w:p>
      <w:pPr>
        <w:spacing w:after="0" w:line="264"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January 29,</w:t>
            </w:r>
          </w:p>
        </w:tc>
        <w:tc>
          <w:tcPr>
            <w:tcW w:w="2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January 30,</w:t>
            </w:r>
          </w:p>
        </w:tc>
      </w:tr>
      <w:tr>
        <w:trPr>
          <w:trHeight w:val="234"/>
        </w:trPr>
        <w:tc>
          <w:tcPr>
            <w:tcW w:w="5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line="210" w:lineRule="exact"/>
              <w:rPr>
                <w:sz w:val="20"/>
                <w:szCs w:val="20"/>
                <w:color w:val="auto"/>
              </w:rPr>
            </w:pPr>
            <w:r>
              <w:rPr>
                <w:rFonts w:ascii="Arial" w:cs="Arial" w:eastAsia="Arial" w:hAnsi="Arial"/>
                <w:sz w:val="15"/>
                <w:szCs w:val="15"/>
                <w:color w:val="auto"/>
              </w:rPr>
              <w:t xml:space="preserve">Prepaid occupancy </w:t>
            </w:r>
            <w:r>
              <w:rPr>
                <w:rFonts w:ascii="Arial" w:cs="Arial" w:eastAsia="Arial" w:hAnsi="Arial"/>
                <w:sz w:val="24"/>
                <w:szCs w:val="24"/>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1,526</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Prepaid income taxes</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314</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929</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884</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Prepaid gift card fees</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1,545</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1,291</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royalties</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607</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w:t>
            </w:r>
          </w:p>
        </w:tc>
      </w:tr>
      <w:tr>
        <w:trPr>
          <w:trHeight w:val="216"/>
        </w:trPr>
        <w:tc>
          <w:tcPr>
            <w:tcW w:w="56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5"/>
                <w:szCs w:val="25"/>
                <w:color w:val="auto"/>
                <w:vertAlign w:val="superscript"/>
              </w:rPr>
              <w:t>(2)</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7,728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5,854</w:t>
            </w:r>
          </w:p>
        </w:tc>
      </w:tr>
      <w:tr>
        <w:trPr>
          <w:trHeight w:val="20"/>
        </w:trPr>
        <w:tc>
          <w:tcPr>
            <w:tcW w:w="5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13,643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10,111</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80" w:hanging="255"/>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Prepaid occupancy consists of prepaid expenses related to non-lease components.</w:t>
      </w:r>
    </w:p>
    <w:p>
      <w:pPr>
        <w:spacing w:after="0" w:line="23" w:lineRule="exact"/>
        <w:rPr>
          <w:rFonts w:ascii="Arial" w:cs="Arial" w:eastAsia="Arial" w:hAnsi="Arial"/>
          <w:sz w:val="18"/>
          <w:szCs w:val="18"/>
          <w:color w:val="auto"/>
        </w:rPr>
      </w:pPr>
    </w:p>
    <w:p>
      <w:pPr>
        <w:ind w:left="380" w:hanging="255"/>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consists primarily of prepaid expenses related to IT maintenance contracts and software as a service.</w:t>
      </w:r>
    </w:p>
    <w:p>
      <w:pPr>
        <w:spacing w:after="0" w:line="211"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Other non-current assets consist of the following (in thousands):</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January 29,</w:t>
            </w:r>
          </w:p>
        </w:tc>
        <w:tc>
          <w:tcPr>
            <w:tcW w:w="20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January 30,</w:t>
            </w:r>
          </w:p>
        </w:tc>
      </w:tr>
      <w:tr>
        <w:trPr>
          <w:trHeight w:val="234"/>
        </w:trPr>
        <w:tc>
          <w:tcPr>
            <w:tcW w:w="6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6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Entertainment production asset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1,715</w:t>
            </w:r>
          </w:p>
        </w:tc>
      </w:tr>
      <w:tr>
        <w:trPr>
          <w:trHeight w:val="216"/>
        </w:trPr>
        <w:tc>
          <w:tcPr>
            <w:tcW w:w="6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Deferred compensation</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697</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1,037</w:t>
            </w:r>
          </w:p>
        </w:tc>
      </w:tr>
      <w:tr>
        <w:trPr>
          <w:trHeight w:val="216"/>
        </w:trPr>
        <w:tc>
          <w:tcPr>
            <w:tcW w:w="620" w:type="dxa"/>
            <w:vAlign w:val="bottom"/>
          </w:tcPr>
          <w:p>
            <w:pPr>
              <w:spacing w:after="0"/>
              <w:rPr>
                <w:sz w:val="18"/>
                <w:szCs w:val="18"/>
                <w:color w:val="auto"/>
              </w:rPr>
            </w:pPr>
          </w:p>
        </w:tc>
        <w:tc>
          <w:tcPr>
            <w:tcW w:w="56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629</w:t>
            </w:r>
          </w:p>
        </w:tc>
      </w:tr>
      <w:tr>
        <w:trPr>
          <w:trHeight w:val="20"/>
        </w:trPr>
        <w:tc>
          <w:tcPr>
            <w:tcW w:w="62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2,076</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3,381</w:t>
            </w:r>
          </w:p>
        </w:tc>
      </w:tr>
      <w:tr>
        <w:trPr>
          <w:trHeight w:val="20"/>
        </w:trPr>
        <w:tc>
          <w:tcPr>
            <w:tcW w:w="6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consists primarily of deferred financing costs related to the Company's credit facility.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(6)   Property and Equipment, net</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800" w:type="dxa"/>
            <w:vAlign w:val="bottom"/>
            <w:gridSpan w:val="2"/>
          </w:tcPr>
          <w:p>
            <w:pPr>
              <w:ind w:left="500"/>
              <w:spacing w:after="0"/>
              <w:rPr>
                <w:sz w:val="20"/>
                <w:szCs w:val="20"/>
                <w:color w:val="auto"/>
              </w:rPr>
            </w:pPr>
            <w:r>
              <w:rPr>
                <w:rFonts w:ascii="Arial" w:cs="Arial" w:eastAsia="Arial" w:hAnsi="Arial"/>
                <w:sz w:val="18"/>
                <w:szCs w:val="18"/>
                <w:color w:val="auto"/>
              </w:rPr>
              <w:t>Property and equipment, net consist of the following (in thousands):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January 29,</w:t>
            </w:r>
          </w:p>
        </w:tc>
        <w:tc>
          <w:tcPr>
            <w:tcW w:w="20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January 30,</w:t>
            </w:r>
          </w:p>
        </w:tc>
      </w:tr>
      <w:tr>
        <w:trPr>
          <w:trHeight w:val="234"/>
        </w:trPr>
        <w:tc>
          <w:tcPr>
            <w:tcW w:w="1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2,261</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26,405</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26,605</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15,355</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15,101</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99,043</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97,434</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14,970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14,970</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Computer hardware</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20,415</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19,534</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23,924</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22,358</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4,952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3,707</w:t>
            </w: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207,325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201,970</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158,359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148,997</w:t>
            </w: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1120" w:type="dxa"/>
            <w:vAlign w:val="bottom"/>
          </w:tcPr>
          <w:p>
            <w:pPr>
              <w:spacing w:after="0"/>
              <w:rPr>
                <w:sz w:val="19"/>
                <w:szCs w:val="19"/>
                <w:color w:val="auto"/>
              </w:rPr>
            </w:pPr>
          </w:p>
        </w:tc>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48,966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52,973</w:t>
            </w:r>
          </w:p>
        </w:tc>
      </w:tr>
      <w:tr>
        <w:trPr>
          <w:trHeight w:val="20"/>
        </w:trPr>
        <w:tc>
          <w:tcPr>
            <w:tcW w:w="11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fiscal 2021 and 2020, depreciation expense was $12.3 million and $13.2 million, respectively.</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Company recorded no impairment charges during fiscal 2021 for long-lived assets. The Company recorded $3.5 million of property, plant, and equipment impairment charges during fiscal 2020, the majority of which related to the Company's retail stores in the U.S. and U.K.</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40" w:hanging="432"/>
        <w:spacing w:after="0"/>
        <w:tabs>
          <w:tab w:leader="none" w:pos="4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229" w:lineRule="exact"/>
        <w:rPr>
          <w:sz w:val="20"/>
          <w:szCs w:val="20"/>
          <w:color w:val="auto"/>
        </w:rPr>
      </w:pPr>
    </w:p>
    <w:p>
      <w:pPr>
        <w:jc w:val="right"/>
        <w:ind w:right="1420"/>
        <w:spacing w:after="0"/>
        <w:rPr>
          <w:sz w:val="20"/>
          <w:szCs w:val="20"/>
          <w:color w:val="auto"/>
        </w:rPr>
      </w:pPr>
      <w:r>
        <w:rPr>
          <w:rFonts w:ascii="Arial" w:cs="Arial" w:eastAsia="Arial" w:hAnsi="Arial"/>
          <w:sz w:val="18"/>
          <w:szCs w:val="18"/>
          <w:color w:val="auto"/>
        </w:rPr>
        <w:t>Accrued expenses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Accrued wages, bonuses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-107315</wp:posOffset>
            </wp:positionV>
            <wp:extent cx="570039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Sales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5715</wp:posOffset>
            </wp:positionV>
            <wp:extent cx="570039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line="185" w:lineRule="auto"/>
        <w:rPr>
          <w:sz w:val="20"/>
          <w:szCs w:val="20"/>
          <w:color w:val="auto"/>
        </w:rPr>
      </w:pPr>
      <w:r>
        <w:rPr>
          <w:rFonts w:ascii="Arial" w:cs="Arial" w:eastAsia="Arial" w:hAnsi="Arial"/>
          <w:sz w:val="17"/>
          <w:szCs w:val="17"/>
          <w:color w:val="auto"/>
        </w:rPr>
        <w:t xml:space="preserve">Accrued rent and related expenses </w:t>
      </w:r>
      <w:r>
        <w:rPr>
          <w:rFonts w:ascii="Arial" w:cs="Arial" w:eastAsia="Arial" w:hAnsi="Arial"/>
          <w:sz w:val="27"/>
          <w:szCs w:val="27"/>
          <w:color w:val="auto"/>
          <w:vertAlign w:val="superscript"/>
        </w:rPr>
        <w:t>(1)</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Current 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4445</wp:posOffset>
            </wp:positionV>
            <wp:extent cx="5700395"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500" w:type="dxa"/>
            <w:vAlign w:val="bottom"/>
            <w:gridSpan w:val="3"/>
          </w:tcPr>
          <w:p>
            <w:pPr>
              <w:ind w:left="120"/>
              <w:spacing w:after="0"/>
              <w:rPr>
                <w:sz w:val="20"/>
                <w:szCs w:val="20"/>
                <w:color w:val="auto"/>
              </w:rPr>
            </w:pPr>
            <w:r>
              <w:rPr>
                <w:rFonts w:ascii="Arial" w:cs="Arial" w:eastAsia="Arial" w:hAnsi="Arial"/>
                <w:sz w:val="18"/>
                <w:szCs w:val="18"/>
                <w:b w:val="1"/>
                <w:bCs w:val="1"/>
                <w:color w:val="auto"/>
              </w:rPr>
              <w:t>January 29,</w:t>
            </w:r>
          </w:p>
        </w:tc>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January 30,</w:t>
            </w:r>
          </w:p>
        </w:tc>
      </w:tr>
      <w:tr>
        <w:trPr>
          <w:trHeight w:val="234"/>
        </w:trPr>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195"/>
        </w:trPr>
        <w:tc>
          <w:tcPr>
            <w:tcW w:w="200" w:type="dxa"/>
            <w:vAlign w:val="bottom"/>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21,688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95" w:lineRule="exact"/>
              <w:rPr>
                <w:sz w:val="20"/>
                <w:szCs w:val="20"/>
                <w:color w:val="auto"/>
              </w:rPr>
            </w:pPr>
            <w:r>
              <w:rPr>
                <w:rFonts w:ascii="Arial" w:cs="Arial" w:eastAsia="Arial" w:hAnsi="Arial"/>
                <w:sz w:val="18"/>
                <w:szCs w:val="18"/>
                <w:color w:val="auto"/>
              </w:rPr>
              <w:t>13,185</w:t>
            </w:r>
          </w:p>
        </w:tc>
        <w:tc>
          <w:tcPr>
            <w:tcW w:w="20" w:type="dxa"/>
            <w:vAlign w:val="bottom"/>
          </w:tcPr>
          <w:p>
            <w:pPr>
              <w:spacing w:after="0"/>
              <w:rPr>
                <w:sz w:val="16"/>
                <w:szCs w:val="16"/>
                <w:color w:val="auto"/>
              </w:rPr>
            </w:pPr>
          </w:p>
        </w:tc>
      </w:tr>
      <w:tr>
        <w:trPr>
          <w:trHeight w:val="216"/>
        </w:trPr>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2,146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2,048</w:t>
            </w:r>
          </w:p>
        </w:tc>
      </w:tr>
      <w:tr>
        <w:trPr>
          <w:trHeight w:val="216"/>
        </w:trPr>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1,093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1,993</w:t>
            </w:r>
          </w:p>
        </w:tc>
      </w:tr>
      <w:tr>
        <w:trPr>
          <w:trHeight w:val="230"/>
        </w:trPr>
        <w:tc>
          <w:tcPr>
            <w:tcW w:w="20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616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325</w:t>
            </w:r>
          </w:p>
        </w:tc>
      </w:tr>
      <w:tr>
        <w:trPr>
          <w:trHeight w:val="210"/>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25,543</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17,551</w:t>
            </w:r>
          </w:p>
        </w:tc>
        <w:tc>
          <w:tcPr>
            <w:tcW w:w="20" w:type="dxa"/>
            <w:vAlign w:val="bottom"/>
          </w:tcPr>
          <w:p>
            <w:pPr>
              <w:spacing w:after="0"/>
              <w:rPr>
                <w:sz w:val="18"/>
                <w:szCs w:val="18"/>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80" w:space="720"/>
            <w:col w:w="4440"/>
          </w:cols>
          <w:pgMar w:left="320" w:top="607" w:right="339" w:bottom="1440" w:gutter="0" w:footer="0" w:header="0"/>
          <w:type w:val="continuous"/>
        </w:sectPr>
      </w:pP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 Accrued rent and related expenses consist of accrued costs associated with non-lease components.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For fiscal 2021 and 2020, defined contribution expense was $1.1 million and $0.8 million, respectively, included within Accrued wages, bonuses and related expenses.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56" w:name="page57"/>
    <w:bookmarkEnd w:id="56"/>
    <w:p>
      <w:pPr>
        <w:ind w:left="440" w:hanging="432"/>
        <w:spacing w:after="0"/>
        <w:tabs>
          <w:tab w:leader="none" w:pos="4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Company’s income (loss) before income taxes from domestic and foreign operations (which include the U.K., Canada, Ireland, China,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Denmark (prior to its closing in January 2021)), is as follows (in thousands):</w:t>
      </w:r>
    </w:p>
    <w:p>
      <w:pPr>
        <w:spacing w:after="0" w:line="207"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Fiscal year ended</w:t>
            </w:r>
          </w:p>
        </w:tc>
      </w:tr>
      <w:tr>
        <w:trPr>
          <w:trHeight w:val="191"/>
        </w:trPr>
        <w:tc>
          <w:tcPr>
            <w:tcW w:w="6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720" w:type="dxa"/>
            <w:vAlign w:val="bottom"/>
            <w:tcBorders>
              <w:top w:val="single" w:sz="8" w:color="auto"/>
            </w:tcBorders>
            <w:gridSpan w:val="4"/>
          </w:tcPr>
          <w:p>
            <w:pPr>
              <w:jc w:val="right"/>
              <w:ind w:right="500"/>
              <w:spacing w:after="0" w:line="191" w:lineRule="exact"/>
              <w:rPr>
                <w:sz w:val="20"/>
                <w:szCs w:val="20"/>
                <w:color w:val="auto"/>
              </w:rPr>
            </w:pPr>
            <w:r>
              <w:rPr>
                <w:rFonts w:ascii="Arial" w:cs="Arial" w:eastAsia="Arial" w:hAnsi="Arial"/>
                <w:sz w:val="18"/>
                <w:szCs w:val="18"/>
                <w:b w:val="1"/>
                <w:bCs w:val="1"/>
                <w:color w:val="auto"/>
              </w:rPr>
              <w:t>January 29,</w:t>
            </w: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w w:val="92"/>
              </w:rPr>
              <w:t>January 30,</w:t>
            </w:r>
          </w:p>
        </w:tc>
        <w:tc>
          <w:tcPr>
            <w:tcW w:w="80" w:type="dxa"/>
            <w:vAlign w:val="bottom"/>
          </w:tcPr>
          <w:p>
            <w:pPr>
              <w:spacing w:after="0"/>
              <w:rPr>
                <w:sz w:val="16"/>
                <w:szCs w:val="16"/>
                <w:color w:val="auto"/>
              </w:rPr>
            </w:pPr>
          </w:p>
        </w:tc>
      </w:tr>
      <w:tr>
        <w:trPr>
          <w:trHeight w:val="234"/>
        </w:trPr>
        <w:tc>
          <w:tcPr>
            <w:tcW w:w="6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6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46,473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(21,774)</w:t>
            </w:r>
          </w:p>
        </w:tc>
      </w:tr>
      <w:tr>
        <w:trPr>
          <w:trHeight w:val="216"/>
        </w:trPr>
        <w:tc>
          <w:tcPr>
            <w:tcW w:w="6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1,588</w:t>
            </w:r>
          </w:p>
        </w:tc>
      </w:tr>
      <w:tr>
        <w:trPr>
          <w:trHeight w:val="20"/>
        </w:trPr>
        <w:tc>
          <w:tcPr>
            <w:tcW w:w="6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620" w:type="dxa"/>
            <w:vAlign w:val="bottom"/>
          </w:tcPr>
          <w:p>
            <w:pPr>
              <w:spacing w:after="0"/>
              <w:rPr>
                <w:sz w:val="19"/>
                <w:szCs w:val="19"/>
                <w:color w:val="auto"/>
              </w:rPr>
            </w:pPr>
          </w:p>
        </w:tc>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income (loss) before income taxes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50,710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(20,186)</w:t>
            </w:r>
          </w:p>
        </w:tc>
      </w:tr>
      <w:tr>
        <w:trPr>
          <w:trHeight w:val="20"/>
        </w:trPr>
        <w:tc>
          <w:tcPr>
            <w:tcW w:w="6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6300" w:type="dxa"/>
            <w:vAlign w:val="bottom"/>
            <w:gridSpan w:val="2"/>
          </w:tcPr>
          <w:p>
            <w:pPr>
              <w:spacing w:after="0"/>
              <w:rPr>
                <w:sz w:val="20"/>
                <w:szCs w:val="20"/>
                <w:color w:val="auto"/>
              </w:rPr>
            </w:pPr>
            <w:r>
              <w:rPr>
                <w:rFonts w:ascii="Arial" w:cs="Arial" w:eastAsia="Arial" w:hAnsi="Arial"/>
                <w:sz w:val="18"/>
                <w:szCs w:val="18"/>
                <w:color w:val="auto"/>
              </w:rPr>
              <w:t>The components of the income tax expense are as follows (in thousands):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Fiscal year ended</w:t>
            </w:r>
          </w:p>
        </w:tc>
      </w:tr>
      <w:tr>
        <w:trPr>
          <w:trHeight w:val="191"/>
        </w:trPr>
        <w:tc>
          <w:tcPr>
            <w:tcW w:w="6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240"/>
              <w:spacing w:after="0" w:line="191" w:lineRule="exact"/>
              <w:rPr>
                <w:sz w:val="20"/>
                <w:szCs w:val="20"/>
                <w:color w:val="auto"/>
              </w:rPr>
            </w:pPr>
            <w:r>
              <w:rPr>
                <w:rFonts w:ascii="Arial" w:cs="Arial" w:eastAsia="Arial" w:hAnsi="Arial"/>
                <w:sz w:val="18"/>
                <w:szCs w:val="18"/>
                <w:b w:val="1"/>
                <w:bCs w:val="1"/>
                <w:color w:val="auto"/>
                <w:w w:val="94"/>
              </w:rPr>
              <w:t>January 29,</w:t>
            </w: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rPr>
              <w:t>January 30,</w:t>
            </w:r>
          </w:p>
        </w:tc>
        <w:tc>
          <w:tcPr>
            <w:tcW w:w="80" w:type="dxa"/>
            <w:vAlign w:val="bottom"/>
          </w:tcPr>
          <w:p>
            <w:pPr>
              <w:spacing w:after="0"/>
              <w:rPr>
                <w:sz w:val="16"/>
                <w:szCs w:val="16"/>
                <w:color w:val="auto"/>
              </w:rPr>
            </w:pPr>
          </w:p>
        </w:tc>
      </w:tr>
      <w:tr>
        <w:trPr>
          <w:trHeight w:val="234"/>
        </w:trPr>
        <w:tc>
          <w:tcPr>
            <w:tcW w:w="6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r>
      <w:tr>
        <w:trPr>
          <w:trHeight w:val="210"/>
        </w:trPr>
        <w:tc>
          <w:tcPr>
            <w:tcW w:w="6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U.S. Federal</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87"/>
              <w:spacing w:after="0"/>
              <w:rPr>
                <w:sz w:val="20"/>
                <w:szCs w:val="20"/>
                <w:color w:val="auto"/>
              </w:rPr>
            </w:pPr>
            <w:r>
              <w:rPr>
                <w:rFonts w:ascii="Arial" w:cs="Arial" w:eastAsia="Arial" w:hAnsi="Arial"/>
                <w:sz w:val="18"/>
                <w:szCs w:val="18"/>
                <w:color w:val="auto"/>
              </w:rPr>
              <w:t>8,921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(876)</w:t>
            </w:r>
          </w:p>
        </w:tc>
      </w:tr>
      <w:tr>
        <w:trPr>
          <w:trHeight w:val="216"/>
        </w:trPr>
        <w:tc>
          <w:tcPr>
            <w:tcW w:w="6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State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87"/>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w:t>
            </w:r>
          </w:p>
        </w:tc>
      </w:tr>
      <w:tr>
        <w:trPr>
          <w:trHeight w:val="216"/>
        </w:trPr>
        <w:tc>
          <w:tcPr>
            <w:tcW w:w="6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87"/>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6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U.S. Federal</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27"/>
              <w:spacing w:after="0"/>
              <w:rPr>
                <w:sz w:val="20"/>
                <w:szCs w:val="20"/>
                <w:color w:val="auto"/>
              </w:rPr>
            </w:pPr>
            <w:r>
              <w:rPr>
                <w:rFonts w:ascii="Arial" w:cs="Arial" w:eastAsia="Arial" w:hAnsi="Arial"/>
                <w:sz w:val="18"/>
                <w:szCs w:val="18"/>
                <w:color w:val="auto"/>
              </w:rPr>
              <w:t>(4,870)</w:t>
            </w:r>
          </w:p>
        </w:tc>
        <w:tc>
          <w:tcPr>
            <w:tcW w:w="1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1,555</w:t>
            </w:r>
          </w:p>
        </w:tc>
      </w:tr>
      <w:tr>
        <w:trPr>
          <w:trHeight w:val="216"/>
        </w:trPr>
        <w:tc>
          <w:tcPr>
            <w:tcW w:w="6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State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rPr>
              <w:t>(2,140)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1,232</w:t>
            </w:r>
          </w:p>
        </w:tc>
      </w:tr>
      <w:tr>
        <w:trPr>
          <w:trHeight w:val="216"/>
        </w:trPr>
        <w:tc>
          <w:tcPr>
            <w:tcW w:w="6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27"/>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577</w:t>
            </w:r>
          </w:p>
        </w:tc>
      </w:tr>
      <w:tr>
        <w:trPr>
          <w:trHeight w:val="20"/>
        </w:trPr>
        <w:tc>
          <w:tcPr>
            <w:tcW w:w="6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20" w:type="dxa"/>
            <w:vAlign w:val="bottom"/>
          </w:tcPr>
          <w:p>
            <w:pPr>
              <w:spacing w:after="0"/>
              <w:rPr>
                <w:sz w:val="19"/>
                <w:szCs w:val="19"/>
                <w:color w:val="auto"/>
              </w:rPr>
            </w:pPr>
          </w:p>
        </w:tc>
        <w:tc>
          <w:tcPr>
            <w:tcW w:w="5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2,797</w:t>
            </w:r>
          </w:p>
        </w:tc>
      </w:tr>
      <w:tr>
        <w:trPr>
          <w:trHeight w:val="20"/>
        </w:trPr>
        <w:tc>
          <w:tcPr>
            <w:tcW w:w="6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provision for income taxes was $3.4 million in fiscal 2021 compared to $2.8 million in fiscal 2020. The 2021 effective rate of 6.8% differed from the statutory rate of 21% primarily due to the tax benefit resulting from the reversal of the valuation allowance in North America. The 2020 effective rate of (13.9%) differed from the statutory rate of 21% primarily due to no tax benefit being recorded on pretax loss as a full valuation allowance had been recorded globally. Fiscal 2020 was also impacted by the $3.3 million valuation allowance recorded on the beginning balance of the net deferred tax assets in North America.</w:t>
      </w:r>
    </w:p>
    <w:p>
      <w:pPr>
        <w:spacing w:after="0" w:line="18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periodically assesses whether it is more likely than not that it will generate sufficient taxable income to realize its deferred income tax assets. In the fourth quarter of fiscal 2021, the Company performed an analysis of all available positive and negative evidence in this determination. As the Company was no longer in a cumulative loss position in North America for the three-year period ending January 29, 2022, the Company recorded a benefit of $7.8 million for the reversal of the beginning-of-the-year valuation allowance in North America based on the scheduled reversals of its deferred tax liabilities and projected future taxable income.</w:t>
      </w:r>
    </w:p>
    <w:p>
      <w:pPr>
        <w:spacing w:after="0" w:line="18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the first quarter of fiscal 2020, as the Company had anticipated incurring a cumulative book loss in North America over the three-year period ended January 30, 2021, management evaluated the realizability of the Company’s North America deferred tax assets, including an analysis of all available positive and negative evidence. The three-year cumulative loss is a significant piece of negative evidence. ASC 740 requires objective historical evidence be given more weight than subjective evidence, such as forecasts of future income. Accordingly, in the first quarter of fiscal 2020, the Company recorded a $3.3 million valuation allowance on its North America deferred tax assets. During fiscal 2020, the Company recorded an additional $3.7 million valuation allowance globally due to cumulative losses and uncertainty about future earnings.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7" w:name="page58"/>
    <w:bookmarkEnd w:id="57"/>
    <w:p>
      <w:pPr>
        <w:ind w:left="500"/>
        <w:spacing w:after="0"/>
        <w:rPr>
          <w:sz w:val="20"/>
          <w:szCs w:val="20"/>
          <w:color w:val="auto"/>
        </w:rPr>
      </w:pPr>
      <w:r>
        <w:rPr>
          <w:rFonts w:ascii="Arial" w:cs="Arial" w:eastAsia="Arial" w:hAnsi="Arial"/>
          <w:sz w:val="18"/>
          <w:szCs w:val="18"/>
          <w:color w:val="auto"/>
        </w:rPr>
        <w:t>Temporary differences that gave rise to deferred tax assets and liabilities are as follows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January 29,</w:t>
            </w:r>
          </w:p>
        </w:tc>
        <w:tc>
          <w:tcPr>
            <w:tcW w:w="16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January 30,</w:t>
            </w:r>
          </w:p>
        </w:tc>
      </w:tr>
      <w:tr>
        <w:trPr>
          <w:trHeight w:val="234"/>
        </w:trPr>
        <w:tc>
          <w:tcPr>
            <w:tcW w:w="6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6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ind w:left="340"/>
              <w:spacing w:after="0"/>
              <w:rPr>
                <w:sz w:val="20"/>
                <w:szCs w:val="20"/>
                <w:color w:val="auto"/>
              </w:rPr>
            </w:pPr>
            <w:r>
              <w:rPr>
                <w:rFonts w:ascii="Arial" w:cs="Arial" w:eastAsia="Arial" w:hAnsi="Arial"/>
                <w:sz w:val="18"/>
                <w:szCs w:val="18"/>
                <w:color w:val="auto"/>
              </w:rPr>
              <w:t>Operating lease liability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27,504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33,058</w:t>
            </w:r>
          </w:p>
        </w:tc>
      </w:tr>
      <w:tr>
        <w:trPr>
          <w:trHeight w:val="216"/>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 carryforwards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3,422</w:t>
            </w:r>
          </w:p>
        </w:tc>
      </w:tr>
      <w:tr>
        <w:trPr>
          <w:trHeight w:val="216"/>
        </w:trPr>
        <w:tc>
          <w:tcPr>
            <w:tcW w:w="60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3,903</w:t>
            </w:r>
          </w:p>
        </w:tc>
      </w:tr>
      <w:tr>
        <w:trPr>
          <w:trHeight w:val="216"/>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1,098</w:t>
            </w:r>
          </w:p>
        </w:tc>
      </w:tr>
      <w:tr>
        <w:trPr>
          <w:trHeight w:val="216"/>
        </w:trPr>
        <w:tc>
          <w:tcPr>
            <w:tcW w:w="602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2,412</w:t>
            </w:r>
          </w:p>
        </w:tc>
      </w:tr>
      <w:tr>
        <w:trPr>
          <w:trHeight w:val="216"/>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affiliates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1,215</w:t>
            </w:r>
          </w:p>
        </w:tc>
      </w:tr>
      <w:tr>
        <w:trPr>
          <w:trHeight w:val="216"/>
        </w:trPr>
        <w:tc>
          <w:tcPr>
            <w:tcW w:w="6020" w:type="dxa"/>
            <w:vAlign w:val="bottom"/>
          </w:tcPr>
          <w:p>
            <w:pPr>
              <w:ind w:left="34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1,802</w:t>
            </w:r>
          </w:p>
        </w:tc>
      </w:tr>
      <w:tr>
        <w:trPr>
          <w:trHeight w:val="216"/>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w:t>
            </w:r>
          </w:p>
        </w:tc>
      </w:tr>
      <w:tr>
        <w:trPr>
          <w:trHeight w:val="216"/>
        </w:trPr>
        <w:tc>
          <w:tcPr>
            <w:tcW w:w="6020" w:type="dxa"/>
            <w:vAlign w:val="bottom"/>
          </w:tcPr>
          <w:p>
            <w:pPr>
              <w:ind w:left="340"/>
              <w:spacing w:after="0"/>
              <w:rPr>
                <w:sz w:val="20"/>
                <w:szCs w:val="20"/>
                <w:color w:val="auto"/>
              </w:rPr>
            </w:pPr>
            <w:r>
              <w:rPr>
                <w:rFonts w:ascii="Arial" w:cs="Arial" w:eastAsia="Arial" w:hAnsi="Arial"/>
                <w:sz w:val="18"/>
                <w:szCs w:val="18"/>
                <w:color w:val="auto"/>
              </w:rPr>
              <w:t>Receivables write-offs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830</w:t>
            </w:r>
          </w:p>
        </w:tc>
      </w:tr>
      <w:tr>
        <w:trPr>
          <w:trHeight w:val="216"/>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w:t>
            </w:r>
          </w:p>
        </w:tc>
      </w:tr>
      <w:tr>
        <w:trPr>
          <w:trHeight w:val="216"/>
        </w:trPr>
        <w:tc>
          <w:tcPr>
            <w:tcW w:w="602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388</w:t>
            </w:r>
          </w:p>
        </w:tc>
      </w:tr>
      <w:tr>
        <w:trPr>
          <w:trHeight w:val="216"/>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Carryforward of tax credits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2,251</w:t>
            </w:r>
          </w:p>
        </w:tc>
      </w:tr>
      <w:tr>
        <w:trPr>
          <w:trHeight w:val="216"/>
        </w:trPr>
        <w:tc>
          <w:tcPr>
            <w:tcW w:w="6020" w:type="dxa"/>
            <w:vAlign w:val="bottom"/>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r>
      <w:tr>
        <w:trPr>
          <w:trHeight w:val="20"/>
        </w:trPr>
        <w:tc>
          <w:tcPr>
            <w:tcW w:w="6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0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gross deferred tax assets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51,070</w:t>
            </w:r>
          </w:p>
        </w:tc>
      </w:tr>
      <w:tr>
        <w:trPr>
          <w:trHeight w:val="216"/>
        </w:trPr>
        <w:tc>
          <w:tcPr>
            <w:tcW w:w="6020" w:type="dxa"/>
            <w:vAlign w:val="bottom"/>
          </w:tcPr>
          <w:p>
            <w:pPr>
              <w:ind w:left="340"/>
              <w:spacing w:after="0"/>
              <w:rPr>
                <w:sz w:val="20"/>
                <w:szCs w:val="20"/>
                <w:color w:val="auto"/>
              </w:rPr>
            </w:pPr>
            <w:r>
              <w:rPr>
                <w:rFonts w:ascii="Arial" w:cs="Arial" w:eastAsia="Arial" w:hAnsi="Arial"/>
                <w:sz w:val="18"/>
                <w:szCs w:val="18"/>
                <w:color w:val="auto"/>
              </w:rPr>
              <w:t>Less: Valuation allowance</w:t>
            </w: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(9,795)</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(15,401)</w:t>
            </w:r>
          </w:p>
        </w:tc>
      </w:tr>
      <w:tr>
        <w:trPr>
          <w:trHeight w:val="20"/>
        </w:trPr>
        <w:tc>
          <w:tcPr>
            <w:tcW w:w="6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0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deferred tax assets, net of valuation allowance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35,669</w:t>
            </w:r>
          </w:p>
        </w:tc>
      </w:tr>
      <w:tr>
        <w:trPr>
          <w:trHeight w:val="210"/>
        </w:trPr>
        <w:tc>
          <w:tcPr>
            <w:tcW w:w="60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ind w:left="34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(21,395)</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(27,214)</w:t>
            </w:r>
          </w:p>
        </w:tc>
      </w:tr>
      <w:tr>
        <w:trPr>
          <w:trHeight w:val="216"/>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(4,369)</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(4,968)</w:t>
            </w:r>
          </w:p>
        </w:tc>
      </w:tr>
      <w:tr>
        <w:trPr>
          <w:trHeight w:val="216"/>
        </w:trPr>
        <w:tc>
          <w:tcPr>
            <w:tcW w:w="6020" w:type="dxa"/>
            <w:vAlign w:val="bottom"/>
          </w:tcPr>
          <w:p>
            <w:pPr>
              <w:ind w:left="340"/>
              <w:spacing w:after="0"/>
              <w:rPr>
                <w:sz w:val="20"/>
                <w:szCs w:val="20"/>
                <w:color w:val="auto"/>
              </w:rPr>
            </w:pPr>
            <w:r>
              <w:rPr>
                <w:rFonts w:ascii="Arial" w:cs="Arial" w:eastAsia="Arial" w:hAnsi="Arial"/>
                <w:sz w:val="18"/>
                <w:szCs w:val="18"/>
                <w:color w:val="auto"/>
              </w:rPr>
              <w:t>Deferred expense</w:t>
            </w: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(1,708)</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(1,767)</w:t>
            </w:r>
          </w:p>
        </w:tc>
      </w:tr>
      <w:tr>
        <w:trPr>
          <w:trHeight w:val="216"/>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(1,362)</w:t>
            </w:r>
          </w:p>
        </w:tc>
      </w:tr>
      <w:tr>
        <w:trPr>
          <w:trHeight w:val="216"/>
        </w:trPr>
        <w:tc>
          <w:tcPr>
            <w:tcW w:w="6020" w:type="dxa"/>
            <w:vAlign w:val="bottom"/>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(358)</w:t>
            </w:r>
          </w:p>
        </w:tc>
      </w:tr>
      <w:tr>
        <w:trPr>
          <w:trHeight w:val="20"/>
        </w:trPr>
        <w:tc>
          <w:tcPr>
            <w:tcW w:w="6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0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deferred tax liabilities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(35,669)</w:t>
            </w:r>
          </w:p>
        </w:tc>
      </w:tr>
      <w:tr>
        <w:trPr>
          <w:trHeight w:val="20"/>
        </w:trPr>
        <w:tc>
          <w:tcPr>
            <w:tcW w:w="60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6020" w:type="dxa"/>
            <w:vAlign w:val="bottom"/>
          </w:tcPr>
          <w:p>
            <w:pPr>
              <w:ind w:left="660"/>
              <w:spacing w:after="0"/>
              <w:rPr>
                <w:sz w:val="20"/>
                <w:szCs w:val="20"/>
                <w:color w:val="auto"/>
              </w:rPr>
            </w:pPr>
            <w:r>
              <w:rPr>
                <w:rFonts w:ascii="Arial" w:cs="Arial" w:eastAsia="Arial" w:hAnsi="Arial"/>
                <w:sz w:val="18"/>
                <w:szCs w:val="18"/>
                <w:color w:val="auto"/>
              </w:rPr>
              <w:t>Net deferred tax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7,613</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6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January 29, 2022, the Company had gross net operating loss (NOL) carryforwards of approximately $13.8 million, most of which relate to the U.K. where NOLs have no expiration date.</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continues to assert its investments in foreign subsidiaries are permanent in duration and it is not practical to estimate the income tax liability on the outside basis differences.</w:t>
      </w:r>
    </w:p>
    <w:p>
      <w:pPr>
        <w:spacing w:after="0" w:line="17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As of January 29, 2022, the Company had total unrecognized tax benefits of $0.3 million, of which approximately $0.3 million would favorably impact the Company’s provision for income taxes if recognized. As of January 30, 2021, the Company had total unrecognized tax benefits of $0.2 million, of which approximately $0.2 million would favorably impact the Company’s provision for income taxes if recognized. The Company reviews its uncertain tax positions periodically and accrues interest and penalties accordingly. Accrued interest and penalties included within other liabilities in the consolidated balance sheets were less than $0.1 million for both years ended as of January 29, 2022 and January 30, 2021. The Company recognizes accrued interest and penalties related to unrecognized tax benefits as a component of the provision for income taxes within the consolidated statement of operations. For the years ended January 29, 2022 and January 30, 2021, the Company recognized a benefit of less than $0.1 million for interest and penalties.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8" w:name="page59"/>
    <w:bookmarkEnd w:id="58"/>
    <w:p>
      <w:pPr>
        <w:ind w:left="500"/>
        <w:spacing w:after="0"/>
        <w:rPr>
          <w:sz w:val="20"/>
          <w:szCs w:val="20"/>
          <w:color w:val="auto"/>
        </w:rPr>
      </w:pPr>
      <w:r>
        <w:rPr>
          <w:rFonts w:ascii="Arial" w:cs="Arial" w:eastAsia="Arial" w:hAnsi="Arial"/>
          <w:sz w:val="16"/>
          <w:szCs w:val="16"/>
          <w:color w:val="auto"/>
        </w:rPr>
        <w:t>A reconciliation of the beginning and ending amount of unrecognized tax benefits is as follows (in thousands):</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beginning of year</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Increases for prior year tax positions</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Lapse of statute of limitations</w:t>
      </w:r>
    </w:p>
    <w:p>
      <w:pPr>
        <w:spacing w:after="0" w:line="4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end 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60" w:type="dxa"/>
            <w:vAlign w:val="bottom"/>
            <w:gridSpan w:val="3"/>
          </w:tcPr>
          <w:p>
            <w:pPr>
              <w:ind w:left="440"/>
              <w:spacing w:after="0"/>
              <w:rPr>
                <w:sz w:val="20"/>
                <w:szCs w:val="20"/>
                <w:color w:val="auto"/>
              </w:rPr>
            </w:pPr>
            <w:r>
              <w:rPr>
                <w:rFonts w:ascii="Arial" w:cs="Arial" w:eastAsia="Arial" w:hAnsi="Arial"/>
                <w:sz w:val="18"/>
                <w:szCs w:val="18"/>
                <w:b w:val="1"/>
                <w:bCs w:val="1"/>
                <w:color w:val="auto"/>
              </w:rPr>
              <w:t>January 29,</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January 30,</w:t>
            </w:r>
          </w:p>
        </w:tc>
      </w:tr>
      <w:tr>
        <w:trPr>
          <w:trHeight w:val="234"/>
        </w:trPr>
        <w:tc>
          <w:tcPr>
            <w:tcW w:w="18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411"/>
        </w:trPr>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24"/>
                <w:szCs w:val="24"/>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r>
      <w:tr>
        <w:trPr>
          <w:trHeight w:val="216"/>
        </w:trPr>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230"/>
        </w:trPr>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209"/>
        </w:trPr>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r>
      <w:tr>
        <w:trPr>
          <w:trHeight w:val="20"/>
        </w:trPr>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-582295</wp:posOffset>
            </wp:positionV>
            <wp:extent cx="570039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-307975</wp:posOffset>
            </wp:positionV>
            <wp:extent cx="5700395"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40" w:space="720"/>
            <w:col w:w="4780"/>
          </w:cols>
          <w:pgMar w:left="320" w:top="611" w:right="339" w:bottom="1440" w:gutter="0" w:footer="0" w:header="0"/>
          <w:type w:val="continuous"/>
        </w:sectPr>
      </w:pPr>
    </w:p>
    <w:p>
      <w:pPr>
        <w:spacing w:after="0" w:line="2"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Management estimates it is reasonably possible that the amount of unrecognized tax benefits could decrease by as much as $0.3 million in the next twelve months as a result of the resolution of audits currently in progress involving issues common to multinational corporations.</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tax years remain open in the Company’s major taxing jurisdictions as of January 29, 2022:</w:t>
      </w:r>
    </w:p>
    <w:p>
      <w:pPr>
        <w:spacing w:after="0" w:line="239"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(Federal)</w:t>
            </w:r>
          </w:p>
        </w:tc>
        <w:tc>
          <w:tcPr>
            <w:tcW w:w="58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2018 through 2021</w:t>
            </w: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5880" w:type="dxa"/>
            <w:vAlign w:val="bottom"/>
          </w:tcPr>
          <w:p>
            <w:pPr>
              <w:ind w:left="1400"/>
              <w:spacing w:after="0"/>
              <w:rPr>
                <w:sz w:val="20"/>
                <w:szCs w:val="20"/>
                <w:color w:val="auto"/>
              </w:rPr>
            </w:pPr>
            <w:r>
              <w:rPr>
                <w:rFonts w:ascii="Arial" w:cs="Arial" w:eastAsia="Arial" w:hAnsi="Arial"/>
                <w:sz w:val="18"/>
                <w:szCs w:val="18"/>
                <w:color w:val="auto"/>
              </w:rPr>
              <w:t>2017 through 2021</w:t>
            </w:r>
          </w:p>
        </w:tc>
      </w:tr>
    </w:tbl>
    <w:p>
      <w:pPr>
        <w:spacing w:after="0" w:line="187"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The Company also files tax returns in various other international jurisdictions and numerous states for which various tax years are subject to examination and currently involved in audits.</w:t>
      </w:r>
    </w:p>
    <w:p>
      <w:pPr>
        <w:spacing w:after="0" w:line="193" w:lineRule="exact"/>
        <w:rPr>
          <w:sz w:val="20"/>
          <w:szCs w:val="20"/>
          <w:color w:val="auto"/>
        </w:rPr>
      </w:pPr>
    </w:p>
    <w:p>
      <w:pPr>
        <w:ind w:left="440" w:hanging="432"/>
        <w:spacing w:after="0"/>
        <w:tabs>
          <w:tab w:leader="none" w:pos="4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2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On December 17, 2021, Build-A-Bear Workshop, Inc. (the “Company”), as borrowing agent; Build-A-Bear Retail Management, Inc., together with the Company, as borrowers (collectively, the “Borrowers”); and Build-A-Bear Workshop Franchise Holdings, Inc., Build-A-Bear Entertainment, LLC, Build-A-Bear Card Services, LLC and Build-A-Bear Workshop Canada, Ltd. (collectively, the “Guarantors”); entered into a First Amendment to Revolving Credit and Security Agreement (the “First Amendment”) with the lenders party thereto (the “Lenders”); and PNC Bank, National Association, as agent for Lenders (in such capacity, “Agent”). The First Amendment amended the Revolving Credit and Security Agreement (the “Original Credit Agreement,” and, as amended by the First Amendment, the “Credit Agreement”), dated as of August 25, 2020 among the Company, the Borrowers, the Guarantors, the Lenders, and the Agent.</w:t>
      </w:r>
    </w:p>
    <w:p>
      <w:pPr>
        <w:spacing w:after="0" w:line="19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First Amendment (i) extended the maturity date of the Credit Agreement to December 17, 2026, (ii) eliminated the minimum interest payment requirement, (iii) reduced the facility fee related to undrawn availability, (iv) reduced the availability requirement under the financial covenant, (v) provided the Company with additional flexibility to make permitted investments, declare dividends, repay intercompany loans or repurchase its stock, (vi) increased the threshold amounts for certain events of default, and (vii) reduced the required frequency of various information and reporting requirements under certain circumstances.</w:t>
      </w:r>
    </w:p>
    <w:p>
      <w:pPr>
        <w:spacing w:after="0" w:line="18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Credit Agreement continues to provide for a senior secured revolving loan in aggregate principal amount of up to $25,000,000 (subject to a borrowing base formula), which may be increased with the consent of the Lenders by an amount not to exceed $25,000,000, subject to the conditions set forth in the Credit Agreement (the “Increase Option”). The borrowing base under the Credit Agreement continues to be based on specified percentages of Eligible Credit Card Receivables, Eligible Inventory and, under certain circumstances, Eligible Foreign In-Transit Inventory and, in the discretion of the Agent, Eligible Receivables. The First Amendment eliminated certain eligibility requirements for Eligible Foreign In-Transit Inventory and Eligible Inventory. The Credit Agreement continues to provide for swingline loans of up to $5,000,000 and the issuance of standby or commercial letters of credit of up to $5,000,000.</w:t>
      </w:r>
    </w:p>
    <w:p>
      <w:pPr>
        <w:spacing w:after="0" w:line="195" w:lineRule="exact"/>
        <w:rPr>
          <w:sz w:val="20"/>
          <w:szCs w:val="20"/>
          <w:color w:val="auto"/>
        </w:rPr>
      </w:pPr>
    </w:p>
    <w:p>
      <w:pPr>
        <w:jc w:val="both"/>
        <w:ind w:firstLine="552"/>
        <w:spacing w:after="0" w:line="279" w:lineRule="auto"/>
        <w:rPr>
          <w:sz w:val="20"/>
          <w:szCs w:val="20"/>
          <w:color w:val="auto"/>
        </w:rPr>
      </w:pPr>
      <w:r>
        <w:rPr>
          <w:rFonts w:ascii="Arial" w:cs="Arial" w:eastAsia="Arial" w:hAnsi="Arial"/>
          <w:sz w:val="17"/>
          <w:szCs w:val="17"/>
          <w:color w:val="auto"/>
        </w:rPr>
        <w:t>Revolving advances under the Credit Agreement will continue to be secured (subject to permitted liens and certain other exceptions) by a first priority lien on substantially all of the personal property of the Company and all of its U.S. and Canadian subsidiaries, including certain receivables (including receivables from the sale inventory and credit card receivables but excluding certain franchise receivables), equipment and fixtures, intellectual property, inventory and equity interests held by the Borrowers and the Guarantors in their respective domestic and foreign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59" w:name="page60"/>
    <w:bookmarkEnd w:id="59"/>
    <w:p>
      <w:pPr>
        <w:jc w:val="both"/>
        <w:ind w:firstLine="486"/>
        <w:spacing w:after="0" w:line="257" w:lineRule="auto"/>
        <w:rPr>
          <w:sz w:val="20"/>
          <w:szCs w:val="20"/>
          <w:color w:val="auto"/>
        </w:rPr>
      </w:pPr>
      <w:r>
        <w:rPr>
          <w:rFonts w:ascii="Arial" w:cs="Arial" w:eastAsia="Arial" w:hAnsi="Arial"/>
          <w:sz w:val="18"/>
          <w:szCs w:val="18"/>
          <w:color w:val="auto"/>
        </w:rPr>
        <w:t>Borrowings under the Credit Agreement continue to bear interest (a) at a base rate determined under the Credit Agreement, or (b) at the Borrower's option, at a rate based on LIBOR, plus in either case a margin based on average undrawn availability as determined in accordance with the Credit Agreement, but the First Amendment reduced such rates and reduced the LIBOR floor. A $500,000 minimum interest payment requirement has been eliminated and the Facility Fee Percentage which previously was either 0.50% or 0.375% depending on the Average Undrawn Availability was reduced to 0.25% by the First Amendment.</w:t>
      </w:r>
    </w:p>
    <w:p>
      <w:pPr>
        <w:spacing w:after="0" w:line="18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Credit Agreement continues to require the Company to comply with one financial covenant. Previously, under the Original Credit Agreement, the Company was required to maintain availability (as determined in accordance with the Credit Agreement) at all times equal to or greater than the greater of (a) 12.5% of the Loan Cap and (b) $3,125,000 (subject to increase upon exercise of the Increase Option). The First Amendment revised that covenant to require the Company to maintain availability (as determined in accordance with the Credit Agreement) at all times equal to or greater than the greater of (a) 10.0% of the Loan Cap and (b) $1,875,000 (subject to increase upon exercise of the Increase Option). The “Loan Cap” is the lesser of (1) $25,000,000 less the outstanding amount of loans and letters of credit under the Credit Agreement and (2) the borrowing base from time to time under the Credit Agreement. The First Amendment reduced the required frequency of various information and reporting requirements under certain circumstances.</w:t>
      </w:r>
    </w:p>
    <w:p>
      <w:pPr>
        <w:spacing w:after="0" w:line="16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Credit Agreement continues to contain customary events of default, including without limitation events of default based on payment obligations, material inaccuracies of representations and warranties, covenant defaults, final judgments and orders, unenforceability of the Credit Agreement, material ERISA events, change in control, insolvency proceedings, and defaults under certain other obligations and the First Amendment increased the threshold amounts for certain events of default. An event of default may cause the applicable interest rate and fees to increase by 2% until such event of default has been cured, waived, or amended.</w:t>
      </w:r>
    </w:p>
    <w:p>
      <w:pPr>
        <w:spacing w:after="0" w:line="18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Credit Agreement continues to contain typical negative covenants, including, among other things, that the Borrower will not incur indebtedness except for permitted indebtedness or make any investments except for permitted investments, declare dividends or repurchase its stock except as permitted, acquire any subsidiaries except in connection with a permitted acquisition, or merge or consolidate with any other entity or acquire all or substantially all of the assets of any other company outside the ordinary course of business. The First Amendment provides the Company with additional flexibility to make permitted investments, declare dividends, repay intercompany loans and repurchase its stock.</w:t>
      </w:r>
    </w:p>
    <w:p>
      <w:pPr>
        <w:spacing w:after="0" w:line="1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At the closing date of the First Amendment, the Company had a $750,000 letter of credit issued and no outstanding indebtedness under the Credit Agreement; and' the Company is currently in compliance with the Credit Agreement covenants. As of January 29, 2022, the Company had a borrowing base of $23.3 million. As a result of a $750,000 letter of credit against the line of credit at the end of fiscal 2021, approximately $22.5 million was available for borrowing. The Company had no outstanding borrowings as of January 29, 2022.</w:t>
      </w:r>
    </w:p>
    <w:p>
      <w:pPr>
        <w:spacing w:after="0" w:line="18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 connection with the First Amendment, the Company incurred less than $0.1 million of costs and fees. As the Company had no outstanding borrowings as of the date of the First Amendment. These costs and fees were recorded as a deferred asset within the Other assets, net line within the Consolidated Balance Sheet; and, total remaining deferred asset balance will be amortized over the remaining term of the agreement.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Litigation</w:t>
      </w:r>
    </w:p>
    <w:p>
      <w:pPr>
        <w:spacing w:after="0" w:line="21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Assessments made by the U.K. customs authority in 2012 were appealed by the Company, which has paid the disputed duty, strictly under protest, pending the outcome of the continuing dispute, and this is included in receivables, net in the DTC segment. The U.K. customs authority contested the Company's appeal. Rulings by the trial court in November 2019 and upper tribunal in March 2021 held that duty was due on some, but not all, of the products at issue. The Company petitioned the Court of Appeal for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0" w:name="page61"/>
    <w:bookmarkEnd w:id="60"/>
    <w:p>
      <w:pPr>
        <w:jc w:val="both"/>
        <w:spacing w:after="0" w:line="273" w:lineRule="auto"/>
        <w:rPr>
          <w:sz w:val="20"/>
          <w:szCs w:val="20"/>
          <w:color w:val="auto"/>
        </w:rPr>
      </w:pPr>
      <w:r>
        <w:rPr>
          <w:rFonts w:ascii="Arial" w:cs="Arial" w:eastAsia="Arial" w:hAnsi="Arial"/>
          <w:sz w:val="17"/>
          <w:szCs w:val="17"/>
          <w:color w:val="auto"/>
        </w:rPr>
        <w:t>permission to appeal certain elements of the Upper Tribunal decision and, in early November 2021, a judge granted the Company's petition for permission to appeal those elements of the Upper Tribunal decision on some, but not all, of the grounds of appeal that the Company had put forward. An appeal is set to be heard by the Court of Appeal in May 2022. The Company maintains a provision against the related receivable, based on a current evaluation of collectability, using the latest facts available in the dispute. As of January 29, 2022, the Company had a gross receivable balance of $4.5 million and a reserve of $3.5 million, leaving a net receivable of $1.0 million. The Company believes that the outcome of this dispute will not have a material adverse impact on the results of operations, liquidity or financial position of the Company.</w:t>
      </w:r>
    </w:p>
    <w:p>
      <w:pPr>
        <w:spacing w:after="0" w:line="17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August 2021, a putative class action lawsuit was filed against Build-A-Bear Workshop, Inc., asserting claims under the Telephone Consumer Protection Act (the "TCPA") alleging that the Company continued to send marketing text messages to mobile phone numbers registered on the National Do Not Call Registry after allegedly opting-out of receiving them. Statutory damages under the TCPA are assessed at $500 per violation (i.e. per text message), and up to $1,500 per violation if the violation was knowing or willful. No class has yet been certified in the matter and the litigation is in the early stages of discovery. Accordingly, as of January 29, 2022, the Company cannot determine a reasonable estimate of the amount of loss or range of loss, and therefore, nothing is accrued for this matter.</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(Loss) Per Share</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computes both basic and diluted earnings per common share. In periods of net loss, no effect is given to the Company’s participating securities as they do not contractually participate in the losses of the Company. The following table sets forth the computation of basic and diluted income (loss) per share (in thousands, except share and per share data):</w:t>
      </w:r>
    </w:p>
    <w:p>
      <w:pPr>
        <w:spacing w:after="0" w:line="39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191"/>
        </w:trPr>
        <w:tc>
          <w:tcPr>
            <w:tcW w:w="5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January 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rPr>
              <w:t>January 30,</w:t>
            </w: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w w:val="98"/>
              </w:rPr>
              <w:t>Net income (loss) before allocation of earnings to participating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47,265</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(22,983)</w:t>
            </w:r>
          </w:p>
        </w:tc>
        <w:tc>
          <w:tcPr>
            <w:tcW w:w="0" w:type="dxa"/>
            <w:vAlign w:val="bottom"/>
          </w:tcPr>
          <w:p>
            <w:pPr>
              <w:spacing w:after="0"/>
              <w:rPr>
                <w:sz w:val="1"/>
                <w:szCs w:val="1"/>
                <w:color w:val="auto"/>
              </w:rPr>
            </w:pPr>
          </w:p>
        </w:tc>
      </w:tr>
      <w:tr>
        <w:trPr>
          <w:trHeight w:val="216"/>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Earnings allocated to participating securities</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6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47,265</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(22,983)</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 - basic</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15,460,634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14,923,304</w:t>
            </w: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Dilutive effect of share-based awards:</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661,949</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 - dilutive</w:t>
            </w: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16,122,583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14,923,304</w:t>
            </w:r>
          </w:p>
        </w:tc>
        <w:tc>
          <w:tcPr>
            <w:tcW w:w="0" w:type="dxa"/>
            <w:vAlign w:val="bottom"/>
          </w:tcPr>
          <w:p>
            <w:pPr>
              <w:spacing w:after="0"/>
              <w:rPr>
                <w:sz w:val="1"/>
                <w:szCs w:val="1"/>
                <w:color w:val="auto"/>
              </w:rPr>
            </w:pPr>
          </w:p>
        </w:tc>
      </w:tr>
      <w:tr>
        <w:trPr>
          <w:trHeight w:val="182"/>
        </w:trPr>
        <w:tc>
          <w:tcPr>
            <w:tcW w:w="5680" w:type="dxa"/>
            <w:vAlign w:val="bottom"/>
          </w:tcPr>
          <w:p>
            <w:pPr>
              <w:ind w:left="20"/>
              <w:spacing w:after="0" w:line="182" w:lineRule="exact"/>
              <w:rPr>
                <w:sz w:val="20"/>
                <w:szCs w:val="20"/>
                <w:color w:val="auto"/>
              </w:rPr>
            </w:pPr>
            <w:r>
              <w:rPr>
                <w:rFonts w:ascii="Arial" w:cs="Arial" w:eastAsia="Arial" w:hAnsi="Arial"/>
                <w:sz w:val="18"/>
                <w:szCs w:val="18"/>
                <w:color w:val="auto"/>
              </w:rPr>
              <w:t>Basic income (loss) per common share attributable to Build-A-Bear</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3.06</w:t>
            </w:r>
          </w:p>
        </w:tc>
        <w:tc>
          <w:tcPr>
            <w:tcW w:w="28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90"/>
        </w:trPr>
        <w:tc>
          <w:tcPr>
            <w:tcW w:w="5680" w:type="dxa"/>
            <w:vAlign w:val="bottom"/>
          </w:tcPr>
          <w:p>
            <w:pPr>
              <w:ind w:left="20"/>
              <w:spacing w:after="0" w:line="190" w:lineRule="exact"/>
              <w:rPr>
                <w:sz w:val="20"/>
                <w:szCs w:val="20"/>
                <w:color w:val="auto"/>
              </w:rPr>
            </w:pPr>
            <w:r>
              <w:rPr>
                <w:rFonts w:ascii="Arial" w:cs="Arial" w:eastAsia="Arial" w:hAnsi="Arial"/>
                <w:sz w:val="18"/>
                <w:szCs w:val="18"/>
                <w:color w:val="auto"/>
              </w:rPr>
              <w:t>Workshop, Inc. stockholders</w:t>
            </w:r>
          </w:p>
        </w:tc>
        <w:tc>
          <w:tcPr>
            <w:tcW w:w="20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6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Diluted income (loss) per common share attributable to Build-A-Bear</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80" w:type="dxa"/>
            <w:vAlign w:val="bottom"/>
            <w:vMerge w:val="restart"/>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Workshop, Inc. stockholders</w:t>
            </w: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calculating diluted earnings per share for fiscal 2021 and 2020, options to purchase 52,812 and 841,401 shares of common stock, respectively, were outstanding at the end of the period, but were not included in the computation of diluted income per share due to their anti-dilutive effect under provisions of ASC 260-10.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Incentive Plans</w:t>
      </w:r>
    </w:p>
    <w:p>
      <w:pPr>
        <w:spacing w:after="0" w:line="229"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In 2004, the Company adopted the Build-A-Bear Workshop, Inc. 2004 Stock Incentive Plan which the Company amended and restated in 2009 and 2014 (collectively, the Incentive Plans). In 2017, the Company adopted the Build-A-Bear Workshop, Inc 2017 Omnibus Incentive Plan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1" w:name="page62"/>
    <w:bookmarkEnd w:id="61"/>
    <w:p>
      <w:pPr>
        <w:jc w:val="both"/>
        <w:ind w:firstLine="486"/>
        <w:spacing w:after="0" w:line="288" w:lineRule="auto"/>
        <w:rPr>
          <w:sz w:val="20"/>
          <w:szCs w:val="20"/>
          <w:color w:val="auto"/>
        </w:rPr>
      </w:pPr>
      <w:r>
        <w:rPr>
          <w:rFonts w:ascii="Arial" w:cs="Arial" w:eastAsia="Arial" w:hAnsi="Arial"/>
          <w:sz w:val="16"/>
          <w:szCs w:val="16"/>
          <w:color w:val="auto"/>
        </w:rPr>
        <w:t>On April 14, 2020, the Board of Directors (the “Board”) of Build-A-Bear Workshop, Inc. (the “Company”) adopted, subject to stockholder approval, the Build-A-Bear Workshop, Inc. 2020 Omnibus Incentive Plan (the “2020 Incentive Plan”). On June 11, 2020, at the Company’s 2020 Annual Meeting of Stockholders (the “Annual Meeting”), the Company’s stockholders approved the 2020 Incentive Plan. The 2020 Incentive Plan, which is administered by the Compensation and Development Committee of the Board (the "Compensation Committee"), permits the grant of stock options (including both incentive and non-qualified stock options), stock appreciation rights, other stock-based awards, including restricted stock and restricted stock units, cash-based awards, and performance awards pursuant to the terms of the 2020 Incentive Plan. The 2020 Incentive Plan will terminate on April 14, 2030, unless terminated earlier by the Board. The number of shares of the Company’s common stock authorized for issuance under the 2020 Incentive Plan is 1,000,000, plus shares of stock that remained available for issuance under the Build-A-Bear Workshop, Inc. 2017 Omnibus Incentive Plan (the “2017 Incentive Plan”) at the time the 2020 Incentive Plan was approved by the Company’s stockholders, and shares that are subject to outstanding awards made under the 2017 Incentive Plan that on or after April 14, 2020 may be forfeited, expire or be settled for cash.</w:t>
      </w:r>
    </w:p>
    <w:p>
      <w:pPr>
        <w:spacing w:after="0" w:line="16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For the fifty-two weeks ended January 29, 2022 and January 30, 2021, Selling, general and administrative expense included stock-based compensation expense of $2.6 million and $1.5 million, respectively. As of January 29, 2022, there was $2.5 million of total unrecognized compensation expense related to unvested stock awards which is expected to be recognized over a weighted-average period of 1.4 years.</w:t>
      </w:r>
    </w:p>
    <w:p>
      <w:pPr>
        <w:spacing w:after="0" w:line="165" w:lineRule="exact"/>
        <w:rPr>
          <w:sz w:val="20"/>
          <w:szCs w:val="20"/>
          <w:color w:val="auto"/>
        </w:rPr>
      </w:pPr>
    </w:p>
    <w:p>
      <w:pPr>
        <w:ind w:left="880" w:hanging="427"/>
        <w:spacing w:after="0"/>
        <w:tabs>
          <w:tab w:leader="none" w:pos="88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is a summary of the balance and activity for the Plans related to stock options for the periods presented:</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Options</w:t>
            </w:r>
          </w:p>
        </w:tc>
        <w:tc>
          <w:tcPr>
            <w:tcW w:w="10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0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1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Term</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(in millions)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February 1, 2021</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805,701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8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(460,421)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Canceled or expired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(26,711)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8.13</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29, 2022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318,569</w:t>
            </w:r>
          </w:p>
        </w:tc>
        <w:tc>
          <w:tcPr>
            <w:tcW w:w="1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as of:</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January 29, 2022</w:t>
            </w:r>
          </w:p>
        </w:tc>
        <w:tc>
          <w:tcPr>
            <w:tcW w:w="1220" w:type="dxa"/>
            <w:vAlign w:val="bottom"/>
          </w:tcPr>
          <w:p>
            <w:pPr>
              <w:jc w:val="right"/>
              <w:spacing w:after="0"/>
              <w:rPr>
                <w:sz w:val="20"/>
                <w:szCs w:val="20"/>
                <w:color w:val="auto"/>
              </w:rPr>
            </w:pPr>
            <w:r>
              <w:rPr>
                <w:rFonts w:ascii="Arial" w:cs="Arial" w:eastAsia="Arial" w:hAnsi="Arial"/>
                <w:sz w:val="18"/>
                <w:szCs w:val="18"/>
                <w:color w:val="auto"/>
              </w:rPr>
              <w:t>318,569</w:t>
            </w:r>
          </w:p>
        </w:tc>
        <w:tc>
          <w:tcPr>
            <w:tcW w:w="14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13.23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There were no options granted during fiscal 2021 or 2020. The expense recorded related to options granted in fiscal 2018 and prior were determined using the Black-Scholes option pricing model and the provisions of SAB 107 and 110, which allow the use of a simplified method to estimate the expected term of “plain vanilla” options.</w:t>
      </w:r>
    </w:p>
    <w:p>
      <w:pPr>
        <w:spacing w:after="0" w:line="184"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total grant date fair value of options exercised in fiscal 2021 was $1.8 million and the total intrinsic value was $4.3 million. Total grant date fair value and intrinsic value for options exercised in fiscal 2020 was less than $0.1 million, respectively. The Company generally issues new shares to satisfy option exercises.</w:t>
      </w:r>
    </w:p>
    <w:p>
      <w:pPr>
        <w:spacing w:after="0" w:line="184"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Future total shares available for option, non-vested stock and restricted stock grants were 416,391 and 568,523 at the end of 2021 and 2020, respectively.</w:t>
      </w:r>
    </w:p>
    <w:p>
      <w:pPr>
        <w:spacing w:after="0" w:line="170" w:lineRule="exact"/>
        <w:rPr>
          <w:sz w:val="20"/>
          <w:szCs w:val="20"/>
          <w:color w:val="auto"/>
        </w:rPr>
      </w:pPr>
    </w:p>
    <w:p>
      <w:pPr>
        <w:ind w:left="880" w:hanging="427"/>
        <w:spacing w:after="0"/>
        <w:tabs>
          <w:tab w:leader="none" w:pos="88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The Company granted restricted stock awards that vest over a one to three-year period. Recipients of time-based restricted stock awards have the right to vote and receive dividends as to all unvested shares, although for a portion of these awards, receipt of such dividends is contingent on such time-based awards vesting. Recipients of performance-based restricted stock awards have the right to vote and receive dividends upon satisfaction of the performance criteria and certain of these awards’ dividend rights are also subject to time-based vesting. The following table is a summary of the balance and activity for the Plans related to unvested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2" w:name="page63"/>
    <w:bookmarkEnd w:id="62"/>
    <w:p>
      <w:pPr>
        <w:ind w:left="20"/>
        <w:spacing w:after="0"/>
        <w:rPr>
          <w:sz w:val="20"/>
          <w:szCs w:val="20"/>
          <w:color w:val="auto"/>
        </w:rPr>
      </w:pPr>
      <w:r>
        <w:rPr>
          <w:rFonts w:ascii="Arial" w:cs="Arial" w:eastAsia="Arial" w:hAnsi="Arial"/>
          <w:sz w:val="18"/>
          <w:szCs w:val="18"/>
          <w:color w:val="auto"/>
        </w:rPr>
        <w:t>time-based and performance-based restricted stock granted as compensation to employees and directors for the periods presented:</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ind w:left="80"/>
              <w:spacing w:after="0"/>
              <w:rPr>
                <w:sz w:val="20"/>
                <w:szCs w:val="20"/>
                <w:color w:val="auto"/>
              </w:rPr>
            </w:pPr>
            <w:r>
              <w:rPr>
                <w:rFonts w:ascii="Arial" w:cs="Arial" w:eastAsia="Arial" w:hAnsi="Arial"/>
                <w:sz w:val="18"/>
                <w:szCs w:val="18"/>
                <w:b w:val="1"/>
                <w:bCs w:val="1"/>
                <w:color w:val="auto"/>
                <w:w w:val="95"/>
              </w:rPr>
              <w:t>Performance-Based Restricted</w:t>
            </w:r>
          </w:p>
        </w:tc>
      </w:tr>
      <w:tr>
        <w:trPr>
          <w:trHeight w:val="234"/>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60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w w:val="96"/>
              </w:rPr>
              <w:t>Time-Based Restricted Stock</w:t>
            </w:r>
          </w:p>
        </w:tc>
        <w:tc>
          <w:tcPr>
            <w:tcW w:w="220" w:type="dxa"/>
            <w:vAlign w:val="bottom"/>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Stock</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Date Fair</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Date Fair</w:t>
            </w:r>
          </w:p>
        </w:tc>
      </w:tr>
      <w:tr>
        <w:trPr>
          <w:trHeight w:val="234"/>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Outstanding, February 1, 2021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931,172</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336,441</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148,701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53,095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(606,443)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5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(32,521)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(9,850)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6.35</w:t>
            </w:r>
          </w:p>
        </w:tc>
        <w:tc>
          <w:tcPr>
            <w:tcW w:w="1580" w:type="dxa"/>
            <w:vAlign w:val="bottom"/>
            <w:gridSpan w:val="3"/>
          </w:tcPr>
          <w:p>
            <w:pPr>
              <w:jc w:val="right"/>
              <w:ind w:right="140"/>
              <w:spacing w:after="0"/>
              <w:rPr>
                <w:sz w:val="20"/>
                <w:szCs w:val="20"/>
                <w:color w:val="auto"/>
              </w:rPr>
            </w:pPr>
            <w:r>
              <w:rPr>
                <w:rFonts w:ascii="Arial" w:cs="Arial" w:eastAsia="Arial" w:hAnsi="Arial"/>
                <w:sz w:val="18"/>
                <w:szCs w:val="18"/>
                <w:color w:val="auto"/>
              </w:rPr>
              <w:t>(50,735)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29, 2022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463,580</w:t>
            </w:r>
          </w:p>
        </w:tc>
        <w:tc>
          <w:tcPr>
            <w:tcW w:w="1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306,280</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left="20" w:firstLine="486"/>
        <w:spacing w:after="0" w:line="254" w:lineRule="auto"/>
        <w:rPr>
          <w:sz w:val="20"/>
          <w:szCs w:val="20"/>
          <w:color w:val="auto"/>
        </w:rPr>
      </w:pPr>
      <w:r>
        <w:rPr>
          <w:rFonts w:ascii="Arial" w:cs="Arial" w:eastAsia="Arial" w:hAnsi="Arial"/>
          <w:sz w:val="18"/>
          <w:szCs w:val="18"/>
          <w:color w:val="auto"/>
        </w:rPr>
        <w:t>In fiscal 2021</w:t>
      </w:r>
      <w:r>
        <w:rPr>
          <w:rFonts w:ascii="Arial" w:cs="Arial" w:eastAsia="Arial" w:hAnsi="Arial"/>
          <w:sz w:val="18"/>
          <w:szCs w:val="18"/>
          <w:i w:val="1"/>
          <w:iCs w:val="1"/>
          <w:color w:val="auto"/>
        </w:rPr>
        <w:t>,</w:t>
      </w:r>
      <w:r>
        <w:rPr>
          <w:rFonts w:ascii="Arial" w:cs="Arial" w:eastAsia="Arial" w:hAnsi="Arial"/>
          <w:sz w:val="18"/>
          <w:szCs w:val="18"/>
          <w:color w:val="auto"/>
        </w:rPr>
        <w:t xml:space="preserve"> the Committee awarded three-year performance-based restricted stock, established specific profitability and revenue objectives for fiscal 2021, 2022, and 2023, and assigned a weighting to each objective. Profitability is measured by the Company’s achievement of established cumulative consolidated earnings before interest, taxes and depreciation and amortization (EBITDA) goals. Revenue will be measured by the Company's achievement of revenue growth, by meeting established compound annual growth rate targets for total web demand sales or cumulative total revenue objectives. The target number of shares awarded was 53,095 with a weighted average grant date fair value of $8.24 per share. If profitability and revenue exceed the threshold objectives, the performance-based restricted stock award has a payout opportunity ranging from 25% to 200% of the target number of shares.</w:t>
      </w:r>
    </w:p>
    <w:p>
      <w:pPr>
        <w:spacing w:after="0" w:line="195" w:lineRule="exact"/>
        <w:rPr>
          <w:sz w:val="20"/>
          <w:szCs w:val="20"/>
          <w:color w:val="auto"/>
        </w:rPr>
      </w:pPr>
    </w:p>
    <w:p>
      <w:pPr>
        <w:jc w:val="both"/>
        <w:ind w:left="20" w:firstLine="441"/>
        <w:spacing w:after="0" w:line="259" w:lineRule="auto"/>
        <w:rPr>
          <w:sz w:val="20"/>
          <w:szCs w:val="20"/>
          <w:color w:val="auto"/>
        </w:rPr>
      </w:pPr>
      <w:r>
        <w:rPr>
          <w:rFonts w:ascii="Arial" w:cs="Arial" w:eastAsia="Arial" w:hAnsi="Arial"/>
          <w:sz w:val="18"/>
          <w:szCs w:val="18"/>
          <w:color w:val="auto"/>
        </w:rPr>
        <w:t>In fiscal 2020, the Committee awarded three-year performance-based restricted stock subject to the achievement liquidity, profitability and strategic performance objectives for fiscal 2020, 2021, and 2022. The target number of shares awarded was 157,374 with a weighted average grant date fair value of $2.78 per share. If liquidity, profitability and strategic performance exceeds the threshold objectives, the performance-based restricted stock award has a payout opportunity ranging from 25% to 183.3% of the target number of shares.</w:t>
      </w:r>
    </w:p>
    <w:p>
      <w:pPr>
        <w:spacing w:after="0" w:line="187" w:lineRule="exact"/>
        <w:rPr>
          <w:sz w:val="20"/>
          <w:szCs w:val="20"/>
          <w:color w:val="auto"/>
        </w:rPr>
      </w:pPr>
    </w:p>
    <w:p>
      <w:pPr>
        <w:jc w:val="both"/>
        <w:ind w:right="140" w:firstLine="486"/>
        <w:spacing w:after="0" w:line="301" w:lineRule="auto"/>
        <w:rPr>
          <w:sz w:val="20"/>
          <w:szCs w:val="20"/>
          <w:color w:val="auto"/>
        </w:rPr>
      </w:pPr>
      <w:r>
        <w:rPr>
          <w:rFonts w:ascii="Arial" w:cs="Arial" w:eastAsia="Arial" w:hAnsi="Arial"/>
          <w:sz w:val="16"/>
          <w:szCs w:val="16"/>
          <w:color w:val="auto"/>
        </w:rPr>
        <w:t>In fiscal 2019, the Committee awarded three-year performance-based restricted stock subject to the achievement of pre-established consolidated pre-tax income growth objectives for fiscal 2019, 2020, and 2021 and cumulatively across the same three fiscal years. The target number of shares awarded was 95,811 with a weighted average grant date fair value of $5.61 per share. If consolidated pre-tax income growth exceeds the threshold objective, the performance-based restricted stock award has a payout opportunity ranging from 25% to 200% of the target number of shares.</w:t>
      </w:r>
    </w:p>
    <w:p>
      <w:pPr>
        <w:spacing w:after="0" w:line="157" w:lineRule="exact"/>
        <w:rPr>
          <w:sz w:val="20"/>
          <w:szCs w:val="20"/>
          <w:color w:val="auto"/>
        </w:rPr>
      </w:pPr>
    </w:p>
    <w:p>
      <w:pPr>
        <w:jc w:val="both"/>
        <w:ind w:right="140" w:firstLine="486"/>
        <w:spacing w:after="0" w:line="277" w:lineRule="auto"/>
        <w:rPr>
          <w:sz w:val="20"/>
          <w:szCs w:val="20"/>
          <w:color w:val="auto"/>
        </w:rPr>
      </w:pPr>
      <w:r>
        <w:rPr>
          <w:rFonts w:ascii="Arial" w:cs="Arial" w:eastAsia="Arial" w:hAnsi="Arial"/>
          <w:sz w:val="18"/>
          <w:szCs w:val="18"/>
          <w:color w:val="auto"/>
        </w:rPr>
        <w:t>As of January 29, 2022, the Company had recorded aggregate expense for the fiscal 2019, 2020, and 2021 three-year performance-based restricted stock awards of $1.0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vesting date fair value of shares that vested in fiscal 2021 and 2020 was $2.2 million and $2.3 million, respectively.</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(13)  Stockholders’ Equity</w:t>
            </w: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w w:val="94"/>
              </w:rPr>
              <w:t>The following table summarizes the changes in outstanding shares of common stock for fiscal 2020 and fiscal 2021:</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4"/>
        </w:trPr>
        <w:tc>
          <w:tcPr>
            <w:tcW w:w="11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Common</w:t>
            </w:r>
          </w:p>
        </w:tc>
        <w:tc>
          <w:tcPr>
            <w:tcW w:w="1140" w:type="dxa"/>
            <w:vAlign w:val="bottom"/>
          </w:tcPr>
          <w:p>
            <w:pPr>
              <w:spacing w:after="0"/>
              <w:rPr>
                <w:sz w:val="24"/>
                <w:szCs w:val="24"/>
                <w:color w:val="auto"/>
              </w:rPr>
            </w:pPr>
          </w:p>
        </w:tc>
      </w:tr>
      <w:tr>
        <w:trPr>
          <w:trHeight w:val="234"/>
        </w:trPr>
        <w:tc>
          <w:tcPr>
            <w:tcW w:w="11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Stock</w:t>
            </w: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as of February 1, 2020</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15,205,981</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560" w:type="dxa"/>
            <w:vAlign w:val="bottom"/>
          </w:tcPr>
          <w:p>
            <w:pPr>
              <w:ind w:left="180"/>
              <w:spacing w:after="0"/>
              <w:rPr>
                <w:sz w:val="20"/>
                <w:szCs w:val="20"/>
                <w:color w:val="auto"/>
              </w:rPr>
            </w:pPr>
            <w:r>
              <w:rPr>
                <w:rFonts w:ascii="Arial" w:cs="Arial" w:eastAsia="Arial" w:hAnsi="Arial"/>
                <w:sz w:val="18"/>
                <w:szCs w:val="18"/>
                <w:color w:val="auto"/>
              </w:rPr>
              <w:t>Shares issued under employee stock plans, net of shares withheld in lieu of tax withholding</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724,977</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Company shares</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756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Shares as of January 30, 2021</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15,930,958</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under employee stock plans, net of shares withheld in lieu of tax withholding</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460,928</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560" w:type="dxa"/>
            <w:vAlign w:val="bottom"/>
          </w:tcPr>
          <w:p>
            <w:pPr>
              <w:ind w:left="180"/>
              <w:spacing w:after="0"/>
              <w:rPr>
                <w:sz w:val="20"/>
                <w:szCs w:val="20"/>
                <w:color w:val="auto"/>
              </w:rPr>
            </w:pPr>
            <w:r>
              <w:rPr>
                <w:rFonts w:ascii="Arial" w:cs="Arial" w:eastAsia="Arial" w:hAnsi="Arial"/>
                <w:sz w:val="18"/>
                <w:szCs w:val="18"/>
                <w:color w:val="auto"/>
              </w:rPr>
              <w:t>Repurchase of Company shares</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(245,554)</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as of January 29, 2022</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16,146,332</w:t>
            </w:r>
          </w:p>
        </w:tc>
        <w:tc>
          <w:tcPr>
            <w:tcW w:w="1140" w:type="dxa"/>
            <w:vAlign w:val="bottom"/>
          </w:tcPr>
          <w:p>
            <w:pPr>
              <w:spacing w:after="0"/>
              <w:rPr>
                <w:sz w:val="21"/>
                <w:szCs w:val="21"/>
                <w:color w:val="auto"/>
              </w:rPr>
            </w:pPr>
          </w:p>
        </w:tc>
      </w:tr>
      <w:tr>
        <w:trPr>
          <w:trHeight w:val="412"/>
        </w:trPr>
        <w:tc>
          <w:tcPr>
            <w:tcW w:w="1120" w:type="dxa"/>
            <w:vAlign w:val="bottom"/>
          </w:tcPr>
          <w:p>
            <w:pPr>
              <w:spacing w:after="0"/>
              <w:rPr>
                <w:sz w:val="24"/>
                <w:szCs w:val="24"/>
                <w:color w:val="auto"/>
              </w:rPr>
            </w:pPr>
          </w:p>
        </w:tc>
        <w:tc>
          <w:tcPr>
            <w:tcW w:w="7560" w:type="dxa"/>
            <w:vAlign w:val="bottom"/>
            <w:tcBorders>
              <w:top w:val="single" w:sz="8" w:color="CCEEFF"/>
            </w:tcBorders>
          </w:tcPr>
          <w:p>
            <w:pPr>
              <w:ind w:left="4420"/>
              <w:spacing w:after="0"/>
              <w:rPr>
                <w:sz w:val="20"/>
                <w:szCs w:val="20"/>
                <w:color w:val="auto"/>
              </w:rPr>
            </w:pPr>
            <w:r>
              <w:rPr>
                <w:rFonts w:ascii="Arial" w:cs="Arial" w:eastAsia="Arial" w:hAnsi="Arial"/>
                <w:sz w:val="18"/>
                <w:szCs w:val="18"/>
                <w:color w:val="auto"/>
              </w:rPr>
              <w:t>63</w:t>
            </w:r>
          </w:p>
        </w:tc>
        <w:tc>
          <w:tcPr>
            <w:tcW w:w="13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75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60"/>
          </w:cols>
          <w:pgMar w:left="300" w:top="61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(14)  Major Vendors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Four vendors, each of whose primary manufacturing facilities are located in Asia, accounted for approximately 74% and 77% of inventory purchases in 2021 and 2020, respectively.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229"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The Company’s operations are conducted through three operating segments consisting of DTC, commercial and international franchising. The DTC segment includes the operating activities of corporately-managed locations and other retail delivery operations in the U.S., Canada, China, Denmark, Ireland and the U.K., including the Company’s e-commerce sites and temporary stores. The singles store locations in Denmark and China closed in January 2021 and May 2021, respectively. The commercial segment includes the Company’s transactions with other businesses, mainly comprised of licensing the Company’s intellectual properties for third party use and wholesale activities. The international franchising segment includes the licensing activities of the Company’s franchise agreements with store locations in Europe (outside of the U.K. and Ireland), Asia, Australia, the Middle East and Africa.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is a summary of the financial information for the Company’s reporting segments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Direct-to-</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9"/>
              </w:rPr>
              <w:t>International</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Consumer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Commercial</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Franchising</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Fifty-two weeks ended January 29, 2022</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3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397,690</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11,505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2,327</w:t>
            </w:r>
          </w:p>
        </w:tc>
        <w:tc>
          <w:tcPr>
            <w:tcW w:w="12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411,522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50,710</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12,276</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Fifty-two weeks ended January 30, 2021</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3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249,210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255,310</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Income (loss) before income taxes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(21,480)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(20,186)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Assets as of:</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January 29, 2022</w:t>
            </w:r>
          </w:p>
        </w:tc>
        <w:tc>
          <w:tcPr>
            <w:tcW w:w="13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249,998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11,649</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266,324</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January 30, 2021</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246,341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6,353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8,678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261,372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340" w:type="dxa"/>
            <w:vAlign w:val="bottom"/>
            <w:gridSpan w:val="2"/>
          </w:tcPr>
          <w:p>
            <w:pPr>
              <w:ind w:left="1160"/>
              <w:spacing w:after="0"/>
              <w:rPr>
                <w:sz w:val="20"/>
                <w:szCs w:val="20"/>
                <w:color w:val="auto"/>
              </w:rPr>
            </w:pPr>
            <w:r>
              <w:rPr>
                <w:rFonts w:ascii="Arial" w:cs="Arial" w:eastAsia="Arial" w:hAnsi="Arial"/>
                <w:sz w:val="18"/>
                <w:szCs w:val="18"/>
                <w:color w:val="auto"/>
                <w:w w:val="79"/>
              </w:rPr>
              <w:t>64</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0" w:right="339" w:bottom="1440" w:gutter="0" w:footer="0" w:header="0"/>
        </w:sectPr>
      </w:pPr>
    </w:p>
    <w:bookmarkStart w:id="64" w:name="page65"/>
    <w:bookmarkEnd w:id="64"/>
    <w:p>
      <w:pPr>
        <w:jc w:val="both"/>
        <w:ind w:firstLine="441"/>
        <w:spacing w:after="0" w:line="286" w:lineRule="auto"/>
        <w:rPr>
          <w:sz w:val="20"/>
          <w:szCs w:val="20"/>
          <w:color w:val="auto"/>
        </w:rPr>
      </w:pPr>
      <w:r>
        <w:rPr>
          <w:rFonts w:ascii="Arial" w:cs="Arial" w:eastAsia="Arial" w:hAnsi="Arial"/>
          <w:sz w:val="17"/>
          <w:szCs w:val="17"/>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16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North</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America (1)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Europe (2)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Other (3)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Fifty-two weeks ended January 29, 2022</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357,839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51,275</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2,408</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411,522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Fifty-two weeks ended January 30, 2021</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48,955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52,973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2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 w:lineRule="exact"/>
        <w:rPr>
          <w:sz w:val="20"/>
          <w:szCs w:val="20"/>
          <w:color w:val="auto"/>
        </w:rPr>
      </w:pPr>
    </w:p>
    <w:p>
      <w:pPr>
        <w:ind w:left="440" w:hanging="432"/>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North America includes the United States, Canada, and Puerto Rico.</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Europe includes the U.K. and Ireland and includes a corporately-managed location in Denmark that closed in January 2021.</w:t>
      </w:r>
    </w:p>
    <w:p>
      <w:pPr>
        <w:spacing w:after="0" w:line="9" w:lineRule="exact"/>
        <w:rPr>
          <w:rFonts w:ascii="Arial" w:cs="Arial" w:eastAsia="Arial" w:hAnsi="Arial"/>
          <w:sz w:val="18"/>
          <w:szCs w:val="18"/>
          <w:color w:val="auto"/>
        </w:rPr>
      </w:pPr>
    </w:p>
    <w:p>
      <w:pPr>
        <w:ind w:left="440" w:hanging="432"/>
        <w:spacing w:after="0" w:line="260" w:lineRule="auto"/>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 and includes a corporately-managed location in China that closed in May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i w:val="1"/>
                <w:iCs w:val="1"/>
                <w:color w:val="auto"/>
              </w:rPr>
              <w:t>Financial Statement Schedules</w:t>
            </w: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5260" w:type="dxa"/>
            <w:vAlign w:val="bottom"/>
            <w:gridSpan w:val="2"/>
          </w:tcPr>
          <w:p>
            <w:pPr>
              <w:ind w:left="440"/>
              <w:spacing w:after="0"/>
              <w:rPr>
                <w:sz w:val="20"/>
                <w:szCs w:val="20"/>
                <w:color w:val="auto"/>
              </w:rPr>
            </w:pPr>
            <w:r>
              <w:rPr>
                <w:rFonts w:ascii="Arial" w:cs="Arial" w:eastAsia="Arial" w:hAnsi="Arial"/>
                <w:sz w:val="18"/>
                <w:szCs w:val="18"/>
                <w:b w:val="1"/>
                <w:bCs w:val="1"/>
                <w:color w:val="auto"/>
              </w:rPr>
              <w:t>Schedule II – Valuation and Qualifying Accounts</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14"/>
        </w:trPr>
        <w:tc>
          <w:tcPr>
            <w:tcW w:w="11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Charged to</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Beginning</w:t>
            </w:r>
          </w:p>
        </w:tc>
        <w:tc>
          <w:tcPr>
            <w:tcW w:w="220" w:type="dxa"/>
            <w:vAlign w:val="bottom"/>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cost and</w:t>
            </w:r>
          </w:p>
        </w:tc>
        <w:tc>
          <w:tcPr>
            <w:tcW w:w="1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Other (1)</w:t>
            </w:r>
          </w:p>
        </w:tc>
        <w:tc>
          <w:tcPr>
            <w:tcW w:w="18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Ending</w:t>
            </w:r>
          </w:p>
        </w:tc>
      </w:tr>
      <w:tr>
        <w:trPr>
          <w:trHeight w:val="234"/>
        </w:trPr>
        <w:tc>
          <w:tcPr>
            <w:tcW w:w="11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w w:val="89"/>
              </w:rPr>
              <w:t>Balance</w:t>
            </w:r>
          </w:p>
        </w:tc>
        <w:tc>
          <w:tcPr>
            <w:tcW w:w="220" w:type="dxa"/>
            <w:vAlign w:val="bottom"/>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2"/>
              </w:rPr>
              <w:t>expenses</w:t>
            </w:r>
          </w:p>
        </w:tc>
        <w:tc>
          <w:tcPr>
            <w:tcW w:w="14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w w:val="86"/>
              </w:rPr>
              <w:t>Balance</w:t>
            </w:r>
          </w:p>
        </w:tc>
      </w:tr>
      <w:tr>
        <w:trPr>
          <w:trHeight w:val="216"/>
        </w:trPr>
        <w:tc>
          <w:tcPr>
            <w:tcW w:w="112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 Valuation Allowance</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2021</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15,401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(8,133)</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2,527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9,795</w:t>
            </w:r>
          </w:p>
        </w:tc>
      </w:tr>
      <w:tr>
        <w:trPr>
          <w:trHeight w:val="216"/>
        </w:trPr>
        <w:tc>
          <w:tcPr>
            <w:tcW w:w="112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8,522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15,401</w:t>
            </w:r>
          </w:p>
        </w:tc>
      </w:tr>
      <w:tr>
        <w:trPr>
          <w:trHeight w:val="216"/>
        </w:trPr>
        <w:tc>
          <w:tcPr>
            <w:tcW w:w="1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Receivables Allowance for Doubtful Accounts</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2021</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7,369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896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7,056</w:t>
            </w:r>
          </w:p>
        </w:tc>
      </w:tr>
      <w:tr>
        <w:trPr>
          <w:trHeight w:val="216"/>
        </w:trPr>
        <w:tc>
          <w:tcPr>
            <w:tcW w:w="112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w:t>
            </w:r>
          </w:p>
        </w:tc>
      </w:tr>
    </w:tbl>
    <w:p>
      <w:pPr>
        <w:spacing w:after="0" w:line="202" w:lineRule="exact"/>
        <w:rPr>
          <w:sz w:val="20"/>
          <w:szCs w:val="20"/>
          <w:color w:val="auto"/>
        </w:rPr>
      </w:pPr>
    </w:p>
    <w:p>
      <w:pPr>
        <w:ind w:left="1400" w:hanging="258"/>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deferred tax asset valuation allowance represents reserves utilized and the impact of currency translation.</w:t>
      </w:r>
    </w:p>
    <w:p>
      <w:pPr>
        <w:spacing w:after="0" w:line="23" w:lineRule="exact"/>
        <w:rPr>
          <w:rFonts w:ascii="Arial" w:cs="Arial" w:eastAsia="Arial" w:hAnsi="Arial"/>
          <w:sz w:val="18"/>
          <w:szCs w:val="18"/>
          <w:color w:val="auto"/>
        </w:rPr>
      </w:pPr>
    </w:p>
    <w:p>
      <w:pPr>
        <w:ind w:left="1140" w:firstLine="2"/>
        <w:spacing w:after="0" w:line="260" w:lineRule="auto"/>
        <w:tabs>
          <w:tab w:leader="none" w:pos="141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receivables allowance for doubtful accounts represent uncollectible accounts written off, recoveries and the impact of currency translation.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i w:val="1"/>
          <w:iCs w:val="1"/>
          <w:color w:val="auto"/>
        </w:rPr>
        <w:t>Exhibits.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list of exhibits filed as a part of the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10220" w:type="dxa"/>
            <w:vAlign w:val="bottom"/>
            <w:gridSpan w:val="26"/>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0020" w:type="dxa"/>
            <w:vAlign w:val="bottom"/>
            <w:tcBorders>
              <w:bottom w:val="single" w:sz="8" w:color="0000EE"/>
            </w:tcBorders>
            <w:gridSpan w:val="21"/>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Agreement and Plan of Merger dated April 3, 2000 between Build-A-Bear Workshop, L.L.C. and the Registrant (incorporated by reference</w:t>
              </w:r>
            </w:hyperlink>
          </w:p>
        </w:tc>
        <w:tc>
          <w:tcPr>
            <w:tcW w:w="20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from Exhibit 2.1 to our Registration Statement on Form S-1, filed on August 12, 2004, Registration No. 333-118142)</w:t>
              </w:r>
            </w:hyperlink>
          </w:p>
        </w:tc>
        <w:tc>
          <w:tcPr>
            <w:tcW w:w="1780" w:type="dxa"/>
            <w:vAlign w:val="bottom"/>
            <w:gridSpan w:val="15"/>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9980" w:type="dxa"/>
            <w:vAlign w:val="bottom"/>
            <w:tcBorders>
              <w:bottom w:val="single" w:sz="8" w:color="0000EE"/>
            </w:tcBorders>
            <w:gridSpan w:val="19"/>
          </w:tcPr>
          <w:p>
            <w:pPr>
              <w:spacing w:after="0"/>
              <w:rPr>
                <w:rFonts w:ascii="Arial" w:cs="Arial" w:eastAsia="Arial" w:hAnsi="Arial"/>
                <w:sz w:val="18"/>
                <w:szCs w:val="18"/>
                <w:color w:val="0000EE"/>
                <w:w w:val="92"/>
              </w:rPr>
            </w:pPr>
            <w:hyperlink r:id="rId86">
              <w:r>
                <w:rPr>
                  <w:rFonts w:ascii="Arial" w:cs="Arial" w:eastAsia="Arial" w:hAnsi="Arial"/>
                  <w:sz w:val="18"/>
                  <w:szCs w:val="18"/>
                  <w:color w:val="0000EE"/>
                  <w:w w:val="92"/>
                </w:rPr>
                <w:t>Third Amended and Restated Certificate of Incorporation (incorporated by reference from Exhibit 3.1 of our Current Report on Form 8-K,</w:t>
              </w:r>
            </w:hyperlink>
          </w:p>
        </w:tc>
        <w:tc>
          <w:tcPr>
            <w:tcW w:w="240" w:type="dxa"/>
            <w:vAlign w:val="bottom"/>
            <w:gridSpan w:val="7"/>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26"/>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filed on November 8, 2004)</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000" w:type="dxa"/>
            <w:vAlign w:val="bottom"/>
            <w:tcBorders>
              <w:bottom w:val="single" w:sz="8" w:color="0000EE"/>
            </w:tcBorders>
            <w:gridSpan w:val="20"/>
          </w:tcPr>
          <w:p>
            <w:pPr>
              <w:spacing w:after="0"/>
              <w:rPr>
                <w:rFonts w:ascii="Arial" w:cs="Arial" w:eastAsia="Arial" w:hAnsi="Arial"/>
                <w:sz w:val="18"/>
                <w:szCs w:val="18"/>
                <w:color w:val="0000EE"/>
                <w:w w:val="90"/>
              </w:rPr>
            </w:pPr>
            <w:hyperlink r:id="rId87">
              <w:r>
                <w:rPr>
                  <w:rFonts w:ascii="Arial" w:cs="Arial" w:eastAsia="Arial" w:hAnsi="Arial"/>
                  <w:sz w:val="18"/>
                  <w:szCs w:val="18"/>
                  <w:color w:val="0000EE"/>
                  <w:w w:val="90"/>
                </w:rPr>
                <w:t>Amended and Restated Bylaws, as amended through January 4, 2018 (incorporated by reference from Exhibit 3.1 to our Current Report on</w:t>
              </w:r>
            </w:hyperlink>
          </w:p>
        </w:tc>
        <w:tc>
          <w:tcPr>
            <w:tcW w:w="220" w:type="dxa"/>
            <w:vAlign w:val="bottom"/>
            <w:gridSpan w:val="6"/>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26"/>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Form 8-K, filed on January 4, 2018)</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0220" w:type="dxa"/>
            <w:vAlign w:val="bottom"/>
            <w:gridSpan w:val="26"/>
          </w:tcPr>
          <w:p>
            <w:pPr>
              <w:spacing w:after="0"/>
              <w:rPr>
                <w:rFonts w:ascii="Arial" w:cs="Arial" w:eastAsia="Arial" w:hAnsi="Arial"/>
                <w:sz w:val="18"/>
                <w:szCs w:val="18"/>
                <w:color w:val="0000EE"/>
                <w:w w:val="94"/>
              </w:rPr>
            </w:pPr>
            <w:hyperlink r:id="rId88">
              <w:r>
                <w:rPr>
                  <w:rFonts w:ascii="Arial" w:cs="Arial" w:eastAsia="Arial" w:hAnsi="Arial"/>
                  <w:sz w:val="18"/>
                  <w:szCs w:val="18"/>
                  <w:color w:val="0000EE"/>
                  <w:w w:val="94"/>
                </w:rPr>
                <w:t>Specimen Stock Certificate (incorporated by reference from Exhibit 4.1 to Amendment No. 3 to our Registration Statement on Form S-1,</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filed on October 1, 2004, Registration No. 333-118142)</w:t>
              </w:r>
            </w:hyperlink>
          </w:p>
        </w:tc>
        <w:tc>
          <w:tcPr>
            <w:tcW w:w="5860" w:type="dxa"/>
            <w:vAlign w:val="bottom"/>
            <w:tcBorders>
              <w:top w:val="single" w:sz="8" w:color="0000EE"/>
            </w:tcBorders>
            <w:gridSpan w:val="10"/>
          </w:tcPr>
          <w:p>
            <w:pPr>
              <w:spacing w:after="0"/>
              <w:rPr>
                <w:sz w:val="17"/>
                <w:szCs w:val="17"/>
                <w:color w:val="auto"/>
              </w:rPr>
            </w:pPr>
          </w:p>
        </w:tc>
        <w:tc>
          <w:tcPr>
            <w:tcW w:w="340" w:type="dxa"/>
            <w:vAlign w:val="bottom"/>
            <w:gridSpan w:val="9"/>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10220" w:type="dxa"/>
            <w:vAlign w:val="bottom"/>
            <w:gridSpan w:val="26"/>
          </w:tcPr>
          <w:p>
            <w:pPr>
              <w:spacing w:after="0"/>
              <w:rPr>
                <w:rFonts w:ascii="Arial" w:cs="Arial" w:eastAsia="Arial" w:hAnsi="Arial"/>
                <w:sz w:val="18"/>
                <w:szCs w:val="18"/>
                <w:color w:val="0000EE"/>
                <w:w w:val="90"/>
              </w:rPr>
            </w:pPr>
            <w:hyperlink r:id="rId89">
              <w:r>
                <w:rPr>
                  <w:rFonts w:ascii="Arial" w:cs="Arial" w:eastAsia="Arial" w:hAnsi="Arial"/>
                  <w:sz w:val="18"/>
                  <w:szCs w:val="18"/>
                  <w:color w:val="0000EE"/>
                  <w:w w:val="90"/>
                </w:rPr>
                <w:t>Description of Registrant's Securities Registered Pursuant to Section 12 of the Securities Exchange Act of 1934, as amended (incorporated by</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reference from Exhibit 4.2 to our Annual Report on Form 10-K, filed on April 15, 2021)</w:t>
              </w:r>
            </w:hyperlink>
          </w:p>
        </w:tc>
        <w:tc>
          <w:tcPr>
            <w:tcW w:w="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140" w:type="dxa"/>
            <w:vAlign w:val="bottom"/>
            <w:tcBorders>
              <w:bottom w:val="single" w:sz="8" w:color="0000EE"/>
            </w:tcBorders>
            <w:gridSpan w:val="23"/>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Build-A-Bear Workshop, Inc. Amended and Restated 2004 Stock Incentive Plan (incorporated by reference from Exhibit 10.1 to our Current</w:t>
              </w:r>
            </w:hyperlink>
          </w:p>
        </w:tc>
        <w:tc>
          <w:tcPr>
            <w:tcW w:w="8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26"/>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Report on Form 8-K, filed on August 1, 2006)</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4"/>
                <w:szCs w:val="24"/>
                <w:color w:val="auto"/>
              </w:rPr>
            </w:pPr>
          </w:p>
        </w:tc>
        <w:tc>
          <w:tcPr>
            <w:tcW w:w="10160" w:type="dxa"/>
            <w:vAlign w:val="bottom"/>
            <w:tcBorders>
              <w:bottom w:val="single" w:sz="8" w:color="0000EE"/>
            </w:tcBorders>
            <w:gridSpan w:val="24"/>
          </w:tcPr>
          <w:p>
            <w:pP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Second Amended and Restated Build-A-Bear Workshop, Inc. 2004 Stock Incentive Plan (incorporated by reference from Exhibit 99.1 on our</w:t>
              </w:r>
            </w:hyperlink>
          </w:p>
        </w:tc>
        <w:tc>
          <w:tcPr>
            <w:tcW w:w="60" w:type="dxa"/>
            <w:vAlign w:val="bottom"/>
            <w:gridSpan w:val="2"/>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Registration Statement on Form S-8, filed on May 18, 2009)</w:t>
              </w:r>
            </w:hyperlink>
          </w:p>
        </w:tc>
        <w:tc>
          <w:tcPr>
            <w:tcW w:w="5860" w:type="dxa"/>
            <w:vAlign w:val="bottom"/>
            <w:gridSpan w:val="18"/>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24"/>
                <w:szCs w:val="24"/>
                <w:color w:val="auto"/>
              </w:rPr>
            </w:pPr>
          </w:p>
        </w:tc>
        <w:tc>
          <w:tcPr>
            <w:tcW w:w="10220" w:type="dxa"/>
            <w:vAlign w:val="bottom"/>
            <w:gridSpan w:val="26"/>
          </w:tcPr>
          <w:p>
            <w:pPr>
              <w:spacing w:after="0"/>
              <w:rPr>
                <w:rFonts w:ascii="Arial" w:cs="Arial" w:eastAsia="Arial" w:hAnsi="Arial"/>
                <w:sz w:val="18"/>
                <w:szCs w:val="18"/>
                <w:color w:val="0000EE"/>
                <w:w w:val="93"/>
              </w:rPr>
            </w:pPr>
            <w:hyperlink r:id="rId92">
              <w:r>
                <w:rPr>
                  <w:rFonts w:ascii="Arial" w:cs="Arial" w:eastAsia="Arial" w:hAnsi="Arial"/>
                  <w:sz w:val="18"/>
                  <w:szCs w:val="18"/>
                  <w:color w:val="0000EE"/>
                  <w:w w:val="93"/>
                </w:rPr>
                <w:t>Third Amended and Restated Build-A-Bear Workshop, Inc. 2004 Stock Incentive Plan (incorporated by reference from Exhibit 10.1 on our</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Current Report on Form 8-K, filed on May 12, 2014)</w:t>
              </w:r>
            </w:hyperlink>
          </w:p>
        </w:tc>
        <w:tc>
          <w:tcPr>
            <w:tcW w:w="200" w:type="dxa"/>
            <w:vAlign w:val="bottom"/>
            <w:gridSpan w:val="5"/>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24"/>
                <w:szCs w:val="24"/>
                <w:color w:val="auto"/>
              </w:rPr>
            </w:pPr>
          </w:p>
        </w:tc>
        <w:tc>
          <w:tcPr>
            <w:tcW w:w="10220" w:type="dxa"/>
            <w:vAlign w:val="bottom"/>
            <w:gridSpan w:val="26"/>
          </w:tcPr>
          <w:p>
            <w:pPr>
              <w:spacing w:after="0"/>
              <w:rPr>
                <w:rFonts w:ascii="Arial" w:cs="Arial" w:eastAsia="Arial" w:hAnsi="Arial"/>
                <w:sz w:val="18"/>
                <w:szCs w:val="18"/>
                <w:color w:val="0000EE"/>
                <w:w w:val="93"/>
              </w:rPr>
            </w:pPr>
            <w:hyperlink r:id="rId93">
              <w:r>
                <w:rPr>
                  <w:rFonts w:ascii="Arial" w:cs="Arial" w:eastAsia="Arial" w:hAnsi="Arial"/>
                  <w:sz w:val="18"/>
                  <w:szCs w:val="18"/>
                  <w:color w:val="0000EE"/>
                  <w:w w:val="93"/>
                </w:rPr>
                <w:t>Form of the Restricted Stock and Non-Qualified Stock Option Agreement under the Registrant’s Third Amended and Restated 2004 Stock</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Incentive Plan (incorporated by reference from Exhibit 10.2 on our Current Report on Form 8-K, filed on May 12, 2014)</w:t>
              </w:r>
            </w:hyperlink>
          </w:p>
        </w:tc>
        <w:tc>
          <w:tcPr>
            <w:tcW w:w="1260" w:type="dxa"/>
            <w:vAlign w:val="bottom"/>
            <w:tcBorders>
              <w:top w:val="single" w:sz="8" w:color="0000EE"/>
            </w:tcBorders>
            <w:gridSpan w:val="6"/>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24"/>
                <w:szCs w:val="24"/>
                <w:color w:val="auto"/>
              </w:rPr>
            </w:pPr>
          </w:p>
        </w:tc>
        <w:tc>
          <w:tcPr>
            <w:tcW w:w="10220" w:type="dxa"/>
            <w:vAlign w:val="bottom"/>
            <w:gridSpan w:val="26"/>
          </w:tcPr>
          <w:p>
            <w:pPr>
              <w:spacing w:after="0"/>
              <w:rPr>
                <w:rFonts w:ascii="Arial" w:cs="Arial" w:eastAsia="Arial" w:hAnsi="Arial"/>
                <w:sz w:val="18"/>
                <w:szCs w:val="18"/>
                <w:color w:val="0000EE"/>
                <w:w w:val="93"/>
              </w:rPr>
            </w:pPr>
            <w:hyperlink r:id="rId94">
              <w:r>
                <w:rPr>
                  <w:rFonts w:ascii="Arial" w:cs="Arial" w:eastAsia="Arial" w:hAnsi="Arial"/>
                  <w:sz w:val="18"/>
                  <w:szCs w:val="18"/>
                  <w:color w:val="0000EE"/>
                  <w:w w:val="93"/>
                </w:rPr>
                <w:t>Form of the Restricted Stock and Non-Qualified Stock Option Agreement under the Registrant’s Third Amended and Restated 2004 Stock</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Incentive Plan (incorporated by reference from Exhibit 10.1 on our Current Report on Form 8-K, filed on March 20, 2015)</w:t>
              </w:r>
            </w:hyperlink>
          </w:p>
        </w:tc>
        <w:tc>
          <w:tcPr>
            <w:tcW w:w="1120" w:type="dxa"/>
            <w:vAlign w:val="bottom"/>
            <w:tcBorders>
              <w:top w:val="single" w:sz="8" w:color="0000EE"/>
            </w:tcBorders>
            <w:gridSpan w:val="4"/>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24"/>
                <w:szCs w:val="24"/>
                <w:color w:val="auto"/>
              </w:rPr>
            </w:pPr>
          </w:p>
        </w:tc>
        <w:tc>
          <w:tcPr>
            <w:tcW w:w="9700" w:type="dxa"/>
            <w:vAlign w:val="bottom"/>
            <w:tcBorders>
              <w:bottom w:val="single" w:sz="8" w:color="0000EE"/>
            </w:tcBorders>
            <w:gridSpan w:val="16"/>
          </w:tcPr>
          <w:p>
            <w:pPr>
              <w:spacing w:after="0"/>
              <w:rPr>
                <w:rFonts w:ascii="Arial" w:cs="Arial" w:eastAsia="Arial" w:hAnsi="Arial"/>
                <w:sz w:val="18"/>
                <w:szCs w:val="18"/>
                <w:color w:val="0000EE"/>
                <w:w w:val="90"/>
              </w:rPr>
            </w:pPr>
            <w:hyperlink r:id="rId95">
              <w:r>
                <w:rPr>
                  <w:rFonts w:ascii="Arial" w:cs="Arial" w:eastAsia="Arial" w:hAnsi="Arial"/>
                  <w:sz w:val="18"/>
                  <w:szCs w:val="18"/>
                  <w:color w:val="0000EE"/>
                  <w:w w:val="90"/>
                </w:rPr>
                <w:t>Form of Restricted Stock and Non-Qualified Stock Option Agreement under the Registrant’s Third Amended and Restated 2004 Stock</w:t>
              </w:r>
            </w:hyperlink>
          </w:p>
        </w:tc>
        <w:tc>
          <w:tcPr>
            <w:tcW w:w="520" w:type="dxa"/>
            <w:vAlign w:val="bottom"/>
            <w:gridSpan w:val="10"/>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26"/>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Incentive Plan (incorporated by reference from Exhibit 10.7 on our Current Report on Form 8-K, filed on March 11, 2016)</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5940" w:type="dxa"/>
            <w:vAlign w:val="bottom"/>
            <w:gridSpan w:val="8"/>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24"/>
                <w:szCs w:val="24"/>
                <w:color w:val="auto"/>
              </w:rPr>
            </w:pPr>
          </w:p>
        </w:tc>
        <w:tc>
          <w:tcPr>
            <w:tcW w:w="9620" w:type="dxa"/>
            <w:vAlign w:val="bottom"/>
            <w:tcBorders>
              <w:bottom w:val="single" w:sz="8" w:color="0000EE"/>
            </w:tcBorders>
            <w:gridSpan w:val="15"/>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Form of Restricted Stock Agreement under the Registrant’s Third Amended and Restated 2004 Stock Incentive Plan (incorporated by</w:t>
              </w:r>
            </w:hyperlink>
          </w:p>
        </w:tc>
        <w:tc>
          <w:tcPr>
            <w:tcW w:w="600" w:type="dxa"/>
            <w:vAlign w:val="bottom"/>
            <w:gridSpan w:val="11"/>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26"/>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reference from Exhibit 10.1.11 on our Annual Report on Form 10-K, for the year ended December 31, 2016)</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5940" w:type="dxa"/>
            <w:vAlign w:val="bottom"/>
            <w:gridSpan w:val="8"/>
            <w:shd w:val="clear" w:color="auto" w:fill="0000EE"/>
          </w:tcPr>
          <w:p>
            <w:pPr>
              <w:spacing w:after="0" w:line="20" w:lineRule="exact"/>
              <w:rPr>
                <w:sz w:val="1"/>
                <w:szCs w:val="1"/>
                <w:color w:val="auto"/>
              </w:rPr>
            </w:pPr>
          </w:p>
        </w:tc>
        <w:tc>
          <w:tcPr>
            <w:tcW w:w="2240" w:type="dxa"/>
            <w:vAlign w:val="bottom"/>
            <w:gridSpan w:val="1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24"/>
                <w:szCs w:val="24"/>
                <w:color w:val="auto"/>
              </w:rPr>
            </w:pPr>
          </w:p>
        </w:tc>
        <w:tc>
          <w:tcPr>
            <w:tcW w:w="9700" w:type="dxa"/>
            <w:vAlign w:val="bottom"/>
            <w:tcBorders>
              <w:bottom w:val="single" w:sz="8" w:color="0000EE"/>
            </w:tcBorders>
            <w:gridSpan w:val="16"/>
          </w:tcPr>
          <w:p>
            <w:pPr>
              <w:spacing w:after="0"/>
              <w:rPr>
                <w:rFonts w:ascii="Arial" w:cs="Arial" w:eastAsia="Arial" w:hAnsi="Arial"/>
                <w:sz w:val="18"/>
                <w:szCs w:val="18"/>
                <w:color w:val="0000EE"/>
                <w:w w:val="90"/>
              </w:rPr>
            </w:pPr>
            <w:hyperlink r:id="rId97">
              <w:r>
                <w:rPr>
                  <w:rFonts w:ascii="Arial" w:cs="Arial" w:eastAsia="Arial" w:hAnsi="Arial"/>
                  <w:sz w:val="18"/>
                  <w:szCs w:val="18"/>
                  <w:color w:val="0000EE"/>
                  <w:w w:val="90"/>
                </w:rPr>
                <w:t>Form of Restricted Stock and Non-Qualified Stock Option Agreement under the Registrant’s Third Amended and Restated 2004 Stock</w:t>
              </w:r>
            </w:hyperlink>
          </w:p>
        </w:tc>
        <w:tc>
          <w:tcPr>
            <w:tcW w:w="520" w:type="dxa"/>
            <w:vAlign w:val="bottom"/>
            <w:gridSpan w:val="10"/>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Incentive Plan (incorporated by reference from Exhibit 10.2 on our Current Report on Form 8-K, filed on March 17, 2017)</w:t>
              </w:r>
            </w:hyperlink>
          </w:p>
        </w:tc>
        <w:tc>
          <w:tcPr>
            <w:tcW w:w="1380" w:type="dxa"/>
            <w:vAlign w:val="bottom"/>
            <w:gridSpan w:val="12"/>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24"/>
                <w:szCs w:val="24"/>
                <w:color w:val="auto"/>
              </w:rPr>
            </w:pPr>
          </w:p>
        </w:tc>
        <w:tc>
          <w:tcPr>
            <w:tcW w:w="10060" w:type="dxa"/>
            <w:vAlign w:val="bottom"/>
            <w:tcBorders>
              <w:bottom w:val="single" w:sz="8" w:color="0000EE"/>
            </w:tcBorders>
            <w:gridSpan w:val="22"/>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Build-A-Bear Workshop, Inc. 2017 Omnibus Incentive Plan (incorporated by reference from Exhibit 10.1 to our Current Report on Form 8-</w:t>
              </w:r>
            </w:hyperlink>
          </w:p>
        </w:tc>
        <w:tc>
          <w:tcPr>
            <w:tcW w:w="160" w:type="dxa"/>
            <w:vAlign w:val="bottom"/>
            <w:gridSpan w:val="4"/>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26"/>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K, filed on May 12, 2017)</w:t>
              </w:r>
            </w:hyperlink>
          </w:p>
        </w:tc>
      </w:tr>
      <w:tr>
        <w:trPr>
          <w:trHeight w:val="453"/>
        </w:trPr>
        <w:tc>
          <w:tcPr>
            <w:tcW w:w="80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1860" w:type="dxa"/>
            <w:vAlign w:val="bottom"/>
            <w:tcBorders>
              <w:top w:val="single" w:sz="8" w:color="0000EE"/>
            </w:tcBorders>
          </w:tcPr>
          <w:p>
            <w:pPr>
              <w:spacing w:after="0"/>
              <w:rPr>
                <w:sz w:val="24"/>
                <w:szCs w:val="24"/>
                <w:color w:val="auto"/>
              </w:rPr>
            </w:pPr>
          </w:p>
        </w:tc>
        <w:tc>
          <w:tcPr>
            <w:tcW w:w="4480" w:type="dxa"/>
            <w:vAlign w:val="bottom"/>
            <w:gridSpan w:val="7"/>
          </w:tcPr>
          <w:p>
            <w:pPr>
              <w:jc w:val="right"/>
              <w:ind w:right="1660"/>
              <w:spacing w:after="0"/>
              <w:rPr>
                <w:sz w:val="20"/>
                <w:szCs w:val="20"/>
                <w:color w:val="auto"/>
              </w:rPr>
            </w:pPr>
            <w:r>
              <w:rPr>
                <w:rFonts w:ascii="Arial" w:cs="Arial" w:eastAsia="Arial" w:hAnsi="Arial"/>
                <w:sz w:val="18"/>
                <w:szCs w:val="18"/>
                <w:color w:val="auto"/>
              </w:rPr>
              <w:t>66</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340" w:right="3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10.1.9*</w:t>
            </w:r>
          </w:p>
        </w:tc>
        <w:tc>
          <w:tcPr>
            <w:tcW w:w="10220" w:type="dxa"/>
            <w:vAlign w:val="bottom"/>
            <w:gridSpan w:val="24"/>
          </w:tcPr>
          <w:p>
            <w:pPr>
              <w:spacing w:after="0"/>
              <w:rPr>
                <w:rFonts w:ascii="Arial" w:cs="Arial" w:eastAsia="Arial" w:hAnsi="Arial"/>
                <w:sz w:val="18"/>
                <w:szCs w:val="18"/>
                <w:color w:val="0000EE"/>
                <w:w w:val="92"/>
              </w:rPr>
            </w:pPr>
            <w:hyperlink r:id="rId99">
              <w:r>
                <w:rPr>
                  <w:rFonts w:ascii="Arial" w:cs="Arial" w:eastAsia="Arial" w:hAnsi="Arial"/>
                  <w:sz w:val="18"/>
                  <w:szCs w:val="18"/>
                  <w:color w:val="0000EE"/>
                  <w:w w:val="92"/>
                </w:rPr>
                <w:t>Form of Restricted Stock and Non-Qualified Stock Option Award Agreement under Registrant's 2017 Omnibus Incentive Plan (incorporated</w:t>
              </w:r>
            </w:hyperlink>
          </w:p>
        </w:tc>
      </w:tr>
      <w:tr>
        <w:trPr>
          <w:trHeight w:val="196"/>
        </w:trPr>
        <w:tc>
          <w:tcPr>
            <w:tcW w:w="1020" w:type="dxa"/>
            <w:vAlign w:val="bottom"/>
          </w:tcPr>
          <w:p>
            <w:pPr>
              <w:spacing w:after="0"/>
              <w:rPr>
                <w:sz w:val="17"/>
                <w:szCs w:val="17"/>
                <w:color w:val="auto"/>
              </w:rPr>
            </w:pPr>
          </w:p>
        </w:tc>
        <w:tc>
          <w:tcPr>
            <w:tcW w:w="101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by reference from Exhibit 10.2 on our Current Report on Form 8-K, filed on March 21, 2018)</w:t>
              </w:r>
            </w:hyperlink>
          </w:p>
        </w:tc>
        <w:tc>
          <w:tcPr>
            <w:tcW w:w="100" w:type="dxa"/>
            <w:vAlign w:val="bottom"/>
            <w:gridSpan w:val="3"/>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10.1.10*</w:t>
            </w:r>
          </w:p>
        </w:tc>
        <w:tc>
          <w:tcPr>
            <w:tcW w:w="10220" w:type="dxa"/>
            <w:vAlign w:val="bottom"/>
            <w:gridSpan w:val="24"/>
          </w:tcPr>
          <w:p>
            <w:pPr>
              <w:spacing w:after="0"/>
              <w:rPr>
                <w:rFonts w:ascii="Arial" w:cs="Arial" w:eastAsia="Arial" w:hAnsi="Arial"/>
                <w:sz w:val="18"/>
                <w:szCs w:val="18"/>
                <w:color w:val="0000EE"/>
                <w:w w:val="95"/>
              </w:rPr>
            </w:pPr>
            <w:hyperlink r:id="rId100">
              <w:r>
                <w:rPr>
                  <w:rFonts w:ascii="Arial" w:cs="Arial" w:eastAsia="Arial" w:hAnsi="Arial"/>
                  <w:sz w:val="18"/>
                  <w:szCs w:val="18"/>
                  <w:color w:val="0000EE"/>
                  <w:w w:val="95"/>
                </w:rPr>
                <w:t>Form of Restricted Stock Agreement (incorporated by reference from Exhibit 10.2 on our Current Report on Form 8-K, filed on April 19,</w:t>
              </w:r>
            </w:hyperlink>
          </w:p>
        </w:tc>
      </w:tr>
      <w:tr>
        <w:trPr>
          <w:trHeight w:val="196"/>
        </w:trPr>
        <w:tc>
          <w:tcPr>
            <w:tcW w:w="10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00">
              <w:r>
                <w:rPr>
                  <w:rFonts w:ascii="Arial" w:cs="Arial" w:eastAsia="Arial" w:hAnsi="Arial"/>
                  <w:sz w:val="18"/>
                  <w:szCs w:val="18"/>
                  <w:color w:val="0000EE"/>
                  <w:w w:val="86"/>
                </w:rPr>
                <w:t>2019)</w:t>
              </w:r>
            </w:hyperlink>
          </w:p>
        </w:tc>
        <w:tc>
          <w:tcPr>
            <w:tcW w:w="152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10.1.11*</w:t>
            </w:r>
          </w:p>
        </w:tc>
        <w:tc>
          <w:tcPr>
            <w:tcW w:w="10080" w:type="dxa"/>
            <w:vAlign w:val="bottom"/>
            <w:tcBorders>
              <w:bottom w:val="single" w:sz="8" w:color="0000EE"/>
            </w:tcBorders>
            <w:gridSpan w:val="20"/>
          </w:tcPr>
          <w:p>
            <w:pPr>
              <w:spacing w:after="0"/>
              <w:rPr>
                <w:rFonts w:ascii="Arial" w:cs="Arial" w:eastAsia="Arial" w:hAnsi="Arial"/>
                <w:sz w:val="18"/>
                <w:szCs w:val="18"/>
                <w:color w:val="0000EE"/>
                <w:w w:val="91"/>
              </w:rPr>
            </w:pPr>
            <w:hyperlink r:id="rId101">
              <w:r>
                <w:rPr>
                  <w:rFonts w:ascii="Arial" w:cs="Arial" w:eastAsia="Arial" w:hAnsi="Arial"/>
                  <w:sz w:val="18"/>
                  <w:szCs w:val="18"/>
                  <w:color w:val="0000EE"/>
                  <w:w w:val="91"/>
                </w:rPr>
                <w:t>Description of Build-A-Bear Workshop, Inc. Long-Term Performance-Based Cash Incentive Program for C-Level Employees (incorporated</w:t>
              </w:r>
            </w:hyperlink>
          </w:p>
        </w:tc>
        <w:tc>
          <w:tcPr>
            <w:tcW w:w="14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6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by reference from Exhibit 10.3 on our Current Report on Form 8-K, filed on April 19, 2019)</w:t>
              </w:r>
            </w:hyperlink>
          </w:p>
        </w:tc>
        <w:tc>
          <w:tcPr>
            <w:tcW w:w="3560" w:type="dxa"/>
            <w:vAlign w:val="bottom"/>
            <w:gridSpan w:val="17"/>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10.1.12*</w:t>
            </w:r>
          </w:p>
        </w:tc>
        <w:tc>
          <w:tcPr>
            <w:tcW w:w="10040" w:type="dxa"/>
            <w:vAlign w:val="bottom"/>
            <w:tcBorders>
              <w:bottom w:val="single" w:sz="8" w:color="0000EE"/>
            </w:tcBorders>
            <w:gridSpan w:val="18"/>
          </w:tcPr>
          <w:p>
            <w:pPr>
              <w:spacing w:after="0"/>
              <w:rPr>
                <w:rFonts w:ascii="Arial" w:cs="Arial" w:eastAsia="Arial" w:hAnsi="Arial"/>
                <w:sz w:val="18"/>
                <w:szCs w:val="18"/>
                <w:color w:val="0000EE"/>
                <w:w w:val="92"/>
              </w:rPr>
            </w:pPr>
            <w:hyperlink r:id="rId102">
              <w:r>
                <w:rPr>
                  <w:rFonts w:ascii="Arial" w:cs="Arial" w:eastAsia="Arial" w:hAnsi="Arial"/>
                  <w:sz w:val="18"/>
                  <w:szCs w:val="18"/>
                  <w:color w:val="0000EE"/>
                  <w:w w:val="92"/>
                </w:rPr>
                <w:t>Description of Build-A-Bear Workshop, Inc. Cash Bonus Program for C-Level Employees (incorporated by reference from Exhibit 10.1 on</w:t>
              </w:r>
            </w:hyperlink>
          </w:p>
        </w:tc>
        <w:tc>
          <w:tcPr>
            <w:tcW w:w="180" w:type="dxa"/>
            <w:vAlign w:val="bottom"/>
            <w:gridSpan w:val="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4"/>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our Current Report on Form 8-K, filed on October 9, 2020)</w:t>
              </w:r>
            </w:hyperlink>
          </w:p>
        </w:tc>
      </w:tr>
      <w:tr>
        <w:trPr>
          <w:trHeight w:val="20"/>
        </w:trPr>
        <w:tc>
          <w:tcPr>
            <w:tcW w:w="102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10.1.13*</w:t>
            </w:r>
          </w:p>
        </w:tc>
        <w:tc>
          <w:tcPr>
            <w:tcW w:w="9580" w:type="dxa"/>
            <w:vAlign w:val="bottom"/>
            <w:tcBorders>
              <w:bottom w:val="single" w:sz="8" w:color="0000EE"/>
            </w:tcBorders>
            <w:gridSpan w:val="10"/>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Description of Build-A-Bear Workshop, Inc. Three-Year Performance-Based Cash Program for C-Level Employees (incorporated by</w:t>
              </w:r>
            </w:hyperlink>
          </w:p>
        </w:tc>
        <w:tc>
          <w:tcPr>
            <w:tcW w:w="640" w:type="dxa"/>
            <w:vAlign w:val="bottom"/>
            <w:gridSpan w:val="1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5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reference from Exhibit 10.2 on our Current Report on Form 8-K, filed on October 9, 2020)</w:t>
              </w:r>
            </w:hyperlink>
          </w:p>
        </w:tc>
        <w:tc>
          <w:tcPr>
            <w:tcW w:w="3680" w:type="dxa"/>
            <w:vAlign w:val="bottom"/>
            <w:gridSpan w:val="18"/>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10.1.14*</w:t>
            </w:r>
          </w:p>
        </w:tc>
        <w:tc>
          <w:tcPr>
            <w:tcW w:w="10220" w:type="dxa"/>
            <w:vAlign w:val="bottom"/>
            <w:gridSpan w:val="24"/>
          </w:tcPr>
          <w:p>
            <w:pPr>
              <w:spacing w:after="0"/>
              <w:rPr>
                <w:rFonts w:ascii="Arial" w:cs="Arial" w:eastAsia="Arial" w:hAnsi="Arial"/>
                <w:sz w:val="18"/>
                <w:szCs w:val="18"/>
                <w:color w:val="0000EE"/>
                <w:w w:val="93"/>
              </w:rPr>
            </w:pPr>
            <w:hyperlink r:id="rId104">
              <w:r>
                <w:rPr>
                  <w:rFonts w:ascii="Arial" w:cs="Arial" w:eastAsia="Arial" w:hAnsi="Arial"/>
                  <w:sz w:val="18"/>
                  <w:szCs w:val="18"/>
                  <w:color w:val="0000EE"/>
                  <w:w w:val="93"/>
                </w:rPr>
                <w:t>Form of Restricted Stock Agreement under the Registrant’s 2020 Omnibus Incentive Plan (incorporated by reference from Exhibit 10.3 on</w:t>
              </w:r>
            </w:hyperlink>
          </w:p>
        </w:tc>
      </w:tr>
      <w:tr>
        <w:trPr>
          <w:trHeight w:val="196"/>
        </w:trPr>
        <w:tc>
          <w:tcPr>
            <w:tcW w:w="1020" w:type="dxa"/>
            <w:vAlign w:val="bottom"/>
          </w:tcPr>
          <w:p>
            <w:pPr>
              <w:spacing w:after="0"/>
              <w:rPr>
                <w:sz w:val="17"/>
                <w:szCs w:val="17"/>
                <w:color w:val="auto"/>
              </w:rPr>
            </w:pPr>
          </w:p>
        </w:tc>
        <w:tc>
          <w:tcPr>
            <w:tcW w:w="99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our Current Report on Form 8-K, filed on October 9, 2020)</w:t>
              </w:r>
            </w:hyperlink>
          </w:p>
        </w:tc>
        <w:tc>
          <w:tcPr>
            <w:tcW w:w="240" w:type="dxa"/>
            <w:vAlign w:val="bottom"/>
            <w:gridSpan w:val="8"/>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10.1.15*</w:t>
            </w:r>
          </w:p>
        </w:tc>
        <w:tc>
          <w:tcPr>
            <w:tcW w:w="10220" w:type="dxa"/>
            <w:vAlign w:val="bottom"/>
            <w:gridSpan w:val="24"/>
          </w:tcPr>
          <w:p>
            <w:pPr>
              <w:spacing w:after="0"/>
              <w:rPr>
                <w:rFonts w:ascii="Arial" w:cs="Arial" w:eastAsia="Arial" w:hAnsi="Arial"/>
                <w:sz w:val="18"/>
                <w:szCs w:val="18"/>
                <w:color w:val="0000EE"/>
                <w:w w:val="94"/>
              </w:rPr>
            </w:pPr>
            <w:hyperlink r:id="rId105">
              <w:r>
                <w:rPr>
                  <w:rFonts w:ascii="Arial" w:cs="Arial" w:eastAsia="Arial" w:hAnsi="Arial"/>
                  <w:sz w:val="18"/>
                  <w:szCs w:val="18"/>
                  <w:color w:val="0000EE"/>
                  <w:w w:val="94"/>
                </w:rPr>
                <w:t>Description of Build-A-Bear Work, Inc. Cash Bonus Program for C-Level Employees (incorporated by reference from Exhibit 10.1 of our</w:t>
              </w:r>
            </w:hyperlink>
          </w:p>
        </w:tc>
      </w:tr>
      <w:tr>
        <w:trPr>
          <w:trHeight w:val="196"/>
        </w:trPr>
        <w:tc>
          <w:tcPr>
            <w:tcW w:w="102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r:id="rId105">
              <w:r>
                <w:rPr>
                  <w:rFonts w:ascii="Arial" w:cs="Arial" w:eastAsia="Arial" w:hAnsi="Arial"/>
                  <w:sz w:val="18"/>
                  <w:szCs w:val="18"/>
                  <w:color w:val="0000EE"/>
                  <w:w w:val="93"/>
                </w:rPr>
                <w:t>Current Report on Form 8-K, filed on April 16, 2021)</w:t>
              </w:r>
            </w:hyperlink>
          </w:p>
        </w:tc>
        <w:tc>
          <w:tcPr>
            <w:tcW w:w="6060" w:type="dxa"/>
            <w:vAlign w:val="bottom"/>
            <w:tcBorders>
              <w:top w:val="single" w:sz="8" w:color="0000EE"/>
            </w:tcBorders>
            <w:gridSpan w:val="11"/>
          </w:tcPr>
          <w:p>
            <w:pPr>
              <w:spacing w:after="0"/>
              <w:rPr>
                <w:sz w:val="17"/>
                <w:szCs w:val="17"/>
                <w:color w:val="auto"/>
              </w:rPr>
            </w:pPr>
          </w:p>
        </w:tc>
        <w:tc>
          <w:tcPr>
            <w:tcW w:w="280" w:type="dxa"/>
            <w:vAlign w:val="bottom"/>
            <w:gridSpan w:val="10"/>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10.1.16*</w:t>
            </w:r>
          </w:p>
        </w:tc>
        <w:tc>
          <w:tcPr>
            <w:tcW w:w="9960" w:type="dxa"/>
            <w:vAlign w:val="bottom"/>
            <w:tcBorders>
              <w:bottom w:val="single" w:sz="8" w:color="0000EE"/>
            </w:tcBorders>
            <w:gridSpan w:val="15"/>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Form of Restricted Stock Agreement under the Registrant’s 2020 Omnibus Incentive Plan (incorporated by reference from Exhibit 10.3 of</w:t>
              </w:r>
            </w:hyperlink>
          </w:p>
        </w:tc>
        <w:tc>
          <w:tcPr>
            <w:tcW w:w="260" w:type="dxa"/>
            <w:vAlign w:val="bottom"/>
            <w:gridSpan w:val="9"/>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1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our Current Report on Form 8-K, filed on April 16, 2021)</w:t>
              </w:r>
            </w:hyperlink>
          </w:p>
        </w:tc>
        <w:tc>
          <w:tcPr>
            <w:tcW w:w="6060" w:type="dxa"/>
            <w:vAlign w:val="bottom"/>
            <w:gridSpan w:val="20"/>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 *</w:t>
            </w:r>
          </w:p>
        </w:tc>
        <w:tc>
          <w:tcPr>
            <w:tcW w:w="10220" w:type="dxa"/>
            <w:vAlign w:val="bottom"/>
            <w:gridSpan w:val="24"/>
          </w:tcPr>
          <w:p>
            <w:pPr>
              <w:spacing w:after="0"/>
              <w:rPr>
                <w:rFonts w:ascii="Arial" w:cs="Arial" w:eastAsia="Arial" w:hAnsi="Arial"/>
                <w:sz w:val="18"/>
                <w:szCs w:val="18"/>
                <w:color w:val="0000EE"/>
                <w:w w:val="93"/>
              </w:rPr>
            </w:pPr>
            <w:hyperlink r:id="rId107">
              <w:r>
                <w:rPr>
                  <w:rFonts w:ascii="Arial" w:cs="Arial" w:eastAsia="Arial" w:hAnsi="Arial"/>
                  <w:sz w:val="18"/>
                  <w:szCs w:val="18"/>
                  <w:color w:val="0000EE"/>
                  <w:w w:val="93"/>
                </w:rPr>
                <w:t>Nonqualified Deferred Compensation Plan (incorporated by reference from Exhibit 10.42 to our Annual Report on Form 10-K, for the year</w:t>
              </w:r>
            </w:hyperlink>
          </w:p>
        </w:tc>
      </w:tr>
      <w:tr>
        <w:trPr>
          <w:trHeight w:val="196"/>
        </w:trPr>
        <w:tc>
          <w:tcPr>
            <w:tcW w:w="1020" w:type="dxa"/>
            <w:vAlign w:val="bottom"/>
          </w:tcPr>
          <w:p>
            <w:pPr>
              <w:spacing w:after="0"/>
              <w:rPr>
                <w:sz w:val="17"/>
                <w:szCs w:val="17"/>
                <w:color w:val="auto"/>
              </w:rPr>
            </w:pPr>
          </w:p>
        </w:tc>
        <w:tc>
          <w:tcPr>
            <w:tcW w:w="100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ended December 30, 2006)</w:t>
              </w:r>
            </w:hyperlink>
          </w:p>
        </w:tc>
        <w:tc>
          <w:tcPr>
            <w:tcW w:w="200" w:type="dxa"/>
            <w:vAlign w:val="bottom"/>
            <w:gridSpan w:val="7"/>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5700" w:type="dxa"/>
            <w:vAlign w:val="bottom"/>
            <w:gridSpan w:val="7"/>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10.3*</w:t>
            </w:r>
          </w:p>
        </w:tc>
        <w:tc>
          <w:tcPr>
            <w:tcW w:w="10220" w:type="dxa"/>
            <w:vAlign w:val="bottom"/>
            <w:gridSpan w:val="24"/>
          </w:tcPr>
          <w:p>
            <w:pPr>
              <w:spacing w:after="0"/>
              <w:rPr>
                <w:rFonts w:ascii="Arial" w:cs="Arial" w:eastAsia="Arial" w:hAnsi="Arial"/>
                <w:sz w:val="18"/>
                <w:szCs w:val="18"/>
                <w:color w:val="0000EE"/>
                <w:w w:val="94"/>
              </w:rPr>
            </w:pPr>
            <w:hyperlink r:id="rId108">
              <w:r>
                <w:rPr>
                  <w:rFonts w:ascii="Arial" w:cs="Arial" w:eastAsia="Arial" w:hAnsi="Arial"/>
                  <w:sz w:val="18"/>
                  <w:szCs w:val="18"/>
                  <w:color w:val="0000EE"/>
                  <w:w w:val="94"/>
                </w:rPr>
                <w:t>Amended and Restated Employment, Confidentiality and Noncompete Agreement, dated March 7, 2016, by and between Eric Fencl and</w:t>
              </w:r>
            </w:hyperlink>
          </w:p>
        </w:tc>
      </w:tr>
      <w:tr>
        <w:trPr>
          <w:trHeight w:val="20"/>
        </w:trPr>
        <w:tc>
          <w:tcPr>
            <w:tcW w:w="1020" w:type="dxa"/>
            <w:vAlign w:val="bottom"/>
          </w:tcPr>
          <w:p>
            <w:pPr>
              <w:spacing w:after="0" w:line="20" w:lineRule="exact"/>
              <w:rPr>
                <w:sz w:val="1"/>
                <w:szCs w:val="1"/>
                <w:color w:val="auto"/>
              </w:rPr>
            </w:pPr>
          </w:p>
        </w:tc>
        <w:tc>
          <w:tcPr>
            <w:tcW w:w="7640" w:type="dxa"/>
            <w:vAlign w:val="bottom"/>
            <w:gridSpan w:val="9"/>
            <w:shd w:val="clear" w:color="auto" w:fill="0000EE"/>
          </w:tcPr>
          <w:p>
            <w:pPr>
              <w:spacing w:after="0" w:line="20" w:lineRule="exact"/>
              <w:rPr>
                <w:sz w:val="1"/>
                <w:szCs w:val="1"/>
                <w:color w:val="auto"/>
              </w:rPr>
            </w:pPr>
          </w:p>
        </w:tc>
        <w:tc>
          <w:tcPr>
            <w:tcW w:w="21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4"/>
          </w:tcPr>
          <w:p>
            <w:pPr>
              <w:spacing w:after="0" w:line="196" w:lineRule="exact"/>
              <w:rPr>
                <w:rFonts w:ascii="Arial" w:cs="Arial" w:eastAsia="Arial" w:hAnsi="Arial"/>
                <w:sz w:val="18"/>
                <w:szCs w:val="18"/>
                <w:color w:val="0000EE"/>
                <w:w w:val="95"/>
              </w:rPr>
            </w:pPr>
            <w:hyperlink r:id="rId108">
              <w:r>
                <w:rPr>
                  <w:rFonts w:ascii="Arial" w:cs="Arial" w:eastAsia="Arial" w:hAnsi="Arial"/>
                  <w:sz w:val="18"/>
                  <w:szCs w:val="18"/>
                  <w:color w:val="0000EE"/>
                  <w:w w:val="95"/>
                </w:rPr>
                <w:t>Build-A-Bear Workshop, Inc. (incorporated by reference from Exhibit 10.1 on our Current Report on Form 8-K, filed on March 11, 2016)</w:t>
              </w:r>
            </w:hyperlink>
          </w:p>
        </w:tc>
      </w:tr>
      <w:tr>
        <w:trPr>
          <w:trHeight w:val="20"/>
        </w:trPr>
        <w:tc>
          <w:tcPr>
            <w:tcW w:w="1020" w:type="dxa"/>
            <w:vAlign w:val="bottom"/>
          </w:tcPr>
          <w:p>
            <w:pPr>
              <w:spacing w:after="0" w:line="20" w:lineRule="exact"/>
              <w:rPr>
                <w:sz w:val="1"/>
                <w:szCs w:val="1"/>
                <w:color w:val="auto"/>
              </w:rPr>
            </w:pPr>
          </w:p>
        </w:tc>
        <w:tc>
          <w:tcPr>
            <w:tcW w:w="7640" w:type="dxa"/>
            <w:vAlign w:val="bottom"/>
            <w:gridSpan w:val="9"/>
            <w:shd w:val="clear" w:color="auto" w:fill="0000EE"/>
          </w:tcPr>
          <w:p>
            <w:pPr>
              <w:spacing w:after="0" w:line="20" w:lineRule="exact"/>
              <w:rPr>
                <w:sz w:val="1"/>
                <w:szCs w:val="1"/>
                <w:color w:val="auto"/>
              </w:rPr>
            </w:pPr>
          </w:p>
        </w:tc>
        <w:tc>
          <w:tcPr>
            <w:tcW w:w="21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0220" w:type="dxa"/>
            <w:vAlign w:val="bottom"/>
            <w:gridSpan w:val="24"/>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Amended and Restated Employment, Confidentiality and Noncompete Agreement, dated March 7, 2016, by and between J. Christopher Hurt</w:t>
              </w:r>
            </w:hyperlink>
          </w:p>
        </w:tc>
      </w:tr>
      <w:tr>
        <w:trPr>
          <w:trHeight w:val="196"/>
        </w:trPr>
        <w:tc>
          <w:tcPr>
            <w:tcW w:w="1020" w:type="dxa"/>
            <w:vAlign w:val="bottom"/>
          </w:tcPr>
          <w:p>
            <w:pPr>
              <w:spacing w:after="0"/>
              <w:rPr>
                <w:sz w:val="17"/>
                <w:szCs w:val="17"/>
                <w:color w:val="auto"/>
              </w:rPr>
            </w:pPr>
          </w:p>
        </w:tc>
        <w:tc>
          <w:tcPr>
            <w:tcW w:w="10160" w:type="dxa"/>
            <w:vAlign w:val="bottom"/>
            <w:tcBorders>
              <w:top w:val="single" w:sz="8" w:color="0000EE"/>
            </w:tcBorders>
            <w:gridSpan w:val="22"/>
          </w:tcPr>
          <w:p>
            <w:pPr>
              <w:spacing w:after="0" w:line="196" w:lineRule="exact"/>
              <w:rPr>
                <w:rFonts w:ascii="Arial" w:cs="Arial" w:eastAsia="Arial" w:hAnsi="Arial"/>
                <w:sz w:val="18"/>
                <w:szCs w:val="18"/>
                <w:color w:val="0000EE"/>
                <w:w w:val="95"/>
              </w:rPr>
            </w:pPr>
            <w:hyperlink r:id="rId109">
              <w:r>
                <w:rPr>
                  <w:rFonts w:ascii="Arial" w:cs="Arial" w:eastAsia="Arial" w:hAnsi="Arial"/>
                  <w:sz w:val="18"/>
                  <w:szCs w:val="18"/>
                  <w:color w:val="0000EE"/>
                  <w:w w:val="95"/>
                </w:rPr>
                <w:t>and Build-A-Bear Workshop, Inc. (incorporated by reference from Exhibit 10.2 on our Current Report on Form 8-K, filed on March 11,</w:t>
              </w:r>
            </w:hyperlink>
          </w:p>
        </w:tc>
        <w:tc>
          <w:tcPr>
            <w:tcW w:w="6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09">
              <w:r>
                <w:rPr>
                  <w:rFonts w:ascii="Arial" w:cs="Arial" w:eastAsia="Arial" w:hAnsi="Arial"/>
                  <w:sz w:val="18"/>
                  <w:szCs w:val="18"/>
                  <w:color w:val="0000EE"/>
                  <w:w w:val="86"/>
                </w:rPr>
                <w:t>2016)</w:t>
              </w:r>
            </w:hyperlink>
          </w:p>
        </w:tc>
        <w:tc>
          <w:tcPr>
            <w:tcW w:w="152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10.5*</w:t>
            </w:r>
          </w:p>
        </w:tc>
        <w:tc>
          <w:tcPr>
            <w:tcW w:w="10220" w:type="dxa"/>
            <w:vAlign w:val="bottom"/>
            <w:gridSpan w:val="24"/>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Amended and Restated Employment, Confidentiality and Noncompete Agreement, dated March 7, 2016, by and between Sharon Price John</w:t>
              </w:r>
            </w:hyperlink>
          </w:p>
        </w:tc>
      </w:tr>
      <w:tr>
        <w:trPr>
          <w:trHeight w:val="196"/>
        </w:trPr>
        <w:tc>
          <w:tcPr>
            <w:tcW w:w="1020" w:type="dxa"/>
            <w:vAlign w:val="bottom"/>
          </w:tcPr>
          <w:p>
            <w:pPr>
              <w:spacing w:after="0"/>
              <w:rPr>
                <w:sz w:val="17"/>
                <w:szCs w:val="17"/>
                <w:color w:val="auto"/>
              </w:rPr>
            </w:pPr>
          </w:p>
        </w:tc>
        <w:tc>
          <w:tcPr>
            <w:tcW w:w="10080" w:type="dxa"/>
            <w:vAlign w:val="bottom"/>
            <w:tcBorders>
              <w:top w:val="single" w:sz="8" w:color="0000EE"/>
            </w:tcBorders>
            <w:gridSpan w:val="20"/>
          </w:tcPr>
          <w:p>
            <w:pPr>
              <w:spacing w:after="0" w:line="196" w:lineRule="exact"/>
              <w:rPr>
                <w:rFonts w:ascii="Arial" w:cs="Arial" w:eastAsia="Arial" w:hAnsi="Arial"/>
                <w:sz w:val="18"/>
                <w:szCs w:val="18"/>
                <w:color w:val="0000EE"/>
                <w:w w:val="95"/>
              </w:rPr>
            </w:pPr>
            <w:hyperlink r:id="rId110">
              <w:r>
                <w:rPr>
                  <w:rFonts w:ascii="Arial" w:cs="Arial" w:eastAsia="Arial" w:hAnsi="Arial"/>
                  <w:sz w:val="18"/>
                  <w:szCs w:val="18"/>
                  <w:color w:val="0000EE"/>
                  <w:w w:val="95"/>
                </w:rPr>
                <w:t>and Build-A-Bear Workshop, Inc. (incorporated by reference from Exhibit 10.3 on our Current Report on Form 8-K, filed on March 11,</w:t>
              </w:r>
            </w:hyperlink>
          </w:p>
        </w:tc>
        <w:tc>
          <w:tcPr>
            <w:tcW w:w="14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10">
              <w:r>
                <w:rPr>
                  <w:rFonts w:ascii="Arial" w:cs="Arial" w:eastAsia="Arial" w:hAnsi="Arial"/>
                  <w:sz w:val="18"/>
                  <w:szCs w:val="18"/>
                  <w:color w:val="0000EE"/>
                  <w:w w:val="86"/>
                </w:rPr>
                <w:t>2016)</w:t>
              </w:r>
            </w:hyperlink>
          </w:p>
        </w:tc>
        <w:tc>
          <w:tcPr>
            <w:tcW w:w="152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10.6*</w:t>
            </w:r>
          </w:p>
        </w:tc>
        <w:tc>
          <w:tcPr>
            <w:tcW w:w="10180" w:type="dxa"/>
            <w:vAlign w:val="bottom"/>
            <w:tcBorders>
              <w:bottom w:val="single" w:sz="8" w:color="0000EE"/>
            </w:tcBorders>
            <w:gridSpan w:val="23"/>
          </w:tcPr>
          <w:p>
            <w:pPr>
              <w:spacing w:after="0"/>
              <w:rPr>
                <w:rFonts w:ascii="Arial" w:cs="Arial" w:eastAsia="Arial" w:hAnsi="Arial"/>
                <w:sz w:val="18"/>
                <w:szCs w:val="18"/>
                <w:color w:val="0000EE"/>
                <w:w w:val="90"/>
              </w:rPr>
            </w:pPr>
            <w:hyperlink r:id="rId111">
              <w:r>
                <w:rPr>
                  <w:rFonts w:ascii="Arial" w:cs="Arial" w:eastAsia="Arial" w:hAnsi="Arial"/>
                  <w:sz w:val="18"/>
                  <w:szCs w:val="18"/>
                  <w:color w:val="0000EE"/>
                  <w:w w:val="90"/>
                </w:rPr>
                <w:t>Amended and Restated Employment, Confidentiality and Noncompete Agreement, dated March 7, 2016, by and between Jennifer Kretchmar</w:t>
              </w:r>
            </w:hyperlink>
          </w:p>
        </w:tc>
        <w:tc>
          <w:tcPr>
            <w:tcW w:w="4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4"/>
          </w:tcPr>
          <w:p>
            <w:pPr>
              <w:spacing w:after="0" w:line="196" w:lineRule="exact"/>
              <w:rPr>
                <w:rFonts w:ascii="Arial" w:cs="Arial" w:eastAsia="Arial" w:hAnsi="Arial"/>
                <w:sz w:val="18"/>
                <w:szCs w:val="18"/>
                <w:color w:val="0000EE"/>
                <w:w w:val="96"/>
              </w:rPr>
            </w:pPr>
            <w:hyperlink r:id="rId111">
              <w:r>
                <w:rPr>
                  <w:rFonts w:ascii="Arial" w:cs="Arial" w:eastAsia="Arial" w:hAnsi="Arial"/>
                  <w:sz w:val="18"/>
                  <w:szCs w:val="18"/>
                  <w:color w:val="0000EE"/>
                  <w:w w:val="96"/>
                </w:rPr>
                <w:t>and Build-A-Bear Workshop, Inc. (incorporated by reference from Exhibit 10.4 on our Current Report on Form 8-K, filed on March 11,</w:t>
              </w:r>
            </w:hyperlink>
          </w:p>
        </w:tc>
      </w:tr>
      <w:tr>
        <w:trPr>
          <w:trHeight w:val="196"/>
        </w:trPr>
        <w:tc>
          <w:tcPr>
            <w:tcW w:w="10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11">
              <w:r>
                <w:rPr>
                  <w:rFonts w:ascii="Arial" w:cs="Arial" w:eastAsia="Arial" w:hAnsi="Arial"/>
                  <w:sz w:val="18"/>
                  <w:szCs w:val="18"/>
                  <w:color w:val="0000EE"/>
                  <w:w w:val="86"/>
                </w:rPr>
                <w:t>2016)</w:t>
              </w:r>
            </w:hyperlink>
          </w:p>
        </w:tc>
        <w:tc>
          <w:tcPr>
            <w:tcW w:w="152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10.7*</w:t>
            </w:r>
          </w:p>
        </w:tc>
        <w:tc>
          <w:tcPr>
            <w:tcW w:w="10220" w:type="dxa"/>
            <w:vAlign w:val="bottom"/>
            <w:gridSpan w:val="24"/>
          </w:tcPr>
          <w:p>
            <w:pPr>
              <w:spacing w:after="0"/>
              <w:rPr>
                <w:rFonts w:ascii="Arial" w:cs="Arial" w:eastAsia="Arial" w:hAnsi="Arial"/>
                <w:sz w:val="18"/>
                <w:szCs w:val="18"/>
                <w:color w:val="0000EE"/>
                <w:w w:val="93"/>
              </w:rPr>
            </w:pPr>
            <w:hyperlink r:id="rId112">
              <w:r>
                <w:rPr>
                  <w:rFonts w:ascii="Arial" w:cs="Arial" w:eastAsia="Arial" w:hAnsi="Arial"/>
                  <w:sz w:val="18"/>
                  <w:szCs w:val="18"/>
                  <w:color w:val="0000EE"/>
                  <w:w w:val="93"/>
                </w:rPr>
                <w:t>Amended and Restated Employment, Confidentiality and Noncompete Agreement, dated March 7, 2016, by and between Vojin Todorovic</w:t>
              </w:r>
            </w:hyperlink>
          </w:p>
        </w:tc>
      </w:tr>
      <w:tr>
        <w:trPr>
          <w:trHeight w:val="196"/>
        </w:trPr>
        <w:tc>
          <w:tcPr>
            <w:tcW w:w="1020" w:type="dxa"/>
            <w:vAlign w:val="bottom"/>
          </w:tcPr>
          <w:p>
            <w:pPr>
              <w:spacing w:after="0"/>
              <w:rPr>
                <w:sz w:val="17"/>
                <w:szCs w:val="17"/>
                <w:color w:val="auto"/>
              </w:rPr>
            </w:pPr>
          </w:p>
        </w:tc>
        <w:tc>
          <w:tcPr>
            <w:tcW w:w="9940" w:type="dxa"/>
            <w:vAlign w:val="bottom"/>
            <w:tcBorders>
              <w:top w:val="single" w:sz="8" w:color="0000EE"/>
            </w:tcBorders>
            <w:gridSpan w:val="14"/>
          </w:tcPr>
          <w:p>
            <w:pPr>
              <w:spacing w:after="0" w:line="196" w:lineRule="exact"/>
              <w:rPr>
                <w:rFonts w:ascii="Arial" w:cs="Arial" w:eastAsia="Arial" w:hAnsi="Arial"/>
                <w:sz w:val="18"/>
                <w:szCs w:val="18"/>
                <w:color w:val="0000EE"/>
                <w:w w:val="93"/>
              </w:rPr>
            </w:pPr>
            <w:hyperlink r:id="rId112">
              <w:r>
                <w:rPr>
                  <w:rFonts w:ascii="Arial" w:cs="Arial" w:eastAsia="Arial" w:hAnsi="Arial"/>
                  <w:sz w:val="18"/>
                  <w:szCs w:val="18"/>
                  <w:color w:val="0000EE"/>
                  <w:w w:val="93"/>
                </w:rPr>
                <w:t>and Build-A-Bear Workshop, Inc. (incorporated by reference from Exhibit 10.5 on our Current Report on Form 8-K, filed on March 11,</w:t>
              </w:r>
            </w:hyperlink>
          </w:p>
        </w:tc>
        <w:tc>
          <w:tcPr>
            <w:tcW w:w="280" w:type="dxa"/>
            <w:vAlign w:val="bottom"/>
            <w:gridSpan w:val="10"/>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12">
              <w:r>
                <w:rPr>
                  <w:rFonts w:ascii="Arial" w:cs="Arial" w:eastAsia="Arial" w:hAnsi="Arial"/>
                  <w:sz w:val="18"/>
                  <w:szCs w:val="18"/>
                  <w:color w:val="0000EE"/>
                  <w:w w:val="86"/>
                </w:rPr>
                <w:t>2016)</w:t>
              </w:r>
            </w:hyperlink>
          </w:p>
        </w:tc>
        <w:tc>
          <w:tcPr>
            <w:tcW w:w="152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10.8*</w:t>
            </w:r>
          </w:p>
        </w:tc>
        <w:tc>
          <w:tcPr>
            <w:tcW w:w="10220" w:type="dxa"/>
            <w:vAlign w:val="bottom"/>
            <w:gridSpan w:val="24"/>
          </w:tcPr>
          <w:p>
            <w:pPr>
              <w:spacing w:after="0"/>
              <w:rPr>
                <w:rFonts w:ascii="Arial" w:cs="Arial" w:eastAsia="Arial" w:hAnsi="Arial"/>
                <w:sz w:val="18"/>
                <w:szCs w:val="18"/>
                <w:color w:val="0000EE"/>
                <w:w w:val="92"/>
              </w:rPr>
            </w:pPr>
            <w:hyperlink r:id="rId113">
              <w:r>
                <w:rPr>
                  <w:rFonts w:ascii="Arial" w:cs="Arial" w:eastAsia="Arial" w:hAnsi="Arial"/>
                  <w:sz w:val="18"/>
                  <w:szCs w:val="18"/>
                  <w:color w:val="0000EE"/>
                  <w:w w:val="92"/>
                </w:rPr>
                <w:t>Form of Indemnification Agreement between the Registrant and its directors and executive officers (incorporated by reference from Exhibit</w:t>
              </w:r>
            </w:hyperlink>
          </w:p>
        </w:tc>
      </w:tr>
      <w:tr>
        <w:trPr>
          <w:trHeight w:val="196"/>
        </w:trPr>
        <w:tc>
          <w:tcPr>
            <w:tcW w:w="1020" w:type="dxa"/>
            <w:vAlign w:val="bottom"/>
          </w:tcPr>
          <w:p>
            <w:pPr>
              <w:spacing w:after="0"/>
              <w:rPr>
                <w:sz w:val="17"/>
                <w:szCs w:val="17"/>
                <w:color w:val="auto"/>
              </w:rPr>
            </w:pPr>
          </w:p>
        </w:tc>
        <w:tc>
          <w:tcPr>
            <w:tcW w:w="100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10.</w:t>
              </w:r>
              <w:r>
                <w:rPr>
                  <w:rFonts w:ascii="Arial" w:cs="Arial" w:eastAsia="Arial" w:hAnsi="Arial"/>
                  <w:sz w:val="18"/>
                  <w:szCs w:val="18"/>
                  <w:u w:val="single" w:color="auto"/>
                  <w:color w:val="0000EE"/>
                </w:rPr>
                <w:t>11</w:t>
              </w:r>
              <w:r>
                <w:rPr>
                  <w:rFonts w:ascii="Arial" w:cs="Arial" w:eastAsia="Arial" w:hAnsi="Arial"/>
                  <w:sz w:val="18"/>
                  <w:szCs w:val="18"/>
                  <w:color w:val="0000EE"/>
                </w:rPr>
                <w:t xml:space="preserve"> to our Registration Statement on Form S-1, filed on August 12, 2004, Registration No. 333-118142)</w:t>
              </w:r>
            </w:hyperlink>
          </w:p>
        </w:tc>
        <w:tc>
          <w:tcPr>
            <w:tcW w:w="160" w:type="dxa"/>
            <w:vAlign w:val="bottom"/>
            <w:gridSpan w:val="5"/>
          </w:tcPr>
          <w:p>
            <w:pPr>
              <w:spacing w:after="0"/>
              <w:rPr>
                <w:sz w:val="17"/>
                <w:szCs w:val="17"/>
                <w:color w:val="auto"/>
              </w:rPr>
            </w:pPr>
          </w:p>
        </w:tc>
      </w:tr>
      <w:tr>
        <w:trPr>
          <w:trHeight w:val="453"/>
        </w:trPr>
        <w:tc>
          <w:tcPr>
            <w:tcW w:w="1020" w:type="dxa"/>
            <w:vAlign w:val="bottom"/>
          </w:tcPr>
          <w:p>
            <w:pPr>
              <w:spacing w:after="0"/>
              <w:rPr>
                <w:sz w:val="24"/>
                <w:szCs w:val="24"/>
                <w:color w:val="auto"/>
              </w:rPr>
            </w:pPr>
          </w:p>
        </w:tc>
        <w:tc>
          <w:tcPr>
            <w:tcW w:w="6540" w:type="dxa"/>
            <w:vAlign w:val="bottom"/>
            <w:tcBorders>
              <w:top w:val="single" w:sz="8" w:color="0000EE"/>
            </w:tcBorders>
            <w:gridSpan w:val="6"/>
          </w:tcPr>
          <w:p>
            <w:pPr>
              <w:ind w:left="4520"/>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0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67" w:right="3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10.9</w:t>
            </w:r>
          </w:p>
        </w:tc>
        <w:tc>
          <w:tcPr>
            <w:tcW w:w="10060" w:type="dxa"/>
            <w:vAlign w:val="bottom"/>
            <w:tcBorders>
              <w:bottom w:val="single" w:sz="8" w:color="0000EE"/>
            </w:tcBorders>
            <w:gridSpan w:val="18"/>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Revolving Credit and Security Agreement dated as of August 25, 2020 among the Company and Build-A-Bear Retail Management, Inc., as</w:t>
              </w:r>
            </w:hyperlink>
          </w:p>
        </w:tc>
        <w:tc>
          <w:tcPr>
            <w:tcW w:w="14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50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114">
              <w:r>
                <w:rPr>
                  <w:rFonts w:ascii="Arial" w:cs="Arial" w:eastAsia="Arial" w:hAnsi="Arial"/>
                  <w:sz w:val="18"/>
                  <w:szCs w:val="18"/>
                  <w:color w:val="0000EE"/>
                  <w:w w:val="93"/>
                </w:rPr>
                <w:t>borrowers; Build-A-Bear Workshop Franchise Holdings, Inc., Build-A-Bear Entertainment, LLC, Build-A-Bear Card Services LLC</w:t>
              </w:r>
            </w:hyperlink>
          </w:p>
        </w:tc>
        <w:tc>
          <w:tcPr>
            <w:tcW w:w="700" w:type="dxa"/>
            <w:vAlign w:val="bottom"/>
            <w:gridSpan w:val="11"/>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20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and Build-A-Bear Workshop Canada, Ltd., as guarantors; the lenders party thereto; and PNC Bank, National Association, as agent for lenders</w:t>
              </w:r>
            </w:hyperlink>
          </w:p>
        </w:tc>
      </w:tr>
      <w:tr>
        <w:trPr>
          <w:trHeight w:val="196"/>
        </w:trPr>
        <w:tc>
          <w:tcPr>
            <w:tcW w:w="1020" w:type="dxa"/>
            <w:vAlign w:val="bottom"/>
          </w:tcPr>
          <w:p>
            <w:pPr>
              <w:spacing w:after="0"/>
              <w:rPr>
                <w:sz w:val="17"/>
                <w:szCs w:val="17"/>
                <w:color w:val="auto"/>
              </w:rPr>
            </w:pPr>
          </w:p>
        </w:tc>
        <w:tc>
          <w:tcPr>
            <w:tcW w:w="10200" w:type="dxa"/>
            <w:vAlign w:val="bottom"/>
            <w:gridSpan w:val="22"/>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(incorporated by reference from Exhibit 10.1 of our Current Report on Form 8-K, filed on August 31, 2020).</w:t>
              </w:r>
            </w:hyperlink>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10.9.1</w:t>
            </w:r>
          </w:p>
        </w:tc>
        <w:tc>
          <w:tcPr>
            <w:tcW w:w="10180" w:type="dxa"/>
            <w:vAlign w:val="bottom"/>
            <w:tcBorders>
              <w:bottom w:val="single" w:sz="8" w:color="0000EE"/>
            </w:tcBorders>
            <w:gridSpan w:val="21"/>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First Amendment to Revolving Credit and Security Agreement dated as of December 17, 2021 among the Company and Build-A-Bear Retail</w:t>
              </w:r>
            </w:hyperlink>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00" w:type="dxa"/>
            <w:vAlign w:val="bottom"/>
            <w:gridSpan w:val="22"/>
          </w:tcPr>
          <w:p>
            <w:pPr>
              <w:spacing w:after="0" w:line="196" w:lineRule="exact"/>
              <w:rPr>
                <w:rFonts w:ascii="Arial" w:cs="Arial" w:eastAsia="Arial" w:hAnsi="Arial"/>
                <w:sz w:val="18"/>
                <w:szCs w:val="18"/>
                <w:color w:val="0000EE"/>
                <w:w w:val="94"/>
              </w:rPr>
            </w:pPr>
            <w:hyperlink r:id="rId115">
              <w:r>
                <w:rPr>
                  <w:rFonts w:ascii="Arial" w:cs="Arial" w:eastAsia="Arial" w:hAnsi="Arial"/>
                  <w:sz w:val="18"/>
                  <w:szCs w:val="18"/>
                  <w:color w:val="0000EE"/>
                  <w:w w:val="94"/>
                </w:rPr>
                <w:t>Management, Inc., as borrowers; Build-A-Bear Workshop Franchise Holdings, Inc., Build-A-Bear Entertainment, LLC, Build-A-Bear Card</w:t>
              </w:r>
            </w:hyperlink>
          </w:p>
        </w:tc>
      </w:tr>
      <w:tr>
        <w:trPr>
          <w:trHeight w:val="196"/>
        </w:trPr>
        <w:tc>
          <w:tcPr>
            <w:tcW w:w="1020" w:type="dxa"/>
            <w:vAlign w:val="bottom"/>
          </w:tcPr>
          <w:p>
            <w:pPr>
              <w:spacing w:after="0"/>
              <w:rPr>
                <w:sz w:val="17"/>
                <w:szCs w:val="17"/>
                <w:color w:val="auto"/>
              </w:rPr>
            </w:pPr>
          </w:p>
        </w:tc>
        <w:tc>
          <w:tcPr>
            <w:tcW w:w="10040" w:type="dxa"/>
            <w:vAlign w:val="bottom"/>
            <w:tcBorders>
              <w:top w:val="single" w:sz="8" w:color="0000EE"/>
            </w:tcBorders>
            <w:gridSpan w:val="17"/>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Services LLC and Build-A-Bear Workshop Canada, Ltd., as guarantors; the lenders party thereto; and PNC Bank, National Association, as</w:t>
              </w:r>
            </w:hyperlink>
          </w:p>
        </w:tc>
        <w:tc>
          <w:tcPr>
            <w:tcW w:w="160" w:type="dxa"/>
            <w:vAlign w:val="bottom"/>
            <w:gridSpan w:val="5"/>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agent for lenders (incorporated by reference from Exhibit 10.1 on our Current Report on Form 8-K, filed on December 22, 2021)</w:t>
              </w:r>
            </w:hyperlink>
          </w:p>
        </w:tc>
        <w:tc>
          <w:tcPr>
            <w:tcW w:w="700" w:type="dxa"/>
            <w:vAlign w:val="bottom"/>
            <w:tcBorders>
              <w:top w:val="single" w:sz="8" w:color="0000EE"/>
            </w:tcBorders>
            <w:gridSpan w:val="6"/>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10.10</w:t>
            </w:r>
          </w:p>
        </w:tc>
        <w:tc>
          <w:tcPr>
            <w:tcW w:w="10200" w:type="dxa"/>
            <w:vAlign w:val="bottom"/>
            <w:gridSpan w:val="22"/>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Facility Construction Agreement dated December 22, 2005 between the Registrant and Duke Construction Limited Partnership (incorporated</w:t>
              </w:r>
            </w:hyperlink>
          </w:p>
        </w:tc>
      </w:tr>
      <w:tr>
        <w:trPr>
          <w:trHeight w:val="196"/>
        </w:trPr>
        <w:tc>
          <w:tcPr>
            <w:tcW w:w="1020" w:type="dxa"/>
            <w:vAlign w:val="bottom"/>
          </w:tcPr>
          <w:p>
            <w:pPr>
              <w:spacing w:after="0"/>
              <w:rPr>
                <w:sz w:val="17"/>
                <w:szCs w:val="17"/>
                <w:color w:val="auto"/>
              </w:rPr>
            </w:pPr>
          </w:p>
        </w:tc>
        <w:tc>
          <w:tcPr>
            <w:tcW w:w="78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by reference from Exhibit 10.35 to our Annual Report on Form 10-K, for the year ended December 31, 2005)</w:t>
              </w:r>
            </w:hyperlink>
          </w:p>
        </w:tc>
        <w:tc>
          <w:tcPr>
            <w:tcW w:w="2280" w:type="dxa"/>
            <w:vAlign w:val="bottom"/>
            <w:tcBorders>
              <w:top w:val="single" w:sz="8" w:color="0000EE"/>
            </w:tcBorders>
            <w:gridSpan w:val="1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10.11</w:t>
            </w:r>
          </w:p>
        </w:tc>
        <w:tc>
          <w:tcPr>
            <w:tcW w:w="10200" w:type="dxa"/>
            <w:vAlign w:val="bottom"/>
            <w:gridSpan w:val="22"/>
          </w:tcPr>
          <w:p>
            <w:pPr>
              <w:spacing w:after="0"/>
              <w:rPr>
                <w:rFonts w:ascii="Arial" w:cs="Arial" w:eastAsia="Arial" w:hAnsi="Arial"/>
                <w:sz w:val="18"/>
                <w:szCs w:val="18"/>
                <w:color w:val="0000EE"/>
                <w:w w:val="91"/>
              </w:rPr>
            </w:pPr>
            <w:hyperlink r:id="rId117">
              <w:r>
                <w:rPr>
                  <w:rFonts w:ascii="Arial" w:cs="Arial" w:eastAsia="Arial" w:hAnsi="Arial"/>
                  <w:sz w:val="18"/>
                  <w:szCs w:val="18"/>
                  <w:color w:val="0000EE"/>
                  <w:w w:val="91"/>
                </w:rPr>
                <w:t>Real Estate Purchase Agreement dated December 19, 2005 between Duke Realty Ohio and the Registrant (incorporated by reference from</w:t>
              </w:r>
            </w:hyperlink>
          </w:p>
        </w:tc>
      </w:tr>
      <w:tr>
        <w:trPr>
          <w:trHeight w:val="196"/>
        </w:trPr>
        <w:tc>
          <w:tcPr>
            <w:tcW w:w="1020" w:type="dxa"/>
            <w:vAlign w:val="bottom"/>
          </w:tcPr>
          <w:p>
            <w:pPr>
              <w:spacing w:after="0"/>
              <w:rPr>
                <w:sz w:val="17"/>
                <w:szCs w:val="17"/>
                <w:color w:val="auto"/>
              </w:rPr>
            </w:pPr>
          </w:p>
        </w:tc>
        <w:tc>
          <w:tcPr>
            <w:tcW w:w="99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Exhibit 10.36 to our Annual Report on Form 10-K, for the year ended December 31, 2005)</w:t>
              </w:r>
            </w:hyperlink>
          </w:p>
        </w:tc>
        <w:tc>
          <w:tcPr>
            <w:tcW w:w="260" w:type="dxa"/>
            <w:vAlign w:val="bottom"/>
            <w:gridSpan w:val="7"/>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11.1</w:t>
            </w:r>
          </w:p>
        </w:tc>
        <w:tc>
          <w:tcPr>
            <w:tcW w:w="10200" w:type="dxa"/>
            <w:vAlign w:val="bottom"/>
            <w:gridSpan w:val="22"/>
          </w:tcPr>
          <w:p>
            <w:pPr>
              <w:spacing w:after="0"/>
              <w:rPr>
                <w:rFonts w:ascii="Arial" w:cs="Arial" w:eastAsia="Arial" w:hAnsi="Arial"/>
                <w:sz w:val="18"/>
                <w:szCs w:val="18"/>
                <w:color w:val="0000EE"/>
                <w:w w:val="93"/>
              </w:rPr>
            </w:pPr>
            <w:hyperlink w:anchor="page60">
              <w:r>
                <w:rPr>
                  <w:rFonts w:ascii="Arial" w:cs="Arial" w:eastAsia="Arial" w:hAnsi="Arial"/>
                  <w:sz w:val="18"/>
                  <w:szCs w:val="18"/>
                  <w:color w:val="0000EE"/>
                  <w:w w:val="93"/>
                </w:rPr>
                <w:t>Statement regarding computation of earnings per share (incorporated by reference from Note 10 of the Registrant’s audited consolidated</w:t>
              </w:r>
            </w:hyperlink>
          </w:p>
        </w:tc>
      </w:tr>
      <w:tr>
        <w:trPr>
          <w:trHeight w:val="196"/>
        </w:trPr>
        <w:tc>
          <w:tcPr>
            <w:tcW w:w="102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financial statements included herein)</w:t>
              </w:r>
            </w:hyperlink>
          </w:p>
        </w:tc>
        <w:tc>
          <w:tcPr>
            <w:tcW w:w="7140" w:type="dxa"/>
            <w:vAlign w:val="bottom"/>
            <w:tcBorders>
              <w:top w:val="single" w:sz="8" w:color="0000EE"/>
            </w:tcBorders>
            <w:gridSpan w:val="8"/>
          </w:tcPr>
          <w:p>
            <w:pPr>
              <w:spacing w:after="0"/>
              <w:rPr>
                <w:sz w:val="17"/>
                <w:szCs w:val="17"/>
                <w:color w:val="auto"/>
              </w:rPr>
            </w:pPr>
          </w:p>
        </w:tc>
        <w:tc>
          <w:tcPr>
            <w:tcW w:w="400" w:type="dxa"/>
            <w:vAlign w:val="bottom"/>
            <w:gridSpan w:val="9"/>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21.1</w:t>
            </w:r>
          </w:p>
        </w:tc>
        <w:tc>
          <w:tcPr>
            <w:tcW w:w="9860" w:type="dxa"/>
            <w:vAlign w:val="bottom"/>
            <w:tcBorders>
              <w:bottom w:val="single" w:sz="8" w:color="0000EE"/>
            </w:tcBorders>
            <w:gridSpan w:val="14"/>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List of Subsidiaries of the Registrant (incorporated by referenced to Exhibit 21.1 to our Annual Report on Form 10-K, for the year ended</w:t>
              </w:r>
            </w:hyperlink>
          </w:p>
        </w:tc>
        <w:tc>
          <w:tcPr>
            <w:tcW w:w="340" w:type="dxa"/>
            <w:vAlign w:val="bottom"/>
            <w:gridSpan w:val="8"/>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3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18">
              <w:r>
                <w:rPr>
                  <w:rFonts w:ascii="Arial" w:cs="Arial" w:eastAsia="Arial" w:hAnsi="Arial"/>
                  <w:sz w:val="18"/>
                  <w:szCs w:val="18"/>
                  <w:color w:val="0000EE"/>
                  <w:w w:val="89"/>
                </w:rPr>
                <w:t>February 1, 2020)</w:t>
              </w:r>
            </w:hyperlink>
          </w:p>
        </w:tc>
        <w:tc>
          <w:tcPr>
            <w:tcW w:w="8900" w:type="dxa"/>
            <w:vAlign w:val="bottom"/>
            <w:gridSpan w:val="20"/>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23.1</w:t>
            </w:r>
          </w:p>
        </w:tc>
        <w:tc>
          <w:tcPr>
            <w:tcW w:w="228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71">
              <w:r>
                <w:rPr>
                  <w:rFonts w:ascii="Arial" w:cs="Arial" w:eastAsia="Arial" w:hAnsi="Arial"/>
                  <w:sz w:val="18"/>
                  <w:szCs w:val="18"/>
                  <w:color w:val="0000EE"/>
                  <w:w w:val="92"/>
                </w:rPr>
                <w:t>Consent of Ernst &amp; Young LLP</w:t>
              </w:r>
            </w:hyperlink>
          </w:p>
        </w:tc>
        <w:tc>
          <w:tcPr>
            <w:tcW w:w="7920" w:type="dxa"/>
            <w:vAlign w:val="bottom"/>
            <w:gridSpan w:val="18"/>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0200" w:type="dxa"/>
            <w:vAlign w:val="bottom"/>
            <w:gridSpan w:val="22"/>
          </w:tcPr>
          <w:p>
            <w:pPr>
              <w:spacing w:after="0"/>
              <w:rPr>
                <w:rFonts w:ascii="Arial" w:cs="Arial" w:eastAsia="Arial" w:hAnsi="Arial"/>
                <w:sz w:val="18"/>
                <w:szCs w:val="18"/>
                <w:color w:val="0000EE"/>
                <w:w w:val="94"/>
              </w:rPr>
            </w:pPr>
            <w:hyperlink w:anchor="page72">
              <w:r>
                <w:rPr>
                  <w:rFonts w:ascii="Arial" w:cs="Arial" w:eastAsia="Arial" w:hAnsi="Arial"/>
                  <w:sz w:val="18"/>
                  <w:szCs w:val="18"/>
                  <w:color w:val="0000EE"/>
                  <w:w w:val="94"/>
                </w:rPr>
                <w:t>Rule 13a-14(a)/15d-14(a) certification (pursuant to Section 302 of the Sarbanes-Oxley Act of 2002, executed by the President and Chief</w:t>
              </w:r>
            </w:hyperlink>
          </w:p>
        </w:tc>
      </w:tr>
      <w:tr>
        <w:trPr>
          <w:trHeight w:val="196"/>
        </w:trPr>
        <w:tc>
          <w:tcPr>
            <w:tcW w:w="1020" w:type="dxa"/>
            <w:vAlign w:val="bottom"/>
          </w:tcPr>
          <w:p>
            <w:pPr>
              <w:spacing w:after="0"/>
              <w:rPr>
                <w:sz w:val="17"/>
                <w:szCs w:val="17"/>
                <w:color w:val="auto"/>
              </w:rPr>
            </w:pPr>
          </w:p>
        </w:tc>
        <w:tc>
          <w:tcPr>
            <w:tcW w:w="98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Executive Officer)</w:t>
              </w:r>
            </w:hyperlink>
          </w:p>
        </w:tc>
        <w:tc>
          <w:tcPr>
            <w:tcW w:w="400" w:type="dxa"/>
            <w:vAlign w:val="bottom"/>
            <w:gridSpan w:val="9"/>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920" w:type="dxa"/>
            <w:vAlign w:val="bottom"/>
            <w:gridSpan w:val="6"/>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10200" w:type="dxa"/>
            <w:vAlign w:val="bottom"/>
            <w:gridSpan w:val="22"/>
          </w:tcPr>
          <w:p>
            <w:pPr>
              <w:spacing w:after="0"/>
              <w:rPr>
                <w:rFonts w:ascii="Arial" w:cs="Arial" w:eastAsia="Arial" w:hAnsi="Arial"/>
                <w:sz w:val="18"/>
                <w:szCs w:val="18"/>
                <w:color w:val="0000EE"/>
                <w:w w:val="92"/>
              </w:rPr>
            </w:pPr>
            <w:hyperlink w:anchor="page73">
              <w:r>
                <w:rPr>
                  <w:rFonts w:ascii="Arial" w:cs="Arial" w:eastAsia="Arial" w:hAnsi="Arial"/>
                  <w:sz w:val="18"/>
                  <w:szCs w:val="18"/>
                  <w:color w:val="0000EE"/>
                  <w:w w:val="92"/>
                </w:rPr>
                <w:t>Rule 13a-14(a)/15d-14(a) certification (pursuant to Section 302 of the Sarbanes-Oxley Act of 2002, executed by the Chief Financial Officer)</w:t>
              </w:r>
            </w:hyperlink>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97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Section 1350 Certification (pursuant to Section 906 of the Sarbanes-Oxley Act of 2002, executed by the President and Chief Executive</w:t>
              </w:r>
            </w:hyperlink>
          </w:p>
        </w:tc>
        <w:tc>
          <w:tcPr>
            <w:tcW w:w="400" w:type="dxa"/>
            <w:vAlign w:val="bottom"/>
            <w:tcBorders>
              <w:top w:val="single" w:sz="8" w:color="0000EE"/>
            </w:tcBorders>
            <w:gridSpan w:val="7"/>
          </w:tcPr>
          <w:p>
            <w:pPr>
              <w:spacing w:after="0"/>
              <w:rPr>
                <w:sz w:val="24"/>
                <w:szCs w:val="24"/>
                <w:color w:val="auto"/>
              </w:rPr>
            </w:pPr>
          </w:p>
        </w:tc>
        <w:tc>
          <w:tcPr>
            <w:tcW w:w="8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74">
              <w:r>
                <w:rPr>
                  <w:rFonts w:ascii="Arial" w:cs="Arial" w:eastAsia="Arial" w:hAnsi="Arial"/>
                  <w:sz w:val="18"/>
                  <w:szCs w:val="18"/>
                  <w:color w:val="0000EE"/>
                  <w:w w:val="94"/>
                </w:rPr>
                <w:t>Officer)</w:t>
              </w:r>
            </w:hyperlink>
          </w:p>
        </w:tc>
        <w:tc>
          <w:tcPr>
            <w:tcW w:w="9620" w:type="dxa"/>
            <w:vAlign w:val="bottom"/>
            <w:gridSpan w:val="21"/>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10200" w:type="dxa"/>
            <w:vAlign w:val="bottom"/>
            <w:gridSpan w:val="22"/>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Section 1350 Certification (pursuant to Section 906 of the Sarbanes-Oxley Act of 2002, executed by the Chief Financial Officer)</w:t>
              </w:r>
            </w:hyperlink>
          </w:p>
        </w:tc>
      </w:tr>
      <w:tr>
        <w:trPr>
          <w:trHeight w:val="20"/>
        </w:trPr>
        <w:tc>
          <w:tcPr>
            <w:tcW w:w="1020" w:type="dxa"/>
            <w:vAlign w:val="bottom"/>
          </w:tcPr>
          <w:p>
            <w:pPr>
              <w:spacing w:after="0" w:line="20" w:lineRule="exact"/>
              <w:rPr>
                <w:sz w:val="1"/>
                <w:szCs w:val="1"/>
                <w:color w:val="auto"/>
              </w:rPr>
            </w:pPr>
          </w:p>
        </w:tc>
        <w:tc>
          <w:tcPr>
            <w:tcW w:w="9260" w:type="dxa"/>
            <w:vAlign w:val="bottom"/>
            <w:gridSpan w:val="9"/>
            <w:shd w:val="clear" w:color="auto" w:fill="0000EE"/>
          </w:tcPr>
          <w:p>
            <w:pPr>
              <w:spacing w:after="0" w:line="20" w:lineRule="exact"/>
              <w:rPr>
                <w:sz w:val="1"/>
                <w:szCs w:val="1"/>
                <w:color w:val="auto"/>
              </w:rPr>
            </w:pPr>
          </w:p>
        </w:tc>
        <w:tc>
          <w:tcPr>
            <w:tcW w:w="940" w:type="dxa"/>
            <w:vAlign w:val="bottom"/>
            <w:gridSpan w:val="13"/>
          </w:tcPr>
          <w:p>
            <w:pPr>
              <w:spacing w:after="0" w:line="20" w:lineRule="exact"/>
              <w:rPr>
                <w:sz w:val="1"/>
                <w:szCs w:val="1"/>
                <w:color w:val="auto"/>
              </w:rPr>
            </w:pPr>
          </w:p>
        </w:tc>
      </w:tr>
      <w:tr>
        <w:trPr>
          <w:trHeight w:val="438"/>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200" w:type="dxa"/>
            <w:vAlign w:val="bottom"/>
            <w:gridSpan w:val="22"/>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 are embedded</w:t>
            </w:r>
          </w:p>
        </w:tc>
      </w:tr>
      <w:tr>
        <w:trPr>
          <w:trHeight w:val="230"/>
        </w:trPr>
        <w:tc>
          <w:tcPr>
            <w:tcW w:w="1020" w:type="dxa"/>
            <w:vAlign w:val="bottom"/>
          </w:tcPr>
          <w:p>
            <w:pPr>
              <w:spacing w:after="0"/>
              <w:rPr>
                <w:sz w:val="20"/>
                <w:szCs w:val="20"/>
                <w:color w:val="auto"/>
              </w:rPr>
            </w:pPr>
          </w:p>
        </w:tc>
        <w:tc>
          <w:tcPr>
            <w:tcW w:w="10200" w:type="dxa"/>
            <w:vAlign w:val="bottom"/>
            <w:gridSpan w:val="22"/>
          </w:tcPr>
          <w:p>
            <w:pPr>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2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22"/>
          </w:tcPr>
          <w:p>
            <w:pPr>
              <w:spacing w:after="0"/>
              <w:rPr>
                <w:sz w:val="20"/>
                <w:szCs w:val="20"/>
                <w:color w:val="auto"/>
              </w:rPr>
            </w:pPr>
            <w:r>
              <w:rPr>
                <w:rFonts w:ascii="Arial" w:cs="Arial" w:eastAsia="Arial" w:hAnsi="Arial"/>
                <w:sz w:val="18"/>
                <w:szCs w:val="18"/>
                <w:color w:val="auto"/>
              </w:rPr>
              <w:t>Inline XBRL Extension Calculation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22"/>
          </w:tcPr>
          <w:p>
            <w:pPr>
              <w:spacing w:after="0"/>
              <w:rPr>
                <w:sz w:val="20"/>
                <w:szCs w:val="20"/>
                <w:color w:val="auto"/>
              </w:rPr>
            </w:pPr>
            <w:r>
              <w:rPr>
                <w:rFonts w:ascii="Arial" w:cs="Arial" w:eastAsia="Arial" w:hAnsi="Arial"/>
                <w:sz w:val="18"/>
                <w:szCs w:val="18"/>
                <w:color w:val="auto"/>
              </w:rPr>
              <w:t>Inline XBRL Extension Definition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22"/>
          </w:tcPr>
          <w:p>
            <w:pPr>
              <w:spacing w:after="0"/>
              <w:rPr>
                <w:sz w:val="20"/>
                <w:szCs w:val="20"/>
                <w:color w:val="auto"/>
              </w:rPr>
            </w:pPr>
            <w:r>
              <w:rPr>
                <w:rFonts w:ascii="Arial" w:cs="Arial" w:eastAsia="Arial" w:hAnsi="Arial"/>
                <w:sz w:val="18"/>
                <w:szCs w:val="18"/>
                <w:color w:val="auto"/>
              </w:rPr>
              <w:t>Inline XBRL Extension Label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22"/>
          </w:tcPr>
          <w:p>
            <w:pPr>
              <w:spacing w:after="0"/>
              <w:rPr>
                <w:sz w:val="20"/>
                <w:szCs w:val="20"/>
                <w:color w:val="auto"/>
              </w:rPr>
            </w:pPr>
            <w:r>
              <w:rPr>
                <w:rFonts w:ascii="Arial" w:cs="Arial" w:eastAsia="Arial" w:hAnsi="Arial"/>
                <w:sz w:val="18"/>
                <w:szCs w:val="18"/>
                <w:color w:val="auto"/>
              </w:rPr>
              <w:t>Inline XBRL Extension Presentation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0200" w:type="dxa"/>
            <w:vAlign w:val="bottom"/>
            <w:gridSpan w:val="22"/>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BUILD-A-BEAR WORKSHOP,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7400" w:type="dxa"/>
            <w:vAlign w:val="bottom"/>
            <w:gridSpan w:val="2"/>
          </w:tcPr>
          <w:p>
            <w:pPr>
              <w:ind w:left="2360"/>
              <w:spacing w:after="0"/>
              <w:rPr>
                <w:sz w:val="20"/>
                <w:szCs w:val="20"/>
                <w:color w:val="auto"/>
              </w:rPr>
            </w:pPr>
            <w:r>
              <w:rPr>
                <w:rFonts w:ascii="Arial" w:cs="Arial" w:eastAsia="Arial" w:hAnsi="Arial"/>
                <w:sz w:val="18"/>
                <w:szCs w:val="18"/>
                <w:color w:val="auto"/>
              </w:rPr>
              <w:t>(Registrant)</w:t>
            </w:r>
          </w:p>
        </w:tc>
      </w:tr>
      <w:tr>
        <w:trPr>
          <w:trHeight w:val="418"/>
        </w:trPr>
        <w:tc>
          <w:tcPr>
            <w:tcW w:w="3840" w:type="dxa"/>
            <w:vAlign w:val="bottom"/>
          </w:tcPr>
          <w:p>
            <w:pPr>
              <w:spacing w:after="0"/>
              <w:rPr>
                <w:sz w:val="20"/>
                <w:szCs w:val="20"/>
                <w:color w:val="auto"/>
              </w:rPr>
            </w:pPr>
            <w:r>
              <w:rPr>
                <w:rFonts w:ascii="Arial" w:cs="Arial" w:eastAsia="Arial" w:hAnsi="Arial"/>
                <w:sz w:val="18"/>
                <w:szCs w:val="18"/>
                <w:color w:val="auto"/>
              </w:rPr>
              <w:t>Date: April 14, 2022</w:t>
            </w:r>
          </w:p>
        </w:tc>
        <w:tc>
          <w:tcPr>
            <w:tcW w:w="2820" w:type="dxa"/>
            <w:vAlign w:val="bottom"/>
          </w:tcPr>
          <w:p>
            <w:pPr>
              <w:ind w:left="236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John</w:t>
            </w:r>
          </w:p>
        </w:tc>
      </w:tr>
      <w:tr>
        <w:trPr>
          <w:trHeight w:val="195"/>
        </w:trPr>
        <w:tc>
          <w:tcPr>
            <w:tcW w:w="38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Sharon John</w:t>
            </w:r>
          </w:p>
        </w:tc>
      </w:tr>
      <w:tr>
        <w:trPr>
          <w:trHeight w:val="230"/>
        </w:trPr>
        <w:tc>
          <w:tcPr>
            <w:tcW w:w="38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840" w:type="dxa"/>
            <w:vAlign w:val="bottom"/>
          </w:tcPr>
          <w:p>
            <w:pPr>
              <w:spacing w:after="0"/>
              <w:rPr>
                <w:sz w:val="24"/>
                <w:szCs w:val="24"/>
                <w:color w:val="auto"/>
              </w:rPr>
            </w:pPr>
          </w:p>
        </w:tc>
        <w:tc>
          <w:tcPr>
            <w:tcW w:w="2820" w:type="dxa"/>
            <w:vAlign w:val="bottom"/>
          </w:tcPr>
          <w:p>
            <w:pPr>
              <w:ind w:left="236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Voin Todorovic</w:t>
            </w:r>
          </w:p>
        </w:tc>
      </w:tr>
      <w:tr>
        <w:trPr>
          <w:trHeight w:val="195"/>
        </w:trPr>
        <w:tc>
          <w:tcPr>
            <w:tcW w:w="38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Voin Todorovic</w:t>
            </w:r>
          </w:p>
        </w:tc>
      </w:tr>
      <w:tr>
        <w:trPr>
          <w:trHeight w:val="230"/>
        </w:trPr>
        <w:tc>
          <w:tcPr>
            <w:tcW w:w="38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Sharon John and Voin Todorovic, and each of them, his or her true and lawful attorneys-in-fact and agents, with full power of substitution and resubstitution, for him or her and in his or her name, place and stead, in any and all capacities to sign the Annual Report on Form 10-K of Build-A-Bear Workshop, Inc. (the “Company”) for the fiscal year ended January 29, 2022 and any other documents and instruments incidental thereto, together with any and all amendments and supplements thereto, to enable the Company to comply with the Securities Act of 1934, as amended, and any rules, regulations and requirements of the Securities and Exchange Commission in respect thereof,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9" w:name="page70"/>
    <w:bookmarkEnd w:id="69"/>
    <w:p>
      <w:pPr>
        <w:ind w:right="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Signatures</w:t>
            </w:r>
          </w:p>
        </w:tc>
        <w:tc>
          <w:tcPr>
            <w:tcW w:w="120" w:type="dxa"/>
            <w:vAlign w:val="bottom"/>
          </w:tcPr>
          <w:p>
            <w:pPr>
              <w:spacing w:after="0"/>
              <w:rPr>
                <w:sz w:val="20"/>
                <w:szCs w:val="20"/>
                <w:color w:val="auto"/>
              </w:rPr>
            </w:pPr>
          </w:p>
        </w:tc>
        <w:tc>
          <w:tcPr>
            <w:tcW w:w="4500" w:type="dxa"/>
            <w:vAlign w:val="bottom"/>
            <w:tcBorders>
              <w:bottom w:val="single" w:sz="8" w:color="auto"/>
            </w:tcBorders>
          </w:tcPr>
          <w:p>
            <w:pPr>
              <w:ind w:left="208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Date</w:t>
            </w:r>
          </w:p>
        </w:tc>
      </w:tr>
      <w:tr>
        <w:trPr>
          <w:trHeight w:val="425"/>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Craig Leavitt</w:t>
            </w:r>
          </w:p>
        </w:tc>
        <w:tc>
          <w:tcPr>
            <w:tcW w:w="12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Non-Executive Chairman</w:t>
            </w:r>
          </w:p>
        </w:tc>
        <w:tc>
          <w:tcPr>
            <w:tcW w:w="100" w:type="dxa"/>
            <w:vAlign w:val="bottom"/>
          </w:tcPr>
          <w:p>
            <w:pPr>
              <w:spacing w:after="0"/>
              <w:rPr>
                <w:sz w:val="24"/>
                <w:szCs w:val="24"/>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April 14, 2022</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Craig Leavitt</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Maxine Clark</w:t>
            </w:r>
          </w:p>
        </w:tc>
        <w:tc>
          <w:tcPr>
            <w:tcW w:w="12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April 14, 2022</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Maxine Clark</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George Carrara</w:t>
            </w:r>
          </w:p>
        </w:tc>
        <w:tc>
          <w:tcPr>
            <w:tcW w:w="12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April 14, 2022</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George Carrara</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L. Dixon, Jr.</w:t>
            </w:r>
          </w:p>
        </w:tc>
        <w:tc>
          <w:tcPr>
            <w:tcW w:w="12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April 14, 2022</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Robert L. Dixon, Jr.</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Narayan Iyengar</w:t>
            </w:r>
          </w:p>
        </w:tc>
        <w:tc>
          <w:tcPr>
            <w:tcW w:w="120" w:type="dxa"/>
            <w:vAlign w:val="bottom"/>
          </w:tcPr>
          <w:p>
            <w:pPr>
              <w:spacing w:after="0"/>
              <w:rPr>
                <w:sz w:val="24"/>
                <w:szCs w:val="24"/>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April 14, 2022</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Narayan Iyengar</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Lesli Rotenberg</w:t>
            </w:r>
          </w:p>
        </w:tc>
        <w:tc>
          <w:tcPr>
            <w:tcW w:w="120" w:type="dxa"/>
            <w:vAlign w:val="bottom"/>
          </w:tcPr>
          <w:p>
            <w:pPr>
              <w:spacing w:after="0"/>
              <w:rPr>
                <w:sz w:val="24"/>
                <w:szCs w:val="24"/>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April 14, 2022</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Lesli Rotenberg</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280" w:type="dxa"/>
            <w:vAlign w:val="bottom"/>
            <w:gridSpan w:val="2"/>
          </w:tcPr>
          <w:p>
            <w:pPr>
              <w:spacing w:after="0"/>
              <w:rPr>
                <w:sz w:val="20"/>
                <w:szCs w:val="20"/>
                <w:color w:val="auto"/>
              </w:rPr>
            </w:pPr>
            <w:r>
              <w:rPr>
                <w:rFonts w:ascii="Arial" w:cs="Arial" w:eastAsia="Arial" w:hAnsi="Arial"/>
                <w:sz w:val="18"/>
                <w:szCs w:val="18"/>
                <w:color w:val="auto"/>
              </w:rPr>
              <w:t>/s/ Sharon John</w:t>
            </w:r>
          </w:p>
        </w:tc>
        <w:tc>
          <w:tcPr>
            <w:tcW w:w="120" w:type="dxa"/>
            <w:vAlign w:val="bottom"/>
          </w:tcPr>
          <w:p>
            <w:pPr>
              <w:spacing w:after="0"/>
              <w:rPr>
                <w:sz w:val="24"/>
                <w:szCs w:val="24"/>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Director and President and Chief Executive Officer</w:t>
            </w:r>
          </w:p>
        </w:tc>
        <w:tc>
          <w:tcPr>
            <w:tcW w:w="100" w:type="dxa"/>
            <w:vAlign w:val="bottom"/>
          </w:tcPr>
          <w:p>
            <w:pPr>
              <w:spacing w:after="0"/>
              <w:rPr>
                <w:sz w:val="24"/>
                <w:szCs w:val="24"/>
                <w:color w:val="auto"/>
              </w:rPr>
            </w:pPr>
          </w:p>
        </w:tc>
        <w:tc>
          <w:tcPr>
            <w:tcW w:w="2240" w:type="dxa"/>
            <w:vAlign w:val="bottom"/>
          </w:tcPr>
          <w:p>
            <w:pPr>
              <w:ind w:left="180"/>
              <w:spacing w:after="0"/>
              <w:rPr>
                <w:sz w:val="20"/>
                <w:szCs w:val="20"/>
                <w:color w:val="auto"/>
              </w:rPr>
            </w:pPr>
            <w:r>
              <w:rPr>
                <w:rFonts w:ascii="Arial" w:cs="Arial" w:eastAsia="Arial" w:hAnsi="Arial"/>
                <w:sz w:val="18"/>
                <w:szCs w:val="18"/>
                <w:color w:val="auto"/>
              </w:rPr>
              <w:t>April 14, 2022</w:t>
            </w:r>
          </w:p>
        </w:tc>
      </w:tr>
      <w:tr>
        <w:trPr>
          <w:trHeight w:val="224"/>
        </w:trPr>
        <w:tc>
          <w:tcPr>
            <w:tcW w:w="4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Sharon John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280" w:type="dxa"/>
            <w:vAlign w:val="bottom"/>
            <w:gridSpan w:val="2"/>
          </w:tcPr>
          <w:p>
            <w:pPr>
              <w:spacing w:after="0"/>
              <w:rPr>
                <w:sz w:val="20"/>
                <w:szCs w:val="20"/>
                <w:color w:val="auto"/>
              </w:rPr>
            </w:pPr>
            <w:r>
              <w:rPr>
                <w:rFonts w:ascii="Arial" w:cs="Arial" w:eastAsia="Arial" w:hAnsi="Arial"/>
                <w:sz w:val="18"/>
                <w:szCs w:val="18"/>
                <w:color w:val="auto"/>
              </w:rPr>
              <w:t>/s/ Voin Todorovic</w:t>
            </w:r>
          </w:p>
        </w:tc>
        <w:tc>
          <w:tcPr>
            <w:tcW w:w="120" w:type="dxa"/>
            <w:vAlign w:val="bottom"/>
          </w:tcPr>
          <w:p>
            <w:pPr>
              <w:spacing w:after="0"/>
              <w:rPr>
                <w:sz w:val="24"/>
                <w:szCs w:val="24"/>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24"/>
                <w:szCs w:val="24"/>
                <w:color w:val="auto"/>
              </w:rPr>
            </w:pPr>
          </w:p>
        </w:tc>
        <w:tc>
          <w:tcPr>
            <w:tcW w:w="2240" w:type="dxa"/>
            <w:vAlign w:val="bottom"/>
          </w:tcPr>
          <w:p>
            <w:pPr>
              <w:ind w:left="180"/>
              <w:spacing w:after="0"/>
              <w:rPr>
                <w:sz w:val="20"/>
                <w:szCs w:val="20"/>
                <w:color w:val="auto"/>
              </w:rPr>
            </w:pPr>
            <w:r>
              <w:rPr>
                <w:rFonts w:ascii="Arial" w:cs="Arial" w:eastAsia="Arial" w:hAnsi="Arial"/>
                <w:sz w:val="18"/>
                <w:szCs w:val="18"/>
                <w:color w:val="auto"/>
              </w:rPr>
              <w:t>April 14, 2022</w:t>
            </w:r>
          </w:p>
        </w:tc>
      </w:tr>
      <w:tr>
        <w:trPr>
          <w:trHeight w:val="224"/>
        </w:trPr>
        <w:tc>
          <w:tcPr>
            <w:tcW w:w="4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Voin Todorovic</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(Principal Financial and Accounting Officer)</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jc w:val="right"/>
              <w:ind w:right="309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line="25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Registration Statement (Form S-8 No. 333-120012) pertaining to the Build-A-Bear Workshop, Inc. 2000 Stock Option Plan, 2002 Stock Incentive Plan, 2004 Stock Incentive Plan and 2004 Associate Stock Purchase Plan;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Registration Statement (Form S-8 No. 333-159313) pertaining to the Build-A-Bear Workshop, Inc. Second Amended and Restated 2004 Stock Incentive Plan; and</w:t>
      </w:r>
    </w:p>
    <w:p>
      <w:pPr>
        <w:ind w:left="660" w:right="2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Registration Statement (Form S-8 No. 333-195925) pertaining to the Build-A-Bear Workshop, Inc. Third Amended and Restated 2004 Stock Incentive Plan;</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Registration Statement (Form S-8 No. 333-218034) pertaining to the Build-A-Bear Workshop, Inc. 2017 Omnibus Incentive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Registration Statement (Form S-8 No. 333-248716) pertaining to the Build-A-Bear Workshop, Inc 2020 Omnibus Incentive Plan;</w:t>
      </w:r>
    </w:p>
    <w:p>
      <w:pPr>
        <w:spacing w:after="0" w:line="211" w:lineRule="exact"/>
        <w:rPr>
          <w:sz w:val="20"/>
          <w:szCs w:val="20"/>
          <w:color w:val="auto"/>
        </w:rPr>
      </w:pPr>
    </w:p>
    <w:p>
      <w:pPr>
        <w:jc w:val="both"/>
        <w:ind w:left="140" w:right="120"/>
        <w:spacing w:after="0" w:line="286" w:lineRule="auto"/>
        <w:rPr>
          <w:sz w:val="20"/>
          <w:szCs w:val="20"/>
          <w:color w:val="auto"/>
        </w:rPr>
      </w:pPr>
      <w:r>
        <w:rPr>
          <w:rFonts w:ascii="Arial" w:cs="Arial" w:eastAsia="Arial" w:hAnsi="Arial"/>
          <w:sz w:val="17"/>
          <w:szCs w:val="17"/>
          <w:color w:val="auto"/>
        </w:rPr>
        <w:t>of our reports dated April 14, 2022, with respect to the consolidated financial statements of Build-A-Bear Workshop, Inc. and Subsidiaries and the effectiveness of internal control over financial reporting of Build-A-Bear Workshop, Inc. and Subsidiaries, included in this Annual Report (Form 10-K) for the year-ended January 29, 2022, and the financial statement schedule of Build-A-Bear Workshop, Inc. and Subsidiaries included herein.</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14, 2022</w:t>
      </w:r>
    </w:p>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5" w:lineRule="exact"/>
        <w:rPr>
          <w:sz w:val="20"/>
          <w:szCs w:val="20"/>
          <w:color w:val="auto"/>
        </w:rPr>
      </w:pPr>
    </w:p>
    <w:p>
      <w:pPr>
        <w:ind w:left="880" w:hanging="42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Build-A-Bear Workshop, Inc.;</w:t>
      </w:r>
    </w:p>
    <w:p>
      <w:pPr>
        <w:spacing w:after="0" w:line="225" w:lineRule="exact"/>
        <w:rPr>
          <w:rFonts w:ascii="Arial" w:cs="Arial" w:eastAsia="Arial" w:hAnsi="Arial"/>
          <w:sz w:val="18"/>
          <w:szCs w:val="18"/>
          <w:color w:val="auto"/>
        </w:rPr>
      </w:pPr>
    </w:p>
    <w:p>
      <w:pPr>
        <w:jc w:val="both"/>
        <w:ind w:left="880" w:hanging="427"/>
        <w:spacing w:after="0" w:line="263"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80" w:hanging="427"/>
        <w:spacing w:after="0" w:line="308"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hanging="427"/>
        <w:spacing w:after="0" w:line="291"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440"/>
        <w:spacing w:after="0" w:line="263" w:lineRule="auto"/>
        <w:tabs>
          <w:tab w:leader="none" w:pos="1709"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440"/>
        <w:spacing w:after="0" w:line="263" w:lineRule="auto"/>
        <w:tabs>
          <w:tab w:leader="none" w:pos="1696"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440"/>
        <w:spacing w:after="0" w:line="263" w:lineRule="auto"/>
        <w:tabs>
          <w:tab w:leader="none" w:pos="1691"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440"/>
        <w:spacing w:after="0" w:line="263" w:lineRule="auto"/>
        <w:tabs>
          <w:tab w:leader="none" w:pos="170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880" w:hanging="427"/>
        <w:spacing w:after="0" w:line="342"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spacing w:after="0" w:line="308" w:lineRule="auto"/>
        <w:tabs>
          <w:tab w:leader="none" w:pos="1688"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40"/>
        <w:spacing w:after="0" w:line="277" w:lineRule="auto"/>
        <w:tabs>
          <w:tab w:leader="none" w:pos="1712"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April 14, 2022</w:t>
            </w:r>
          </w:p>
        </w:tc>
        <w:tc>
          <w:tcPr>
            <w:tcW w:w="5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Sharon John</w:t>
            </w:r>
          </w:p>
        </w:tc>
      </w:tr>
      <w:tr>
        <w:trPr>
          <w:trHeight w:val="195"/>
        </w:trPr>
        <w:tc>
          <w:tcPr>
            <w:tcW w:w="5880" w:type="dxa"/>
            <w:vAlign w:val="bottom"/>
          </w:tcPr>
          <w:p>
            <w:pPr>
              <w:spacing w:after="0"/>
              <w:rPr>
                <w:sz w:val="16"/>
                <w:szCs w:val="16"/>
                <w:color w:val="auto"/>
              </w:rPr>
            </w:pPr>
          </w:p>
        </w:tc>
        <w:tc>
          <w:tcPr>
            <w:tcW w:w="5360" w:type="dxa"/>
            <w:vAlign w:val="bottom"/>
          </w:tcPr>
          <w:p>
            <w:pPr>
              <w:ind w:left="80"/>
              <w:spacing w:after="0" w:line="195" w:lineRule="exact"/>
              <w:rPr>
                <w:sz w:val="20"/>
                <w:szCs w:val="20"/>
                <w:color w:val="auto"/>
              </w:rPr>
            </w:pPr>
            <w:r>
              <w:rPr>
                <w:rFonts w:ascii="Arial" w:cs="Arial" w:eastAsia="Arial" w:hAnsi="Arial"/>
                <w:sz w:val="18"/>
                <w:szCs w:val="18"/>
                <w:color w:val="auto"/>
              </w:rPr>
              <w:t>Sharon John</w:t>
            </w:r>
          </w:p>
        </w:tc>
      </w:tr>
      <w:tr>
        <w:trPr>
          <w:trHeight w:val="216"/>
        </w:trPr>
        <w:tc>
          <w:tcPr>
            <w:tcW w:w="588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588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Build-A-Bear Workshop, Inc.</w:t>
            </w:r>
          </w:p>
        </w:tc>
      </w:tr>
      <w:tr>
        <w:trPr>
          <w:trHeight w:val="230"/>
        </w:trPr>
        <w:tc>
          <w:tcPr>
            <w:tcW w:w="5880" w:type="dxa"/>
            <w:vAlign w:val="bottom"/>
          </w:tcPr>
          <w:p>
            <w:pPr>
              <w:spacing w:after="0"/>
              <w:rPr>
                <w:sz w:val="20"/>
                <w:szCs w:val="20"/>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Voin Todorovic, certify that:</w:t>
      </w:r>
    </w:p>
    <w:p>
      <w:pPr>
        <w:spacing w:after="0" w:line="225" w:lineRule="exact"/>
        <w:rPr>
          <w:sz w:val="20"/>
          <w:szCs w:val="20"/>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Build-A-Bear Workshop, Inc.;</w:t>
      </w:r>
    </w:p>
    <w:p>
      <w:pPr>
        <w:spacing w:after="0" w:line="225" w:lineRule="exact"/>
        <w:rPr>
          <w:rFonts w:ascii="Arial" w:cs="Arial" w:eastAsia="Arial" w:hAnsi="Arial"/>
          <w:sz w:val="18"/>
          <w:szCs w:val="18"/>
          <w:color w:val="auto"/>
        </w:rPr>
      </w:pPr>
    </w:p>
    <w:p>
      <w:pPr>
        <w:jc w:val="both"/>
        <w:ind w:left="880" w:hanging="427"/>
        <w:spacing w:after="0" w:line="263"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80" w:hanging="427"/>
        <w:spacing w:after="0" w:line="308" w:lineRule="auto"/>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hanging="427"/>
        <w:spacing w:after="0" w:line="291" w:lineRule="auto"/>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440"/>
        <w:spacing w:after="0" w:line="263" w:lineRule="auto"/>
        <w:tabs>
          <w:tab w:leader="none" w:pos="1709"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440"/>
        <w:spacing w:after="0" w:line="263" w:lineRule="auto"/>
        <w:tabs>
          <w:tab w:leader="none" w:pos="1696"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440"/>
        <w:spacing w:after="0" w:line="263" w:lineRule="auto"/>
        <w:tabs>
          <w:tab w:leader="none" w:pos="1691"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440"/>
        <w:spacing w:after="0" w:line="263" w:lineRule="auto"/>
        <w:tabs>
          <w:tab w:leader="none" w:pos="170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880" w:hanging="427"/>
        <w:spacing w:after="0" w:line="342" w:lineRule="auto"/>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spacing w:after="0" w:line="308" w:lineRule="auto"/>
        <w:tabs>
          <w:tab w:leader="none" w:pos="1688"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40"/>
        <w:spacing w:after="0" w:line="277" w:lineRule="auto"/>
        <w:tabs>
          <w:tab w:leader="none" w:pos="1712"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April 14, 2022</w:t>
            </w:r>
          </w:p>
        </w:tc>
        <w:tc>
          <w:tcPr>
            <w:tcW w:w="5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Voin Todorovic</w:t>
            </w:r>
          </w:p>
        </w:tc>
      </w:tr>
      <w:tr>
        <w:trPr>
          <w:trHeight w:val="195"/>
        </w:trPr>
        <w:tc>
          <w:tcPr>
            <w:tcW w:w="5880" w:type="dxa"/>
            <w:vAlign w:val="bottom"/>
          </w:tcPr>
          <w:p>
            <w:pPr>
              <w:spacing w:after="0"/>
              <w:rPr>
                <w:sz w:val="16"/>
                <w:szCs w:val="16"/>
                <w:color w:val="auto"/>
              </w:rPr>
            </w:pPr>
          </w:p>
        </w:tc>
        <w:tc>
          <w:tcPr>
            <w:tcW w:w="5360" w:type="dxa"/>
            <w:vAlign w:val="bottom"/>
          </w:tcPr>
          <w:p>
            <w:pPr>
              <w:ind w:left="60"/>
              <w:spacing w:after="0" w:line="195" w:lineRule="exact"/>
              <w:rPr>
                <w:sz w:val="20"/>
                <w:szCs w:val="20"/>
                <w:color w:val="auto"/>
              </w:rPr>
            </w:pPr>
            <w:r>
              <w:rPr>
                <w:rFonts w:ascii="Arial" w:cs="Arial" w:eastAsia="Arial" w:hAnsi="Arial"/>
                <w:sz w:val="18"/>
                <w:szCs w:val="18"/>
                <w:color w:val="auto"/>
              </w:rPr>
              <w:t>Voin Todorovic</w:t>
            </w:r>
          </w:p>
        </w:tc>
      </w:tr>
      <w:tr>
        <w:trPr>
          <w:trHeight w:val="216"/>
        </w:trPr>
        <w:tc>
          <w:tcPr>
            <w:tcW w:w="588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216"/>
        </w:trPr>
        <w:tc>
          <w:tcPr>
            <w:tcW w:w="588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Build-A-Bear Workshop, Inc.</w:t>
            </w:r>
          </w:p>
        </w:tc>
      </w:tr>
      <w:tr>
        <w:trPr>
          <w:trHeight w:val="230"/>
        </w:trPr>
        <w:tc>
          <w:tcPr>
            <w:tcW w:w="5880" w:type="dxa"/>
            <w:vAlign w:val="bottom"/>
          </w:tcPr>
          <w:p>
            <w:pPr>
              <w:spacing w:after="0"/>
              <w:rPr>
                <w:sz w:val="20"/>
                <w:szCs w:val="20"/>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connection with the Annual Report of Build-A-Bear Workshop, Inc. (the “Company”) on Form 10-K for the period ended January 29, 2022 as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Date: April 14, 2022</w:t>
            </w:r>
          </w:p>
        </w:tc>
        <w:tc>
          <w:tcPr>
            <w:tcW w:w="5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Sharon John</w:t>
            </w:r>
          </w:p>
        </w:tc>
      </w:tr>
      <w:tr>
        <w:trPr>
          <w:trHeight w:val="195"/>
        </w:trPr>
        <w:tc>
          <w:tcPr>
            <w:tcW w:w="5880" w:type="dxa"/>
            <w:vAlign w:val="bottom"/>
          </w:tcPr>
          <w:p>
            <w:pPr>
              <w:spacing w:after="0"/>
              <w:rPr>
                <w:sz w:val="16"/>
                <w:szCs w:val="16"/>
                <w:color w:val="auto"/>
              </w:rPr>
            </w:pPr>
          </w:p>
        </w:tc>
        <w:tc>
          <w:tcPr>
            <w:tcW w:w="5360" w:type="dxa"/>
            <w:vAlign w:val="bottom"/>
          </w:tcPr>
          <w:p>
            <w:pPr>
              <w:ind w:left="60"/>
              <w:spacing w:after="0" w:line="195" w:lineRule="exact"/>
              <w:rPr>
                <w:sz w:val="20"/>
                <w:szCs w:val="20"/>
                <w:color w:val="auto"/>
              </w:rPr>
            </w:pPr>
            <w:r>
              <w:rPr>
                <w:rFonts w:ascii="Arial" w:cs="Arial" w:eastAsia="Arial" w:hAnsi="Arial"/>
                <w:sz w:val="18"/>
                <w:szCs w:val="18"/>
                <w:color w:val="auto"/>
              </w:rPr>
              <w:t>Sharon John</w:t>
            </w:r>
          </w:p>
        </w:tc>
      </w:tr>
      <w:tr>
        <w:trPr>
          <w:trHeight w:val="216"/>
        </w:trPr>
        <w:tc>
          <w:tcPr>
            <w:tcW w:w="588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588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Build-A-Bear Workshop, Inc.</w:t>
            </w:r>
          </w:p>
        </w:tc>
      </w:tr>
      <w:tr>
        <w:trPr>
          <w:trHeight w:val="230"/>
        </w:trPr>
        <w:tc>
          <w:tcPr>
            <w:tcW w:w="5880" w:type="dxa"/>
            <w:vAlign w:val="bottom"/>
          </w:tcPr>
          <w:p>
            <w:pPr>
              <w:spacing w:after="0"/>
              <w:rPr>
                <w:sz w:val="20"/>
                <w:szCs w:val="20"/>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20" w:firstLine="441"/>
        <w:spacing w:after="0" w:line="259" w:lineRule="auto"/>
        <w:rPr>
          <w:sz w:val="20"/>
          <w:szCs w:val="20"/>
          <w:color w:val="auto"/>
        </w:rPr>
      </w:pPr>
      <w:r>
        <w:rPr>
          <w:rFonts w:ascii="Arial" w:cs="Arial" w:eastAsia="Arial" w:hAnsi="Arial"/>
          <w:sz w:val="18"/>
          <w:szCs w:val="18"/>
          <w:color w:val="auto"/>
        </w:rPr>
        <w:t>In connection with the Annual Report of Build-A-Bear Workshop, Inc. (the “Company”) on Form 10-K for the period ended January 29, 2022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Date: April 14, 2022</w:t>
            </w:r>
          </w:p>
        </w:tc>
        <w:tc>
          <w:tcPr>
            <w:tcW w:w="5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Voin Todorovic</w:t>
            </w:r>
          </w:p>
        </w:tc>
      </w:tr>
      <w:tr>
        <w:trPr>
          <w:trHeight w:val="195"/>
        </w:trPr>
        <w:tc>
          <w:tcPr>
            <w:tcW w:w="5880" w:type="dxa"/>
            <w:vAlign w:val="bottom"/>
          </w:tcPr>
          <w:p>
            <w:pPr>
              <w:spacing w:after="0"/>
              <w:rPr>
                <w:sz w:val="16"/>
                <w:szCs w:val="16"/>
                <w:color w:val="auto"/>
              </w:rPr>
            </w:pPr>
          </w:p>
        </w:tc>
        <w:tc>
          <w:tcPr>
            <w:tcW w:w="5360" w:type="dxa"/>
            <w:vAlign w:val="bottom"/>
          </w:tcPr>
          <w:p>
            <w:pPr>
              <w:ind w:left="80"/>
              <w:spacing w:after="0" w:line="195" w:lineRule="exact"/>
              <w:rPr>
                <w:sz w:val="20"/>
                <w:szCs w:val="20"/>
                <w:color w:val="auto"/>
              </w:rPr>
            </w:pPr>
            <w:r>
              <w:rPr>
                <w:rFonts w:ascii="Arial" w:cs="Arial" w:eastAsia="Arial" w:hAnsi="Arial"/>
                <w:sz w:val="18"/>
                <w:szCs w:val="18"/>
                <w:color w:val="auto"/>
              </w:rPr>
              <w:t>Voin Todorovic</w:t>
            </w:r>
          </w:p>
        </w:tc>
      </w:tr>
      <w:tr>
        <w:trPr>
          <w:trHeight w:val="216"/>
        </w:trPr>
        <w:tc>
          <w:tcPr>
            <w:tcW w:w="588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r>
        <w:trPr>
          <w:trHeight w:val="216"/>
        </w:trPr>
        <w:tc>
          <w:tcPr>
            <w:tcW w:w="588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Build-A-Bear Workshop, Inc.</w:t>
            </w:r>
          </w:p>
        </w:tc>
      </w:tr>
      <w:tr>
        <w:trPr>
          <w:trHeight w:val="230"/>
        </w:trPr>
        <w:tc>
          <w:tcPr>
            <w:tcW w:w="5880" w:type="dxa"/>
            <w:vAlign w:val="bottom"/>
          </w:tcPr>
          <w:p>
            <w:pPr>
              <w:spacing w:after="0"/>
              <w:rPr>
                <w:sz w:val="20"/>
                <w:szCs w:val="20"/>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lvl w:ilvl="1">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2"/>
    </w:lvl>
  </w:abstractNum>
  <w:abstractNum w:abstractNumId="19">
    <w:nsid w:val="2CA88611"/>
    <w:multiLevelType w:val="hybridMultilevel"/>
    <w:lvl w:ilvl="0">
      <w:lvlJc w:val="left"/>
      <w:lvlText w:val="(%1)"/>
      <w:numFmt w:val="decimal"/>
      <w:start w:val="3"/>
    </w:lvl>
  </w:abstractNum>
  <w:abstractNum w:abstractNumId="20">
    <w:nsid w:val="836C40E"/>
    <w:multiLevelType w:val="hybridMultilevel"/>
    <w:lvl w:ilvl="0">
      <w:lvlJc w:val="left"/>
      <w:lvlText w:val="(%1)"/>
      <w:numFmt w:val="decimal"/>
      <w:start w:val="4"/>
    </w:lvl>
  </w:abstractNum>
  <w:abstractNum w:abstractNumId="21">
    <w:nsid w:val="2901D82"/>
    <w:multiLevelType w:val="hybridMultilevel"/>
    <w:lvl w:ilvl="0">
      <w:lvlJc w:val="left"/>
      <w:lvlText w:val="(%1)"/>
      <w:numFmt w:val="decimal"/>
      <w:start w:val="5"/>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7"/>
    </w:lvl>
  </w:abstractNum>
  <w:abstractNum w:abstractNumId="25">
    <w:nsid w:val="7C3DBD3D"/>
    <w:multiLevelType w:val="hybridMultilevel"/>
    <w:lvl w:ilvl="0">
      <w:lvlJc w:val="left"/>
      <w:lvlText w:val="(%1)"/>
      <w:numFmt w:val="decimal"/>
      <w:start w:val="8"/>
    </w:lvl>
  </w:abstractNum>
  <w:abstractNum w:abstractNumId="26">
    <w:nsid w:val="737B8DDC"/>
    <w:multiLevelType w:val="hybridMultilevel"/>
    <w:lvl w:ilvl="0">
      <w:lvlJc w:val="left"/>
      <w:lvlText w:val="(%1)"/>
      <w:numFmt w:val="decimal"/>
      <w:start w:val="9"/>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lowerLetter"/>
      <w:start w:val="2"/>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119" Type="http://schemas.openxmlformats.org/officeDocument/2006/relationships/image" Target="media/image78.png"/><Relationship Id="rId120" Type="http://schemas.openxmlformats.org/officeDocument/2006/relationships/image" Target="media/image79.png"/><Relationship Id="rId85" Type="http://schemas.openxmlformats.org/officeDocument/2006/relationships/hyperlink" Target="http://www.sec.gov/Archives/edgar/data/1113809/000095013704006634/c86750exv2w1.txt" TargetMode="External"/><Relationship Id="rId86" Type="http://schemas.openxmlformats.org/officeDocument/2006/relationships/hyperlink" Target="http://www.sec.gov/Archives/edgar/data/1113809/000095013804000748/exh3-1.htm" TargetMode="External"/><Relationship Id="rId87" Type="http://schemas.openxmlformats.org/officeDocument/2006/relationships/hyperlink" Target="http://www.sec.gov/Archives/edgar/data/1113809/000115752318000029/a51738867_ex31.htm" TargetMode="External"/><Relationship Id="rId88" Type="http://schemas.openxmlformats.org/officeDocument/2006/relationships/hyperlink" Target="http://www.sec.gov/Archives/edgar/data/1113809/000095013704008227/c86750a3exv4w1.txt" TargetMode="External"/><Relationship Id="rId89" Type="http://schemas.openxmlformats.org/officeDocument/2006/relationships/hyperlink" Target="http://www.sec.gov/Archives/edgar/data/1113809/000143774921009026/ex_221494.htm" TargetMode="External"/><Relationship Id="rId90" Type="http://schemas.openxmlformats.org/officeDocument/2006/relationships/hyperlink" Target="http://www.sec.gov/Archives/edgar/data/1113809/000095013806000595/exh10-1.htm" TargetMode="External"/><Relationship Id="rId91" Type="http://schemas.openxmlformats.org/officeDocument/2006/relationships/hyperlink" Target="http://www.sec.gov/Archives/edgar/data/1113809/000119312509113997/dex991.htm" TargetMode="External"/><Relationship Id="rId92" Type="http://schemas.openxmlformats.org/officeDocument/2006/relationships/hyperlink" Target="http://www.sec.gov/Archives/edgar/data/1113809/000143774914008741/ex10-1.htm" TargetMode="External"/><Relationship Id="rId93" Type="http://schemas.openxmlformats.org/officeDocument/2006/relationships/hyperlink" Target="http://www.sec.gov/Archives/edgar/data/1113809/000143774914008741/ex10-2.htm" TargetMode="External"/><Relationship Id="rId94" Type="http://schemas.openxmlformats.org/officeDocument/2006/relationships/hyperlink" Target="http://www.sec.gov/Archives/edgar/data/1113809/000143774915005657/ex10-1.htm" TargetMode="External"/><Relationship Id="rId95" Type="http://schemas.openxmlformats.org/officeDocument/2006/relationships/hyperlink" Target="http://www.sec.gov/Archives/edgar/data/1113809/000143774916027470/ex10-7.htm" TargetMode="External"/><Relationship Id="rId96" Type="http://schemas.openxmlformats.org/officeDocument/2006/relationships/hyperlink" Target="http://www.sec.gov/Archives/edgar/data/1113809/000143774917004631/ex10-1.11.htm" TargetMode="External"/><Relationship Id="rId97" Type="http://schemas.openxmlformats.org/officeDocument/2006/relationships/hyperlink" Target="http://www.sec.gov/Archives/edgar/data/1113809/000143774917004827/ex10-2.htm" TargetMode="External"/><Relationship Id="rId98" Type="http://schemas.openxmlformats.org/officeDocument/2006/relationships/hyperlink" Target="http://www.sec.gov/Archives/edgar/data/1113809/000143774917008832/ex10-1.htm" TargetMode="External"/><Relationship Id="rId99" Type="http://schemas.openxmlformats.org/officeDocument/2006/relationships/hyperlink" Target="http://www.sec.gov/Archives/edgar/data/1113809/000143774918005168/ex_108426.htm" TargetMode="External"/><Relationship Id="rId100" Type="http://schemas.openxmlformats.org/officeDocument/2006/relationships/hyperlink" Target="http://www.sec.gov/Archives/edgar/data/1113809/000143774919007569/ex_141145.htm" TargetMode="External"/><Relationship Id="rId101" Type="http://schemas.openxmlformats.org/officeDocument/2006/relationships/hyperlink" Target="http://www.sec.gov/Archives/edgar/data/1113809/000143774919007569/ex_141146.htm" TargetMode="External"/><Relationship Id="rId102" Type="http://schemas.openxmlformats.org/officeDocument/2006/relationships/hyperlink" Target="http://www.sec.gov/Archives/edgar/data/1113809/000143774920020994/ex_206434.htm" TargetMode="External"/><Relationship Id="rId103" Type="http://schemas.openxmlformats.org/officeDocument/2006/relationships/hyperlink" Target="http://www.sec.gov/Archives/edgar/data/1113809/000143774920020994/ex_206435.htm" TargetMode="External"/><Relationship Id="rId104" Type="http://schemas.openxmlformats.org/officeDocument/2006/relationships/hyperlink" Target="http://www.sec.gov/Archives/edgar/data/1113809/000143774920020994/ex_206436.htm" TargetMode="External"/><Relationship Id="rId105" Type="http://schemas.openxmlformats.org/officeDocument/2006/relationships/hyperlink" Target="http://www.sec.gov/Archives/edgar/data/1113809/000143774921009143/ex_241550.htm" TargetMode="External"/><Relationship Id="rId106" Type="http://schemas.openxmlformats.org/officeDocument/2006/relationships/hyperlink" Target="http://www.sec.gov/Archives/edgar/data/1113809/000143774921009143/ex_241551.htm" TargetMode="External"/><Relationship Id="rId107" Type="http://schemas.openxmlformats.org/officeDocument/2006/relationships/hyperlink" Target="http://www.sec.gov/Archives/edgar/data/1113809/000095013707003883/n13023exv10w42.htm" TargetMode="External"/><Relationship Id="rId108" Type="http://schemas.openxmlformats.org/officeDocument/2006/relationships/hyperlink" Target="http://www.sec.gov/Archives/edgar/data/1113809/000143774916027470/ex10-1.htm" TargetMode="External"/><Relationship Id="rId109" Type="http://schemas.openxmlformats.org/officeDocument/2006/relationships/hyperlink" Target="http://www.sec.gov/Archives/edgar/data/1113809/000143774916027470/ex10-2.htm" TargetMode="External"/><Relationship Id="rId110" Type="http://schemas.openxmlformats.org/officeDocument/2006/relationships/hyperlink" Target="http://www.sec.gov/Archives/edgar/data/1113809/000143774916027470/ex10-3.htm" TargetMode="External"/><Relationship Id="rId111" Type="http://schemas.openxmlformats.org/officeDocument/2006/relationships/hyperlink" Target="http://www.sec.gov/Archives/edgar/data/1113809/000143774916027470/ex10-4.htm" TargetMode="External"/><Relationship Id="rId112" Type="http://schemas.openxmlformats.org/officeDocument/2006/relationships/hyperlink" Target="http://www.sec.gov/Archives/edgar/data/1113809/000143774916027470/ex10-5.htm" TargetMode="External"/><Relationship Id="rId113" Type="http://schemas.openxmlformats.org/officeDocument/2006/relationships/hyperlink" Target="http://www.sec.gov/Archives/edgar/data/1113809/000095013704006634/c86750exv10w11.txt" TargetMode="External"/><Relationship Id="rId114" Type="http://schemas.openxmlformats.org/officeDocument/2006/relationships/hyperlink" Target="http://www.sec.gov/Archives/edgar/data/1113809/000143774920019030/ex_201997.htm" TargetMode="External"/><Relationship Id="rId115" Type="http://schemas.openxmlformats.org/officeDocument/2006/relationships/hyperlink" Target="http://www.sec.gov/Archives/edgar/data/1113809/000143774921029063/ex_318451.htm" TargetMode="External"/><Relationship Id="rId116" Type="http://schemas.openxmlformats.org/officeDocument/2006/relationships/hyperlink" Target="http://www.sec.gov/Archives/edgar/data/1113809/000095013706003138/c02747exv10w35.htm" TargetMode="External"/><Relationship Id="rId117" Type="http://schemas.openxmlformats.org/officeDocument/2006/relationships/hyperlink" Target="http://www.sec.gov/Archives/edgar/data/1113809/000095013706003138/c02747exv10w36.htm" TargetMode="External"/><Relationship Id="rId118" Type="http://schemas.openxmlformats.org/officeDocument/2006/relationships/hyperlink" Target="http://www.sec.gov/Archives/edgar/data/1113809/000143774920007818/ex_17988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2022-04-14T15:15:58Z</dcterms:created>
  <dcterms:modified xsi:type="dcterms:W3CDTF">2022-04-14T15:15:58Z</dcterms:modified>
</cp:coreProperties>
</file>