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bbw20210709_10q.htm"/>
      <w:bookmarkStart w:id="1" w:name="ksbbw20210709_10q"/>
      <w:bookmarkEnd w:id="0"/>
      <w:bookmarkEnd w:id="1"/>
      <w:r>
        <w:rPr/>
        <w:t xml:space="preserve">  </w:t>
      </w:r>
    </w:p>
    <w:p>
      <w:pPr>
        <w:pStyle w:val="TextBody"/>
        <w:rPr/>
      </w:pPr>
      <w:r>
        <w:rPr/>
        <w:t xml:space="preserve">  </w:t>
      </w:r>
    </w:p>
    <w:p>
      <w:pPr>
        <w:pStyle w:val="TextBody"/>
        <w:jc w:val="right"/>
        <w:rPr>
          <w:rFonts w:ascii="Times New Roman;Times;serif" w:hAnsi="Times New Roman;Times;serif"/>
          <w:b/>
          <w:sz w:val="20"/>
        </w:rPr>
      </w:pPr>
      <w:r>
        <w:rPr>
          <w:rFonts w:ascii="Times New Roman;Times;serif" w:hAnsi="Times New Roman;Times;serif"/>
          <w:b/>
          <w:sz w:val="20"/>
        </w:rPr>
        <w:t>FORM 10-Q</w:t>
      </w:r>
    </w:p>
    <w:p>
      <w:pPr>
        <w:pStyle w:val="TextBody"/>
        <w:jc w:val="right"/>
        <w:rPr/>
      </w:pPr>
      <w:r>
        <w:rPr/>
        <w:t> </w:t>
      </w:r>
    </w:p>
    <w:p>
      <w:pPr>
        <w:pStyle w:val="HorizontalLine"/>
        <w:rPr/>
      </w:pPr>
      <w:r>
        <w:rPr/>
      </w:r>
    </w:p>
    <w:p>
      <w:pPr>
        <w:pStyle w:val="HorizontalLine"/>
        <w:rPr/>
      </w:pPr>
      <w:r>
        <w:rPr/>
      </w:r>
    </w:p>
    <w:p>
      <w:pPr>
        <w:pStyle w:val="TextBody"/>
        <w:spacing w:before="0" w:after="0"/>
        <w:ind w:left="0" w:right="0" w:hanging="0"/>
        <w:rPr/>
      </w:pPr>
      <w:r>
        <w:rPr/>
        <w:t> </w:t>
      </w:r>
    </w:p>
    <w:p>
      <w:pPr>
        <w:pStyle w:val="TextBody"/>
        <w:spacing w:before="0" w:after="0"/>
        <w:ind w:left="0" w:right="0" w:hanging="0"/>
        <w:jc w:val="center"/>
        <w:rPr>
          <w:rFonts w:ascii="Times New Roman;Times;serif" w:hAnsi="Times New Roman;Times;serif"/>
          <w:b/>
          <w:sz w:val="36"/>
        </w:rPr>
      </w:pPr>
      <w:r>
        <w:rPr>
          <w:rFonts w:ascii="Times New Roman;Times;serif" w:hAnsi="Times New Roman;Times;serif"/>
          <w:b/>
          <w:sz w:val="36"/>
        </w:rPr>
        <w:t xml:space="preserve">UNITED STATES </w:t>
      </w:r>
    </w:p>
    <w:p>
      <w:pPr>
        <w:pStyle w:val="TextBody"/>
        <w:spacing w:before="0" w:after="0"/>
        <w:ind w:left="0" w:right="0" w:hanging="0"/>
        <w:jc w:val="center"/>
        <w:rPr>
          <w:rFonts w:ascii="Times New Roman;Times;serif" w:hAnsi="Times New Roman;Times;serif"/>
          <w:b/>
          <w:sz w:val="36"/>
        </w:rPr>
      </w:pPr>
      <w:r>
        <w:rPr>
          <w:rFonts w:ascii="Times New Roman;Times;serif" w:hAnsi="Times New Roman;Times;serif"/>
          <w:b/>
          <w:sz w:val="36"/>
        </w:rPr>
        <w:t xml:space="preserve">SECURITIES AND EXCHANGE COMMISSION </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WASHINGTON, DC 20549 </w:t>
      </w:r>
    </w:p>
    <w:p>
      <w:pPr>
        <w:pStyle w:val="TextBody"/>
        <w:spacing w:before="0" w:after="0"/>
        <w:ind w:left="0" w:right="0" w:hanging="0"/>
        <w:jc w:val="center"/>
        <w:rPr/>
      </w:pPr>
      <w:r>
        <w:rPr/>
        <w:t> </w:t>
      </w:r>
    </w:p>
    <w:p>
      <w:pPr>
        <w:pStyle w:val="HorizontalLine"/>
        <w:rPr/>
      </w:pPr>
      <w:r>
        <w:rPr/>
      </w:r>
    </w:p>
    <w:p>
      <w:pPr>
        <w:pStyle w:val="TextBody"/>
        <w:spacing w:before="0" w:after="0"/>
        <w:ind w:left="0" w:right="0" w:hanging="0"/>
        <w:rPr/>
      </w:pPr>
      <w:r>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Times;serif" w:hAnsi="Times New Roman;Times;serif"/>
          <w:b/>
          <w:sz w:val="36"/>
        </w:rPr>
      </w:pPr>
      <w:r>
        <w:rPr>
          <w:rFonts w:ascii="Times New Roman;Times;serif" w:hAnsi="Times New Roman;Times;serif"/>
          <w:b/>
          <w:sz w:val="36"/>
        </w:rPr>
        <w:t xml:space="preserve">FORM 10-Q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HorizontalLine"/>
        <w:rPr/>
      </w:pPr>
      <w:r>
        <w:rPr/>
      </w:r>
    </w:p>
    <w:p>
      <w:pPr>
        <w:pStyle w:val="TextBody"/>
        <w:spacing w:before="0" w:after="0"/>
        <w:ind w:left="0" w:right="0" w:hanging="0"/>
        <w:rPr/>
      </w:pPr>
      <w:r>
        <w:rPr/>
        <w:t> </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 xml:space="preserve">(Mark One) </w:t>
      </w:r>
    </w:p>
    <w:tbl>
      <w:tblPr>
        <w:tblW w:w="7645" w:type="dxa"/>
        <w:jc w:val="left"/>
        <w:tblInd w:w="0" w:type="dxa"/>
        <w:tblCellMar>
          <w:top w:w="0" w:type="dxa"/>
          <w:left w:w="0" w:type="dxa"/>
          <w:bottom w:w="0" w:type="dxa"/>
          <w:right w:w="0" w:type="dxa"/>
        </w:tblCellMar>
      </w:tblPr>
      <w:tblGrid>
        <w:gridCol w:w="230"/>
        <w:gridCol w:w="7415"/>
      </w:tblGrid>
      <w:tr>
        <w:trPr/>
        <w:tc>
          <w:tcPr>
            <w:tcW w:w="230" w:type="dxa"/>
            <w:tcBorders/>
            <w:shd w:fill="auto" w:val="clear"/>
            <w:vAlign w:val="center"/>
          </w:tcPr>
          <w:p>
            <w:pPr>
              <w:pStyle w:val="TableContents"/>
              <w:spacing w:before="0" w:after="0"/>
              <w:ind w:left="0" w:right="0" w:hanging="0"/>
              <w:jc w:val="left"/>
              <w:rPr/>
            </w:pPr>
            <w:r>
              <w:rPr/>
              <w:t>☒</w:t>
            </w:r>
          </w:p>
        </w:tc>
        <w:tc>
          <w:tcPr>
            <w:tcW w:w="7415" w:type="dxa"/>
            <w:tcBorders/>
            <w:shd w:fill="auto" w:val="clear"/>
            <w:vAlign w:val="center"/>
          </w:tcPr>
          <w:p>
            <w:pPr>
              <w:pStyle w:val="TableContents"/>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Quarterly report pursuant to Section 13 or 15(d) of the Securities Exchange Act of 1934 </w:t>
            </w:r>
          </w:p>
        </w:tc>
      </w:tr>
      <w:tr>
        <w:trPr/>
        <w:tc>
          <w:tcPr>
            <w:tcW w:w="230" w:type="dxa"/>
            <w:tcBorders/>
            <w:shd w:fill="auto" w:val="clear"/>
            <w:vAlign w:val="center"/>
          </w:tcPr>
          <w:p>
            <w:pPr>
              <w:pStyle w:val="TableContents"/>
              <w:spacing w:before="0" w:after="0"/>
              <w:ind w:left="0" w:right="0" w:hanging="0"/>
              <w:jc w:val="left"/>
              <w:rPr/>
            </w:pPr>
            <w:r>
              <w:rPr/>
              <w:t> </w:t>
            </w:r>
          </w:p>
        </w:tc>
        <w:tc>
          <w:tcPr>
            <w:tcW w:w="7415" w:type="dxa"/>
            <w:tcBorders/>
            <w:shd w:fill="auto" w:val="clear"/>
            <w:vAlign w:val="center"/>
          </w:tcPr>
          <w:p>
            <w:pPr>
              <w:pStyle w:val="TableContents"/>
              <w:spacing w:before="0" w:after="0"/>
              <w:ind w:left="0" w:right="0" w:hanging="0"/>
              <w:jc w:val="left"/>
              <w:rPr/>
            </w:pPr>
            <w:r>
              <w:rPr/>
              <w:t> </w:t>
            </w:r>
          </w:p>
        </w:tc>
      </w:tr>
      <w:tr>
        <w:trPr/>
        <w:tc>
          <w:tcPr>
            <w:tcW w:w="230" w:type="dxa"/>
            <w:tcBorders/>
            <w:shd w:fill="auto" w:val="clear"/>
            <w:vAlign w:val="center"/>
          </w:tcPr>
          <w:p>
            <w:pPr>
              <w:pStyle w:val="TableContents"/>
              <w:spacing w:before="0" w:after="0"/>
              <w:ind w:left="0" w:right="0" w:hanging="0"/>
              <w:jc w:val="left"/>
              <w:rPr/>
            </w:pPr>
            <w:r>
              <w:rPr/>
              <w:t> </w:t>
            </w:r>
          </w:p>
        </w:tc>
        <w:tc>
          <w:tcPr>
            <w:tcW w:w="7415" w:type="dxa"/>
            <w:tcBorders/>
            <w:shd w:fill="auto" w:val="clear"/>
            <w:vAlign w:val="center"/>
          </w:tcPr>
          <w:p>
            <w:pPr>
              <w:pStyle w:val="TableContents"/>
              <w:spacing w:before="0" w:after="0"/>
              <w:ind w:left="0" w:right="0" w:hanging="0"/>
              <w:jc w:val="left"/>
              <w:rPr>
                <w:rFonts w:ascii="Times New Roman;Times;serif" w:hAnsi="Times New Roman;Times;serif"/>
                <w:b/>
                <w:sz w:val="20"/>
              </w:rPr>
            </w:pPr>
            <w:r>
              <w:rPr>
                <w:rFonts w:ascii="Times New Roman;Times;serif" w:hAnsi="Times New Roman;Times;serif"/>
                <w:b/>
                <w:sz w:val="20"/>
              </w:rPr>
              <w:t>For the quarterly period ended July 31, 2021</w:t>
            </w:r>
          </w:p>
        </w:tc>
      </w:tr>
    </w:tbl>
    <w:p>
      <w:pPr>
        <w:pStyle w:val="TextBody"/>
        <w:spacing w:before="0" w:after="0"/>
        <w:ind w:left="144" w:right="144" w:hanging="0"/>
        <w:jc w:val="left"/>
        <w:rPr/>
      </w:pPr>
      <w:r>
        <w:rPr/>
        <w:t> </w:t>
      </w:r>
    </w:p>
    <w:p>
      <w:pPr>
        <w:pStyle w:val="TextBody"/>
        <w:spacing w:before="0" w:after="0"/>
        <w:ind w:left="144" w:right="144" w:hanging="0"/>
        <w:jc w:val="center"/>
        <w:rPr>
          <w:rFonts w:ascii="Times New Roman;Times;serif" w:hAnsi="Times New Roman;Times;serif"/>
          <w:b/>
          <w:sz w:val="20"/>
        </w:rPr>
      </w:pPr>
      <w:r>
        <w:rPr>
          <w:rFonts w:ascii="Times New Roman;Times;serif" w:hAnsi="Times New Roman;Times;serif"/>
          <w:b/>
          <w:sz w:val="20"/>
        </w:rPr>
        <w:t xml:space="preserve">OR </w:t>
      </w:r>
    </w:p>
    <w:p>
      <w:pPr>
        <w:pStyle w:val="TextBody"/>
        <w:spacing w:before="0" w:after="0"/>
        <w:ind w:left="144" w:right="144" w:hanging="0"/>
        <w:jc w:val="left"/>
        <w:rPr/>
      </w:pPr>
      <w:r>
        <w:rPr/>
        <w:t> </w:t>
      </w:r>
    </w:p>
    <w:tbl>
      <w:tblPr>
        <w:tblW w:w="7690" w:type="dxa"/>
        <w:jc w:val="left"/>
        <w:tblInd w:w="0" w:type="dxa"/>
        <w:tblCellMar>
          <w:top w:w="0" w:type="dxa"/>
          <w:left w:w="0" w:type="dxa"/>
          <w:bottom w:w="0" w:type="dxa"/>
          <w:right w:w="0" w:type="dxa"/>
        </w:tblCellMar>
      </w:tblPr>
      <w:tblGrid>
        <w:gridCol w:w="230"/>
        <w:gridCol w:w="7460"/>
      </w:tblGrid>
      <w:tr>
        <w:trPr/>
        <w:tc>
          <w:tcPr>
            <w:tcW w:w="230" w:type="dxa"/>
            <w:tcBorders/>
            <w:shd w:fill="auto" w:val="clear"/>
            <w:vAlign w:val="center"/>
          </w:tcPr>
          <w:p>
            <w:pPr>
              <w:pStyle w:val="TableContents"/>
              <w:spacing w:before="0" w:after="0"/>
              <w:ind w:left="0" w:right="0" w:hanging="0"/>
              <w:jc w:val="left"/>
              <w:rPr/>
            </w:pPr>
            <w:r>
              <w:rPr/>
              <w:t>☐</w:t>
            </w:r>
          </w:p>
        </w:tc>
        <w:tc>
          <w:tcPr>
            <w:tcW w:w="7460" w:type="dxa"/>
            <w:tcBorders/>
            <w:shd w:fill="auto" w:val="clear"/>
            <w:vAlign w:val="center"/>
          </w:tcPr>
          <w:p>
            <w:pPr>
              <w:pStyle w:val="TableContents"/>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Transition report pursuant to Section 13 or 15(d) of the Securities Exchange Act of 1934 </w:t>
            </w:r>
          </w:p>
        </w:tc>
      </w:tr>
      <w:tr>
        <w:trPr/>
        <w:tc>
          <w:tcPr>
            <w:tcW w:w="230" w:type="dxa"/>
            <w:tcBorders/>
            <w:shd w:fill="auto" w:val="clear"/>
            <w:vAlign w:val="center"/>
          </w:tcPr>
          <w:p>
            <w:pPr>
              <w:pStyle w:val="TableContents"/>
              <w:spacing w:before="0" w:after="0"/>
              <w:ind w:left="0" w:right="0" w:hanging="0"/>
              <w:jc w:val="left"/>
              <w:rPr/>
            </w:pPr>
            <w:r>
              <w:rPr/>
              <w:t> </w:t>
            </w:r>
          </w:p>
        </w:tc>
        <w:tc>
          <w:tcPr>
            <w:tcW w:w="7460" w:type="dxa"/>
            <w:tcBorders/>
            <w:shd w:fill="auto" w:val="clear"/>
            <w:vAlign w:val="center"/>
          </w:tcPr>
          <w:p>
            <w:pPr>
              <w:pStyle w:val="TableContents"/>
              <w:spacing w:before="0" w:after="0"/>
              <w:ind w:left="0" w:right="0" w:hanging="0"/>
              <w:jc w:val="left"/>
              <w:rPr/>
            </w:pPr>
            <w:r>
              <w:rPr/>
              <w:t> </w:t>
            </w:r>
          </w:p>
        </w:tc>
      </w:tr>
      <w:tr>
        <w:trPr/>
        <w:tc>
          <w:tcPr>
            <w:tcW w:w="230" w:type="dxa"/>
            <w:tcBorders/>
            <w:shd w:fill="auto" w:val="clear"/>
            <w:vAlign w:val="center"/>
          </w:tcPr>
          <w:p>
            <w:pPr>
              <w:pStyle w:val="TableContents"/>
              <w:spacing w:before="0" w:after="0"/>
              <w:ind w:left="0" w:right="0" w:hanging="0"/>
              <w:jc w:val="left"/>
              <w:rPr/>
            </w:pPr>
            <w:r>
              <w:rPr/>
              <w:t> </w:t>
            </w:r>
          </w:p>
        </w:tc>
        <w:tc>
          <w:tcPr>
            <w:tcW w:w="7460"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b/>
                <w:sz w:val="20"/>
              </w:rPr>
              <w:t xml:space="preserve">For the transition period from </w:t>
            </w:r>
            <w:r>
              <w:rPr>
                <w:rFonts w:ascii="Times New Roman;Times;serif" w:hAnsi="Times New Roman;Times;serif"/>
                <w:sz w:val="20"/>
                <w:u w:val="single"/>
              </w:rPr>
              <w:t>            </w:t>
            </w:r>
            <w:r>
              <w:rPr>
                <w:rFonts w:ascii="Times New Roman;Times;serif" w:hAnsi="Times New Roman;Times;serif"/>
                <w:sz w:val="20"/>
              </w:rPr>
              <w:t xml:space="preserve"> </w:t>
            </w:r>
            <w:r>
              <w:rPr>
                <w:rFonts w:ascii="Times New Roman;Times;serif" w:hAnsi="Times New Roman;Times;serif"/>
                <w:b/>
                <w:sz w:val="20"/>
              </w:rPr>
              <w:t xml:space="preserve">to </w:t>
            </w:r>
            <w:r>
              <w:rPr>
                <w:rFonts w:ascii="Times New Roman;Times;serif" w:hAnsi="Times New Roman;Times;serif"/>
                <w:sz w:val="20"/>
                <w:u w:val="single"/>
              </w:rPr>
              <w:t>             </w:t>
            </w:r>
          </w:p>
        </w:tc>
      </w:tr>
    </w:tbl>
    <w:p>
      <w:pPr>
        <w:pStyle w:val="TextBody"/>
        <w:spacing w:before="0" w:after="0"/>
        <w:ind w:left="144" w:right="144" w:hanging="0"/>
        <w:jc w:val="left"/>
        <w:rPr/>
      </w:pPr>
      <w:r>
        <w:rPr/>
        <w:t> </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number: 001-32320</w:t>
      </w:r>
    </w:p>
    <w:p>
      <w:pPr>
        <w:pStyle w:val="TextBody"/>
        <w:spacing w:before="0" w:after="0"/>
        <w:ind w:left="0" w:right="0" w:hanging="0"/>
        <w:jc w:val="center"/>
        <w:rPr/>
      </w:pPr>
      <w:r>
        <w:rPr/>
        <w:t> </w:t>
      </w:r>
    </w:p>
    <w:p>
      <w:pPr>
        <w:pStyle w:val="HorizontalLine"/>
        <w:rPr/>
      </w:pPr>
      <w:r>
        <w:rPr/>
      </w:r>
    </w:p>
    <w:p>
      <w:pPr>
        <w:pStyle w:val="TextBody"/>
        <w:jc w:val="center"/>
        <w:rPr/>
      </w:pPr>
      <w:r>
        <w:rPr/>
        <w:t> </w:t>
      </w:r>
    </w:p>
    <w:p>
      <w:pPr>
        <w:pStyle w:val="TextBody"/>
        <w:spacing w:before="0" w:after="0"/>
        <w:ind w:left="0" w:right="0" w:hanging="0"/>
        <w:jc w:val="center"/>
        <w:rPr>
          <w:rFonts w:ascii="Times New Roman" w:hAnsi="Times New Roman"/>
          <w:b/>
          <w:sz w:val="44"/>
        </w:rPr>
      </w:pPr>
      <w:r>
        <w:rPr>
          <w:rFonts w:ascii="Times New Roman" w:hAnsi="Times New Roman"/>
          <w:b/>
          <w:sz w:val="44"/>
        </w:rPr>
        <w:t xml:space="preserve">BUILD-A-BEAR WORKSHOP, INC. </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(Exact Name of Registrant as Specified in Its Charter)</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HorizontalLine"/>
        <w:rPr/>
      </w:pPr>
      <w:r>
        <w:rPr/>
      </w:r>
    </w:p>
    <w:p>
      <w:pPr>
        <w:pStyle w:val="TextBody"/>
        <w:rPr/>
      </w:pPr>
      <w:r>
        <w:rPr/>
        <w:t> </w:t>
      </w:r>
    </w:p>
    <w:p>
      <w:pPr>
        <w:pStyle w:val="TextBody"/>
        <w:spacing w:before="0" w:after="0"/>
        <w:ind w:left="0" w:right="0" w:hanging="0"/>
        <w:jc w:val="center"/>
        <w:rPr/>
      </w:pPr>
      <w:r>
        <w:rPr/>
        <w:t> </w:t>
      </w:r>
    </w:p>
    <w:tbl>
      <w:tblPr>
        <w:tblW w:w="4255" w:type="dxa"/>
        <w:jc w:val="left"/>
        <w:tblInd w:w="0" w:type="dxa"/>
        <w:tblCellMar>
          <w:top w:w="0" w:type="dxa"/>
          <w:left w:w="0" w:type="dxa"/>
          <w:bottom w:w="0" w:type="dxa"/>
          <w:right w:w="0" w:type="dxa"/>
        </w:tblCellMar>
      </w:tblPr>
      <w:tblGrid>
        <w:gridCol w:w="2705"/>
        <w:gridCol w:w="1550"/>
      </w:tblGrid>
      <w:tr>
        <w:trPr/>
        <w:tc>
          <w:tcPr>
            <w:tcW w:w="2705"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1550"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43-1883836</w:t>
            </w:r>
          </w:p>
        </w:tc>
      </w:tr>
      <w:tr>
        <w:trPr/>
        <w:tc>
          <w:tcPr>
            <w:tcW w:w="2705"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(State or Other Jurisdiction of</w:t>
            </w:r>
          </w:p>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Incorporation or Organization)</w:t>
            </w:r>
          </w:p>
        </w:tc>
        <w:tc>
          <w:tcPr>
            <w:tcW w:w="1550"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(IRS Employer</w:t>
            </w:r>
          </w:p>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Identification No.)</w:t>
            </w:r>
          </w:p>
        </w:tc>
      </w:tr>
    </w:tbl>
    <w:p>
      <w:pPr>
        <w:pStyle w:val="TextBody"/>
        <w:spacing w:before="0" w:after="0"/>
        <w:ind w:left="144" w:right="144" w:hanging="0"/>
        <w:jc w:val="left"/>
        <w:rPr/>
      </w:pPr>
      <w:r>
        <w:rPr/>
        <w:t> </w:t>
      </w:r>
    </w:p>
    <w:tbl>
      <w:tblPr>
        <w:tblW w:w="4300" w:type="dxa"/>
        <w:jc w:val="left"/>
        <w:tblInd w:w="0" w:type="dxa"/>
        <w:tblCellMar>
          <w:top w:w="0" w:type="dxa"/>
          <w:left w:w="0" w:type="dxa"/>
          <w:bottom w:w="0" w:type="dxa"/>
          <w:right w:w="0" w:type="dxa"/>
        </w:tblCellMar>
      </w:tblPr>
      <w:tblGrid>
        <w:gridCol w:w="3380"/>
        <w:gridCol w:w="920"/>
      </w:tblGrid>
      <w:tr>
        <w:trPr/>
        <w:tc>
          <w:tcPr>
            <w:tcW w:w="3380" w:type="dxa"/>
            <w:tcBorders/>
            <w:shd w:fill="auto" w:val="clear"/>
            <w:vAlign w:val="center"/>
          </w:tcPr>
          <w:p>
            <w:pPr>
              <w:pStyle w:val="TableContents"/>
              <w:spacing w:before="0" w:after="0"/>
              <w:ind w:left="0" w:right="0" w:hanging="0"/>
              <w:jc w:val="left"/>
              <w:rPr/>
            </w:pPr>
            <w:r>
              <w:rPr/>
              <w:t> </w:t>
            </w:r>
          </w:p>
        </w:tc>
        <w:tc>
          <w:tcPr>
            <w:tcW w:w="920" w:type="dxa"/>
            <w:tcBorders/>
            <w:shd w:fill="auto" w:val="clear"/>
            <w:vAlign w:val="center"/>
          </w:tcPr>
          <w:p>
            <w:pPr>
              <w:pStyle w:val="TableContents"/>
              <w:spacing w:before="0" w:after="0"/>
              <w:ind w:left="0" w:right="0" w:hanging="0"/>
              <w:jc w:val="left"/>
              <w:rPr/>
            </w:pPr>
            <w:r>
              <w:rPr/>
              <w:t> </w:t>
            </w:r>
          </w:p>
        </w:tc>
      </w:tr>
      <w:tr>
        <w:trPr/>
        <w:tc>
          <w:tcPr>
            <w:tcW w:w="3380"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415 South 18th St.</w:t>
            </w:r>
          </w:p>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St. Louis, Missouri</w:t>
            </w:r>
          </w:p>
        </w:tc>
        <w:tc>
          <w:tcPr>
            <w:tcW w:w="920"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63103</w:t>
            </w:r>
          </w:p>
        </w:tc>
      </w:tr>
      <w:tr>
        <w:trPr/>
        <w:tc>
          <w:tcPr>
            <w:tcW w:w="3380"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(Address of Principal Executive Offices)</w:t>
            </w:r>
          </w:p>
        </w:tc>
        <w:tc>
          <w:tcPr>
            <w:tcW w:w="920"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(Zip Code)</w:t>
            </w:r>
          </w:p>
        </w:tc>
      </w:tr>
    </w:tbl>
    <w:p>
      <w:pPr>
        <w:pStyle w:val="TextBody"/>
        <w:spacing w:before="0" w:after="0"/>
        <w:ind w:left="0" w:right="0" w:hanging="0"/>
        <w:jc w:val="left"/>
        <w:rPr/>
      </w:pPr>
      <w:r>
        <w:rPr/>
        <w:t> </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(314) 423-8000 </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(Registrant’s Telephone Number, Including Area Code)</w:t>
      </w:r>
    </w:p>
    <w:p>
      <w:pPr>
        <w:pStyle w:val="TextBody"/>
        <w:spacing w:before="0" w:after="0"/>
        <w:ind w:left="0" w:right="0" w:hanging="0"/>
        <w:jc w:val="center"/>
        <w:rPr/>
      </w:pPr>
      <w:r>
        <w:rPr/>
        <w:t> </w:t>
      </w:r>
    </w:p>
    <w:p>
      <w:pPr>
        <w:pStyle w:val="HorizontalLine"/>
        <w:rPr/>
      </w:pPr>
      <w:r>
        <w:rPr/>
      </w:r>
    </w:p>
    <w:p>
      <w:pPr>
        <w:pStyle w:val="TextBody"/>
        <w:rPr/>
      </w:pPr>
      <w:r>
        <w:rPr/>
        <w:t> </w:t>
      </w:r>
    </w:p>
    <w:p>
      <w:pPr>
        <w:pStyle w:val="TextBody"/>
        <w:spacing w:before="0" w:after="0"/>
        <w:ind w:left="0" w:right="0" w:firstLine="720"/>
        <w:jc w:val="left"/>
        <w:rPr>
          <w:rFonts w:ascii="Times New Roman;Times;serif" w:hAnsi="Times New Roman;Times;serif"/>
          <w:sz w:val="20"/>
        </w:rPr>
      </w:pPr>
      <w:r>
        <w:rPr>
          <w:rFonts w:ascii="Times New Roman;Times;serif" w:hAnsi="Times New Roman;Times;serif"/>
          <w:sz w:val="20"/>
        </w:rPr>
        <w:t>Securities registered pursuant to Section 12(b) of the Act:</w:t>
      </w:r>
    </w:p>
    <w:tbl>
      <w:tblPr>
        <w:tblW w:w="6420" w:type="dxa"/>
        <w:jc w:val="left"/>
        <w:tblInd w:w="0" w:type="dxa"/>
        <w:tblCellMar>
          <w:top w:w="0" w:type="dxa"/>
          <w:left w:w="0" w:type="dxa"/>
          <w:bottom w:w="28" w:type="dxa"/>
          <w:right w:w="0" w:type="dxa"/>
        </w:tblCellMar>
      </w:tblPr>
      <w:tblGrid>
        <w:gridCol w:w="1490"/>
        <w:gridCol w:w="1340"/>
        <w:gridCol w:w="3590"/>
      </w:tblGrid>
      <w:tr>
        <w:trPr/>
        <w:tc>
          <w:tcPr>
            <w:tcW w:w="1490" w:type="dxa"/>
            <w:tcBorders>
              <w:bottom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Title of each class</w:t>
            </w:r>
          </w:p>
        </w:tc>
        <w:tc>
          <w:tcPr>
            <w:tcW w:w="1340" w:type="dxa"/>
            <w:tcBorders>
              <w:bottom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Trading Symbol</w:t>
            </w:r>
          </w:p>
        </w:tc>
        <w:tc>
          <w:tcPr>
            <w:tcW w:w="3590" w:type="dxa"/>
            <w:tcBorders>
              <w:bottom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1490"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w:t>
            </w:r>
          </w:p>
        </w:tc>
        <w:tc>
          <w:tcPr>
            <w:tcW w:w="1340"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BBW</w:t>
            </w:r>
          </w:p>
        </w:tc>
        <w:tc>
          <w:tcPr>
            <w:tcW w:w="3590"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New York Stock Exchange</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1 </w:t>
      </w:r>
    </w:p>
    <w:p>
      <w:pPr>
        <w:pStyle w:val="HorizontalLine"/>
        <w:rPr/>
      </w:pPr>
      <w:r>
        <w:rPr/>
      </w:r>
    </w:p>
    <w:p>
      <w:pPr>
        <w:pStyle w:val="TextBody"/>
        <w:jc w:val="left"/>
        <w:rPr/>
      </w:pPr>
      <w:hyperlink w:anchor="Table_of_Contents">
        <w:r>
          <w:rPr>
            <w:rStyle w:val="InternetLink"/>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firstLine="720"/>
        <w:jc w:val="left"/>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spacing w:before="0" w:after="0"/>
        <w:ind w:left="0" w:right="0" w:firstLine="720"/>
        <w:jc w:val="left"/>
        <w:rPr/>
      </w:pPr>
      <w:r>
        <w:rPr/>
        <w:t> </w:t>
      </w:r>
    </w:p>
    <w:p>
      <w:pPr>
        <w:pStyle w:val="TextBody"/>
        <w:spacing w:before="0" w:after="0"/>
        <w:ind w:left="0" w:right="0" w:firstLine="720"/>
        <w:jc w:val="left"/>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spacing w:before="0" w:after="0"/>
        <w:ind w:left="0" w:right="0" w:firstLine="720"/>
        <w:jc w:val="left"/>
        <w:rPr/>
      </w:pPr>
      <w:r>
        <w:rPr/>
        <w:t> </w:t>
      </w:r>
    </w:p>
    <w:p>
      <w:pPr>
        <w:pStyle w:val="TextBody"/>
        <w:spacing w:before="0" w:after="0"/>
        <w:ind w:left="0" w:right="0" w:firstLine="720"/>
        <w:jc w:val="left"/>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spacing w:before="0" w:after="0"/>
        <w:ind w:left="144" w:right="144" w:firstLine="720"/>
        <w:jc w:val="left"/>
        <w:rPr/>
      </w:pPr>
      <w:r>
        <w:rPr/>
        <w:t> </w:t>
      </w:r>
    </w:p>
    <w:tbl>
      <w:tblPr>
        <w:tblW w:w="4540" w:type="dxa"/>
        <w:jc w:val="left"/>
        <w:tblInd w:w="0" w:type="dxa"/>
        <w:tblCellMar>
          <w:top w:w="0" w:type="dxa"/>
          <w:left w:w="0" w:type="dxa"/>
          <w:bottom w:w="0" w:type="dxa"/>
          <w:right w:w="0" w:type="dxa"/>
        </w:tblCellMar>
      </w:tblPr>
      <w:tblGrid>
        <w:gridCol w:w="2090"/>
        <w:gridCol w:w="2450"/>
      </w:tblGrid>
      <w:tr>
        <w:trPr/>
        <w:tc>
          <w:tcPr>
            <w:tcW w:w="2090"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Large accelerated filer  ☐</w:t>
            </w:r>
          </w:p>
        </w:tc>
        <w:tc>
          <w:tcPr>
            <w:tcW w:w="2450"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Accelerated filer ☐</w:t>
            </w:r>
          </w:p>
        </w:tc>
      </w:tr>
      <w:tr>
        <w:trPr/>
        <w:tc>
          <w:tcPr>
            <w:tcW w:w="2090" w:type="dxa"/>
            <w:tcBorders/>
            <w:shd w:fill="auto" w:val="clear"/>
            <w:vAlign w:val="center"/>
          </w:tcPr>
          <w:p>
            <w:pPr>
              <w:pStyle w:val="TableContents"/>
              <w:spacing w:before="0" w:after="0"/>
              <w:ind w:left="0" w:right="0" w:hanging="0"/>
              <w:jc w:val="left"/>
              <w:rPr/>
            </w:pPr>
            <w:r>
              <w:rPr/>
              <w:t> </w:t>
            </w:r>
          </w:p>
        </w:tc>
        <w:tc>
          <w:tcPr>
            <w:tcW w:w="2450" w:type="dxa"/>
            <w:tcBorders/>
            <w:shd w:fill="auto" w:val="clear"/>
            <w:vAlign w:val="center"/>
          </w:tcPr>
          <w:p>
            <w:pPr>
              <w:pStyle w:val="TableContents"/>
              <w:spacing w:before="0" w:after="0"/>
              <w:ind w:left="0" w:right="0" w:hanging="0"/>
              <w:jc w:val="left"/>
              <w:rPr/>
            </w:pPr>
            <w:r>
              <w:rPr/>
              <w:t> </w:t>
            </w:r>
          </w:p>
        </w:tc>
      </w:tr>
      <w:tr>
        <w:trPr/>
        <w:tc>
          <w:tcPr>
            <w:tcW w:w="2090"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Non-accelerated filer ☒</w:t>
            </w:r>
          </w:p>
        </w:tc>
        <w:tc>
          <w:tcPr>
            <w:tcW w:w="2450"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Smaller reporting company ☒</w:t>
            </w:r>
          </w:p>
        </w:tc>
      </w:tr>
      <w:tr>
        <w:trPr/>
        <w:tc>
          <w:tcPr>
            <w:tcW w:w="2090" w:type="dxa"/>
            <w:tcBorders/>
            <w:shd w:fill="auto" w:val="clear"/>
            <w:vAlign w:val="center"/>
          </w:tcPr>
          <w:p>
            <w:pPr>
              <w:pStyle w:val="TableContents"/>
              <w:spacing w:before="0" w:after="0"/>
              <w:ind w:left="0" w:right="0" w:hanging="0"/>
              <w:jc w:val="left"/>
              <w:rPr/>
            </w:pPr>
            <w:r>
              <w:rPr/>
              <w:t> </w:t>
            </w:r>
          </w:p>
        </w:tc>
        <w:tc>
          <w:tcPr>
            <w:tcW w:w="2450"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Emerging growth company ☐</w:t>
            </w:r>
          </w:p>
        </w:tc>
      </w:tr>
    </w:tbl>
    <w:p>
      <w:pPr>
        <w:pStyle w:val="TextBody"/>
        <w:spacing w:before="0" w:after="0"/>
        <w:ind w:left="144" w:right="144" w:hanging="0"/>
        <w:jc w:val="left"/>
        <w:rPr/>
      </w:pPr>
      <w:r>
        <w:rPr/>
        <w:t> </w:t>
      </w:r>
    </w:p>
    <w:p>
      <w:pPr>
        <w:pStyle w:val="TextBody"/>
        <w:spacing w:before="0" w:after="0"/>
        <w:ind w:left="0" w:right="0" w:firstLine="72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14(a) of the Exchange Act. ☐    </w:t>
      </w:r>
    </w:p>
    <w:p>
      <w:pPr>
        <w:pStyle w:val="TextBody"/>
        <w:spacing w:before="0" w:after="0"/>
        <w:ind w:left="0" w:right="0" w:firstLine="720"/>
        <w:jc w:val="left"/>
        <w:rPr/>
      </w:pPr>
      <w:r>
        <w:rPr/>
        <w:t> </w:t>
      </w:r>
    </w:p>
    <w:p>
      <w:pPr>
        <w:pStyle w:val="TextBody"/>
        <w:spacing w:before="0" w:after="0"/>
        <w:ind w:left="0" w:right="0" w:firstLine="720"/>
        <w:jc w:val="left"/>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    Yes  ☐    No   ☒</w:t>
      </w:r>
    </w:p>
    <w:p>
      <w:pPr>
        <w:pStyle w:val="TextBody"/>
        <w:spacing w:before="0" w:after="0"/>
        <w:ind w:left="0" w:right="0" w:firstLine="720"/>
        <w:jc w:val="left"/>
        <w:rPr/>
      </w:pPr>
      <w:r>
        <w:rPr/>
        <w:t> </w:t>
      </w:r>
    </w:p>
    <w:p>
      <w:pPr>
        <w:pStyle w:val="TextBody"/>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As of September 6, 2021, there were </w:t>
      </w:r>
      <w:r>
        <w:rPr>
          <w:rFonts w:ascii="Times New Roman;Times;serif" w:hAnsi="Times New Roman;Times;serif"/>
          <w:sz w:val="20"/>
          <w:highlight w:val="white"/>
        </w:rPr>
        <w:t>16,083,412</w:t>
      </w:r>
      <w:r>
        <w:rPr>
          <w:rFonts w:ascii="Times New Roman;Times;serif" w:hAnsi="Times New Roman;Times;serif"/>
          <w:sz w:val="20"/>
        </w:rPr>
        <w:t> issued and outstanding shares of the registrant’s common stock.</w:t>
      </w:r>
    </w:p>
    <w:p>
      <w:pPr>
        <w:pStyle w:val="TextBody"/>
        <w:spacing w:before="0" w:after="0"/>
        <w:ind w:left="0" w:right="0" w:firstLine="720"/>
        <w:jc w:val="left"/>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rPr/>
      </w:pPr>
      <w:r>
        <w:rPr/>
        <w:t xml:space="preserve">  </w:t>
      </w:r>
    </w:p>
    <w:p>
      <w:pPr>
        <w:pStyle w:val="TextBody"/>
        <w:spacing w:before="0" w:after="0"/>
        <w:ind w:left="144" w:right="144" w:hanging="0"/>
        <w:jc w:val="center"/>
        <w:rPr>
          <w:rFonts w:ascii="Times New Roman;Times;serif" w:hAnsi="Times New Roman;Times;serif"/>
          <w:b/>
          <w:sz w:val="20"/>
        </w:rPr>
      </w:pPr>
      <w:bookmarkStart w:id="2" w:name="Table_of_Contents"/>
      <w:bookmarkEnd w:id="2"/>
      <w:r>
        <w:rPr>
          <w:rFonts w:ascii="Times New Roman;Times;serif" w:hAnsi="Times New Roman;Times;serif"/>
          <w:b/>
          <w:sz w:val="20"/>
        </w:rPr>
        <w:t xml:space="preserve">BUILD-A-BEAR WORKSHOP, INC. </w:t>
      </w:r>
    </w:p>
    <w:p>
      <w:pPr>
        <w:pStyle w:val="TextBody"/>
        <w:spacing w:before="0" w:after="0"/>
        <w:ind w:left="144" w:right="144" w:hanging="0"/>
        <w:jc w:val="center"/>
        <w:rPr>
          <w:rFonts w:ascii="Times New Roman;Times;serif" w:hAnsi="Times New Roman;Times;serif"/>
          <w:b/>
          <w:sz w:val="20"/>
        </w:rPr>
      </w:pPr>
      <w:r>
        <w:rPr>
          <w:rFonts w:ascii="Times New Roman;Times;serif" w:hAnsi="Times New Roman;Times;serif"/>
          <w:b/>
          <w:sz w:val="20"/>
        </w:rPr>
        <w:t xml:space="preserve">INDEX TO FORM 10-Q </w:t>
      </w:r>
    </w:p>
    <w:p>
      <w:pPr>
        <w:pStyle w:val="TextBody"/>
        <w:spacing w:before="0" w:after="0"/>
        <w:ind w:left="144" w:right="144" w:hanging="0"/>
        <w:jc w:val="left"/>
        <w:rPr/>
      </w:pPr>
      <w:r>
        <w:rPr/>
        <w:t> </w:t>
      </w:r>
    </w:p>
    <w:tbl>
      <w:tblPr>
        <w:tblW w:w="8400" w:type="dxa"/>
        <w:jc w:val="left"/>
        <w:tblInd w:w="0" w:type="dxa"/>
        <w:tblCellMar>
          <w:top w:w="0" w:type="dxa"/>
          <w:left w:w="0" w:type="dxa"/>
          <w:bottom w:w="0" w:type="dxa"/>
          <w:right w:w="0" w:type="dxa"/>
        </w:tblCellMar>
      </w:tblPr>
      <w:tblGrid>
        <w:gridCol w:w="710"/>
        <w:gridCol w:w="7280"/>
        <w:gridCol w:w="410"/>
      </w:tblGrid>
      <w:tr>
        <w:trPr/>
        <w:tc>
          <w:tcPr>
            <w:tcW w:w="7990" w:type="dxa"/>
            <w:gridSpan w:val="2"/>
            <w:tcBorders/>
            <w:shd w:fill="auto" w:val="clear"/>
            <w:vAlign w:val="center"/>
          </w:tcPr>
          <w:p>
            <w:pPr>
              <w:pStyle w:val="TableContents"/>
              <w:spacing w:before="0" w:after="0"/>
              <w:ind w:left="0" w:right="0" w:hanging="0"/>
              <w:jc w:val="left"/>
              <w:rPr/>
            </w:pPr>
            <w:r>
              <w:rPr/>
              <w:t> </w:t>
            </w:r>
          </w:p>
        </w:tc>
        <w:tc>
          <w:tcPr>
            <w:tcW w:w="410" w:type="dxa"/>
            <w:tcBorders/>
            <w:shd w:fill="auto" w:val="clear"/>
            <w:vAlign w:val="center"/>
          </w:tcPr>
          <w:p>
            <w:pPr>
              <w:pStyle w:val="TableContents"/>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Page</w:t>
            </w:r>
          </w:p>
        </w:tc>
      </w:tr>
      <w:tr>
        <w:trPr/>
        <w:tc>
          <w:tcPr>
            <w:tcW w:w="7990" w:type="dxa"/>
            <w:gridSpan w:val="2"/>
            <w:tcBorders/>
            <w:shd w:fill="CCEEFF"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Part I Financial Information</w:t>
            </w:r>
          </w:p>
        </w:tc>
        <w:tc>
          <w:tcPr>
            <w:tcW w:w="410" w:type="dxa"/>
            <w:tcBorders/>
            <w:shd w:fill="CCEEFF" w:val="clear"/>
            <w:vAlign w:val="center"/>
          </w:tcPr>
          <w:p>
            <w:pPr>
              <w:pStyle w:val="TableContents"/>
              <w:spacing w:before="0" w:after="0"/>
              <w:ind w:left="0" w:right="0" w:hanging="0"/>
              <w:jc w:val="center"/>
              <w:rPr/>
            </w:pPr>
            <w:r>
              <w:rPr/>
              <w:t> </w:t>
            </w:r>
          </w:p>
        </w:tc>
      </w:tr>
      <w:tr>
        <w:trPr/>
        <w:tc>
          <w:tcPr>
            <w:tcW w:w="710" w:type="dxa"/>
            <w:tcBorders/>
            <w:shd w:fill="FFFFFF" w:val="clear"/>
            <w:vAlign w:val="center"/>
          </w:tcPr>
          <w:p>
            <w:pPr>
              <w:pStyle w:val="TableContents"/>
              <w:spacing w:before="0" w:after="0"/>
              <w:ind w:left="0" w:right="0" w:hanging="0"/>
              <w:jc w:val="left"/>
              <w:rPr/>
            </w:pPr>
            <w:r>
              <w:rPr/>
              <w:t> </w:t>
            </w:r>
          </w:p>
        </w:tc>
        <w:tc>
          <w:tcPr>
            <w:tcW w:w="7280" w:type="dxa"/>
            <w:tcBorders/>
            <w:shd w:fill="FFFFFF" w:val="clear"/>
            <w:vAlign w:val="center"/>
          </w:tcPr>
          <w:p>
            <w:pPr>
              <w:pStyle w:val="TableContents"/>
              <w:spacing w:before="0" w:after="0"/>
              <w:ind w:left="0" w:right="0" w:hanging="0"/>
              <w:jc w:val="left"/>
              <w:rPr/>
            </w:pPr>
            <w:r>
              <w:rPr/>
              <w:t> </w:t>
            </w:r>
          </w:p>
        </w:tc>
        <w:tc>
          <w:tcPr>
            <w:tcW w:w="410" w:type="dxa"/>
            <w:tcBorders/>
            <w:shd w:fill="FFFFFF" w:val="clear"/>
            <w:vAlign w:val="center"/>
          </w:tcPr>
          <w:p>
            <w:pPr>
              <w:pStyle w:val="TableContents"/>
              <w:spacing w:before="0" w:after="0"/>
              <w:ind w:left="0" w:right="0" w:hanging="0"/>
              <w:jc w:val="left"/>
              <w:rPr/>
            </w:pPr>
            <w:r>
              <w:rPr/>
              <w:t> </w:t>
            </w:r>
          </w:p>
        </w:tc>
      </w:tr>
      <w:tr>
        <w:trPr/>
        <w:tc>
          <w:tcPr>
            <w:tcW w:w="710" w:type="dxa"/>
            <w:tcBorders/>
            <w:shd w:fill="CCEEFF" w:val="clear"/>
            <w:vAlign w:val="center"/>
          </w:tcPr>
          <w:p>
            <w:pPr>
              <w:pStyle w:val="TableContents"/>
              <w:spacing w:before="0" w:after="0"/>
              <w:ind w:left="180" w:right="0" w:hanging="0"/>
              <w:jc w:val="left"/>
              <w:rPr/>
            </w:pPr>
            <w:hyperlink w:anchor="bs">
              <w:r>
                <w:rPr>
                  <w:rStyle w:val="InternetLink"/>
                  <w:rFonts w:ascii="Times New Roman;Times;serif" w:hAnsi="Times New Roman;Times;serif"/>
                  <w:sz w:val="20"/>
                </w:rPr>
                <w:t>Item 1.</w:t>
              </w:r>
            </w:hyperlink>
          </w:p>
        </w:tc>
        <w:tc>
          <w:tcPr>
            <w:tcW w:w="7280" w:type="dxa"/>
            <w:tcBorders/>
            <w:shd w:fill="CCEEFF" w:val="clear"/>
            <w:vAlign w:val="center"/>
          </w:tcPr>
          <w:p>
            <w:pPr>
              <w:pStyle w:val="TableContents"/>
              <w:spacing w:before="0" w:after="0"/>
              <w:ind w:left="0" w:right="0" w:hanging="0"/>
              <w:jc w:val="left"/>
              <w:rPr/>
            </w:pPr>
            <w:hyperlink w:anchor="bs">
              <w:r>
                <w:rPr>
                  <w:rStyle w:val="InternetLink"/>
                  <w:rFonts w:ascii="Times New Roman;Times;serif" w:hAnsi="Times New Roman;Times;serif"/>
                  <w:sz w:val="20"/>
                </w:rPr>
                <w:t>Financial Statements (Unaudited)</w:t>
              </w:r>
            </w:hyperlink>
          </w:p>
        </w:tc>
        <w:tc>
          <w:tcPr>
            <w:tcW w:w="410" w:type="dxa"/>
            <w:tcBorders/>
            <w:shd w:fill="CCEEFF" w:val="clear"/>
            <w:vAlign w:val="center"/>
          </w:tcPr>
          <w:p>
            <w:pPr>
              <w:pStyle w:val="TableContents"/>
              <w:spacing w:before="0" w:after="0"/>
              <w:ind w:left="0" w:right="0" w:hanging="0"/>
              <w:jc w:val="center"/>
              <w:rPr/>
            </w:pPr>
            <w:hyperlink w:anchor="bs">
              <w:r>
                <w:rPr>
                  <w:rStyle w:val="InternetLink"/>
                  <w:rFonts w:ascii="Times New Roman;Times;serif" w:hAnsi="Times New Roman;Times;serif"/>
                  <w:sz w:val="20"/>
                </w:rPr>
                <w:t>4</w:t>
              </w:r>
            </w:hyperlink>
          </w:p>
        </w:tc>
      </w:tr>
      <w:tr>
        <w:trPr/>
        <w:tc>
          <w:tcPr>
            <w:tcW w:w="710" w:type="dxa"/>
            <w:tcBorders/>
            <w:shd w:fill="FFFFFF" w:val="clear"/>
            <w:vAlign w:val="center"/>
          </w:tcPr>
          <w:p>
            <w:pPr>
              <w:pStyle w:val="TableContents"/>
              <w:spacing w:before="0" w:after="0"/>
              <w:ind w:left="0" w:right="0" w:hanging="0"/>
              <w:jc w:val="left"/>
              <w:rPr/>
            </w:pPr>
            <w:r>
              <w:rPr/>
              <w:t> </w:t>
            </w:r>
          </w:p>
        </w:tc>
        <w:tc>
          <w:tcPr>
            <w:tcW w:w="7280" w:type="dxa"/>
            <w:tcBorders/>
            <w:shd w:fill="FFFFFF" w:val="clear"/>
            <w:vAlign w:val="center"/>
          </w:tcPr>
          <w:p>
            <w:pPr>
              <w:pStyle w:val="TableContents"/>
              <w:spacing w:before="0" w:after="0"/>
              <w:ind w:left="540" w:right="0" w:hanging="0"/>
              <w:jc w:val="left"/>
              <w:rPr/>
            </w:pPr>
            <w:hyperlink w:anchor="bs">
              <w:r>
                <w:rPr>
                  <w:rStyle w:val="InternetLink"/>
                  <w:rFonts w:ascii="Times New Roman;Times;serif" w:hAnsi="Times New Roman;Times;serif"/>
                  <w:sz w:val="20"/>
                </w:rPr>
                <w:t>Condensed Consolidated Balance Sheets</w:t>
              </w:r>
            </w:hyperlink>
          </w:p>
        </w:tc>
        <w:tc>
          <w:tcPr>
            <w:tcW w:w="410" w:type="dxa"/>
            <w:tcBorders/>
            <w:shd w:fill="FFFFFF" w:val="clear"/>
            <w:vAlign w:val="center"/>
          </w:tcPr>
          <w:p>
            <w:pPr>
              <w:pStyle w:val="TableContents"/>
              <w:spacing w:before="0" w:after="0"/>
              <w:ind w:left="0" w:right="0" w:hanging="0"/>
              <w:jc w:val="center"/>
              <w:rPr/>
            </w:pPr>
            <w:hyperlink w:anchor="bs">
              <w:r>
                <w:rPr>
                  <w:rStyle w:val="InternetLink"/>
                  <w:rFonts w:ascii="Times New Roman;Times;serif" w:hAnsi="Times New Roman;Times;serif"/>
                  <w:sz w:val="20"/>
                </w:rPr>
                <w:t>4</w:t>
              </w:r>
            </w:hyperlink>
          </w:p>
        </w:tc>
      </w:tr>
      <w:tr>
        <w:trPr/>
        <w:tc>
          <w:tcPr>
            <w:tcW w:w="710" w:type="dxa"/>
            <w:tcBorders/>
            <w:shd w:fill="CCEEFF" w:val="clear"/>
            <w:vAlign w:val="center"/>
          </w:tcPr>
          <w:p>
            <w:pPr>
              <w:pStyle w:val="TableContents"/>
              <w:spacing w:before="0" w:after="0"/>
              <w:ind w:left="0" w:right="0" w:hanging="0"/>
              <w:jc w:val="left"/>
              <w:rPr/>
            </w:pPr>
            <w:r>
              <w:rPr/>
              <w:t> </w:t>
            </w:r>
          </w:p>
        </w:tc>
        <w:tc>
          <w:tcPr>
            <w:tcW w:w="7280" w:type="dxa"/>
            <w:tcBorders/>
            <w:shd w:fill="CCEEFF" w:val="clear"/>
            <w:vAlign w:val="center"/>
          </w:tcPr>
          <w:p>
            <w:pPr>
              <w:pStyle w:val="TableContents"/>
              <w:spacing w:before="0" w:after="0"/>
              <w:ind w:left="540" w:right="0" w:hanging="0"/>
              <w:jc w:val="left"/>
              <w:rPr/>
            </w:pPr>
            <w:hyperlink w:anchor="income">
              <w:r>
                <w:rPr>
                  <w:rStyle w:val="InternetLink"/>
                  <w:rFonts w:ascii="Times New Roman;Times;serif" w:hAnsi="Times New Roman;Times;serif"/>
                  <w:sz w:val="20"/>
                </w:rPr>
                <w:t>Condensed Consolidated Statements of Operations and Comprehensive Income (Loss)</w:t>
              </w:r>
            </w:hyperlink>
          </w:p>
        </w:tc>
        <w:tc>
          <w:tcPr>
            <w:tcW w:w="410" w:type="dxa"/>
            <w:tcBorders/>
            <w:shd w:fill="CCEEFF" w:val="clear"/>
            <w:vAlign w:val="center"/>
          </w:tcPr>
          <w:p>
            <w:pPr>
              <w:pStyle w:val="TableContents"/>
              <w:spacing w:before="0" w:after="0"/>
              <w:ind w:left="0" w:right="0" w:hanging="0"/>
              <w:jc w:val="center"/>
              <w:rPr/>
            </w:pPr>
            <w:hyperlink w:anchor="income">
              <w:r>
                <w:rPr>
                  <w:rStyle w:val="InternetLink"/>
                  <w:rFonts w:ascii="Times New Roman;Times;serif" w:hAnsi="Times New Roman;Times;serif"/>
                  <w:sz w:val="20"/>
                </w:rPr>
                <w:t>5</w:t>
              </w:r>
            </w:hyperlink>
          </w:p>
        </w:tc>
      </w:tr>
      <w:tr>
        <w:trPr/>
        <w:tc>
          <w:tcPr>
            <w:tcW w:w="710" w:type="dxa"/>
            <w:tcBorders/>
            <w:shd w:fill="FFFFFF" w:val="clear"/>
            <w:vAlign w:val="center"/>
          </w:tcPr>
          <w:p>
            <w:pPr>
              <w:pStyle w:val="TableContents"/>
              <w:spacing w:before="0" w:after="0"/>
              <w:ind w:left="0" w:right="0" w:hanging="0"/>
              <w:jc w:val="left"/>
              <w:rPr/>
            </w:pPr>
            <w:r>
              <w:rPr/>
              <w:t> </w:t>
            </w:r>
          </w:p>
        </w:tc>
        <w:tc>
          <w:tcPr>
            <w:tcW w:w="7280" w:type="dxa"/>
            <w:tcBorders/>
            <w:shd w:fill="FFFFFF" w:val="clear"/>
            <w:vAlign w:val="center"/>
          </w:tcPr>
          <w:p>
            <w:pPr>
              <w:pStyle w:val="TableContents"/>
              <w:spacing w:before="0" w:after="0"/>
              <w:ind w:left="540" w:right="0" w:hanging="0"/>
              <w:jc w:val="left"/>
              <w:rPr/>
            </w:pPr>
            <w:hyperlink w:anchor="cfs">
              <w:r>
                <w:rPr>
                  <w:rStyle w:val="InternetLink"/>
                  <w:rFonts w:ascii="Times New Roman;Times;serif" w:hAnsi="Times New Roman;Times;serif"/>
                  <w:sz w:val="20"/>
                </w:rPr>
                <w:t>Condensed Consolidated Statements of Cash Flows</w:t>
              </w:r>
            </w:hyperlink>
          </w:p>
        </w:tc>
        <w:tc>
          <w:tcPr>
            <w:tcW w:w="410" w:type="dxa"/>
            <w:tcBorders/>
            <w:shd w:fill="FFFFFF" w:val="clear"/>
            <w:vAlign w:val="center"/>
          </w:tcPr>
          <w:p>
            <w:pPr>
              <w:pStyle w:val="TableContents"/>
              <w:spacing w:before="0" w:after="0"/>
              <w:ind w:left="0" w:right="0" w:hanging="0"/>
              <w:jc w:val="center"/>
              <w:rPr/>
            </w:pPr>
            <w:hyperlink w:anchor="cfs">
              <w:r>
                <w:rPr>
                  <w:rStyle w:val="InternetLink"/>
                  <w:rFonts w:ascii="Times New Roman;Times;serif" w:hAnsi="Times New Roman;Times;serif"/>
                  <w:sz w:val="20"/>
                </w:rPr>
                <w:t>6</w:t>
              </w:r>
            </w:hyperlink>
          </w:p>
        </w:tc>
      </w:tr>
      <w:tr>
        <w:trPr/>
        <w:tc>
          <w:tcPr>
            <w:tcW w:w="710" w:type="dxa"/>
            <w:tcBorders/>
            <w:shd w:fill="CCEEFF" w:val="clear"/>
            <w:vAlign w:val="center"/>
          </w:tcPr>
          <w:p>
            <w:pPr>
              <w:pStyle w:val="TableContents"/>
              <w:spacing w:before="0" w:after="0"/>
              <w:ind w:left="0" w:right="0" w:hanging="0"/>
              <w:jc w:val="left"/>
              <w:rPr/>
            </w:pPr>
            <w:r>
              <w:rPr/>
              <w:t> </w:t>
            </w:r>
          </w:p>
        </w:tc>
        <w:tc>
          <w:tcPr>
            <w:tcW w:w="7280" w:type="dxa"/>
            <w:tcBorders/>
            <w:shd w:fill="CCEEFF" w:val="clear"/>
            <w:vAlign w:val="center"/>
          </w:tcPr>
          <w:p>
            <w:pPr>
              <w:pStyle w:val="TableContents"/>
              <w:spacing w:before="0" w:after="0"/>
              <w:ind w:left="540" w:right="0" w:hanging="0"/>
              <w:jc w:val="left"/>
              <w:rPr/>
            </w:pPr>
            <w:hyperlink w:anchor="Footnotes">
              <w:r>
                <w:rPr>
                  <w:rStyle w:val="InternetLink"/>
                  <w:rFonts w:ascii="Times New Roman;Times;serif" w:hAnsi="Times New Roman;Times;serif"/>
                  <w:sz w:val="20"/>
                </w:rPr>
                <w:t>Notes to Condensed Consolidated Financial Statements</w:t>
              </w:r>
            </w:hyperlink>
          </w:p>
        </w:tc>
        <w:tc>
          <w:tcPr>
            <w:tcW w:w="410" w:type="dxa"/>
            <w:tcBorders/>
            <w:shd w:fill="CCEEFF" w:val="clear"/>
            <w:vAlign w:val="center"/>
          </w:tcPr>
          <w:p>
            <w:pPr>
              <w:pStyle w:val="TableContents"/>
              <w:spacing w:before="0" w:after="0"/>
              <w:ind w:left="0" w:right="0" w:hanging="0"/>
              <w:jc w:val="center"/>
              <w:rPr/>
            </w:pPr>
            <w:hyperlink w:anchor="Footnotes">
              <w:r>
                <w:rPr>
                  <w:rStyle w:val="InternetLink"/>
                  <w:rFonts w:ascii="Times New Roman;Times;serif" w:hAnsi="Times New Roman;Times;serif"/>
                  <w:sz w:val="20"/>
                </w:rPr>
                <w:t>7</w:t>
              </w:r>
            </w:hyperlink>
          </w:p>
        </w:tc>
      </w:tr>
      <w:tr>
        <w:trPr/>
        <w:tc>
          <w:tcPr>
            <w:tcW w:w="710" w:type="dxa"/>
            <w:tcBorders/>
            <w:shd w:fill="FFFFFF" w:val="clear"/>
            <w:vAlign w:val="center"/>
          </w:tcPr>
          <w:p>
            <w:pPr>
              <w:pStyle w:val="TableContents"/>
              <w:spacing w:before="0" w:after="0"/>
              <w:ind w:left="0" w:right="0" w:hanging="0"/>
              <w:jc w:val="left"/>
              <w:rPr/>
            </w:pPr>
            <w:r>
              <w:rPr/>
              <w:t> </w:t>
            </w:r>
          </w:p>
        </w:tc>
        <w:tc>
          <w:tcPr>
            <w:tcW w:w="7280" w:type="dxa"/>
            <w:tcBorders/>
            <w:shd w:fill="FFFFFF" w:val="clear"/>
            <w:vAlign w:val="center"/>
          </w:tcPr>
          <w:p>
            <w:pPr>
              <w:pStyle w:val="TableContents"/>
              <w:spacing w:before="0" w:after="0"/>
              <w:ind w:left="0" w:right="0" w:hanging="0"/>
              <w:jc w:val="left"/>
              <w:rPr/>
            </w:pPr>
            <w:r>
              <w:rPr/>
              <w:t> </w:t>
            </w:r>
          </w:p>
        </w:tc>
        <w:tc>
          <w:tcPr>
            <w:tcW w:w="410" w:type="dxa"/>
            <w:tcBorders/>
            <w:shd w:fill="FFFFFF" w:val="clear"/>
            <w:vAlign w:val="center"/>
          </w:tcPr>
          <w:p>
            <w:pPr>
              <w:pStyle w:val="TableContents"/>
              <w:spacing w:before="0" w:after="0"/>
              <w:ind w:left="0" w:right="0" w:hanging="0"/>
              <w:jc w:val="left"/>
              <w:rPr/>
            </w:pPr>
            <w:r>
              <w:rPr/>
              <w:t> </w:t>
            </w:r>
          </w:p>
        </w:tc>
      </w:tr>
      <w:tr>
        <w:trPr/>
        <w:tc>
          <w:tcPr>
            <w:tcW w:w="710" w:type="dxa"/>
            <w:tcBorders/>
            <w:shd w:fill="CCEEFF" w:val="clear"/>
            <w:vAlign w:val="center"/>
          </w:tcPr>
          <w:p>
            <w:pPr>
              <w:pStyle w:val="TableContents"/>
              <w:spacing w:before="0" w:after="0"/>
              <w:ind w:left="180" w:right="0" w:hanging="0"/>
              <w:jc w:val="left"/>
              <w:rPr/>
            </w:pPr>
            <w:hyperlink w:anchor="mda">
              <w:r>
                <w:rPr>
                  <w:rStyle w:val="InternetLink"/>
                  <w:rFonts w:ascii="Times New Roman;Times;serif" w:hAnsi="Times New Roman;Times;serif"/>
                  <w:sz w:val="20"/>
                </w:rPr>
                <w:t>Item 2.</w:t>
              </w:r>
            </w:hyperlink>
          </w:p>
        </w:tc>
        <w:tc>
          <w:tcPr>
            <w:tcW w:w="7280" w:type="dxa"/>
            <w:tcBorders/>
            <w:shd w:fill="CCEEFF" w:val="clear"/>
            <w:vAlign w:val="center"/>
          </w:tcPr>
          <w:p>
            <w:pPr>
              <w:pStyle w:val="TableContents"/>
              <w:spacing w:before="0" w:after="0"/>
              <w:ind w:left="0" w:right="0" w:hanging="0"/>
              <w:jc w:val="left"/>
              <w:rPr/>
            </w:pPr>
            <w:hyperlink w:anchor="mda">
              <w:r>
                <w:rPr>
                  <w:rStyle w:val="InternetLink"/>
                  <w:rFonts w:ascii="Times New Roman;Times;serif" w:hAnsi="Times New Roman;Times;serif"/>
                  <w:sz w:val="20"/>
                </w:rPr>
                <w:t>Management’s Discussion and Analysis of Financial Condition and Results of Operations</w:t>
              </w:r>
            </w:hyperlink>
          </w:p>
        </w:tc>
        <w:tc>
          <w:tcPr>
            <w:tcW w:w="410" w:type="dxa"/>
            <w:tcBorders/>
            <w:shd w:fill="CCEEFF" w:val="clear"/>
            <w:vAlign w:val="center"/>
          </w:tcPr>
          <w:p>
            <w:pPr>
              <w:pStyle w:val="TableContents"/>
              <w:spacing w:before="0" w:after="0"/>
              <w:ind w:left="0" w:right="0" w:hanging="0"/>
              <w:jc w:val="center"/>
              <w:rPr/>
            </w:pPr>
            <w:hyperlink w:anchor="mda">
              <w:r>
                <w:rPr>
                  <w:rStyle w:val="InternetLink"/>
                  <w:rFonts w:ascii="Times New Roman;Times;serif" w:hAnsi="Times New Roman;Times;serif"/>
                  <w:sz w:val="20"/>
                </w:rPr>
                <w:t>17</w:t>
              </w:r>
            </w:hyperlink>
          </w:p>
        </w:tc>
      </w:tr>
      <w:tr>
        <w:trPr/>
        <w:tc>
          <w:tcPr>
            <w:tcW w:w="710" w:type="dxa"/>
            <w:tcBorders/>
            <w:shd w:fill="FFFFFF" w:val="clear"/>
            <w:vAlign w:val="center"/>
          </w:tcPr>
          <w:p>
            <w:pPr>
              <w:pStyle w:val="TableContents"/>
              <w:spacing w:before="0" w:after="0"/>
              <w:ind w:left="0" w:right="0" w:hanging="0"/>
              <w:jc w:val="left"/>
              <w:rPr/>
            </w:pPr>
            <w:r>
              <w:rPr/>
              <w:t> </w:t>
            </w:r>
          </w:p>
        </w:tc>
        <w:tc>
          <w:tcPr>
            <w:tcW w:w="7280" w:type="dxa"/>
            <w:tcBorders/>
            <w:shd w:fill="FFFFFF" w:val="clear"/>
            <w:vAlign w:val="center"/>
          </w:tcPr>
          <w:p>
            <w:pPr>
              <w:pStyle w:val="TableContents"/>
              <w:spacing w:before="0" w:after="0"/>
              <w:ind w:left="0" w:right="0" w:hanging="0"/>
              <w:jc w:val="left"/>
              <w:rPr/>
            </w:pPr>
            <w:r>
              <w:rPr/>
              <w:t> </w:t>
            </w:r>
          </w:p>
        </w:tc>
        <w:tc>
          <w:tcPr>
            <w:tcW w:w="410" w:type="dxa"/>
            <w:tcBorders/>
            <w:shd w:fill="FFFFFF" w:val="clear"/>
            <w:vAlign w:val="center"/>
          </w:tcPr>
          <w:p>
            <w:pPr>
              <w:pStyle w:val="TableContents"/>
              <w:spacing w:before="0" w:after="0"/>
              <w:ind w:left="0" w:right="0" w:hanging="0"/>
              <w:jc w:val="left"/>
              <w:rPr/>
            </w:pPr>
            <w:r>
              <w:rPr/>
              <w:t> </w:t>
            </w:r>
          </w:p>
        </w:tc>
      </w:tr>
      <w:tr>
        <w:trPr/>
        <w:tc>
          <w:tcPr>
            <w:tcW w:w="710" w:type="dxa"/>
            <w:tcBorders/>
            <w:shd w:fill="CCEEFF" w:val="clear"/>
            <w:vAlign w:val="center"/>
          </w:tcPr>
          <w:p>
            <w:pPr>
              <w:pStyle w:val="TableContents"/>
              <w:spacing w:before="0" w:after="0"/>
              <w:ind w:left="180" w:right="0" w:hanging="0"/>
              <w:jc w:val="left"/>
              <w:rPr/>
            </w:pPr>
            <w:hyperlink w:anchor="Item_3._Quantitative_and_Qualitative_Disclosures_about_Market_Risk">
              <w:r>
                <w:rPr>
                  <w:rStyle w:val="InternetLink"/>
                  <w:rFonts w:ascii="Times New Roman;Times;serif" w:hAnsi="Times New Roman;Times;serif"/>
                  <w:sz w:val="20"/>
                </w:rPr>
                <w:t>Item 3.</w:t>
              </w:r>
            </w:hyperlink>
          </w:p>
        </w:tc>
        <w:tc>
          <w:tcPr>
            <w:tcW w:w="7280" w:type="dxa"/>
            <w:tcBorders/>
            <w:shd w:fill="CCEEFF" w:val="clear"/>
            <w:vAlign w:val="center"/>
          </w:tcPr>
          <w:p>
            <w:pPr>
              <w:pStyle w:val="TableContents"/>
              <w:spacing w:before="0" w:after="0"/>
              <w:ind w:left="0" w:right="0" w:hanging="0"/>
              <w:jc w:val="left"/>
              <w:rPr/>
            </w:pPr>
            <w:hyperlink w:anchor="Item_3._Quantitative_and_Qualitative_Disclosures_about_Market_Risk">
              <w:r>
                <w:rPr>
                  <w:rStyle w:val="InternetLink"/>
                  <w:rFonts w:ascii="Times New Roman;Times;serif" w:hAnsi="Times New Roman;Times;serif"/>
                  <w:sz w:val="20"/>
                </w:rPr>
                <w:t>Quantitative and Qualitative Disclosures About Market Risk</w:t>
              </w:r>
            </w:hyperlink>
          </w:p>
        </w:tc>
        <w:tc>
          <w:tcPr>
            <w:tcW w:w="410" w:type="dxa"/>
            <w:tcBorders/>
            <w:shd w:fill="CCEEFF" w:val="clear"/>
            <w:vAlign w:val="center"/>
          </w:tcPr>
          <w:p>
            <w:pPr>
              <w:pStyle w:val="TableContents"/>
              <w:spacing w:before="0" w:after="0"/>
              <w:ind w:left="0" w:right="0" w:hanging="0"/>
              <w:jc w:val="center"/>
              <w:rPr/>
            </w:pPr>
            <w:hyperlink w:anchor="Item_3._Quantitative_and_Qualitative_Disclosures_about_Market_Risk">
              <w:r>
                <w:rPr>
                  <w:rStyle w:val="InternetLink"/>
                  <w:rFonts w:ascii="Times New Roman;Times;serif" w:hAnsi="Times New Roman;Times;serif"/>
                  <w:sz w:val="20"/>
                </w:rPr>
                <w:t>26</w:t>
              </w:r>
            </w:hyperlink>
          </w:p>
        </w:tc>
      </w:tr>
      <w:tr>
        <w:trPr/>
        <w:tc>
          <w:tcPr>
            <w:tcW w:w="710" w:type="dxa"/>
            <w:tcBorders/>
            <w:shd w:fill="FFFFFF" w:val="clear"/>
            <w:vAlign w:val="center"/>
          </w:tcPr>
          <w:p>
            <w:pPr>
              <w:pStyle w:val="TableContents"/>
              <w:spacing w:before="0" w:after="0"/>
              <w:ind w:left="0" w:right="0" w:hanging="0"/>
              <w:jc w:val="left"/>
              <w:rPr/>
            </w:pPr>
            <w:r>
              <w:rPr/>
              <w:t> </w:t>
            </w:r>
          </w:p>
        </w:tc>
        <w:tc>
          <w:tcPr>
            <w:tcW w:w="7280" w:type="dxa"/>
            <w:tcBorders/>
            <w:shd w:fill="FFFFFF" w:val="clear"/>
            <w:vAlign w:val="center"/>
          </w:tcPr>
          <w:p>
            <w:pPr>
              <w:pStyle w:val="TableContents"/>
              <w:spacing w:before="0" w:after="0"/>
              <w:ind w:left="0" w:right="0" w:hanging="0"/>
              <w:jc w:val="left"/>
              <w:rPr/>
            </w:pPr>
            <w:r>
              <w:rPr/>
              <w:t> </w:t>
            </w:r>
          </w:p>
        </w:tc>
        <w:tc>
          <w:tcPr>
            <w:tcW w:w="410" w:type="dxa"/>
            <w:tcBorders/>
            <w:shd w:fill="FFFFFF" w:val="clear"/>
            <w:vAlign w:val="center"/>
          </w:tcPr>
          <w:p>
            <w:pPr>
              <w:pStyle w:val="TableContents"/>
              <w:spacing w:before="0" w:after="0"/>
              <w:ind w:left="0" w:right="0" w:hanging="0"/>
              <w:jc w:val="left"/>
              <w:rPr/>
            </w:pPr>
            <w:r>
              <w:rPr/>
              <w:t> </w:t>
            </w:r>
          </w:p>
        </w:tc>
      </w:tr>
      <w:tr>
        <w:trPr/>
        <w:tc>
          <w:tcPr>
            <w:tcW w:w="710" w:type="dxa"/>
            <w:tcBorders/>
            <w:shd w:fill="CCEEFF" w:val="clear"/>
            <w:vAlign w:val="center"/>
          </w:tcPr>
          <w:p>
            <w:pPr>
              <w:pStyle w:val="TableContents"/>
              <w:spacing w:before="0" w:after="0"/>
              <w:ind w:left="180" w:right="0" w:hanging="0"/>
              <w:jc w:val="left"/>
              <w:rPr/>
            </w:pPr>
            <w:hyperlink w:anchor="Item_4._Controls_and_Procedures">
              <w:r>
                <w:rPr>
                  <w:rStyle w:val="InternetLink"/>
                  <w:rFonts w:ascii="Times New Roman;Times;serif" w:hAnsi="Times New Roman;Times;serif"/>
                  <w:sz w:val="20"/>
                </w:rPr>
                <w:t>Item 4.</w:t>
              </w:r>
            </w:hyperlink>
          </w:p>
        </w:tc>
        <w:tc>
          <w:tcPr>
            <w:tcW w:w="7280" w:type="dxa"/>
            <w:tcBorders/>
            <w:shd w:fill="CCEEFF" w:val="clear"/>
            <w:vAlign w:val="center"/>
          </w:tcPr>
          <w:p>
            <w:pPr>
              <w:pStyle w:val="TableContents"/>
              <w:spacing w:before="0" w:after="0"/>
              <w:ind w:left="0" w:right="0" w:hanging="0"/>
              <w:jc w:val="left"/>
              <w:rPr/>
            </w:pPr>
            <w:hyperlink w:anchor="Item_4._Controls_and_Procedures">
              <w:r>
                <w:rPr>
                  <w:rStyle w:val="InternetLink"/>
                  <w:rFonts w:ascii="Times New Roman;Times;serif" w:hAnsi="Times New Roman;Times;serif"/>
                  <w:sz w:val="20"/>
                </w:rPr>
                <w:t>Controls and Procedures</w:t>
              </w:r>
            </w:hyperlink>
          </w:p>
        </w:tc>
        <w:tc>
          <w:tcPr>
            <w:tcW w:w="410" w:type="dxa"/>
            <w:tcBorders/>
            <w:shd w:fill="CCEEFF" w:val="clear"/>
            <w:vAlign w:val="center"/>
          </w:tcPr>
          <w:p>
            <w:pPr>
              <w:pStyle w:val="TableContents"/>
              <w:spacing w:before="0" w:after="0"/>
              <w:ind w:left="0" w:right="0" w:hanging="0"/>
              <w:jc w:val="center"/>
              <w:rPr/>
            </w:pPr>
            <w:hyperlink w:anchor="Item_4._Controls_and_Procedures">
              <w:r>
                <w:rPr>
                  <w:rStyle w:val="InternetLink"/>
                  <w:rFonts w:ascii="Times New Roman;Times;serif" w:hAnsi="Times New Roman;Times;serif"/>
                  <w:sz w:val="20"/>
                </w:rPr>
                <w:t>26</w:t>
              </w:r>
            </w:hyperlink>
          </w:p>
        </w:tc>
      </w:tr>
      <w:tr>
        <w:trPr/>
        <w:tc>
          <w:tcPr>
            <w:tcW w:w="8400" w:type="dxa"/>
            <w:gridSpan w:val="3"/>
            <w:tcBorders/>
            <w:shd w:fill="FFFFFF" w:val="clear"/>
            <w:vAlign w:val="center"/>
          </w:tcPr>
          <w:p>
            <w:pPr>
              <w:pStyle w:val="TableContents"/>
              <w:spacing w:before="0" w:after="0"/>
              <w:ind w:left="180" w:right="0" w:hanging="0"/>
              <w:jc w:val="left"/>
              <w:rPr/>
            </w:pPr>
            <w:r>
              <w:rPr/>
              <w:t> </w:t>
            </w:r>
          </w:p>
        </w:tc>
      </w:tr>
      <w:tr>
        <w:trPr/>
        <w:tc>
          <w:tcPr>
            <w:tcW w:w="8400" w:type="dxa"/>
            <w:gridSpan w:val="3"/>
            <w:tcBorders/>
            <w:shd w:fill="CCEEFF"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Part II Other Information</w:t>
            </w:r>
          </w:p>
        </w:tc>
      </w:tr>
      <w:tr>
        <w:trPr/>
        <w:tc>
          <w:tcPr>
            <w:tcW w:w="710" w:type="dxa"/>
            <w:tcBorders/>
            <w:shd w:fill="FFFFFF" w:val="clear"/>
            <w:vAlign w:val="center"/>
          </w:tcPr>
          <w:p>
            <w:pPr>
              <w:pStyle w:val="TableContents"/>
              <w:spacing w:before="0" w:after="0"/>
              <w:ind w:left="180" w:right="0" w:hanging="0"/>
              <w:jc w:val="left"/>
              <w:rPr/>
            </w:pPr>
            <w:r>
              <w:rPr/>
              <w:t> </w:t>
            </w:r>
          </w:p>
        </w:tc>
        <w:tc>
          <w:tcPr>
            <w:tcW w:w="7280" w:type="dxa"/>
            <w:tcBorders/>
            <w:shd w:fill="FFFFFF" w:val="clear"/>
            <w:vAlign w:val="center"/>
          </w:tcPr>
          <w:p>
            <w:pPr>
              <w:pStyle w:val="TableContents"/>
              <w:spacing w:before="0" w:after="0"/>
              <w:ind w:left="0" w:right="0" w:hanging="0"/>
              <w:jc w:val="left"/>
              <w:rPr/>
            </w:pPr>
            <w:r>
              <w:rPr/>
              <w:t> </w:t>
            </w:r>
          </w:p>
        </w:tc>
        <w:tc>
          <w:tcPr>
            <w:tcW w:w="410" w:type="dxa"/>
            <w:tcBorders/>
            <w:shd w:fill="FFFFFF" w:val="clear"/>
            <w:vAlign w:val="center"/>
          </w:tcPr>
          <w:p>
            <w:pPr>
              <w:pStyle w:val="TableContents"/>
              <w:spacing w:before="0" w:after="0"/>
              <w:ind w:left="0" w:right="0" w:hanging="0"/>
              <w:jc w:val="left"/>
              <w:rPr/>
            </w:pPr>
            <w:r>
              <w:rPr/>
              <w:t> </w:t>
            </w:r>
          </w:p>
        </w:tc>
      </w:tr>
      <w:tr>
        <w:trPr/>
        <w:tc>
          <w:tcPr>
            <w:tcW w:w="710" w:type="dxa"/>
            <w:tcBorders/>
            <w:shd w:fill="CCEEFF" w:val="clear"/>
            <w:vAlign w:val="center"/>
          </w:tcPr>
          <w:p>
            <w:pPr>
              <w:pStyle w:val="TableContents"/>
              <w:spacing w:before="0" w:after="0"/>
              <w:ind w:left="180" w:right="0" w:hanging="0"/>
              <w:jc w:val="left"/>
              <w:rPr/>
            </w:pPr>
            <w:hyperlink w:anchor="Item_1A._Risk_Factors">
              <w:r>
                <w:rPr>
                  <w:rStyle w:val="InternetLink"/>
                  <w:rFonts w:ascii="Times New Roman;Times;serif" w:hAnsi="Times New Roman;Times;serif"/>
                  <w:sz w:val="20"/>
                </w:rPr>
                <w:t>Item 1A.</w:t>
              </w:r>
            </w:hyperlink>
          </w:p>
        </w:tc>
        <w:tc>
          <w:tcPr>
            <w:tcW w:w="7280" w:type="dxa"/>
            <w:tcBorders/>
            <w:shd w:fill="CCEEFF" w:val="clear"/>
            <w:vAlign w:val="center"/>
          </w:tcPr>
          <w:p>
            <w:pPr>
              <w:pStyle w:val="TableContents"/>
              <w:spacing w:before="0" w:after="0"/>
              <w:ind w:left="0" w:right="0" w:hanging="0"/>
              <w:jc w:val="left"/>
              <w:rPr/>
            </w:pPr>
            <w:hyperlink w:anchor="Item_1A._Risk_Factors">
              <w:r>
                <w:rPr>
                  <w:rStyle w:val="InternetLink"/>
                  <w:rFonts w:ascii="Times New Roman;Times;serif" w:hAnsi="Times New Roman;Times;serif"/>
                  <w:sz w:val="20"/>
                </w:rPr>
                <w:t>Risk Factors</w:t>
              </w:r>
            </w:hyperlink>
          </w:p>
        </w:tc>
        <w:tc>
          <w:tcPr>
            <w:tcW w:w="410" w:type="dxa"/>
            <w:tcBorders/>
            <w:shd w:fill="CCEEFF" w:val="clear"/>
            <w:vAlign w:val="center"/>
          </w:tcPr>
          <w:p>
            <w:pPr>
              <w:pStyle w:val="TableContents"/>
              <w:spacing w:before="0" w:after="0"/>
              <w:ind w:left="0" w:right="0" w:hanging="0"/>
              <w:jc w:val="center"/>
              <w:rPr/>
            </w:pPr>
            <w:hyperlink w:anchor="Item_1A._Risk_Factors">
              <w:r>
                <w:rPr>
                  <w:rStyle w:val="InternetLink"/>
                  <w:rFonts w:ascii="Times New Roman;Times;serif" w:hAnsi="Times New Roman;Times;serif"/>
                  <w:sz w:val="20"/>
                </w:rPr>
                <w:t>27</w:t>
              </w:r>
            </w:hyperlink>
          </w:p>
        </w:tc>
      </w:tr>
      <w:tr>
        <w:trPr/>
        <w:tc>
          <w:tcPr>
            <w:tcW w:w="710" w:type="dxa"/>
            <w:tcBorders/>
            <w:shd w:fill="FFFFFF" w:val="clear"/>
            <w:vAlign w:val="center"/>
          </w:tcPr>
          <w:p>
            <w:pPr>
              <w:pStyle w:val="TableContents"/>
              <w:spacing w:before="0" w:after="0"/>
              <w:ind w:left="0" w:right="0" w:hanging="0"/>
              <w:jc w:val="left"/>
              <w:rPr/>
            </w:pPr>
            <w:r>
              <w:rPr/>
              <w:t> </w:t>
            </w:r>
          </w:p>
        </w:tc>
        <w:tc>
          <w:tcPr>
            <w:tcW w:w="7280" w:type="dxa"/>
            <w:tcBorders/>
            <w:shd w:fill="FFFFFF" w:val="clear"/>
            <w:vAlign w:val="center"/>
          </w:tcPr>
          <w:p>
            <w:pPr>
              <w:pStyle w:val="TableContents"/>
              <w:spacing w:before="0" w:after="0"/>
              <w:ind w:left="0" w:right="0" w:hanging="0"/>
              <w:jc w:val="left"/>
              <w:rPr/>
            </w:pPr>
            <w:r>
              <w:rPr/>
              <w:t> </w:t>
            </w:r>
          </w:p>
        </w:tc>
        <w:tc>
          <w:tcPr>
            <w:tcW w:w="410" w:type="dxa"/>
            <w:tcBorders/>
            <w:shd w:fill="FFFFFF" w:val="clear"/>
            <w:vAlign w:val="center"/>
          </w:tcPr>
          <w:p>
            <w:pPr>
              <w:pStyle w:val="TableContents"/>
              <w:spacing w:before="0" w:after="0"/>
              <w:ind w:left="0" w:right="0" w:hanging="0"/>
              <w:jc w:val="left"/>
              <w:rPr/>
            </w:pPr>
            <w:r>
              <w:rPr/>
              <w:t> </w:t>
            </w:r>
          </w:p>
        </w:tc>
      </w:tr>
      <w:tr>
        <w:trPr/>
        <w:tc>
          <w:tcPr>
            <w:tcW w:w="710" w:type="dxa"/>
            <w:tcBorders/>
            <w:shd w:fill="CCEEFF" w:val="clear"/>
            <w:vAlign w:val="center"/>
          </w:tcPr>
          <w:p>
            <w:pPr>
              <w:pStyle w:val="TableContents"/>
              <w:spacing w:before="0" w:after="0"/>
              <w:ind w:left="180" w:right="0" w:hanging="0"/>
              <w:jc w:val="left"/>
              <w:rPr/>
            </w:pPr>
            <w:hyperlink w:anchor="Item_2._Unregistered_Sales_of_Equity_Securities_and_Use_of_Proceeds">
              <w:r>
                <w:rPr>
                  <w:rStyle w:val="InternetLink"/>
                  <w:rFonts w:ascii="Times New Roman;Times;serif" w:hAnsi="Times New Roman;Times;serif"/>
                  <w:sz w:val="20"/>
                </w:rPr>
                <w:t>Item 2.</w:t>
              </w:r>
            </w:hyperlink>
          </w:p>
        </w:tc>
        <w:tc>
          <w:tcPr>
            <w:tcW w:w="7280" w:type="dxa"/>
            <w:tcBorders/>
            <w:shd w:fill="CCEEFF" w:val="clear"/>
            <w:vAlign w:val="center"/>
          </w:tcPr>
          <w:p>
            <w:pPr>
              <w:pStyle w:val="TableContents"/>
              <w:spacing w:before="0" w:after="0"/>
              <w:ind w:left="0" w:right="0" w:hanging="0"/>
              <w:jc w:val="left"/>
              <w:rPr/>
            </w:pPr>
            <w:hyperlink w:anchor="Item_2._Unregistered_Sales_of_Equity_Securities_and_Use_of_Proceeds">
              <w:r>
                <w:rPr>
                  <w:rStyle w:val="InternetLink"/>
                  <w:rFonts w:ascii="Times New Roman;Times;serif" w:hAnsi="Times New Roman;Times;serif"/>
                  <w:sz w:val="20"/>
                </w:rPr>
                <w:t>Unregistered Sales of Equity Securities and Use of Proceeds</w:t>
              </w:r>
            </w:hyperlink>
          </w:p>
        </w:tc>
        <w:tc>
          <w:tcPr>
            <w:tcW w:w="410" w:type="dxa"/>
            <w:tcBorders/>
            <w:shd w:fill="CCEEFF" w:val="clear"/>
            <w:vAlign w:val="center"/>
          </w:tcPr>
          <w:p>
            <w:pPr>
              <w:pStyle w:val="TableContents"/>
              <w:spacing w:before="0" w:after="0"/>
              <w:ind w:left="0" w:right="0" w:hanging="0"/>
              <w:jc w:val="center"/>
              <w:rPr/>
            </w:pPr>
            <w:hyperlink w:anchor="Item_2._Unregistered_Sales_of_Equity_Securities_and_Use_of_Proceeds">
              <w:r>
                <w:rPr>
                  <w:rStyle w:val="InternetLink"/>
                  <w:rFonts w:ascii="Times New Roman;Times;serif" w:hAnsi="Times New Roman;Times;serif"/>
                  <w:sz w:val="20"/>
                </w:rPr>
                <w:t>27</w:t>
              </w:r>
            </w:hyperlink>
          </w:p>
        </w:tc>
      </w:tr>
      <w:tr>
        <w:trPr/>
        <w:tc>
          <w:tcPr>
            <w:tcW w:w="710" w:type="dxa"/>
            <w:tcBorders/>
            <w:shd w:fill="FFFFFF" w:val="clear"/>
            <w:vAlign w:val="center"/>
          </w:tcPr>
          <w:p>
            <w:pPr>
              <w:pStyle w:val="TableContents"/>
              <w:spacing w:before="0" w:after="0"/>
              <w:ind w:left="0" w:right="0" w:hanging="0"/>
              <w:jc w:val="left"/>
              <w:rPr/>
            </w:pPr>
            <w:r>
              <w:rPr/>
              <w:t> </w:t>
            </w:r>
          </w:p>
        </w:tc>
        <w:tc>
          <w:tcPr>
            <w:tcW w:w="7280" w:type="dxa"/>
            <w:tcBorders/>
            <w:shd w:fill="FFFFFF" w:val="clear"/>
            <w:vAlign w:val="center"/>
          </w:tcPr>
          <w:p>
            <w:pPr>
              <w:pStyle w:val="TableContents"/>
              <w:spacing w:before="0" w:after="0"/>
              <w:ind w:left="0" w:right="0" w:hanging="0"/>
              <w:jc w:val="left"/>
              <w:rPr/>
            </w:pPr>
            <w:r>
              <w:rPr/>
              <w:t> </w:t>
            </w:r>
          </w:p>
        </w:tc>
        <w:tc>
          <w:tcPr>
            <w:tcW w:w="410" w:type="dxa"/>
            <w:tcBorders/>
            <w:shd w:fill="FFFFFF" w:val="clear"/>
            <w:vAlign w:val="center"/>
          </w:tcPr>
          <w:p>
            <w:pPr>
              <w:pStyle w:val="TableContents"/>
              <w:spacing w:before="0" w:after="0"/>
              <w:ind w:left="0" w:right="0" w:hanging="0"/>
              <w:jc w:val="left"/>
              <w:rPr/>
            </w:pPr>
            <w:r>
              <w:rPr/>
              <w:t> </w:t>
            </w:r>
          </w:p>
        </w:tc>
      </w:tr>
      <w:tr>
        <w:trPr/>
        <w:tc>
          <w:tcPr>
            <w:tcW w:w="710" w:type="dxa"/>
            <w:tcBorders/>
            <w:shd w:fill="CCEEFF" w:val="clear"/>
            <w:vAlign w:val="center"/>
          </w:tcPr>
          <w:p>
            <w:pPr>
              <w:pStyle w:val="TableContents"/>
              <w:spacing w:before="0" w:after="0"/>
              <w:ind w:left="180" w:right="0" w:hanging="0"/>
              <w:jc w:val="left"/>
              <w:rPr/>
            </w:pPr>
            <w:hyperlink w:anchor="Item_6._Exhibits">
              <w:r>
                <w:rPr>
                  <w:rStyle w:val="InternetLink"/>
                  <w:rFonts w:ascii="Times New Roman;Times;serif" w:hAnsi="Times New Roman;Times;serif"/>
                  <w:sz w:val="20"/>
                </w:rPr>
                <w:t>Item 6.</w:t>
              </w:r>
            </w:hyperlink>
          </w:p>
        </w:tc>
        <w:tc>
          <w:tcPr>
            <w:tcW w:w="7280" w:type="dxa"/>
            <w:tcBorders/>
            <w:shd w:fill="CCEEFF" w:val="clear"/>
            <w:vAlign w:val="center"/>
          </w:tcPr>
          <w:p>
            <w:pPr>
              <w:pStyle w:val="TableContents"/>
              <w:spacing w:before="0" w:after="0"/>
              <w:ind w:left="0" w:right="0" w:hanging="0"/>
              <w:jc w:val="left"/>
              <w:rPr/>
            </w:pPr>
            <w:hyperlink w:anchor="Item_6._Exhibits">
              <w:r>
                <w:rPr>
                  <w:rStyle w:val="InternetLink"/>
                  <w:rFonts w:ascii="Times New Roman;Times;serif" w:hAnsi="Times New Roman;Times;serif"/>
                  <w:sz w:val="20"/>
                </w:rPr>
                <w:t>Exhibits</w:t>
              </w:r>
            </w:hyperlink>
          </w:p>
        </w:tc>
        <w:tc>
          <w:tcPr>
            <w:tcW w:w="410" w:type="dxa"/>
            <w:tcBorders/>
            <w:shd w:fill="CCEEFF" w:val="clear"/>
            <w:vAlign w:val="center"/>
          </w:tcPr>
          <w:p>
            <w:pPr>
              <w:pStyle w:val="TableContents"/>
              <w:spacing w:before="0" w:after="0"/>
              <w:ind w:left="0" w:right="0" w:hanging="0"/>
              <w:jc w:val="center"/>
              <w:rPr/>
            </w:pPr>
            <w:hyperlink w:anchor="Item_6._Exhibits">
              <w:r>
                <w:rPr>
                  <w:rStyle w:val="InternetLink"/>
                  <w:rFonts w:ascii="Times New Roman;Times;serif" w:hAnsi="Times New Roman;Times;serif"/>
                  <w:sz w:val="20"/>
                </w:rPr>
                <w:t>28</w:t>
              </w:r>
            </w:hyperlink>
          </w:p>
        </w:tc>
      </w:tr>
      <w:tr>
        <w:trPr/>
        <w:tc>
          <w:tcPr>
            <w:tcW w:w="7990" w:type="dxa"/>
            <w:gridSpan w:val="2"/>
            <w:tcBorders/>
            <w:shd w:fill="FFFFFF" w:val="clear"/>
            <w:vAlign w:val="center"/>
          </w:tcPr>
          <w:p>
            <w:pPr>
              <w:pStyle w:val="TableContents"/>
              <w:spacing w:before="0" w:after="0"/>
              <w:ind w:left="0" w:right="0" w:hanging="0"/>
              <w:jc w:val="left"/>
              <w:rPr/>
            </w:pPr>
            <w:r>
              <w:rPr/>
              <w:t> </w:t>
            </w:r>
          </w:p>
        </w:tc>
        <w:tc>
          <w:tcPr>
            <w:tcW w:w="410" w:type="dxa"/>
            <w:tcBorders/>
            <w:shd w:fill="FFFFFF" w:val="clear"/>
            <w:vAlign w:val="center"/>
          </w:tcPr>
          <w:p>
            <w:pPr>
              <w:pStyle w:val="TableContents"/>
              <w:spacing w:before="0" w:after="0"/>
              <w:ind w:left="0" w:right="0" w:hanging="0"/>
              <w:jc w:val="left"/>
              <w:rPr/>
            </w:pPr>
            <w:r>
              <w:rPr/>
              <w:t> </w:t>
            </w:r>
          </w:p>
        </w:tc>
      </w:tr>
      <w:tr>
        <w:trPr/>
        <w:tc>
          <w:tcPr>
            <w:tcW w:w="7990" w:type="dxa"/>
            <w:gridSpan w:val="2"/>
            <w:tcBorders/>
            <w:shd w:fill="CCEEFF" w:val="clear"/>
            <w:vAlign w:val="center"/>
          </w:tcPr>
          <w:p>
            <w:pPr>
              <w:pStyle w:val="TableContents"/>
              <w:spacing w:before="0" w:after="0"/>
              <w:ind w:left="0" w:right="0" w:hanging="0"/>
              <w:jc w:val="left"/>
              <w:rPr/>
            </w:pPr>
            <w:hyperlink w:anchor="Signatures">
              <w:r>
                <w:rPr>
                  <w:rStyle w:val="InternetLink"/>
                  <w:rFonts w:ascii="Times New Roman;Times;serif" w:hAnsi="Times New Roman;Times;serif"/>
                  <w:sz w:val="20"/>
                </w:rPr>
                <w:t>Signatures</w:t>
              </w:r>
            </w:hyperlink>
          </w:p>
        </w:tc>
        <w:tc>
          <w:tcPr>
            <w:tcW w:w="410" w:type="dxa"/>
            <w:tcBorders/>
            <w:shd w:fill="CCEEFF" w:val="clear"/>
            <w:vAlign w:val="center"/>
          </w:tcPr>
          <w:p>
            <w:pPr>
              <w:pStyle w:val="TableContents"/>
              <w:spacing w:before="0" w:after="0"/>
              <w:ind w:left="0" w:right="0" w:hanging="0"/>
              <w:jc w:val="center"/>
              <w:rPr/>
            </w:pPr>
            <w:hyperlink w:anchor="Signatures">
              <w:r>
                <w:rPr>
                  <w:rStyle w:val="InternetLink"/>
                  <w:rFonts w:ascii="Times New Roman;Times;serif" w:hAnsi="Times New Roman;Times;serif"/>
                  <w:sz w:val="20"/>
                </w:rPr>
                <w:t>29</w:t>
              </w:r>
            </w:hyperlink>
          </w:p>
        </w:tc>
      </w:tr>
    </w:tbl>
    <w:p>
      <w:pPr>
        <w:pStyle w:val="TextBody"/>
        <w:spacing w:before="0" w:after="0"/>
        <w:ind w:left="144" w:right="144" w:hanging="0"/>
        <w:jc w:val="left"/>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rPr/>
      </w:pPr>
      <w:r>
        <w:rPr/>
      </w:r>
    </w:p>
    <w:p>
      <w:pPr>
        <w:pStyle w:val="TextBody"/>
        <w:spacing w:before="0" w:after="0"/>
        <w:jc w:val="left"/>
        <w:rPr/>
      </w:pPr>
      <w:r>
        <w:rPr/>
        <w:t xml:space="preserve">  </w:t>
      </w:r>
    </w:p>
    <w:p>
      <w:pPr>
        <w:pStyle w:val="TextBody"/>
        <w:jc w:val="left"/>
        <w:rPr/>
      </w:pPr>
      <w:hyperlink w:anchor="Table_of_Contents">
        <w:r>
          <w:rPr>
            <w:rStyle w:val="InternetLink"/>
            <w:sz w:val="20"/>
          </w:rPr>
          <w:t>Table of Contents</w:t>
        </w:r>
      </w:hyperlink>
      <w:r>
        <w:rPr/>
        <w:t xml:space="preserve"> </w:t>
      </w:r>
    </w:p>
    <w:p>
      <w:pPr>
        <w:pStyle w:val="TextBody"/>
        <w:spacing w:before="0" w:after="0"/>
        <w:ind w:left="0" w:right="0" w:hanging="0"/>
        <w:jc w:val="left"/>
        <w:rPr/>
      </w:pPr>
      <w:r>
        <w:rPr/>
        <w:t> </w:t>
      </w:r>
    </w:p>
    <w:p>
      <w:pPr>
        <w:pStyle w:val="TextBody"/>
        <w:rPr/>
      </w:pPr>
      <w:r>
        <w:rPr/>
        <w:t xml:space="preserve">  </w:t>
      </w:r>
    </w:p>
    <w:p>
      <w:pPr>
        <w:pStyle w:val="TextBody"/>
        <w:spacing w:before="0" w:after="0"/>
        <w:ind w:left="0" w:right="0" w:hanging="0"/>
        <w:jc w:val="center"/>
        <w:rPr>
          <w:rFonts w:ascii="Times New Roman;Times;serif" w:hAnsi="Times New Roman;Times;serif"/>
          <w:b/>
          <w:sz w:val="20"/>
        </w:rPr>
      </w:pPr>
      <w:bookmarkStart w:id="3" w:name="bs"/>
      <w:bookmarkEnd w:id="3"/>
      <w:r>
        <w:rPr>
          <w:rFonts w:ascii="Times New Roman;Times;serif" w:hAnsi="Times New Roman;Times;serif"/>
          <w:b/>
          <w:sz w:val="20"/>
        </w:rPr>
        <w:t xml:space="preserve">PART I-FINANCIAL INFORMATION </w:t>
      </w:r>
    </w:p>
    <w:p>
      <w:pPr>
        <w:pStyle w:val="TextBody"/>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Item 1. Financial Statements </w:t>
      </w:r>
    </w:p>
    <w:p>
      <w:pPr>
        <w:pStyle w:val="TextBody"/>
        <w:spacing w:before="0" w:after="0"/>
        <w:ind w:left="144" w:right="144" w:hanging="0"/>
        <w:jc w:val="left"/>
        <w:rPr/>
      </w:pPr>
      <w:r>
        <w:rPr/>
        <w:t> </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BUILD-A-BEAR WORKSHOP, INC. AND SUBSIDIARIES </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CONDENSED CONSOLIDATED BALANCE SHEETS </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(Dollars in thousands, except share and per share data)</w:t>
      </w:r>
    </w:p>
    <w:p>
      <w:pPr>
        <w:pStyle w:val="TextBody"/>
        <w:spacing w:before="0" w:after="0"/>
        <w:ind w:left="144" w:right="144" w:hanging="0"/>
        <w:jc w:val="center"/>
        <w:rPr/>
      </w:pPr>
      <w:r>
        <w:rPr/>
        <w:t> </w:t>
      </w:r>
    </w:p>
    <w:tbl>
      <w:tblPr>
        <w:tblW w:w="10205" w:type="dxa"/>
        <w:jc w:val="left"/>
        <w:tblInd w:w="0" w:type="dxa"/>
        <w:tblCellMar>
          <w:top w:w="0" w:type="dxa"/>
          <w:left w:w="0" w:type="dxa"/>
          <w:bottom w:w="0" w:type="dxa"/>
          <w:right w:w="0" w:type="dxa"/>
        </w:tblCellMar>
      </w:tblPr>
      <w:tblGrid>
        <w:gridCol w:w="6936"/>
        <w:gridCol w:w="60"/>
        <w:gridCol w:w="146"/>
        <w:gridCol w:w="818"/>
        <w:gridCol w:w="80"/>
        <w:gridCol w:w="60"/>
        <w:gridCol w:w="139"/>
        <w:gridCol w:w="778"/>
        <w:gridCol w:w="80"/>
        <w:gridCol w:w="60"/>
        <w:gridCol w:w="146"/>
        <w:gridCol w:w="818"/>
        <w:gridCol w:w="84"/>
      </w:tblGrid>
      <w:tr>
        <w:trPr/>
        <w:tc>
          <w:tcPr>
            <w:tcW w:w="6936"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964"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sz w:val="20"/>
              </w:rPr>
              <w:t>July 31,</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917"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sz w:val="20"/>
              </w:rPr>
              <w:t>January 30,</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964"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sz w:val="20"/>
              </w:rPr>
              <w:t>August 1,</w:t>
            </w:r>
          </w:p>
        </w:tc>
        <w:tc>
          <w:tcPr>
            <w:tcW w:w="84" w:type="dxa"/>
            <w:tcBorders/>
            <w:shd w:fill="FFFFFF" w:val="clear"/>
            <w:vAlign w:val="center"/>
          </w:tcPr>
          <w:p>
            <w:pPr>
              <w:pStyle w:val="TableContents"/>
              <w:spacing w:before="0" w:after="283"/>
              <w:rPr/>
            </w:pPr>
            <w:r>
              <w:rPr/>
              <w:t> </w:t>
            </w:r>
          </w:p>
        </w:tc>
      </w:tr>
      <w:tr>
        <w:trPr/>
        <w:tc>
          <w:tcPr>
            <w:tcW w:w="6936"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96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sz w:val="20"/>
              </w:rPr>
              <w:t>2021</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917"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sz w:val="20"/>
              </w:rPr>
              <w:t>2021</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96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sz w:val="20"/>
              </w:rPr>
              <w:t>2020</w:t>
            </w:r>
          </w:p>
        </w:tc>
        <w:tc>
          <w:tcPr>
            <w:tcW w:w="84" w:type="dxa"/>
            <w:tcBorders/>
            <w:shd w:fill="FFFFFF" w:val="clear"/>
            <w:vAlign w:val="center"/>
          </w:tcPr>
          <w:p>
            <w:pPr>
              <w:pStyle w:val="TableContents"/>
              <w:spacing w:before="0" w:after="283"/>
              <w:rPr/>
            </w:pPr>
            <w:r>
              <w:rPr/>
              <w:t> </w:t>
            </w:r>
          </w:p>
        </w:tc>
      </w:tr>
      <w:tr>
        <w:trPr/>
        <w:tc>
          <w:tcPr>
            <w:tcW w:w="6936"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964" w:type="dxa"/>
            <w:gridSpan w:val="2"/>
            <w:tcBorders/>
            <w:shd w:fill="FFFF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(Unaudited)</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9" w:type="dxa"/>
            <w:tcBorders/>
            <w:shd w:fill="FFFFFF" w:val="clear"/>
            <w:vAlign w:val="center"/>
          </w:tcPr>
          <w:p>
            <w:pPr>
              <w:pStyle w:val="TableContents"/>
              <w:spacing w:before="0" w:after="283"/>
              <w:rPr/>
            </w:pPr>
            <w:r>
              <w:rPr/>
              <w:t> </w:t>
            </w:r>
          </w:p>
        </w:tc>
        <w:tc>
          <w:tcPr>
            <w:tcW w:w="778" w:type="dxa"/>
            <w:tcBorders/>
            <w:shd w:fill="FFFFFF" w:val="clear"/>
            <w:vAlign w:val="center"/>
          </w:tcPr>
          <w:p>
            <w:pPr>
              <w:pStyle w:val="TableContents"/>
              <w:spacing w:before="0" w:after="283"/>
              <w:jc w:val="center"/>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964" w:type="dxa"/>
            <w:gridSpan w:val="2"/>
            <w:tcBorders/>
            <w:shd w:fill="FFFF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(Unaudited)</w:t>
            </w:r>
          </w:p>
        </w:tc>
        <w:tc>
          <w:tcPr>
            <w:tcW w:w="84" w:type="dxa"/>
            <w:tcBorders/>
            <w:shd w:fill="FFFFFF" w:val="clear"/>
            <w:vAlign w:val="center"/>
          </w:tcPr>
          <w:p>
            <w:pPr>
              <w:pStyle w:val="TableContents"/>
              <w:spacing w:before="0" w:after="283"/>
              <w:rPr/>
            </w:pPr>
            <w:r>
              <w:rPr/>
              <w:t> </w:t>
            </w:r>
          </w:p>
        </w:tc>
      </w:tr>
      <w:tr>
        <w:trPr/>
        <w:tc>
          <w:tcPr>
            <w:tcW w:w="10121" w:type="dxa"/>
            <w:gridSpan w:val="12"/>
            <w:tcBorders/>
            <w:shd w:fill="CCEEFF" w:val="clear"/>
            <w:vAlign w:val="center"/>
          </w:tcPr>
          <w:p>
            <w:pPr>
              <w:pStyle w:val="TableContents"/>
              <w:spacing w:before="0" w:after="0"/>
              <w:jc w:val="center"/>
              <w:rPr/>
            </w:pPr>
            <w:r>
              <w:rPr>
                <w:rStyle w:val="Emphasis"/>
                <w:rFonts w:ascii="Times New Roman;Times;serif" w:hAnsi="Times New Roman;Times;serif"/>
                <w:b/>
                <w:sz w:val="20"/>
              </w:rPr>
              <w:t>ASSETS</w:t>
            </w:r>
          </w:p>
        </w:tc>
        <w:tc>
          <w:tcPr>
            <w:tcW w:w="84" w:type="dxa"/>
            <w:tcBorders/>
            <w:shd w:fill="CCEEFF" w:val="clear"/>
            <w:vAlign w:val="center"/>
          </w:tcPr>
          <w:p>
            <w:pPr>
              <w:pStyle w:val="TableContents"/>
              <w:spacing w:before="0" w:after="283"/>
              <w:rPr/>
            </w:pPr>
            <w:r>
              <w:rPr/>
              <w:t> </w:t>
            </w:r>
          </w:p>
        </w:tc>
      </w:tr>
      <w:tr>
        <w:trPr/>
        <w:tc>
          <w:tcPr>
            <w:tcW w:w="6936" w:type="dxa"/>
            <w:tcBorders/>
            <w:shd w:fill="FFFF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Current assets:</w:t>
            </w:r>
          </w:p>
        </w:tc>
        <w:tc>
          <w:tcPr>
            <w:tcW w:w="60" w:type="dxa"/>
            <w:tcBorders/>
            <w:shd w:fill="FFFFFF" w:val="clear"/>
            <w:vAlign w:val="center"/>
          </w:tcPr>
          <w:p>
            <w:pPr>
              <w:pStyle w:val="TableContents"/>
              <w:spacing w:before="0" w:after="283"/>
              <w:rPr/>
            </w:pPr>
            <w:r>
              <w:rPr/>
              <w:t> </w:t>
            </w:r>
          </w:p>
        </w:tc>
        <w:tc>
          <w:tcPr>
            <w:tcW w:w="146" w:type="dxa"/>
            <w:tcBorders/>
            <w:shd w:fill="FFFFFF" w:val="clear"/>
            <w:vAlign w:val="center"/>
          </w:tcPr>
          <w:p>
            <w:pPr>
              <w:pStyle w:val="TableContents"/>
              <w:spacing w:before="0" w:after="283"/>
              <w:rPr/>
            </w:pPr>
            <w:r>
              <w:rPr/>
              <w:t> </w:t>
            </w:r>
          </w:p>
        </w:tc>
        <w:tc>
          <w:tcPr>
            <w:tcW w:w="818" w:type="dxa"/>
            <w:tcBorders/>
            <w:shd w:fill="FFFFFF" w:val="clear"/>
            <w:vAlign w:val="center"/>
          </w:tcPr>
          <w:p>
            <w:pPr>
              <w:pStyle w:val="TableContents"/>
              <w:spacing w:before="0" w:after="283"/>
              <w:jc w:val="left"/>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9" w:type="dxa"/>
            <w:tcBorders/>
            <w:shd w:fill="FFFFFF" w:val="clear"/>
            <w:vAlign w:val="center"/>
          </w:tcPr>
          <w:p>
            <w:pPr>
              <w:pStyle w:val="TableContents"/>
              <w:spacing w:before="0" w:after="283"/>
              <w:rPr/>
            </w:pPr>
            <w:r>
              <w:rPr/>
              <w:t> </w:t>
            </w:r>
          </w:p>
        </w:tc>
        <w:tc>
          <w:tcPr>
            <w:tcW w:w="778" w:type="dxa"/>
            <w:tcBorders/>
            <w:shd w:fill="FFFFFF" w:val="clear"/>
            <w:vAlign w:val="center"/>
          </w:tcPr>
          <w:p>
            <w:pPr>
              <w:pStyle w:val="TableContents"/>
              <w:spacing w:before="0" w:after="283"/>
              <w:jc w:val="left"/>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6" w:type="dxa"/>
            <w:tcBorders/>
            <w:shd w:fill="FFFFFF" w:val="clear"/>
            <w:vAlign w:val="center"/>
          </w:tcPr>
          <w:p>
            <w:pPr>
              <w:pStyle w:val="TableContents"/>
              <w:spacing w:before="0" w:after="283"/>
              <w:rPr/>
            </w:pPr>
            <w:r>
              <w:rPr/>
              <w:t> </w:t>
            </w:r>
          </w:p>
        </w:tc>
        <w:tc>
          <w:tcPr>
            <w:tcW w:w="818" w:type="dxa"/>
            <w:tcBorders/>
            <w:shd w:fill="FFFFFF" w:val="clear"/>
            <w:vAlign w:val="center"/>
          </w:tcPr>
          <w:p>
            <w:pPr>
              <w:pStyle w:val="TableContents"/>
              <w:spacing w:before="0" w:after="283"/>
              <w:jc w:val="left"/>
              <w:rPr/>
            </w:pPr>
            <w:r>
              <w:rPr/>
              <w:t> </w:t>
            </w:r>
          </w:p>
        </w:tc>
        <w:tc>
          <w:tcPr>
            <w:tcW w:w="84" w:type="dxa"/>
            <w:tcBorders/>
            <w:shd w:fill="FFFFFF" w:val="clear"/>
            <w:vAlign w:val="center"/>
          </w:tcPr>
          <w:p>
            <w:pPr>
              <w:pStyle w:val="TableContents"/>
              <w:spacing w:before="0" w:after="283"/>
              <w:rPr/>
            </w:pPr>
            <w:r>
              <w:rPr/>
              <w:t> </w:t>
            </w:r>
          </w:p>
        </w:tc>
      </w:tr>
      <w:tr>
        <w:trPr/>
        <w:tc>
          <w:tcPr>
            <w:tcW w:w="6936" w:type="dxa"/>
            <w:tcBorders/>
            <w:shd w:fill="CCEE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Cash and cash equivalents</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818"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51,136</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9"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778"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34,840</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818"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25,274</w:t>
            </w:r>
          </w:p>
        </w:tc>
        <w:tc>
          <w:tcPr>
            <w:tcW w:w="84" w:type="dxa"/>
            <w:tcBorders/>
            <w:shd w:fill="CCEEFF" w:val="clear"/>
            <w:vAlign w:val="center"/>
          </w:tcPr>
          <w:p>
            <w:pPr>
              <w:pStyle w:val="TableContents"/>
              <w:spacing w:before="0" w:after="283"/>
              <w:rPr/>
            </w:pPr>
            <w:r>
              <w:rPr/>
              <w:t> </w:t>
            </w:r>
          </w:p>
        </w:tc>
      </w:tr>
      <w:tr>
        <w:trPr/>
        <w:tc>
          <w:tcPr>
            <w:tcW w:w="6936" w:type="dxa"/>
            <w:tcBorders/>
            <w:shd w:fill="FFFF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Inventories, net</w:t>
            </w:r>
          </w:p>
        </w:tc>
        <w:tc>
          <w:tcPr>
            <w:tcW w:w="60" w:type="dxa"/>
            <w:tcBorders/>
            <w:shd w:fill="FFFFFF" w:val="clear"/>
            <w:vAlign w:val="center"/>
          </w:tcPr>
          <w:p>
            <w:pPr>
              <w:pStyle w:val="TableContents"/>
              <w:spacing w:before="0" w:after="283"/>
              <w:rPr/>
            </w:pPr>
            <w:r>
              <w:rPr/>
              <w:t> </w:t>
            </w:r>
          </w:p>
        </w:tc>
        <w:tc>
          <w:tcPr>
            <w:tcW w:w="146" w:type="dxa"/>
            <w:tcBorders/>
            <w:shd w:fill="FFFFFF" w:val="clear"/>
            <w:vAlign w:val="center"/>
          </w:tcPr>
          <w:p>
            <w:pPr>
              <w:pStyle w:val="TableContents"/>
              <w:spacing w:before="0" w:after="283"/>
              <w:rPr/>
            </w:pPr>
            <w:r>
              <w:rPr/>
              <w:t> </w:t>
            </w:r>
          </w:p>
        </w:tc>
        <w:tc>
          <w:tcPr>
            <w:tcW w:w="818"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47,342</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9" w:type="dxa"/>
            <w:tcBorders/>
            <w:shd w:fill="FFFFFF" w:val="clear"/>
            <w:vAlign w:val="center"/>
          </w:tcPr>
          <w:p>
            <w:pPr>
              <w:pStyle w:val="TableContents"/>
              <w:spacing w:before="0" w:after="283"/>
              <w:rPr/>
            </w:pPr>
            <w:r>
              <w:rPr/>
              <w:t> </w:t>
            </w:r>
          </w:p>
        </w:tc>
        <w:tc>
          <w:tcPr>
            <w:tcW w:w="778"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46,947</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6" w:type="dxa"/>
            <w:tcBorders/>
            <w:shd w:fill="FFFFFF" w:val="clear"/>
            <w:vAlign w:val="center"/>
          </w:tcPr>
          <w:p>
            <w:pPr>
              <w:pStyle w:val="TableContents"/>
              <w:spacing w:before="0" w:after="283"/>
              <w:rPr/>
            </w:pPr>
            <w:r>
              <w:rPr/>
              <w:t> </w:t>
            </w:r>
          </w:p>
        </w:tc>
        <w:tc>
          <w:tcPr>
            <w:tcW w:w="818"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55,509</w:t>
            </w:r>
          </w:p>
        </w:tc>
        <w:tc>
          <w:tcPr>
            <w:tcW w:w="84" w:type="dxa"/>
            <w:tcBorders/>
            <w:shd w:fill="FFFFFF" w:val="clear"/>
            <w:vAlign w:val="center"/>
          </w:tcPr>
          <w:p>
            <w:pPr>
              <w:pStyle w:val="TableContents"/>
              <w:spacing w:before="0" w:after="283"/>
              <w:rPr/>
            </w:pPr>
            <w:r>
              <w:rPr/>
              <w:t> </w:t>
            </w:r>
          </w:p>
        </w:tc>
      </w:tr>
      <w:tr>
        <w:trPr/>
        <w:tc>
          <w:tcPr>
            <w:tcW w:w="6936" w:type="dxa"/>
            <w:tcBorders/>
            <w:shd w:fill="CCEE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Receivables, net</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818"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8,648</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9" w:type="dxa"/>
            <w:tcBorders/>
            <w:shd w:fill="CCEEFF" w:val="clear"/>
            <w:vAlign w:val="center"/>
          </w:tcPr>
          <w:p>
            <w:pPr>
              <w:pStyle w:val="TableContents"/>
              <w:spacing w:before="0" w:after="283"/>
              <w:rPr/>
            </w:pPr>
            <w:r>
              <w:rPr/>
              <w:t> </w:t>
            </w:r>
          </w:p>
        </w:tc>
        <w:tc>
          <w:tcPr>
            <w:tcW w:w="778"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8,295</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818"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6,314</w:t>
            </w:r>
          </w:p>
        </w:tc>
        <w:tc>
          <w:tcPr>
            <w:tcW w:w="84" w:type="dxa"/>
            <w:tcBorders/>
            <w:shd w:fill="CCEEFF" w:val="clear"/>
            <w:vAlign w:val="center"/>
          </w:tcPr>
          <w:p>
            <w:pPr>
              <w:pStyle w:val="TableContents"/>
              <w:spacing w:before="0" w:after="283"/>
              <w:rPr/>
            </w:pPr>
            <w:r>
              <w:rPr/>
              <w:t> </w:t>
            </w:r>
          </w:p>
        </w:tc>
      </w:tr>
      <w:tr>
        <w:trPr/>
        <w:tc>
          <w:tcPr>
            <w:tcW w:w="6936" w:type="dxa"/>
            <w:tcBorders/>
            <w:shd w:fill="FFFF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Prepaid expenses and other current assets</w:t>
            </w:r>
          </w:p>
        </w:tc>
        <w:tc>
          <w:tcPr>
            <w:tcW w:w="60" w:type="dxa"/>
            <w:tcBorders/>
            <w:shd w:fill="FFFFFF" w:val="clear"/>
            <w:vAlign w:val="center"/>
          </w:tcPr>
          <w:p>
            <w:pPr>
              <w:pStyle w:val="TableContents"/>
              <w:spacing w:before="0" w:after="283"/>
              <w:ind w:left="0" w:right="0" w:hanging="0"/>
              <w:rPr/>
            </w:pPr>
            <w:r>
              <w:rPr/>
              <w:t> </w:t>
            </w:r>
          </w:p>
        </w:tc>
        <w:tc>
          <w:tcPr>
            <w:tcW w:w="146"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818" w:type="dxa"/>
            <w:tcBorders>
              <w:bottom w:val="single" w:sz="2" w:space="0" w:color="000000"/>
            </w:tcBorders>
            <w:shd w:fill="FFFF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8,841</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39"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778" w:type="dxa"/>
            <w:tcBorders>
              <w:bottom w:val="single" w:sz="2" w:space="0" w:color="000000"/>
            </w:tcBorders>
            <w:shd w:fill="FFFF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10,111</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46"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818" w:type="dxa"/>
            <w:tcBorders>
              <w:bottom w:val="single" w:sz="2" w:space="0" w:color="000000"/>
            </w:tcBorders>
            <w:shd w:fill="FFFF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5,400</w:t>
            </w:r>
          </w:p>
        </w:tc>
        <w:tc>
          <w:tcPr>
            <w:tcW w:w="84" w:type="dxa"/>
            <w:tcBorders/>
            <w:shd w:fill="FFFFFF" w:val="clear"/>
            <w:vAlign w:val="center"/>
          </w:tcPr>
          <w:p>
            <w:pPr>
              <w:pStyle w:val="TableContents"/>
              <w:spacing w:before="0" w:after="283"/>
              <w:rPr/>
            </w:pPr>
            <w:r>
              <w:rPr/>
              <w:t> </w:t>
            </w:r>
          </w:p>
        </w:tc>
      </w:tr>
      <w:tr>
        <w:trPr/>
        <w:tc>
          <w:tcPr>
            <w:tcW w:w="6936" w:type="dxa"/>
            <w:tcBorders/>
            <w:shd w:fill="CCEEFF" w:val="clear"/>
            <w:vAlign w:val="center"/>
          </w:tcPr>
          <w:p>
            <w:pPr>
              <w:pStyle w:val="TableContents"/>
              <w:spacing w:before="0" w:after="0"/>
              <w:ind w:left="720" w:right="0" w:hanging="180"/>
              <w:rPr>
                <w:rFonts w:ascii="Times New Roman;Times;serif" w:hAnsi="Times New Roman;Times;serif"/>
                <w:sz w:val="20"/>
              </w:rPr>
            </w:pPr>
            <w:r>
              <w:rPr>
                <w:rFonts w:ascii="Times New Roman;Times;serif" w:hAnsi="Times New Roman;Times;serif"/>
                <w:sz w:val="20"/>
              </w:rPr>
              <w:t>Total current assets</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ind w:left="0" w:right="0" w:hanging="0"/>
              <w:rPr/>
            </w:pPr>
            <w:r>
              <w:rPr/>
              <w:t> </w:t>
            </w:r>
          </w:p>
        </w:tc>
        <w:tc>
          <w:tcPr>
            <w:tcW w:w="818"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115,967</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9" w:type="dxa"/>
            <w:tcBorders/>
            <w:shd w:fill="CCEEFF" w:val="clear"/>
            <w:vAlign w:val="center"/>
          </w:tcPr>
          <w:p>
            <w:pPr>
              <w:pStyle w:val="TableContents"/>
              <w:spacing w:before="0" w:after="283"/>
              <w:ind w:left="0" w:right="0" w:hanging="0"/>
              <w:rPr/>
            </w:pPr>
            <w:r>
              <w:rPr/>
              <w:t> </w:t>
            </w:r>
          </w:p>
        </w:tc>
        <w:tc>
          <w:tcPr>
            <w:tcW w:w="778"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100,193</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ind w:left="0" w:right="0" w:hanging="0"/>
              <w:rPr/>
            </w:pPr>
            <w:r>
              <w:rPr/>
              <w:t> </w:t>
            </w:r>
          </w:p>
        </w:tc>
        <w:tc>
          <w:tcPr>
            <w:tcW w:w="818"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92,497</w:t>
            </w:r>
          </w:p>
        </w:tc>
        <w:tc>
          <w:tcPr>
            <w:tcW w:w="84" w:type="dxa"/>
            <w:tcBorders/>
            <w:shd w:fill="CCEEFF" w:val="clear"/>
            <w:vAlign w:val="center"/>
          </w:tcPr>
          <w:p>
            <w:pPr>
              <w:pStyle w:val="TableContents"/>
              <w:spacing w:before="0" w:after="283"/>
              <w:rPr/>
            </w:pPr>
            <w:r>
              <w:rPr/>
              <w:t> </w:t>
            </w:r>
          </w:p>
        </w:tc>
      </w:tr>
      <w:tr>
        <w:trPr/>
        <w:tc>
          <w:tcPr>
            <w:tcW w:w="6936"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6" w:type="dxa"/>
            <w:tcBorders/>
            <w:shd w:fill="FFFFFF" w:val="clear"/>
            <w:vAlign w:val="center"/>
          </w:tcPr>
          <w:p>
            <w:pPr>
              <w:pStyle w:val="TableContents"/>
              <w:spacing w:before="0" w:after="283"/>
              <w:rPr/>
            </w:pPr>
            <w:r>
              <w:rPr/>
              <w:t> </w:t>
            </w:r>
          </w:p>
        </w:tc>
        <w:tc>
          <w:tcPr>
            <w:tcW w:w="818"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9" w:type="dxa"/>
            <w:tcBorders/>
            <w:shd w:fill="FFFFFF" w:val="clear"/>
            <w:vAlign w:val="center"/>
          </w:tcPr>
          <w:p>
            <w:pPr>
              <w:pStyle w:val="TableContents"/>
              <w:spacing w:before="0" w:after="283"/>
              <w:rPr/>
            </w:pPr>
            <w:r>
              <w:rPr/>
              <w:t> </w:t>
            </w:r>
          </w:p>
        </w:tc>
        <w:tc>
          <w:tcPr>
            <w:tcW w:w="778"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6" w:type="dxa"/>
            <w:tcBorders/>
            <w:shd w:fill="FFFFFF" w:val="clear"/>
            <w:vAlign w:val="center"/>
          </w:tcPr>
          <w:p>
            <w:pPr>
              <w:pStyle w:val="TableContents"/>
              <w:spacing w:before="0" w:after="283"/>
              <w:rPr/>
            </w:pPr>
            <w:r>
              <w:rPr/>
              <w:t> </w:t>
            </w:r>
          </w:p>
        </w:tc>
        <w:tc>
          <w:tcPr>
            <w:tcW w:w="818" w:type="dxa"/>
            <w:tcBorders/>
            <w:shd w:fill="FFFFFF" w:val="clear"/>
            <w:vAlign w:val="center"/>
          </w:tcPr>
          <w:p>
            <w:pPr>
              <w:pStyle w:val="TableContents"/>
              <w:spacing w:before="0" w:after="283"/>
              <w:rPr/>
            </w:pPr>
            <w:r>
              <w:rPr/>
              <w:t> </w:t>
            </w:r>
          </w:p>
        </w:tc>
        <w:tc>
          <w:tcPr>
            <w:tcW w:w="84" w:type="dxa"/>
            <w:tcBorders/>
            <w:shd w:fill="FFFFFF" w:val="clear"/>
            <w:vAlign w:val="center"/>
          </w:tcPr>
          <w:p>
            <w:pPr>
              <w:pStyle w:val="TableContents"/>
              <w:spacing w:before="0" w:after="283"/>
              <w:rPr/>
            </w:pPr>
            <w:r>
              <w:rPr/>
              <w:t> </w:t>
            </w:r>
          </w:p>
        </w:tc>
      </w:tr>
      <w:tr>
        <w:trPr/>
        <w:tc>
          <w:tcPr>
            <w:tcW w:w="6936" w:type="dxa"/>
            <w:tcBorders/>
            <w:shd w:fill="CCEE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Operating lease right-of-use asset</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818"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93,087</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9" w:type="dxa"/>
            <w:tcBorders/>
            <w:shd w:fill="CCEEFF" w:val="clear"/>
            <w:vAlign w:val="center"/>
          </w:tcPr>
          <w:p>
            <w:pPr>
              <w:pStyle w:val="TableContents"/>
              <w:spacing w:before="0" w:after="283"/>
              <w:rPr/>
            </w:pPr>
            <w:r>
              <w:rPr/>
              <w:t> </w:t>
            </w:r>
          </w:p>
        </w:tc>
        <w:tc>
          <w:tcPr>
            <w:tcW w:w="778"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104,825</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818"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114,709</w:t>
            </w:r>
          </w:p>
        </w:tc>
        <w:tc>
          <w:tcPr>
            <w:tcW w:w="84" w:type="dxa"/>
            <w:tcBorders/>
            <w:shd w:fill="CCEEFF" w:val="clear"/>
            <w:vAlign w:val="center"/>
          </w:tcPr>
          <w:p>
            <w:pPr>
              <w:pStyle w:val="TableContents"/>
              <w:spacing w:before="0" w:after="283"/>
              <w:rPr/>
            </w:pPr>
            <w:r>
              <w:rPr/>
              <w:t> </w:t>
            </w:r>
          </w:p>
        </w:tc>
      </w:tr>
      <w:tr>
        <w:trPr/>
        <w:tc>
          <w:tcPr>
            <w:tcW w:w="6936" w:type="dxa"/>
            <w:tcBorders/>
            <w:shd w:fill="FFFF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Property and equipment, net</w:t>
            </w:r>
          </w:p>
        </w:tc>
        <w:tc>
          <w:tcPr>
            <w:tcW w:w="60" w:type="dxa"/>
            <w:tcBorders/>
            <w:shd w:fill="FFFFFF" w:val="clear"/>
            <w:vAlign w:val="center"/>
          </w:tcPr>
          <w:p>
            <w:pPr>
              <w:pStyle w:val="TableContents"/>
              <w:spacing w:before="0" w:after="283"/>
              <w:rPr/>
            </w:pPr>
            <w:r>
              <w:rPr/>
              <w:t> </w:t>
            </w:r>
          </w:p>
        </w:tc>
        <w:tc>
          <w:tcPr>
            <w:tcW w:w="146" w:type="dxa"/>
            <w:tcBorders/>
            <w:shd w:fill="FFFFFF" w:val="clear"/>
            <w:vAlign w:val="center"/>
          </w:tcPr>
          <w:p>
            <w:pPr>
              <w:pStyle w:val="TableContents"/>
              <w:spacing w:before="0" w:after="283"/>
              <w:rPr/>
            </w:pPr>
            <w:r>
              <w:rPr/>
              <w:t> </w:t>
            </w:r>
          </w:p>
        </w:tc>
        <w:tc>
          <w:tcPr>
            <w:tcW w:w="818"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48,161</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9" w:type="dxa"/>
            <w:tcBorders/>
            <w:shd w:fill="FFFFFF" w:val="clear"/>
            <w:vAlign w:val="center"/>
          </w:tcPr>
          <w:p>
            <w:pPr>
              <w:pStyle w:val="TableContents"/>
              <w:spacing w:before="0" w:after="283"/>
              <w:rPr/>
            </w:pPr>
            <w:r>
              <w:rPr/>
              <w:t> </w:t>
            </w:r>
          </w:p>
        </w:tc>
        <w:tc>
          <w:tcPr>
            <w:tcW w:w="778"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52,973</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6" w:type="dxa"/>
            <w:tcBorders/>
            <w:shd w:fill="FFFFFF" w:val="clear"/>
            <w:vAlign w:val="center"/>
          </w:tcPr>
          <w:p>
            <w:pPr>
              <w:pStyle w:val="TableContents"/>
              <w:spacing w:before="0" w:after="283"/>
              <w:rPr/>
            </w:pPr>
            <w:r>
              <w:rPr/>
              <w:t> </w:t>
            </w:r>
          </w:p>
        </w:tc>
        <w:tc>
          <w:tcPr>
            <w:tcW w:w="818"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58,085</w:t>
            </w:r>
          </w:p>
        </w:tc>
        <w:tc>
          <w:tcPr>
            <w:tcW w:w="84" w:type="dxa"/>
            <w:tcBorders/>
            <w:shd w:fill="FFFFFF" w:val="clear"/>
            <w:vAlign w:val="center"/>
          </w:tcPr>
          <w:p>
            <w:pPr>
              <w:pStyle w:val="TableContents"/>
              <w:spacing w:before="0" w:after="283"/>
              <w:rPr/>
            </w:pPr>
            <w:r>
              <w:rPr/>
              <w:t> </w:t>
            </w:r>
          </w:p>
        </w:tc>
      </w:tr>
      <w:tr>
        <w:trPr/>
        <w:tc>
          <w:tcPr>
            <w:tcW w:w="6936" w:type="dxa"/>
            <w:tcBorders/>
            <w:shd w:fill="CCEE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Other assets, net</w:t>
            </w:r>
          </w:p>
        </w:tc>
        <w:tc>
          <w:tcPr>
            <w:tcW w:w="60" w:type="dxa"/>
            <w:tcBorders/>
            <w:shd w:fill="CCEEFF" w:val="clear"/>
            <w:vAlign w:val="center"/>
          </w:tcPr>
          <w:p>
            <w:pPr>
              <w:pStyle w:val="TableContents"/>
              <w:spacing w:before="0" w:after="283"/>
              <w:ind w:left="0" w:right="0" w:hanging="0"/>
              <w:rPr/>
            </w:pPr>
            <w:r>
              <w:rPr/>
              <w:t> </w:t>
            </w:r>
          </w:p>
        </w:tc>
        <w:tc>
          <w:tcPr>
            <w:tcW w:w="14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18" w:type="dxa"/>
            <w:tcBorders>
              <w:bottom w:val="single" w:sz="2"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7,060</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39"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78" w:type="dxa"/>
            <w:tcBorders>
              <w:bottom w:val="single" w:sz="2"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3,381</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4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18" w:type="dxa"/>
            <w:tcBorders>
              <w:bottom w:val="single" w:sz="2"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2,972</w:t>
            </w:r>
          </w:p>
        </w:tc>
        <w:tc>
          <w:tcPr>
            <w:tcW w:w="84" w:type="dxa"/>
            <w:tcBorders/>
            <w:shd w:fill="CCEEFF" w:val="clear"/>
            <w:vAlign w:val="center"/>
          </w:tcPr>
          <w:p>
            <w:pPr>
              <w:pStyle w:val="TableContents"/>
              <w:spacing w:before="0" w:after="283"/>
              <w:rPr/>
            </w:pPr>
            <w:r>
              <w:rPr/>
              <w:t> </w:t>
            </w:r>
          </w:p>
        </w:tc>
      </w:tr>
      <w:tr>
        <w:trPr/>
        <w:tc>
          <w:tcPr>
            <w:tcW w:w="6936" w:type="dxa"/>
            <w:tcBorders/>
            <w:shd w:fill="FFFF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Assets</w:t>
            </w:r>
          </w:p>
        </w:tc>
        <w:tc>
          <w:tcPr>
            <w:tcW w:w="60" w:type="dxa"/>
            <w:tcBorders/>
            <w:shd w:fill="FFFFFF" w:val="clear"/>
            <w:vAlign w:val="center"/>
          </w:tcPr>
          <w:p>
            <w:pPr>
              <w:pStyle w:val="TableContents"/>
              <w:spacing w:before="0" w:after="283"/>
              <w:ind w:left="0" w:right="0" w:hanging="0"/>
              <w:rPr/>
            </w:pPr>
            <w:r>
              <w:rPr/>
              <w:t> </w:t>
            </w:r>
          </w:p>
        </w:tc>
        <w:tc>
          <w:tcPr>
            <w:tcW w:w="146"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818"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264,275</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39"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778"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261,372</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46"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818"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268,263</w:t>
            </w:r>
          </w:p>
        </w:tc>
        <w:tc>
          <w:tcPr>
            <w:tcW w:w="84" w:type="dxa"/>
            <w:tcBorders/>
            <w:shd w:fill="FFFFFF" w:val="clear"/>
            <w:vAlign w:val="center"/>
          </w:tcPr>
          <w:p>
            <w:pPr>
              <w:pStyle w:val="TableContents"/>
              <w:spacing w:before="0" w:after="283"/>
              <w:rPr/>
            </w:pPr>
            <w:r>
              <w:rPr/>
              <w:t> </w:t>
            </w:r>
          </w:p>
        </w:tc>
      </w:tr>
      <w:tr>
        <w:trPr/>
        <w:tc>
          <w:tcPr>
            <w:tcW w:w="6936"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818"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9" w:type="dxa"/>
            <w:tcBorders/>
            <w:shd w:fill="CCEEFF" w:val="clear"/>
            <w:vAlign w:val="center"/>
          </w:tcPr>
          <w:p>
            <w:pPr>
              <w:pStyle w:val="TableContents"/>
              <w:spacing w:before="0" w:after="283"/>
              <w:rPr/>
            </w:pPr>
            <w:r>
              <w:rPr/>
              <w:t> </w:t>
            </w:r>
          </w:p>
        </w:tc>
        <w:tc>
          <w:tcPr>
            <w:tcW w:w="778"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818" w:type="dxa"/>
            <w:tcBorders/>
            <w:shd w:fill="CCEEFF" w:val="clear"/>
            <w:vAlign w:val="center"/>
          </w:tcPr>
          <w:p>
            <w:pPr>
              <w:pStyle w:val="TableContents"/>
              <w:spacing w:before="0" w:after="283"/>
              <w:rPr/>
            </w:pPr>
            <w:r>
              <w:rPr/>
              <w:t> </w:t>
            </w:r>
          </w:p>
        </w:tc>
        <w:tc>
          <w:tcPr>
            <w:tcW w:w="84" w:type="dxa"/>
            <w:tcBorders/>
            <w:shd w:fill="CCEEFF" w:val="clear"/>
            <w:vAlign w:val="center"/>
          </w:tcPr>
          <w:p>
            <w:pPr>
              <w:pStyle w:val="TableContents"/>
              <w:spacing w:before="0" w:after="283"/>
              <w:rPr/>
            </w:pPr>
            <w:r>
              <w:rPr/>
              <w:t> </w:t>
            </w:r>
          </w:p>
        </w:tc>
      </w:tr>
      <w:tr>
        <w:trPr/>
        <w:tc>
          <w:tcPr>
            <w:tcW w:w="10121" w:type="dxa"/>
            <w:gridSpan w:val="12"/>
            <w:tcBorders/>
            <w:shd w:fill="FFFFFF" w:val="clear"/>
            <w:vAlign w:val="center"/>
          </w:tcPr>
          <w:p>
            <w:pPr>
              <w:pStyle w:val="TableContents"/>
              <w:spacing w:before="0" w:after="0"/>
              <w:jc w:val="center"/>
              <w:rPr/>
            </w:pPr>
            <w:r>
              <w:rPr>
                <w:rStyle w:val="Emphasis"/>
                <w:rFonts w:ascii="Times New Roman;Times;serif" w:hAnsi="Times New Roman;Times;serif"/>
                <w:b/>
                <w:sz w:val="20"/>
              </w:rPr>
              <w:t>LIABILITIES AND STOCKHOLDERS' EQUITY</w:t>
            </w:r>
          </w:p>
        </w:tc>
        <w:tc>
          <w:tcPr>
            <w:tcW w:w="84" w:type="dxa"/>
            <w:tcBorders/>
            <w:shd w:fill="FFFFFF" w:val="clear"/>
            <w:vAlign w:val="center"/>
          </w:tcPr>
          <w:p>
            <w:pPr>
              <w:pStyle w:val="TableContents"/>
              <w:spacing w:before="0" w:after="283"/>
              <w:rPr/>
            </w:pPr>
            <w:r>
              <w:rPr/>
              <w:t> </w:t>
            </w:r>
          </w:p>
        </w:tc>
      </w:tr>
      <w:tr>
        <w:trPr/>
        <w:tc>
          <w:tcPr>
            <w:tcW w:w="6936" w:type="dxa"/>
            <w:tcBorders/>
            <w:shd w:fill="CCEE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Current liabilities:</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818" w:type="dxa"/>
            <w:tcBorders/>
            <w:shd w:fill="CCEEFF" w:val="clear"/>
            <w:vAlign w:val="center"/>
          </w:tcPr>
          <w:p>
            <w:pPr>
              <w:pStyle w:val="TableContents"/>
              <w:spacing w:before="0" w:after="283"/>
              <w:jc w:val="left"/>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9" w:type="dxa"/>
            <w:tcBorders/>
            <w:shd w:fill="CCEEFF" w:val="clear"/>
            <w:vAlign w:val="center"/>
          </w:tcPr>
          <w:p>
            <w:pPr>
              <w:pStyle w:val="TableContents"/>
              <w:spacing w:before="0" w:after="283"/>
              <w:rPr/>
            </w:pPr>
            <w:r>
              <w:rPr/>
              <w:t> </w:t>
            </w:r>
          </w:p>
        </w:tc>
        <w:tc>
          <w:tcPr>
            <w:tcW w:w="778" w:type="dxa"/>
            <w:tcBorders/>
            <w:shd w:fill="CCEEFF" w:val="clear"/>
            <w:vAlign w:val="center"/>
          </w:tcPr>
          <w:p>
            <w:pPr>
              <w:pStyle w:val="TableContents"/>
              <w:spacing w:before="0" w:after="283"/>
              <w:jc w:val="left"/>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818" w:type="dxa"/>
            <w:tcBorders/>
            <w:shd w:fill="CCEEFF" w:val="clear"/>
            <w:vAlign w:val="center"/>
          </w:tcPr>
          <w:p>
            <w:pPr>
              <w:pStyle w:val="TableContents"/>
              <w:spacing w:before="0" w:after="283"/>
              <w:jc w:val="left"/>
              <w:rPr/>
            </w:pPr>
            <w:r>
              <w:rPr/>
              <w:t> </w:t>
            </w:r>
          </w:p>
        </w:tc>
        <w:tc>
          <w:tcPr>
            <w:tcW w:w="84" w:type="dxa"/>
            <w:tcBorders/>
            <w:shd w:fill="CCEEFF" w:val="clear"/>
            <w:vAlign w:val="center"/>
          </w:tcPr>
          <w:p>
            <w:pPr>
              <w:pStyle w:val="TableContents"/>
              <w:spacing w:before="0" w:after="283"/>
              <w:rPr/>
            </w:pPr>
            <w:r>
              <w:rPr/>
              <w:t> </w:t>
            </w:r>
          </w:p>
        </w:tc>
      </w:tr>
      <w:tr>
        <w:trPr/>
        <w:tc>
          <w:tcPr>
            <w:tcW w:w="6936" w:type="dxa"/>
            <w:tcBorders/>
            <w:shd w:fill="FFFF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Accounts payable</w:t>
            </w:r>
          </w:p>
        </w:tc>
        <w:tc>
          <w:tcPr>
            <w:tcW w:w="60" w:type="dxa"/>
            <w:tcBorders/>
            <w:shd w:fill="FFFFFF" w:val="clear"/>
            <w:vAlign w:val="center"/>
          </w:tcPr>
          <w:p>
            <w:pPr>
              <w:pStyle w:val="TableContents"/>
              <w:spacing w:before="0" w:after="283"/>
              <w:rPr/>
            </w:pPr>
            <w:r>
              <w:rPr/>
              <w:t> </w:t>
            </w:r>
          </w:p>
        </w:tc>
        <w:tc>
          <w:tcPr>
            <w:tcW w:w="146"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818"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16,028</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9"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778"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17,901</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6"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818"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23,267</w:t>
            </w:r>
          </w:p>
        </w:tc>
        <w:tc>
          <w:tcPr>
            <w:tcW w:w="84" w:type="dxa"/>
            <w:tcBorders/>
            <w:shd w:fill="FFFFFF" w:val="clear"/>
            <w:vAlign w:val="center"/>
          </w:tcPr>
          <w:p>
            <w:pPr>
              <w:pStyle w:val="TableContents"/>
              <w:spacing w:before="0" w:after="283"/>
              <w:rPr/>
            </w:pPr>
            <w:r>
              <w:rPr/>
              <w:t> </w:t>
            </w:r>
          </w:p>
        </w:tc>
      </w:tr>
      <w:tr>
        <w:trPr/>
        <w:tc>
          <w:tcPr>
            <w:tcW w:w="6936" w:type="dxa"/>
            <w:tcBorders/>
            <w:shd w:fill="CCEE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Accrued expenses</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818"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20,972</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9" w:type="dxa"/>
            <w:tcBorders/>
            <w:shd w:fill="CCEEFF" w:val="clear"/>
            <w:vAlign w:val="center"/>
          </w:tcPr>
          <w:p>
            <w:pPr>
              <w:pStyle w:val="TableContents"/>
              <w:spacing w:before="0" w:after="283"/>
              <w:rPr/>
            </w:pPr>
            <w:r>
              <w:rPr/>
              <w:t> </w:t>
            </w:r>
          </w:p>
        </w:tc>
        <w:tc>
          <w:tcPr>
            <w:tcW w:w="778"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17,551</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818"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15,911</w:t>
            </w:r>
          </w:p>
        </w:tc>
        <w:tc>
          <w:tcPr>
            <w:tcW w:w="84" w:type="dxa"/>
            <w:tcBorders/>
            <w:shd w:fill="CCEEFF" w:val="clear"/>
            <w:vAlign w:val="center"/>
          </w:tcPr>
          <w:p>
            <w:pPr>
              <w:pStyle w:val="TableContents"/>
              <w:spacing w:before="0" w:after="283"/>
              <w:rPr/>
            </w:pPr>
            <w:r>
              <w:rPr/>
              <w:t> </w:t>
            </w:r>
          </w:p>
        </w:tc>
      </w:tr>
      <w:tr>
        <w:trPr/>
        <w:tc>
          <w:tcPr>
            <w:tcW w:w="6936" w:type="dxa"/>
            <w:tcBorders/>
            <w:shd w:fill="FFFF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Operating lease liability short term</w:t>
            </w:r>
          </w:p>
        </w:tc>
        <w:tc>
          <w:tcPr>
            <w:tcW w:w="60" w:type="dxa"/>
            <w:tcBorders/>
            <w:shd w:fill="FFFFFF" w:val="clear"/>
            <w:vAlign w:val="center"/>
          </w:tcPr>
          <w:p>
            <w:pPr>
              <w:pStyle w:val="TableContents"/>
              <w:spacing w:before="0" w:after="283"/>
              <w:rPr/>
            </w:pPr>
            <w:r>
              <w:rPr/>
              <w:t> </w:t>
            </w:r>
          </w:p>
        </w:tc>
        <w:tc>
          <w:tcPr>
            <w:tcW w:w="146" w:type="dxa"/>
            <w:tcBorders/>
            <w:shd w:fill="FFFFFF" w:val="clear"/>
            <w:vAlign w:val="center"/>
          </w:tcPr>
          <w:p>
            <w:pPr>
              <w:pStyle w:val="TableContents"/>
              <w:spacing w:before="0" w:after="283"/>
              <w:rPr/>
            </w:pPr>
            <w:r>
              <w:rPr/>
              <w:t> </w:t>
            </w:r>
          </w:p>
        </w:tc>
        <w:tc>
          <w:tcPr>
            <w:tcW w:w="818"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28,019</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9" w:type="dxa"/>
            <w:tcBorders/>
            <w:shd w:fill="FFFFFF" w:val="clear"/>
            <w:vAlign w:val="center"/>
          </w:tcPr>
          <w:p>
            <w:pPr>
              <w:pStyle w:val="TableContents"/>
              <w:spacing w:before="0" w:after="283"/>
              <w:rPr/>
            </w:pPr>
            <w:r>
              <w:rPr/>
              <w:t> </w:t>
            </w:r>
          </w:p>
        </w:tc>
        <w:tc>
          <w:tcPr>
            <w:tcW w:w="778"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32,402</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6" w:type="dxa"/>
            <w:tcBorders/>
            <w:shd w:fill="FFFFFF" w:val="clear"/>
            <w:vAlign w:val="center"/>
          </w:tcPr>
          <w:p>
            <w:pPr>
              <w:pStyle w:val="TableContents"/>
              <w:spacing w:before="0" w:after="283"/>
              <w:rPr/>
            </w:pPr>
            <w:r>
              <w:rPr/>
              <w:t> </w:t>
            </w:r>
          </w:p>
        </w:tc>
        <w:tc>
          <w:tcPr>
            <w:tcW w:w="818"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39,917</w:t>
            </w:r>
          </w:p>
        </w:tc>
        <w:tc>
          <w:tcPr>
            <w:tcW w:w="84" w:type="dxa"/>
            <w:tcBorders/>
            <w:shd w:fill="FFFFFF" w:val="clear"/>
            <w:vAlign w:val="center"/>
          </w:tcPr>
          <w:p>
            <w:pPr>
              <w:pStyle w:val="TableContents"/>
              <w:spacing w:before="0" w:after="283"/>
              <w:rPr/>
            </w:pPr>
            <w:r>
              <w:rPr/>
              <w:t> </w:t>
            </w:r>
          </w:p>
        </w:tc>
      </w:tr>
      <w:tr>
        <w:trPr/>
        <w:tc>
          <w:tcPr>
            <w:tcW w:w="6936" w:type="dxa"/>
            <w:tcBorders/>
            <w:shd w:fill="CCEE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Gift cards and customer deposits</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818"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18,096</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9" w:type="dxa"/>
            <w:tcBorders/>
            <w:shd w:fill="CCEEFF" w:val="clear"/>
            <w:vAlign w:val="center"/>
          </w:tcPr>
          <w:p>
            <w:pPr>
              <w:pStyle w:val="TableContents"/>
              <w:spacing w:before="0" w:after="283"/>
              <w:rPr/>
            </w:pPr>
            <w:r>
              <w:rPr/>
              <w:t> </w:t>
            </w:r>
          </w:p>
        </w:tc>
        <w:tc>
          <w:tcPr>
            <w:tcW w:w="778"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19,029</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818"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17,988</w:t>
            </w:r>
          </w:p>
        </w:tc>
        <w:tc>
          <w:tcPr>
            <w:tcW w:w="84" w:type="dxa"/>
            <w:tcBorders/>
            <w:shd w:fill="CCEEFF" w:val="clear"/>
            <w:vAlign w:val="center"/>
          </w:tcPr>
          <w:p>
            <w:pPr>
              <w:pStyle w:val="TableContents"/>
              <w:spacing w:before="0" w:after="283"/>
              <w:rPr/>
            </w:pPr>
            <w:r>
              <w:rPr/>
              <w:t> </w:t>
            </w:r>
          </w:p>
        </w:tc>
      </w:tr>
      <w:tr>
        <w:trPr/>
        <w:tc>
          <w:tcPr>
            <w:tcW w:w="6936" w:type="dxa"/>
            <w:tcBorders/>
            <w:shd w:fill="FFFF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Deferred revenue and other</w:t>
            </w:r>
          </w:p>
        </w:tc>
        <w:tc>
          <w:tcPr>
            <w:tcW w:w="60" w:type="dxa"/>
            <w:tcBorders/>
            <w:shd w:fill="FFFFFF" w:val="clear"/>
            <w:vAlign w:val="center"/>
          </w:tcPr>
          <w:p>
            <w:pPr>
              <w:pStyle w:val="TableContents"/>
              <w:spacing w:before="0" w:after="283"/>
              <w:ind w:left="0" w:right="0" w:hanging="0"/>
              <w:rPr/>
            </w:pPr>
            <w:r>
              <w:rPr/>
              <w:t> </w:t>
            </w:r>
          </w:p>
        </w:tc>
        <w:tc>
          <w:tcPr>
            <w:tcW w:w="146"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818" w:type="dxa"/>
            <w:tcBorders>
              <w:bottom w:val="single" w:sz="2" w:space="0" w:color="000000"/>
            </w:tcBorders>
            <w:shd w:fill="FFFF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2,723</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39"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778" w:type="dxa"/>
            <w:tcBorders>
              <w:bottom w:val="single" w:sz="2" w:space="0" w:color="000000"/>
            </w:tcBorders>
            <w:shd w:fill="FFFF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2,445</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46"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818" w:type="dxa"/>
            <w:tcBorders>
              <w:bottom w:val="single" w:sz="2" w:space="0" w:color="000000"/>
            </w:tcBorders>
            <w:shd w:fill="FFFF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2,659</w:t>
            </w:r>
          </w:p>
        </w:tc>
        <w:tc>
          <w:tcPr>
            <w:tcW w:w="84" w:type="dxa"/>
            <w:tcBorders/>
            <w:shd w:fill="FFFFFF" w:val="clear"/>
            <w:vAlign w:val="center"/>
          </w:tcPr>
          <w:p>
            <w:pPr>
              <w:pStyle w:val="TableContents"/>
              <w:spacing w:before="0" w:after="283"/>
              <w:rPr/>
            </w:pPr>
            <w:r>
              <w:rPr/>
              <w:t> </w:t>
            </w:r>
          </w:p>
        </w:tc>
      </w:tr>
      <w:tr>
        <w:trPr/>
        <w:tc>
          <w:tcPr>
            <w:tcW w:w="6936" w:type="dxa"/>
            <w:tcBorders/>
            <w:shd w:fill="CCEEFF" w:val="clear"/>
            <w:vAlign w:val="center"/>
          </w:tcPr>
          <w:p>
            <w:pPr>
              <w:pStyle w:val="TableContents"/>
              <w:spacing w:before="0" w:after="0"/>
              <w:ind w:left="720" w:right="0" w:hanging="180"/>
              <w:rPr>
                <w:rFonts w:ascii="Times New Roman;Times;serif" w:hAnsi="Times New Roman;Times;serif"/>
                <w:sz w:val="20"/>
              </w:rPr>
            </w:pPr>
            <w:r>
              <w:rPr>
                <w:rFonts w:ascii="Times New Roman;Times;serif" w:hAnsi="Times New Roman;Times;serif"/>
                <w:sz w:val="20"/>
              </w:rPr>
              <w:t>Total current liabilities</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ind w:left="0" w:right="0" w:hanging="0"/>
              <w:rPr/>
            </w:pPr>
            <w:r>
              <w:rPr/>
              <w:t> </w:t>
            </w:r>
          </w:p>
        </w:tc>
        <w:tc>
          <w:tcPr>
            <w:tcW w:w="818"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85,838</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9" w:type="dxa"/>
            <w:tcBorders/>
            <w:shd w:fill="CCEEFF" w:val="clear"/>
            <w:vAlign w:val="center"/>
          </w:tcPr>
          <w:p>
            <w:pPr>
              <w:pStyle w:val="TableContents"/>
              <w:spacing w:before="0" w:after="283"/>
              <w:ind w:left="0" w:right="0" w:hanging="0"/>
              <w:rPr/>
            </w:pPr>
            <w:r>
              <w:rPr/>
              <w:t> </w:t>
            </w:r>
          </w:p>
        </w:tc>
        <w:tc>
          <w:tcPr>
            <w:tcW w:w="778"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89,328</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ind w:left="0" w:right="0" w:hanging="0"/>
              <w:rPr/>
            </w:pPr>
            <w:r>
              <w:rPr/>
              <w:t> </w:t>
            </w:r>
          </w:p>
        </w:tc>
        <w:tc>
          <w:tcPr>
            <w:tcW w:w="818"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99,742</w:t>
            </w:r>
          </w:p>
        </w:tc>
        <w:tc>
          <w:tcPr>
            <w:tcW w:w="84" w:type="dxa"/>
            <w:tcBorders/>
            <w:shd w:fill="CCEEFF" w:val="clear"/>
            <w:vAlign w:val="center"/>
          </w:tcPr>
          <w:p>
            <w:pPr>
              <w:pStyle w:val="TableContents"/>
              <w:spacing w:before="0" w:after="283"/>
              <w:rPr/>
            </w:pPr>
            <w:r>
              <w:rPr/>
              <w:t> </w:t>
            </w:r>
          </w:p>
        </w:tc>
      </w:tr>
      <w:tr>
        <w:trPr/>
        <w:tc>
          <w:tcPr>
            <w:tcW w:w="6936"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6" w:type="dxa"/>
            <w:tcBorders/>
            <w:shd w:fill="FFFFFF" w:val="clear"/>
            <w:vAlign w:val="center"/>
          </w:tcPr>
          <w:p>
            <w:pPr>
              <w:pStyle w:val="TableContents"/>
              <w:spacing w:before="0" w:after="283"/>
              <w:rPr/>
            </w:pPr>
            <w:r>
              <w:rPr/>
              <w:t> </w:t>
            </w:r>
          </w:p>
        </w:tc>
        <w:tc>
          <w:tcPr>
            <w:tcW w:w="818"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9" w:type="dxa"/>
            <w:tcBorders/>
            <w:shd w:fill="FFFFFF" w:val="clear"/>
            <w:vAlign w:val="center"/>
          </w:tcPr>
          <w:p>
            <w:pPr>
              <w:pStyle w:val="TableContents"/>
              <w:spacing w:before="0" w:after="283"/>
              <w:rPr/>
            </w:pPr>
            <w:r>
              <w:rPr/>
              <w:t> </w:t>
            </w:r>
          </w:p>
        </w:tc>
        <w:tc>
          <w:tcPr>
            <w:tcW w:w="778"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6" w:type="dxa"/>
            <w:tcBorders/>
            <w:shd w:fill="FFFFFF" w:val="clear"/>
            <w:vAlign w:val="center"/>
          </w:tcPr>
          <w:p>
            <w:pPr>
              <w:pStyle w:val="TableContents"/>
              <w:spacing w:before="0" w:after="283"/>
              <w:rPr/>
            </w:pPr>
            <w:r>
              <w:rPr/>
              <w:t> </w:t>
            </w:r>
          </w:p>
        </w:tc>
        <w:tc>
          <w:tcPr>
            <w:tcW w:w="818" w:type="dxa"/>
            <w:tcBorders/>
            <w:shd w:fill="FFFFFF" w:val="clear"/>
            <w:vAlign w:val="center"/>
          </w:tcPr>
          <w:p>
            <w:pPr>
              <w:pStyle w:val="TableContents"/>
              <w:spacing w:before="0" w:after="283"/>
              <w:rPr/>
            </w:pPr>
            <w:r>
              <w:rPr/>
              <w:t> </w:t>
            </w:r>
          </w:p>
        </w:tc>
        <w:tc>
          <w:tcPr>
            <w:tcW w:w="84" w:type="dxa"/>
            <w:tcBorders/>
            <w:shd w:fill="FFFFFF" w:val="clear"/>
            <w:vAlign w:val="center"/>
          </w:tcPr>
          <w:p>
            <w:pPr>
              <w:pStyle w:val="TableContents"/>
              <w:spacing w:before="0" w:after="283"/>
              <w:rPr/>
            </w:pPr>
            <w:r>
              <w:rPr/>
              <w:t> </w:t>
            </w:r>
          </w:p>
        </w:tc>
      </w:tr>
      <w:tr>
        <w:trPr/>
        <w:tc>
          <w:tcPr>
            <w:tcW w:w="6936" w:type="dxa"/>
            <w:tcBorders/>
            <w:shd w:fill="CCEE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Operating lease liability long term</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818"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89,883</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9" w:type="dxa"/>
            <w:tcBorders/>
            <w:shd w:fill="CCEEFF" w:val="clear"/>
            <w:vAlign w:val="center"/>
          </w:tcPr>
          <w:p>
            <w:pPr>
              <w:pStyle w:val="TableContents"/>
              <w:spacing w:before="0" w:after="283"/>
              <w:rPr/>
            </w:pPr>
            <w:r>
              <w:rPr/>
              <w:t> </w:t>
            </w:r>
          </w:p>
        </w:tc>
        <w:tc>
          <w:tcPr>
            <w:tcW w:w="778"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101,462</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818"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111,640</w:t>
            </w:r>
          </w:p>
        </w:tc>
        <w:tc>
          <w:tcPr>
            <w:tcW w:w="84" w:type="dxa"/>
            <w:tcBorders/>
            <w:shd w:fill="CCEEFF" w:val="clear"/>
            <w:vAlign w:val="center"/>
          </w:tcPr>
          <w:p>
            <w:pPr>
              <w:pStyle w:val="TableContents"/>
              <w:spacing w:before="0" w:after="283"/>
              <w:rPr/>
            </w:pPr>
            <w:r>
              <w:rPr/>
              <w:t> </w:t>
            </w:r>
          </w:p>
        </w:tc>
      </w:tr>
      <w:tr>
        <w:trPr/>
        <w:tc>
          <w:tcPr>
            <w:tcW w:w="6936" w:type="dxa"/>
            <w:tcBorders/>
            <w:shd w:fill="FFFF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Deferred franchise revenue</w:t>
            </w:r>
          </w:p>
        </w:tc>
        <w:tc>
          <w:tcPr>
            <w:tcW w:w="60" w:type="dxa"/>
            <w:tcBorders/>
            <w:shd w:fill="FFFFFF" w:val="clear"/>
            <w:vAlign w:val="center"/>
          </w:tcPr>
          <w:p>
            <w:pPr>
              <w:pStyle w:val="TableContents"/>
              <w:spacing w:before="0" w:after="283"/>
              <w:rPr/>
            </w:pPr>
            <w:r>
              <w:rPr/>
              <w:t> </w:t>
            </w:r>
          </w:p>
        </w:tc>
        <w:tc>
          <w:tcPr>
            <w:tcW w:w="146" w:type="dxa"/>
            <w:tcBorders/>
            <w:shd w:fill="FFFFFF" w:val="clear"/>
            <w:vAlign w:val="center"/>
          </w:tcPr>
          <w:p>
            <w:pPr>
              <w:pStyle w:val="TableContents"/>
              <w:spacing w:before="0" w:after="283"/>
              <w:rPr/>
            </w:pPr>
            <w:r>
              <w:rPr/>
              <w:t> </w:t>
            </w:r>
          </w:p>
        </w:tc>
        <w:tc>
          <w:tcPr>
            <w:tcW w:w="818"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847</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9" w:type="dxa"/>
            <w:tcBorders/>
            <w:shd w:fill="FFFFFF" w:val="clear"/>
            <w:vAlign w:val="center"/>
          </w:tcPr>
          <w:p>
            <w:pPr>
              <w:pStyle w:val="TableContents"/>
              <w:spacing w:before="0" w:after="283"/>
              <w:rPr/>
            </w:pPr>
            <w:r>
              <w:rPr/>
              <w:t> </w:t>
            </w:r>
          </w:p>
        </w:tc>
        <w:tc>
          <w:tcPr>
            <w:tcW w:w="778"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920</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6" w:type="dxa"/>
            <w:tcBorders/>
            <w:shd w:fill="FFFFFF" w:val="clear"/>
            <w:vAlign w:val="center"/>
          </w:tcPr>
          <w:p>
            <w:pPr>
              <w:pStyle w:val="TableContents"/>
              <w:spacing w:before="0" w:after="283"/>
              <w:rPr/>
            </w:pPr>
            <w:r>
              <w:rPr/>
              <w:t> </w:t>
            </w:r>
          </w:p>
        </w:tc>
        <w:tc>
          <w:tcPr>
            <w:tcW w:w="818"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916</w:t>
            </w:r>
          </w:p>
        </w:tc>
        <w:tc>
          <w:tcPr>
            <w:tcW w:w="84" w:type="dxa"/>
            <w:tcBorders/>
            <w:shd w:fill="FFFFFF" w:val="clear"/>
            <w:vAlign w:val="center"/>
          </w:tcPr>
          <w:p>
            <w:pPr>
              <w:pStyle w:val="TableContents"/>
              <w:spacing w:before="0" w:after="283"/>
              <w:rPr/>
            </w:pPr>
            <w:r>
              <w:rPr/>
              <w:t> </w:t>
            </w:r>
          </w:p>
        </w:tc>
      </w:tr>
      <w:tr>
        <w:trPr/>
        <w:tc>
          <w:tcPr>
            <w:tcW w:w="6936" w:type="dxa"/>
            <w:tcBorders/>
            <w:shd w:fill="CCEE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Other liabilities</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818"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2,572</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9" w:type="dxa"/>
            <w:tcBorders/>
            <w:shd w:fill="CCEEFF" w:val="clear"/>
            <w:vAlign w:val="center"/>
          </w:tcPr>
          <w:p>
            <w:pPr>
              <w:pStyle w:val="TableContents"/>
              <w:spacing w:before="0" w:after="283"/>
              <w:rPr/>
            </w:pPr>
            <w:r>
              <w:rPr/>
              <w:t> </w:t>
            </w:r>
          </w:p>
        </w:tc>
        <w:tc>
          <w:tcPr>
            <w:tcW w:w="778"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2,354</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818"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1,430</w:t>
            </w:r>
          </w:p>
        </w:tc>
        <w:tc>
          <w:tcPr>
            <w:tcW w:w="84" w:type="dxa"/>
            <w:tcBorders/>
            <w:shd w:fill="CCEEFF" w:val="clear"/>
            <w:vAlign w:val="center"/>
          </w:tcPr>
          <w:p>
            <w:pPr>
              <w:pStyle w:val="TableContents"/>
              <w:spacing w:before="0" w:after="283"/>
              <w:rPr/>
            </w:pPr>
            <w:r>
              <w:rPr/>
              <w:t> </w:t>
            </w:r>
          </w:p>
        </w:tc>
      </w:tr>
      <w:tr>
        <w:trPr/>
        <w:tc>
          <w:tcPr>
            <w:tcW w:w="6936"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6" w:type="dxa"/>
            <w:tcBorders/>
            <w:shd w:fill="FFFFFF" w:val="clear"/>
            <w:vAlign w:val="center"/>
          </w:tcPr>
          <w:p>
            <w:pPr>
              <w:pStyle w:val="TableContents"/>
              <w:spacing w:before="0" w:after="283"/>
              <w:rPr/>
            </w:pPr>
            <w:r>
              <w:rPr/>
              <w:t> </w:t>
            </w:r>
          </w:p>
        </w:tc>
        <w:tc>
          <w:tcPr>
            <w:tcW w:w="818"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9" w:type="dxa"/>
            <w:tcBorders/>
            <w:shd w:fill="FFFFFF" w:val="clear"/>
            <w:vAlign w:val="center"/>
          </w:tcPr>
          <w:p>
            <w:pPr>
              <w:pStyle w:val="TableContents"/>
              <w:spacing w:before="0" w:after="283"/>
              <w:rPr/>
            </w:pPr>
            <w:r>
              <w:rPr/>
              <w:t> </w:t>
            </w:r>
          </w:p>
        </w:tc>
        <w:tc>
          <w:tcPr>
            <w:tcW w:w="778"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6" w:type="dxa"/>
            <w:tcBorders/>
            <w:shd w:fill="FFFFFF" w:val="clear"/>
            <w:vAlign w:val="center"/>
          </w:tcPr>
          <w:p>
            <w:pPr>
              <w:pStyle w:val="TableContents"/>
              <w:spacing w:before="0" w:after="283"/>
              <w:rPr/>
            </w:pPr>
            <w:r>
              <w:rPr/>
              <w:t> </w:t>
            </w:r>
          </w:p>
        </w:tc>
        <w:tc>
          <w:tcPr>
            <w:tcW w:w="818" w:type="dxa"/>
            <w:tcBorders/>
            <w:shd w:fill="FFFFFF" w:val="clear"/>
            <w:vAlign w:val="center"/>
          </w:tcPr>
          <w:p>
            <w:pPr>
              <w:pStyle w:val="TableContents"/>
              <w:spacing w:before="0" w:after="283"/>
              <w:rPr/>
            </w:pPr>
            <w:r>
              <w:rPr/>
              <w:t> </w:t>
            </w:r>
          </w:p>
        </w:tc>
        <w:tc>
          <w:tcPr>
            <w:tcW w:w="84" w:type="dxa"/>
            <w:tcBorders/>
            <w:shd w:fill="FFFFFF" w:val="clear"/>
            <w:vAlign w:val="center"/>
          </w:tcPr>
          <w:p>
            <w:pPr>
              <w:pStyle w:val="TableContents"/>
              <w:spacing w:before="0" w:after="283"/>
              <w:rPr/>
            </w:pPr>
            <w:r>
              <w:rPr/>
              <w:t> </w:t>
            </w:r>
          </w:p>
        </w:tc>
      </w:tr>
      <w:tr>
        <w:trPr/>
        <w:tc>
          <w:tcPr>
            <w:tcW w:w="6936" w:type="dxa"/>
            <w:tcBorders/>
            <w:shd w:fill="CCEE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Stockholders' equity:</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818" w:type="dxa"/>
            <w:tcBorders/>
            <w:shd w:fill="CCEEFF" w:val="clear"/>
            <w:vAlign w:val="center"/>
          </w:tcPr>
          <w:p>
            <w:pPr>
              <w:pStyle w:val="TableContents"/>
              <w:spacing w:before="0" w:after="283"/>
              <w:jc w:val="left"/>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9" w:type="dxa"/>
            <w:tcBorders/>
            <w:shd w:fill="CCEEFF" w:val="clear"/>
            <w:vAlign w:val="center"/>
          </w:tcPr>
          <w:p>
            <w:pPr>
              <w:pStyle w:val="TableContents"/>
              <w:spacing w:before="0" w:after="283"/>
              <w:rPr/>
            </w:pPr>
            <w:r>
              <w:rPr/>
              <w:t> </w:t>
            </w:r>
          </w:p>
        </w:tc>
        <w:tc>
          <w:tcPr>
            <w:tcW w:w="778" w:type="dxa"/>
            <w:tcBorders/>
            <w:shd w:fill="CCEEFF" w:val="clear"/>
            <w:vAlign w:val="center"/>
          </w:tcPr>
          <w:p>
            <w:pPr>
              <w:pStyle w:val="TableContents"/>
              <w:spacing w:before="0" w:after="283"/>
              <w:jc w:val="left"/>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818" w:type="dxa"/>
            <w:tcBorders/>
            <w:shd w:fill="CCEEFF" w:val="clear"/>
            <w:vAlign w:val="center"/>
          </w:tcPr>
          <w:p>
            <w:pPr>
              <w:pStyle w:val="TableContents"/>
              <w:spacing w:before="0" w:after="283"/>
              <w:jc w:val="left"/>
              <w:rPr/>
            </w:pPr>
            <w:r>
              <w:rPr/>
              <w:t> </w:t>
            </w:r>
          </w:p>
        </w:tc>
        <w:tc>
          <w:tcPr>
            <w:tcW w:w="84" w:type="dxa"/>
            <w:tcBorders/>
            <w:shd w:fill="CCEEFF" w:val="clear"/>
            <w:vAlign w:val="center"/>
          </w:tcPr>
          <w:p>
            <w:pPr>
              <w:pStyle w:val="TableContents"/>
              <w:spacing w:before="0" w:after="283"/>
              <w:rPr/>
            </w:pPr>
            <w:r>
              <w:rPr/>
              <w:t> </w:t>
            </w:r>
          </w:p>
        </w:tc>
      </w:tr>
      <w:tr>
        <w:trPr/>
        <w:tc>
          <w:tcPr>
            <w:tcW w:w="6936" w:type="dxa"/>
            <w:tcBorders/>
            <w:shd w:fill="FFFFFF" w:val="clear"/>
            <w:vAlign w:val="center"/>
          </w:tcPr>
          <w:p>
            <w:pPr>
              <w:pStyle w:val="TableContents"/>
              <w:spacing w:before="0" w:after="0"/>
              <w:ind w:left="360" w:right="0" w:hanging="360"/>
              <w:rPr>
                <w:rFonts w:ascii="Times New Roman;Times;serif" w:hAnsi="Times New Roman;Times;serif"/>
                <w:sz w:val="20"/>
              </w:rPr>
            </w:pPr>
            <w:r>
              <w:rPr>
                <w:rFonts w:ascii="Times New Roman;Times;serif" w:hAnsi="Times New Roman;Times;serif"/>
                <w:sz w:val="20"/>
              </w:rPr>
              <w:t>Preferred stock, par value $0.01, Shares authorized: 15,000,000; No shares issued or outstanding at July 31, 2021, January 30, 2021 and August 1, 2020</w:t>
            </w:r>
          </w:p>
        </w:tc>
        <w:tc>
          <w:tcPr>
            <w:tcW w:w="60" w:type="dxa"/>
            <w:tcBorders/>
            <w:shd w:fill="FFFFFF" w:val="clear"/>
            <w:vAlign w:val="center"/>
          </w:tcPr>
          <w:p>
            <w:pPr>
              <w:pStyle w:val="TableContents"/>
              <w:spacing w:before="0" w:after="283"/>
              <w:rPr/>
            </w:pPr>
            <w:r>
              <w:rPr/>
              <w:t> </w:t>
            </w:r>
          </w:p>
        </w:tc>
        <w:tc>
          <w:tcPr>
            <w:tcW w:w="146" w:type="dxa"/>
            <w:tcBorders/>
            <w:shd w:fill="FFFFFF" w:val="clear"/>
            <w:vAlign w:val="center"/>
          </w:tcPr>
          <w:p>
            <w:pPr>
              <w:pStyle w:val="TableContents"/>
              <w:spacing w:before="0" w:after="283"/>
              <w:ind w:left="0" w:right="0" w:hanging="0"/>
              <w:rPr/>
            </w:pPr>
            <w:r>
              <w:rPr/>
              <w:t> </w:t>
            </w:r>
          </w:p>
        </w:tc>
        <w:tc>
          <w:tcPr>
            <w:tcW w:w="818"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9" w:type="dxa"/>
            <w:tcBorders/>
            <w:shd w:fill="FFFFFF" w:val="clear"/>
            <w:vAlign w:val="center"/>
          </w:tcPr>
          <w:p>
            <w:pPr>
              <w:pStyle w:val="TableContents"/>
              <w:spacing w:before="0" w:after="283"/>
              <w:ind w:left="0" w:right="0" w:hanging="0"/>
              <w:rPr/>
            </w:pPr>
            <w:r>
              <w:rPr/>
              <w:t> </w:t>
            </w:r>
          </w:p>
        </w:tc>
        <w:tc>
          <w:tcPr>
            <w:tcW w:w="778"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6" w:type="dxa"/>
            <w:tcBorders/>
            <w:shd w:fill="FFFFFF" w:val="clear"/>
            <w:vAlign w:val="center"/>
          </w:tcPr>
          <w:p>
            <w:pPr>
              <w:pStyle w:val="TableContents"/>
              <w:spacing w:before="0" w:after="283"/>
              <w:ind w:left="0" w:right="0" w:hanging="0"/>
              <w:rPr/>
            </w:pPr>
            <w:r>
              <w:rPr/>
              <w:t> </w:t>
            </w:r>
          </w:p>
        </w:tc>
        <w:tc>
          <w:tcPr>
            <w:tcW w:w="818"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4" w:type="dxa"/>
            <w:tcBorders/>
            <w:shd w:fill="FFFFFF" w:val="clear"/>
            <w:vAlign w:val="center"/>
          </w:tcPr>
          <w:p>
            <w:pPr>
              <w:pStyle w:val="TableContents"/>
              <w:spacing w:before="0" w:after="283"/>
              <w:rPr/>
            </w:pPr>
            <w:r>
              <w:rPr/>
              <w:t> </w:t>
            </w:r>
          </w:p>
        </w:tc>
      </w:tr>
      <w:tr>
        <w:trPr/>
        <w:tc>
          <w:tcPr>
            <w:tcW w:w="6936" w:type="dxa"/>
            <w:tcBorders/>
            <w:shd w:fill="CCEE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Common stock, par value $0.01, Shares authorized: 50,000,000; Issued and outstanding: 16,033,134, 15,930,958 and 15,591,553 shares, respectively</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818"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160</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9" w:type="dxa"/>
            <w:tcBorders/>
            <w:shd w:fill="CCEEFF" w:val="clear"/>
            <w:vAlign w:val="center"/>
          </w:tcPr>
          <w:p>
            <w:pPr>
              <w:pStyle w:val="TableContents"/>
              <w:spacing w:before="0" w:after="283"/>
              <w:rPr/>
            </w:pPr>
            <w:r>
              <w:rPr/>
              <w:t> </w:t>
            </w:r>
          </w:p>
        </w:tc>
        <w:tc>
          <w:tcPr>
            <w:tcW w:w="778"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159</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818"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156</w:t>
            </w:r>
          </w:p>
        </w:tc>
        <w:tc>
          <w:tcPr>
            <w:tcW w:w="84" w:type="dxa"/>
            <w:tcBorders/>
            <w:shd w:fill="CCEEFF" w:val="clear"/>
            <w:vAlign w:val="center"/>
          </w:tcPr>
          <w:p>
            <w:pPr>
              <w:pStyle w:val="TableContents"/>
              <w:spacing w:before="0" w:after="283"/>
              <w:rPr/>
            </w:pPr>
            <w:r>
              <w:rPr/>
              <w:t> </w:t>
            </w:r>
          </w:p>
        </w:tc>
      </w:tr>
      <w:tr>
        <w:trPr/>
        <w:tc>
          <w:tcPr>
            <w:tcW w:w="6936" w:type="dxa"/>
            <w:tcBorders/>
            <w:shd w:fill="FFFF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Additional paid-in capital</w:t>
            </w:r>
          </w:p>
        </w:tc>
        <w:tc>
          <w:tcPr>
            <w:tcW w:w="60" w:type="dxa"/>
            <w:tcBorders/>
            <w:shd w:fill="FFFFFF" w:val="clear"/>
            <w:vAlign w:val="center"/>
          </w:tcPr>
          <w:p>
            <w:pPr>
              <w:pStyle w:val="TableContents"/>
              <w:spacing w:before="0" w:after="283"/>
              <w:rPr/>
            </w:pPr>
            <w:r>
              <w:rPr/>
              <w:t> </w:t>
            </w:r>
          </w:p>
        </w:tc>
        <w:tc>
          <w:tcPr>
            <w:tcW w:w="146" w:type="dxa"/>
            <w:tcBorders/>
            <w:shd w:fill="FFFFFF" w:val="clear"/>
            <w:vAlign w:val="center"/>
          </w:tcPr>
          <w:p>
            <w:pPr>
              <w:pStyle w:val="TableContents"/>
              <w:spacing w:before="0" w:after="283"/>
              <w:rPr/>
            </w:pPr>
            <w:r>
              <w:rPr/>
              <w:t> </w:t>
            </w:r>
          </w:p>
        </w:tc>
        <w:tc>
          <w:tcPr>
            <w:tcW w:w="818"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73,397</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9" w:type="dxa"/>
            <w:tcBorders/>
            <w:shd w:fill="FFFFFF" w:val="clear"/>
            <w:vAlign w:val="center"/>
          </w:tcPr>
          <w:p>
            <w:pPr>
              <w:pStyle w:val="TableContents"/>
              <w:spacing w:before="0" w:after="283"/>
              <w:rPr/>
            </w:pPr>
            <w:r>
              <w:rPr/>
              <w:t> </w:t>
            </w:r>
          </w:p>
        </w:tc>
        <w:tc>
          <w:tcPr>
            <w:tcW w:w="778"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72,822</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6" w:type="dxa"/>
            <w:tcBorders/>
            <w:shd w:fill="FFFFFF" w:val="clear"/>
            <w:vAlign w:val="center"/>
          </w:tcPr>
          <w:p>
            <w:pPr>
              <w:pStyle w:val="TableContents"/>
              <w:spacing w:before="0" w:after="283"/>
              <w:rPr/>
            </w:pPr>
            <w:r>
              <w:rPr/>
              <w:t> </w:t>
            </w:r>
          </w:p>
        </w:tc>
        <w:tc>
          <w:tcPr>
            <w:tcW w:w="818"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71,906</w:t>
            </w:r>
          </w:p>
        </w:tc>
        <w:tc>
          <w:tcPr>
            <w:tcW w:w="84" w:type="dxa"/>
            <w:tcBorders/>
            <w:shd w:fill="FFFFFF" w:val="clear"/>
            <w:vAlign w:val="center"/>
          </w:tcPr>
          <w:p>
            <w:pPr>
              <w:pStyle w:val="TableContents"/>
              <w:spacing w:before="0" w:after="283"/>
              <w:rPr/>
            </w:pPr>
            <w:r>
              <w:rPr/>
              <w:t> </w:t>
            </w:r>
          </w:p>
        </w:tc>
      </w:tr>
      <w:tr>
        <w:trPr/>
        <w:tc>
          <w:tcPr>
            <w:tcW w:w="6936" w:type="dxa"/>
            <w:tcBorders/>
            <w:shd w:fill="CCEE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Accumulated other comprehensive loss</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818"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(12,579</w:t>
            </w:r>
          </w:p>
        </w:tc>
        <w:tc>
          <w:tcPr>
            <w:tcW w:w="80"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spacing w:before="0" w:after="283"/>
              <w:rPr/>
            </w:pPr>
            <w:r>
              <w:rPr/>
              <w:t> </w:t>
            </w:r>
          </w:p>
        </w:tc>
        <w:tc>
          <w:tcPr>
            <w:tcW w:w="139" w:type="dxa"/>
            <w:tcBorders/>
            <w:shd w:fill="CCEEFF" w:val="clear"/>
            <w:vAlign w:val="center"/>
          </w:tcPr>
          <w:p>
            <w:pPr>
              <w:pStyle w:val="TableContents"/>
              <w:spacing w:before="0" w:after="283"/>
              <w:rPr/>
            </w:pPr>
            <w:r>
              <w:rPr/>
              <w:t> </w:t>
            </w:r>
          </w:p>
        </w:tc>
        <w:tc>
          <w:tcPr>
            <w:tcW w:w="778"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(12,615</w:t>
            </w:r>
          </w:p>
        </w:tc>
        <w:tc>
          <w:tcPr>
            <w:tcW w:w="80"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818"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(12,339</w:t>
            </w:r>
          </w:p>
        </w:tc>
        <w:tc>
          <w:tcPr>
            <w:tcW w:w="84"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r>
      <w:tr>
        <w:trPr/>
        <w:tc>
          <w:tcPr>
            <w:tcW w:w="6936" w:type="dxa"/>
            <w:tcBorders/>
            <w:shd w:fill="FFFF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Retained earnings/(deficit)</w:t>
            </w:r>
          </w:p>
        </w:tc>
        <w:tc>
          <w:tcPr>
            <w:tcW w:w="60" w:type="dxa"/>
            <w:tcBorders/>
            <w:shd w:fill="FFFFFF" w:val="clear"/>
            <w:vAlign w:val="center"/>
          </w:tcPr>
          <w:p>
            <w:pPr>
              <w:pStyle w:val="TableContents"/>
              <w:spacing w:before="0" w:after="283"/>
              <w:ind w:left="0" w:right="0" w:hanging="0"/>
              <w:rPr/>
            </w:pPr>
            <w:r>
              <w:rPr/>
              <w:t> </w:t>
            </w:r>
          </w:p>
        </w:tc>
        <w:tc>
          <w:tcPr>
            <w:tcW w:w="146"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818" w:type="dxa"/>
            <w:tcBorders>
              <w:bottom w:val="single" w:sz="2" w:space="0" w:color="000000"/>
            </w:tcBorders>
            <w:shd w:fill="FFFF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24,157</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39"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778" w:type="dxa"/>
            <w:tcBorders>
              <w:bottom w:val="single" w:sz="2" w:space="0" w:color="000000"/>
            </w:tcBorders>
            <w:shd w:fill="FFFF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6,942</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46"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818" w:type="dxa"/>
            <w:tcBorders>
              <w:bottom w:val="single" w:sz="2" w:space="0" w:color="000000"/>
            </w:tcBorders>
            <w:shd w:fill="FFFF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(5,188</w:t>
            </w:r>
          </w:p>
        </w:tc>
        <w:tc>
          <w:tcPr>
            <w:tcW w:w="84"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r>
      <w:tr>
        <w:trPr/>
        <w:tc>
          <w:tcPr>
            <w:tcW w:w="6936" w:type="dxa"/>
            <w:tcBorders/>
            <w:shd w:fill="CCEEFF" w:val="clear"/>
            <w:vAlign w:val="center"/>
          </w:tcPr>
          <w:p>
            <w:pPr>
              <w:pStyle w:val="TableContents"/>
              <w:spacing w:before="0" w:after="0"/>
              <w:ind w:left="720" w:right="0" w:hanging="180"/>
              <w:rPr>
                <w:rFonts w:ascii="Times New Roman;Times;serif" w:hAnsi="Times New Roman;Times;serif"/>
                <w:sz w:val="20"/>
              </w:rPr>
            </w:pPr>
            <w:r>
              <w:rPr>
                <w:rFonts w:ascii="Times New Roman;Times;serif" w:hAnsi="Times New Roman;Times;serif"/>
                <w:sz w:val="20"/>
              </w:rPr>
              <w:t>Total stockholders' equity</w:t>
            </w:r>
          </w:p>
        </w:tc>
        <w:tc>
          <w:tcPr>
            <w:tcW w:w="60" w:type="dxa"/>
            <w:tcBorders/>
            <w:shd w:fill="CCEEFF" w:val="clear"/>
            <w:vAlign w:val="center"/>
          </w:tcPr>
          <w:p>
            <w:pPr>
              <w:pStyle w:val="TableContents"/>
              <w:spacing w:before="0" w:after="283"/>
              <w:rPr/>
            </w:pPr>
            <w:r>
              <w:rPr/>
              <w:t> </w:t>
            </w:r>
          </w:p>
        </w:tc>
        <w:tc>
          <w:tcPr>
            <w:tcW w:w="146"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818"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85,135</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9"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778"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67,308</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6"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818"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54,535</w:t>
            </w:r>
          </w:p>
        </w:tc>
        <w:tc>
          <w:tcPr>
            <w:tcW w:w="84" w:type="dxa"/>
            <w:tcBorders/>
            <w:shd w:fill="CCEEFF" w:val="clear"/>
            <w:vAlign w:val="center"/>
          </w:tcPr>
          <w:p>
            <w:pPr>
              <w:pStyle w:val="TableContents"/>
              <w:spacing w:before="0" w:after="283"/>
              <w:rPr/>
            </w:pPr>
            <w:r>
              <w:rPr/>
              <w:t> </w:t>
            </w:r>
          </w:p>
        </w:tc>
      </w:tr>
      <w:tr>
        <w:trPr/>
        <w:tc>
          <w:tcPr>
            <w:tcW w:w="6936" w:type="dxa"/>
            <w:tcBorders/>
            <w:shd w:fill="FFFF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Total Liabilities and Stockholders' Equity</w:t>
            </w:r>
          </w:p>
        </w:tc>
        <w:tc>
          <w:tcPr>
            <w:tcW w:w="60" w:type="dxa"/>
            <w:tcBorders/>
            <w:shd w:fill="FFFFFF" w:val="clear"/>
            <w:vAlign w:val="center"/>
          </w:tcPr>
          <w:p>
            <w:pPr>
              <w:pStyle w:val="TableContents"/>
              <w:spacing w:before="0" w:after="283"/>
              <w:ind w:left="0" w:right="0" w:hanging="0"/>
              <w:rPr/>
            </w:pPr>
            <w:r>
              <w:rPr/>
              <w:t> </w:t>
            </w:r>
          </w:p>
        </w:tc>
        <w:tc>
          <w:tcPr>
            <w:tcW w:w="146"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818"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264,275</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39"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778"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261,372</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46"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818"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268,263</w:t>
            </w:r>
          </w:p>
        </w:tc>
        <w:tc>
          <w:tcPr>
            <w:tcW w:w="84" w:type="dxa"/>
            <w:tcBorders/>
            <w:shd w:fill="FFFFFF" w:val="clear"/>
            <w:vAlign w:val="center"/>
          </w:tcPr>
          <w:p>
            <w:pPr>
              <w:pStyle w:val="TableContents"/>
              <w:spacing w:before="0" w:after="283"/>
              <w:rPr/>
            </w:pPr>
            <w:r>
              <w:rPr/>
              <w:t> </w:t>
            </w:r>
          </w:p>
        </w:tc>
      </w:tr>
    </w:tbl>
    <w:p>
      <w:pPr>
        <w:pStyle w:val="TextBody"/>
        <w:spacing w:before="0" w:after="0"/>
        <w:ind w:left="144" w:right="144" w:hanging="0"/>
        <w:jc w:val="center"/>
        <w:rPr/>
      </w:pPr>
      <w:r>
        <w:rPr/>
        <w:t> </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rPr/>
      </w:pPr>
      <w:r>
        <w:rPr/>
      </w:r>
    </w:p>
    <w:p>
      <w:pPr>
        <w:pStyle w:val="TextBody"/>
        <w:spacing w:before="0" w:after="0"/>
        <w:jc w:val="left"/>
        <w:rPr/>
      </w:pPr>
      <w:r>
        <w:rPr/>
        <w:t xml:space="preserve">  </w:t>
      </w:r>
    </w:p>
    <w:p>
      <w:pPr>
        <w:pStyle w:val="TextBody"/>
        <w:jc w:val="left"/>
        <w:rPr/>
      </w:pPr>
      <w:hyperlink w:anchor="Table_of_Contents">
        <w:r>
          <w:rPr>
            <w:rStyle w:val="InternetLink"/>
            <w:sz w:val="20"/>
          </w:rPr>
          <w:t>Table of Contents</w:t>
        </w:r>
      </w:hyperlink>
      <w:r>
        <w:rPr/>
        <w:t xml:space="preserve"> </w:t>
      </w:r>
    </w:p>
    <w:p>
      <w:pPr>
        <w:pStyle w:val="TextBody"/>
        <w:spacing w:before="0" w:after="0"/>
        <w:ind w:left="0" w:right="0" w:hanging="0"/>
        <w:jc w:val="left"/>
        <w:rPr/>
      </w:pPr>
      <w:r>
        <w:rPr/>
        <w:t> </w:t>
      </w:r>
    </w:p>
    <w:p>
      <w:pPr>
        <w:pStyle w:val="TextBody"/>
        <w:rPr/>
      </w:pPr>
      <w:r>
        <w:rPr/>
        <w:t xml:space="preserve">  </w:t>
      </w:r>
    </w:p>
    <w:p>
      <w:pPr>
        <w:pStyle w:val="TextBody"/>
        <w:spacing w:before="0" w:after="0"/>
        <w:ind w:left="0" w:right="0" w:hanging="0"/>
        <w:jc w:val="center"/>
        <w:rPr>
          <w:rFonts w:ascii="Times New Roman;Times;serif" w:hAnsi="Times New Roman;Times;serif"/>
          <w:b/>
          <w:sz w:val="20"/>
        </w:rPr>
      </w:pPr>
      <w:bookmarkStart w:id="4" w:name="income"/>
      <w:bookmarkEnd w:id="4"/>
      <w:r>
        <w:rPr>
          <w:rFonts w:ascii="Times New Roman;Times;serif" w:hAnsi="Times New Roman;Times;serif"/>
          <w:b/>
          <w:sz w:val="20"/>
        </w:rPr>
        <w:t>BUILD-A-BEAR WORKSHOP, INC. AND SUBSIDIARIES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OPERATIONS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AND COMPREHENSIVE INCOME (LOSS)</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(Dollars in thousands, except share and per share data)</w:t>
      </w:r>
    </w:p>
    <w:p>
      <w:pPr>
        <w:pStyle w:val="TextBody"/>
        <w:spacing w:before="0" w:after="0"/>
        <w:ind w:left="0" w:right="0" w:hanging="0"/>
        <w:jc w:val="center"/>
        <w:rPr/>
      </w:pPr>
      <w:r>
        <w:rPr/>
        <w:t> </w:t>
      </w:r>
    </w:p>
    <w:tbl>
      <w:tblPr>
        <w:tblW w:w="9255" w:type="dxa"/>
        <w:jc w:val="left"/>
        <w:tblInd w:w="0" w:type="dxa"/>
        <w:tblCellMar>
          <w:top w:w="0" w:type="dxa"/>
          <w:left w:w="0" w:type="dxa"/>
          <w:bottom w:w="0" w:type="dxa"/>
          <w:right w:w="0" w:type="dxa"/>
        </w:tblCellMar>
      </w:tblPr>
      <w:tblGrid>
        <w:gridCol w:w="4415"/>
        <w:gridCol w:w="60"/>
        <w:gridCol w:w="125"/>
        <w:gridCol w:w="950"/>
        <w:gridCol w:w="80"/>
        <w:gridCol w:w="60"/>
        <w:gridCol w:w="125"/>
        <w:gridCol w:w="950"/>
        <w:gridCol w:w="80"/>
        <w:gridCol w:w="60"/>
        <w:gridCol w:w="125"/>
        <w:gridCol w:w="950"/>
        <w:gridCol w:w="60"/>
        <w:gridCol w:w="60"/>
        <w:gridCol w:w="125"/>
        <w:gridCol w:w="950"/>
        <w:gridCol w:w="80"/>
      </w:tblGrid>
      <w:tr>
        <w:trPr/>
        <w:tc>
          <w:tcPr>
            <w:tcW w:w="441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290"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Thirteen weeks ended</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270"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Twenty-six weeks ended</w:t>
            </w:r>
          </w:p>
        </w:tc>
        <w:tc>
          <w:tcPr>
            <w:tcW w:w="80" w:type="dxa"/>
            <w:tcBorders/>
            <w:shd w:fill="FFFFFF" w:val="clear"/>
            <w:vAlign w:val="center"/>
          </w:tcPr>
          <w:p>
            <w:pPr>
              <w:pStyle w:val="TableContents"/>
              <w:spacing w:before="0" w:after="283"/>
              <w:rPr/>
            </w:pPr>
            <w:r>
              <w:rPr/>
              <w:t> </w:t>
            </w:r>
          </w:p>
        </w:tc>
      </w:tr>
      <w:tr>
        <w:trPr/>
        <w:tc>
          <w:tcPr>
            <w:tcW w:w="441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75"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July 31,</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75"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August 1,</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75"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July 31,</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75"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August 1,</w:t>
            </w:r>
          </w:p>
        </w:tc>
        <w:tc>
          <w:tcPr>
            <w:tcW w:w="80" w:type="dxa"/>
            <w:tcBorders/>
            <w:shd w:fill="FFFFFF" w:val="clear"/>
            <w:vAlign w:val="center"/>
          </w:tcPr>
          <w:p>
            <w:pPr>
              <w:pStyle w:val="TableContents"/>
              <w:spacing w:before="0" w:after="283"/>
              <w:rPr/>
            </w:pPr>
            <w:r>
              <w:rPr/>
              <w:t> </w:t>
            </w:r>
          </w:p>
        </w:tc>
      </w:tr>
      <w:tr>
        <w:trPr/>
        <w:tc>
          <w:tcPr>
            <w:tcW w:w="441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7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2021</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7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2020</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7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2021</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7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2020</w:t>
            </w:r>
          </w:p>
        </w:tc>
        <w:tc>
          <w:tcPr>
            <w:tcW w:w="80" w:type="dxa"/>
            <w:tcBorders/>
            <w:shd w:fill="FFFFFF" w:val="clear"/>
            <w:vAlign w:val="center"/>
          </w:tcPr>
          <w:p>
            <w:pPr>
              <w:pStyle w:val="TableContents"/>
              <w:spacing w:before="0" w:after="283"/>
              <w:rPr/>
            </w:pPr>
            <w:r>
              <w:rPr/>
              <w:t> </w:t>
            </w:r>
          </w:p>
        </w:tc>
      </w:tr>
      <w:tr>
        <w:trPr/>
        <w:tc>
          <w:tcPr>
            <w:tcW w:w="441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Revenues: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95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95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95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95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r>
      <w:tr>
        <w:trPr/>
        <w:tc>
          <w:tcPr>
            <w:tcW w:w="4415"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Net retail sales</w:t>
            </w:r>
          </w:p>
        </w:tc>
        <w:tc>
          <w:tcPr>
            <w:tcW w:w="60" w:type="dxa"/>
            <w:tcBorders/>
            <w:shd w:fill="FFFFFF" w:val="clear"/>
            <w:vAlign w:val="center"/>
          </w:tcPr>
          <w:p>
            <w:pPr>
              <w:pStyle w:val="TableContents"/>
              <w:spacing w:before="0" w:after="283"/>
              <w:ind w:left="0" w:right="0" w:hanging="0"/>
              <w:rPr/>
            </w:pPr>
            <w:r>
              <w:rPr/>
              <w:t> </w:t>
            </w:r>
          </w:p>
        </w:tc>
        <w:tc>
          <w:tcPr>
            <w:tcW w:w="125"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91,289</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39,339</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180,501</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84,986</w:t>
            </w:r>
          </w:p>
        </w:tc>
        <w:tc>
          <w:tcPr>
            <w:tcW w:w="80" w:type="dxa"/>
            <w:tcBorders/>
            <w:shd w:fill="FFFFFF" w:val="clear"/>
            <w:vAlign w:val="center"/>
          </w:tcPr>
          <w:p>
            <w:pPr>
              <w:pStyle w:val="TableContents"/>
              <w:spacing w:before="0" w:after="283"/>
              <w:rPr/>
            </w:pPr>
            <w:r>
              <w:rPr/>
              <w:t> </w:t>
            </w:r>
          </w:p>
        </w:tc>
      </w:tr>
      <w:tr>
        <w:trPr/>
        <w:tc>
          <w:tcPr>
            <w:tcW w:w="4415"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Commercial revenue</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9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2,946</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9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865</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9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5,055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9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1,198</w:t>
            </w:r>
          </w:p>
        </w:tc>
        <w:tc>
          <w:tcPr>
            <w:tcW w:w="80" w:type="dxa"/>
            <w:tcBorders/>
            <w:shd w:fill="CCEEFF" w:val="clear"/>
            <w:vAlign w:val="center"/>
          </w:tcPr>
          <w:p>
            <w:pPr>
              <w:pStyle w:val="TableContents"/>
              <w:spacing w:before="0" w:after="283"/>
              <w:rPr/>
            </w:pPr>
            <w:r>
              <w:rPr/>
              <w:t> </w:t>
            </w:r>
          </w:p>
        </w:tc>
      </w:tr>
      <w:tr>
        <w:trPr/>
        <w:tc>
          <w:tcPr>
            <w:tcW w:w="4415"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International franchising</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95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493</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95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149</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95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865</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95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793</w:t>
            </w:r>
          </w:p>
        </w:tc>
        <w:tc>
          <w:tcPr>
            <w:tcW w:w="80" w:type="dxa"/>
            <w:tcBorders/>
            <w:shd w:fill="FFFFFF" w:val="clear"/>
            <w:vAlign w:val="center"/>
          </w:tcPr>
          <w:p>
            <w:pPr>
              <w:pStyle w:val="TableContents"/>
              <w:spacing w:before="0" w:after="283"/>
              <w:rPr/>
            </w:pPr>
            <w:r>
              <w:rPr/>
              <w:t> </w:t>
            </w:r>
          </w:p>
        </w:tc>
      </w:tr>
      <w:tr>
        <w:trPr/>
        <w:tc>
          <w:tcPr>
            <w:tcW w:w="4415" w:type="dxa"/>
            <w:tcBorders/>
            <w:shd w:fill="CCEEFF" w:val="clear"/>
            <w:vAlign w:val="center"/>
          </w:tcPr>
          <w:p>
            <w:pPr>
              <w:pStyle w:val="TableContents"/>
              <w:spacing w:before="0" w:after="0"/>
              <w:ind w:left="720" w:right="0" w:hanging="180"/>
              <w:rPr>
                <w:rFonts w:ascii="Times New Roman" w:hAnsi="Times New Roman"/>
                <w:caps w:val="false"/>
                <w:smallCaps w:val="false"/>
                <w:sz w:val="20"/>
              </w:rPr>
            </w:pPr>
            <w:r>
              <w:rPr>
                <w:rFonts w:ascii="Times New Roman" w:hAnsi="Times New Roman"/>
                <w:caps w:val="false"/>
                <w:smallCaps w:val="false"/>
                <w:sz w:val="20"/>
              </w:rPr>
              <w:t>Total revenues</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5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94,728</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5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40,353</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5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186,421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5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86,977</w:t>
            </w:r>
          </w:p>
        </w:tc>
        <w:tc>
          <w:tcPr>
            <w:tcW w:w="80" w:type="dxa"/>
            <w:tcBorders/>
            <w:shd w:fill="CCEEFF" w:val="clear"/>
            <w:vAlign w:val="center"/>
          </w:tcPr>
          <w:p>
            <w:pPr>
              <w:pStyle w:val="TableContents"/>
              <w:spacing w:before="0" w:after="283"/>
              <w:rPr/>
            </w:pPr>
            <w:r>
              <w:rPr/>
              <w:t> </w:t>
            </w:r>
          </w:p>
        </w:tc>
      </w:tr>
      <w:tr>
        <w:trPr/>
        <w:tc>
          <w:tcPr>
            <w:tcW w:w="441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950"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950"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95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950"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r>
      <w:tr>
        <w:trPr/>
        <w:tc>
          <w:tcPr>
            <w:tcW w:w="441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Costs and expenses: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95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95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95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95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r>
      <w:tr>
        <w:trPr/>
        <w:tc>
          <w:tcPr>
            <w:tcW w:w="4415"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Cost of merchandise sold - retail</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9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42,677</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9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30,233</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9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84,770</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9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63,585</w:t>
            </w:r>
          </w:p>
        </w:tc>
        <w:tc>
          <w:tcPr>
            <w:tcW w:w="80" w:type="dxa"/>
            <w:tcBorders/>
            <w:shd w:fill="FFFFFF" w:val="clear"/>
            <w:vAlign w:val="center"/>
          </w:tcPr>
          <w:p>
            <w:pPr>
              <w:pStyle w:val="TableContents"/>
              <w:spacing w:before="0" w:after="283"/>
              <w:rPr/>
            </w:pPr>
            <w:r>
              <w:rPr/>
              <w:t> </w:t>
            </w:r>
          </w:p>
        </w:tc>
      </w:tr>
      <w:tr>
        <w:trPr/>
        <w:tc>
          <w:tcPr>
            <w:tcW w:w="4415"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Store asset impairment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9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9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2,063</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9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9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6,882.00</w:t>
            </w:r>
          </w:p>
        </w:tc>
        <w:tc>
          <w:tcPr>
            <w:tcW w:w="80" w:type="dxa"/>
            <w:tcBorders/>
            <w:shd w:fill="CCEEFF" w:val="clear"/>
            <w:vAlign w:val="center"/>
          </w:tcPr>
          <w:p>
            <w:pPr>
              <w:pStyle w:val="TableContents"/>
              <w:spacing w:before="0" w:after="283"/>
              <w:rPr/>
            </w:pPr>
            <w:r>
              <w:rPr/>
              <w:t> </w:t>
            </w:r>
          </w:p>
        </w:tc>
      </w:tr>
      <w:tr>
        <w:trPr/>
        <w:tc>
          <w:tcPr>
            <w:tcW w:w="4415"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Cost of merchandise sold - commercial</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9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1,286</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9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387</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9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2,190</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9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527</w:t>
            </w:r>
          </w:p>
        </w:tc>
        <w:tc>
          <w:tcPr>
            <w:tcW w:w="80" w:type="dxa"/>
            <w:tcBorders/>
            <w:shd w:fill="FFFFFF" w:val="clear"/>
            <w:vAlign w:val="center"/>
          </w:tcPr>
          <w:p>
            <w:pPr>
              <w:pStyle w:val="TableContents"/>
              <w:spacing w:before="0" w:after="283"/>
              <w:rPr/>
            </w:pPr>
            <w:r>
              <w:rPr/>
              <w:t> </w:t>
            </w:r>
          </w:p>
        </w:tc>
      </w:tr>
      <w:tr>
        <w:trPr/>
        <w:tc>
          <w:tcPr>
            <w:tcW w:w="4415"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Cost of merchandise sold - international franchising</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5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365</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5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130</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5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633</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5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385</w:t>
            </w:r>
          </w:p>
        </w:tc>
        <w:tc>
          <w:tcPr>
            <w:tcW w:w="80" w:type="dxa"/>
            <w:tcBorders/>
            <w:shd w:fill="CCEEFF" w:val="clear"/>
            <w:vAlign w:val="center"/>
          </w:tcPr>
          <w:p>
            <w:pPr>
              <w:pStyle w:val="TableContents"/>
              <w:spacing w:before="0" w:after="283"/>
              <w:rPr/>
            </w:pPr>
            <w:r>
              <w:rPr/>
              <w:t> </w:t>
            </w:r>
          </w:p>
        </w:tc>
      </w:tr>
      <w:tr>
        <w:trPr/>
        <w:tc>
          <w:tcPr>
            <w:tcW w:w="4415" w:type="dxa"/>
            <w:tcBorders/>
            <w:shd w:fill="FFFFFF" w:val="clear"/>
            <w:vAlign w:val="center"/>
          </w:tcPr>
          <w:p>
            <w:pPr>
              <w:pStyle w:val="TableContents"/>
              <w:spacing w:before="0" w:after="0"/>
              <w:ind w:left="540" w:right="0" w:hanging="0"/>
              <w:rPr>
                <w:rFonts w:ascii="Times New Roman" w:hAnsi="Times New Roman"/>
                <w:caps w:val="false"/>
                <w:smallCaps w:val="false"/>
                <w:sz w:val="20"/>
              </w:rPr>
            </w:pPr>
            <w:r>
              <w:rPr>
                <w:rFonts w:ascii="Times New Roman" w:hAnsi="Times New Roman"/>
                <w:caps w:val="false"/>
                <w:smallCaps w:val="false"/>
                <w:sz w:val="20"/>
              </w:rPr>
              <w:t>Total cost of merchandise sold</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95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44,328</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95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32,813</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95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87,593</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95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71,379</w:t>
            </w:r>
          </w:p>
        </w:tc>
        <w:tc>
          <w:tcPr>
            <w:tcW w:w="80" w:type="dxa"/>
            <w:tcBorders/>
            <w:shd w:fill="FFFFFF" w:val="clear"/>
            <w:vAlign w:val="center"/>
          </w:tcPr>
          <w:p>
            <w:pPr>
              <w:pStyle w:val="TableContents"/>
              <w:spacing w:before="0" w:after="283"/>
              <w:rPr/>
            </w:pPr>
            <w:r>
              <w:rPr/>
              <w:t> </w:t>
            </w:r>
          </w:p>
        </w:tc>
      </w:tr>
      <w:tr>
        <w:trPr/>
        <w:tc>
          <w:tcPr>
            <w:tcW w:w="441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Consolidated gross profit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9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50,400</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9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7,540</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9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98,828</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9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15,598</w:t>
            </w:r>
          </w:p>
        </w:tc>
        <w:tc>
          <w:tcPr>
            <w:tcW w:w="80" w:type="dxa"/>
            <w:tcBorders/>
            <w:shd w:fill="CCEEFF" w:val="clear"/>
            <w:vAlign w:val="center"/>
          </w:tcPr>
          <w:p>
            <w:pPr>
              <w:pStyle w:val="TableContents"/>
              <w:spacing w:before="0" w:after="283"/>
              <w:rPr/>
            </w:pPr>
            <w:r>
              <w:rPr/>
              <w:t> </w:t>
            </w:r>
          </w:p>
        </w:tc>
      </w:tr>
      <w:tr>
        <w:trPr/>
        <w:tc>
          <w:tcPr>
            <w:tcW w:w="441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Selling, general and administrative expense</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9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40,919</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9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21,516</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9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76,161</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9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48,241</w:t>
            </w:r>
          </w:p>
        </w:tc>
        <w:tc>
          <w:tcPr>
            <w:tcW w:w="80" w:type="dxa"/>
            <w:tcBorders/>
            <w:shd w:fill="FFFFFF" w:val="clear"/>
            <w:vAlign w:val="center"/>
          </w:tcPr>
          <w:p>
            <w:pPr>
              <w:pStyle w:val="TableContents"/>
              <w:spacing w:before="0" w:after="283"/>
              <w:rPr/>
            </w:pPr>
            <w:r>
              <w:rPr/>
              <w:t> </w:t>
            </w:r>
          </w:p>
        </w:tc>
      </w:tr>
      <w:tr>
        <w:trPr/>
        <w:tc>
          <w:tcPr>
            <w:tcW w:w="441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Interest expense, net</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5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5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5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5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w:t>
            </w:r>
          </w:p>
        </w:tc>
        <w:tc>
          <w:tcPr>
            <w:tcW w:w="80" w:type="dxa"/>
            <w:tcBorders/>
            <w:shd w:fill="CCEEFF" w:val="clear"/>
            <w:vAlign w:val="center"/>
          </w:tcPr>
          <w:p>
            <w:pPr>
              <w:pStyle w:val="TableContents"/>
              <w:spacing w:before="0" w:after="283"/>
              <w:rPr/>
            </w:pPr>
            <w:r>
              <w:rPr/>
              <w:t> </w:t>
            </w:r>
          </w:p>
        </w:tc>
      </w:tr>
      <w:tr>
        <w:trPr/>
        <w:tc>
          <w:tcPr>
            <w:tcW w:w="4415" w:type="dxa"/>
            <w:tcBorders/>
            <w:shd w:fill="FFFFFF" w:val="clear"/>
            <w:vAlign w:val="center"/>
          </w:tcPr>
          <w:p>
            <w:pPr>
              <w:pStyle w:val="TableContents"/>
              <w:spacing w:before="0" w:after="0"/>
              <w:ind w:left="540" w:right="0" w:hanging="0"/>
              <w:rPr>
                <w:rFonts w:ascii="Times New Roman" w:hAnsi="Times New Roman"/>
                <w:caps w:val="false"/>
                <w:smallCaps w:val="false"/>
                <w:sz w:val="20"/>
              </w:rPr>
            </w:pPr>
            <w:r>
              <w:rPr>
                <w:rFonts w:ascii="Times New Roman" w:hAnsi="Times New Roman"/>
                <w:caps w:val="false"/>
                <w:smallCaps w:val="false"/>
                <w:sz w:val="20"/>
              </w:rPr>
              <w:t>Income (loss) before income taxes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9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9,473</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9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(13,983</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9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22,654</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9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(32,647</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441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Income tax expense</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5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2,638</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5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(74</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5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5,439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5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2,466</w:t>
            </w:r>
          </w:p>
        </w:tc>
        <w:tc>
          <w:tcPr>
            <w:tcW w:w="80" w:type="dxa"/>
            <w:tcBorders/>
            <w:shd w:fill="CCEEFF" w:val="clear"/>
            <w:vAlign w:val="center"/>
          </w:tcPr>
          <w:p>
            <w:pPr>
              <w:pStyle w:val="TableContents"/>
              <w:spacing w:before="0" w:after="283"/>
              <w:rPr/>
            </w:pPr>
            <w:r>
              <w:rPr/>
              <w:t> </w:t>
            </w:r>
          </w:p>
        </w:tc>
      </w:tr>
      <w:tr>
        <w:trPr/>
        <w:tc>
          <w:tcPr>
            <w:tcW w:w="4415" w:type="dxa"/>
            <w:tcBorders/>
            <w:shd w:fill="FFFFFF" w:val="clear"/>
            <w:vAlign w:val="center"/>
          </w:tcPr>
          <w:p>
            <w:pPr>
              <w:pStyle w:val="TableContents"/>
              <w:spacing w:before="0" w:after="0"/>
              <w:ind w:left="540" w:right="0" w:hanging="0"/>
              <w:rPr>
                <w:rFonts w:ascii="Times New Roman" w:hAnsi="Times New Roman"/>
                <w:caps w:val="false"/>
                <w:smallCaps w:val="false"/>
                <w:sz w:val="20"/>
              </w:rPr>
            </w:pPr>
            <w:r>
              <w:rPr>
                <w:rFonts w:ascii="Times New Roman" w:hAnsi="Times New Roman"/>
                <w:caps w:val="false"/>
                <w:smallCaps w:val="false"/>
                <w:sz w:val="20"/>
              </w:rPr>
              <w:t>Net income (loss)</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5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6,835</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5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(13,909</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5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17,215</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5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(35,113</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441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95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95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95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95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r>
      <w:tr>
        <w:trPr/>
        <w:tc>
          <w:tcPr>
            <w:tcW w:w="4415"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Foreign currency translation adjustment</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95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(47</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95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(429</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95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36</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95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(259</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4415" w:type="dxa"/>
            <w:tcBorders/>
            <w:shd w:fill="CCEEFF" w:val="clear"/>
            <w:vAlign w:val="center"/>
          </w:tcPr>
          <w:p>
            <w:pPr>
              <w:pStyle w:val="TableContents"/>
              <w:spacing w:before="0" w:after="0"/>
              <w:ind w:left="540" w:right="0" w:hanging="0"/>
              <w:rPr>
                <w:rFonts w:ascii="Times New Roman" w:hAnsi="Times New Roman"/>
                <w:caps w:val="false"/>
                <w:smallCaps w:val="false"/>
                <w:sz w:val="20"/>
              </w:rPr>
            </w:pPr>
            <w:r>
              <w:rPr>
                <w:rFonts w:ascii="Times New Roman" w:hAnsi="Times New Roman"/>
                <w:caps w:val="false"/>
                <w:smallCaps w:val="false"/>
                <w:sz w:val="20"/>
              </w:rPr>
              <w:t>Comprehensive income (loss)</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5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6,788</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5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(14,338</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5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17,251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5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(35,372</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441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950"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950"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95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950"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r>
      <w:tr>
        <w:trPr/>
        <w:tc>
          <w:tcPr>
            <w:tcW w:w="441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Income (loss) per common share:</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95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95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95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95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r>
      <w:tr>
        <w:trPr/>
        <w:tc>
          <w:tcPr>
            <w:tcW w:w="4415"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Basic</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5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0.44</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5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(0.93</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5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1.13</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5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(2.35</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4415"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Diluted</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5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0.42</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5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(0.93</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5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1.08</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5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(2.35</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441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950"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950"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95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950"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r>
      <w:tr>
        <w:trPr/>
        <w:tc>
          <w:tcPr>
            <w:tcW w:w="441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Shares used in computing common per share amounts: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95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95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95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95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r>
      <w:tr>
        <w:trPr/>
        <w:tc>
          <w:tcPr>
            <w:tcW w:w="4415"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Basic</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9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15,398,406</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9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14,999,786</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9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15,230,215</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9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14,936,541</w:t>
            </w:r>
          </w:p>
        </w:tc>
        <w:tc>
          <w:tcPr>
            <w:tcW w:w="80" w:type="dxa"/>
            <w:tcBorders/>
            <w:shd w:fill="FFFFFF" w:val="clear"/>
            <w:vAlign w:val="center"/>
          </w:tcPr>
          <w:p>
            <w:pPr>
              <w:pStyle w:val="TableContents"/>
              <w:spacing w:before="0" w:after="283"/>
              <w:rPr/>
            </w:pPr>
            <w:r>
              <w:rPr/>
              <w:t> </w:t>
            </w:r>
          </w:p>
        </w:tc>
      </w:tr>
      <w:tr>
        <w:trPr/>
        <w:tc>
          <w:tcPr>
            <w:tcW w:w="4415"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Diluted</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9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16,111,587</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9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14,999,786</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9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15,958,520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9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14,936,541</w:t>
            </w:r>
          </w:p>
        </w:tc>
        <w:tc>
          <w:tcPr>
            <w:tcW w:w="80" w:type="dxa"/>
            <w:tcBorders/>
            <w:shd w:fill="CCEEFF" w:val="clear"/>
            <w:vAlign w:val="center"/>
          </w:tcPr>
          <w:p>
            <w:pPr>
              <w:pStyle w:val="TableContents"/>
              <w:spacing w:before="0" w:after="283"/>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pPr>
      <w:r>
        <w:rPr/>
        <w:t> </w:t>
      </w:r>
      <w:r>
        <w:rPr>
          <w:rFonts w:ascii="Times New Roman;Times;serif" w:hAnsi="Times New Roman;Times;serif"/>
          <w:sz w:val="20"/>
        </w:rPr>
        <w:t>See accompanying notes to condensed consolidated financial statements. </w:t>
      </w:r>
    </w:p>
    <w:p>
      <w:pPr>
        <w:pStyle w:val="TextBody"/>
        <w:spacing w:before="0" w:after="0"/>
        <w:ind w:left="144" w:right="144" w:hanging="0"/>
        <w:jc w:val="center"/>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rPr/>
      </w:pPr>
      <w:r>
        <w:rPr/>
      </w:r>
    </w:p>
    <w:p>
      <w:pPr>
        <w:pStyle w:val="TextBody"/>
        <w:jc w:val="left"/>
        <w:rPr/>
      </w:pPr>
      <w:hyperlink w:anchor="Table_of_Contents">
        <w:r>
          <w:rPr>
            <w:rStyle w:val="InternetLink"/>
            <w:sz w:val="20"/>
          </w:rPr>
          <w:t>Table of Contents</w:t>
        </w:r>
      </w:hyperlink>
      <w:r>
        <w:rPr/>
        <w:t xml:space="preserve"> </w:t>
      </w:r>
    </w:p>
    <w:p>
      <w:pPr>
        <w:pStyle w:val="TextBody"/>
        <w:spacing w:before="0" w:after="0"/>
        <w:ind w:left="0" w:right="0" w:hanging="0"/>
        <w:jc w:val="left"/>
        <w:rPr/>
      </w:pPr>
      <w:r>
        <w:rPr/>
        <w:t> </w:t>
      </w:r>
    </w:p>
    <w:p>
      <w:pPr>
        <w:pStyle w:val="TextBody"/>
        <w:rPr/>
      </w:pPr>
      <w:r>
        <w:rPr/>
        <w:t xml:space="preserve">  </w:t>
      </w:r>
    </w:p>
    <w:p>
      <w:pPr>
        <w:pStyle w:val="TextBody"/>
        <w:spacing w:before="0" w:after="0"/>
        <w:ind w:left="0" w:right="0" w:hanging="0"/>
        <w:jc w:val="center"/>
        <w:rPr>
          <w:rFonts w:ascii="Times New Roman;Times;serif" w:hAnsi="Times New Roman;Times;serif"/>
          <w:b/>
          <w:sz w:val="20"/>
        </w:rPr>
      </w:pPr>
      <w:bookmarkStart w:id="5" w:name="cfs"/>
      <w:bookmarkEnd w:id="5"/>
      <w:r>
        <w:rPr>
          <w:rFonts w:ascii="Times New Roman;Times;serif" w:hAnsi="Times New Roman;Times;serif"/>
          <w:b/>
          <w:sz w:val="20"/>
        </w:rPr>
        <w:t>BUILD-A-BEAR WORKSHOP, INC. AND SUBSIDIARIES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CASH FLOWS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(Dollars in thousands) </w:t>
      </w:r>
    </w:p>
    <w:p>
      <w:pPr>
        <w:pStyle w:val="TextBody"/>
        <w:spacing w:before="0" w:after="0"/>
        <w:ind w:left="0" w:right="0" w:hanging="0"/>
        <w:jc w:val="left"/>
        <w:rPr/>
      </w:pPr>
      <w:r>
        <w:rPr/>
        <w:t> </w:t>
      </w:r>
    </w:p>
    <w:p>
      <w:pPr>
        <w:pStyle w:val="TextBody"/>
        <w:rPr/>
      </w:pPr>
      <w:r>
        <w:rPr/>
        <w:t> </w:t>
      </w:r>
    </w:p>
    <w:tbl>
      <w:tblPr>
        <w:tblW w:w="10205" w:type="dxa"/>
        <w:jc w:val="left"/>
        <w:tblInd w:w="0" w:type="dxa"/>
        <w:tblCellMar>
          <w:top w:w="0" w:type="dxa"/>
          <w:left w:w="0" w:type="dxa"/>
          <w:bottom w:w="0" w:type="dxa"/>
          <w:right w:w="0" w:type="dxa"/>
        </w:tblCellMar>
      </w:tblPr>
      <w:tblGrid>
        <w:gridCol w:w="7369"/>
        <w:gridCol w:w="60"/>
        <w:gridCol w:w="151"/>
        <w:gridCol w:w="715"/>
        <w:gridCol w:w="96"/>
        <w:gridCol w:w="72"/>
        <w:gridCol w:w="151"/>
        <w:gridCol w:w="788"/>
        <w:gridCol w:w="803"/>
      </w:tblGrid>
      <w:tr>
        <w:trPr/>
        <w:tc>
          <w:tcPr>
            <w:tcW w:w="7369"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973"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sz w:val="20"/>
              </w:rPr>
              <w:t>Twenty-six weeks ended</w:t>
            </w:r>
          </w:p>
        </w:tc>
        <w:tc>
          <w:tcPr>
            <w:tcW w:w="803" w:type="dxa"/>
            <w:tcBorders/>
            <w:shd w:fill="FFFFFF" w:val="clear"/>
            <w:vAlign w:val="center"/>
          </w:tcPr>
          <w:p>
            <w:pPr>
              <w:pStyle w:val="TableContents"/>
              <w:spacing w:before="0" w:after="283"/>
              <w:rPr/>
            </w:pPr>
            <w:r>
              <w:rPr/>
              <w:t> </w:t>
            </w:r>
          </w:p>
        </w:tc>
      </w:tr>
      <w:tr>
        <w:trPr/>
        <w:tc>
          <w:tcPr>
            <w:tcW w:w="7369"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66"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sz w:val="20"/>
              </w:rPr>
              <w:t>July 31,</w:t>
            </w:r>
          </w:p>
        </w:tc>
        <w:tc>
          <w:tcPr>
            <w:tcW w:w="96" w:type="dxa"/>
            <w:tcBorders/>
            <w:shd w:fill="FFFFFF" w:val="clear"/>
            <w:vAlign w:val="center"/>
          </w:tcPr>
          <w:p>
            <w:pPr>
              <w:pStyle w:val="TableContents"/>
              <w:spacing w:before="0" w:after="283"/>
              <w:rPr/>
            </w:pPr>
            <w:r>
              <w:rPr/>
              <w:t> </w:t>
            </w:r>
          </w:p>
        </w:tc>
        <w:tc>
          <w:tcPr>
            <w:tcW w:w="72" w:type="dxa"/>
            <w:tcBorders/>
            <w:shd w:fill="FFFFFF" w:val="clear"/>
            <w:vAlign w:val="center"/>
          </w:tcPr>
          <w:p>
            <w:pPr>
              <w:pStyle w:val="TableContents"/>
              <w:spacing w:before="0" w:after="283"/>
              <w:ind w:left="0" w:right="0" w:hanging="0"/>
              <w:rPr/>
            </w:pPr>
            <w:r>
              <w:rPr/>
              <w:t> </w:t>
            </w:r>
          </w:p>
        </w:tc>
        <w:tc>
          <w:tcPr>
            <w:tcW w:w="939"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sz w:val="20"/>
              </w:rPr>
              <w:t>August 1,</w:t>
            </w:r>
          </w:p>
        </w:tc>
        <w:tc>
          <w:tcPr>
            <w:tcW w:w="803" w:type="dxa"/>
            <w:tcBorders/>
            <w:shd w:fill="FFFFFF" w:val="clear"/>
            <w:vAlign w:val="center"/>
          </w:tcPr>
          <w:p>
            <w:pPr>
              <w:pStyle w:val="TableContents"/>
              <w:spacing w:before="0" w:after="283"/>
              <w:rPr/>
            </w:pPr>
            <w:r>
              <w:rPr/>
              <w:t> </w:t>
            </w:r>
          </w:p>
        </w:tc>
      </w:tr>
      <w:tr>
        <w:trPr/>
        <w:tc>
          <w:tcPr>
            <w:tcW w:w="7369"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66"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sz w:val="20"/>
              </w:rPr>
              <w:t>2021</w:t>
            </w:r>
          </w:p>
        </w:tc>
        <w:tc>
          <w:tcPr>
            <w:tcW w:w="96" w:type="dxa"/>
            <w:tcBorders/>
            <w:shd w:fill="FFFFFF" w:val="clear"/>
            <w:vAlign w:val="center"/>
          </w:tcPr>
          <w:p>
            <w:pPr>
              <w:pStyle w:val="TableContents"/>
              <w:spacing w:before="0" w:after="283"/>
              <w:rPr/>
            </w:pPr>
            <w:r>
              <w:rPr/>
              <w:t> </w:t>
            </w:r>
          </w:p>
        </w:tc>
        <w:tc>
          <w:tcPr>
            <w:tcW w:w="72" w:type="dxa"/>
            <w:tcBorders/>
            <w:shd w:fill="FFFFFF" w:val="clear"/>
            <w:vAlign w:val="center"/>
          </w:tcPr>
          <w:p>
            <w:pPr>
              <w:pStyle w:val="TableContents"/>
              <w:spacing w:before="0" w:after="283"/>
              <w:ind w:left="0" w:right="0" w:hanging="0"/>
              <w:rPr/>
            </w:pPr>
            <w:r>
              <w:rPr/>
              <w:t> </w:t>
            </w:r>
          </w:p>
        </w:tc>
        <w:tc>
          <w:tcPr>
            <w:tcW w:w="939"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sz w:val="20"/>
              </w:rPr>
              <w:t>2020</w:t>
            </w:r>
          </w:p>
        </w:tc>
        <w:tc>
          <w:tcPr>
            <w:tcW w:w="803" w:type="dxa"/>
            <w:tcBorders/>
            <w:shd w:fill="FFFFFF" w:val="clear"/>
            <w:vAlign w:val="center"/>
          </w:tcPr>
          <w:p>
            <w:pPr>
              <w:pStyle w:val="TableContents"/>
              <w:spacing w:before="0" w:after="283"/>
              <w:rPr/>
            </w:pPr>
            <w:r>
              <w:rPr/>
              <w:t> </w:t>
            </w:r>
          </w:p>
        </w:tc>
      </w:tr>
      <w:tr>
        <w:trPr/>
        <w:tc>
          <w:tcPr>
            <w:tcW w:w="7369"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51" w:type="dxa"/>
            <w:tcBorders/>
            <w:shd w:fill="FFFFFF" w:val="clear"/>
            <w:vAlign w:val="center"/>
          </w:tcPr>
          <w:p>
            <w:pPr>
              <w:pStyle w:val="TableContents"/>
              <w:spacing w:before="0" w:after="283"/>
              <w:rPr/>
            </w:pPr>
            <w:r>
              <w:rPr/>
              <w:t> </w:t>
            </w:r>
          </w:p>
        </w:tc>
        <w:tc>
          <w:tcPr>
            <w:tcW w:w="715" w:type="dxa"/>
            <w:tcBorders/>
            <w:shd w:fill="FFFFFF" w:val="clear"/>
            <w:vAlign w:val="center"/>
          </w:tcPr>
          <w:p>
            <w:pPr>
              <w:pStyle w:val="TableContents"/>
              <w:spacing w:before="0" w:after="283"/>
              <w:rPr/>
            </w:pPr>
            <w:r>
              <w:rPr/>
              <w:t> </w:t>
            </w:r>
          </w:p>
        </w:tc>
        <w:tc>
          <w:tcPr>
            <w:tcW w:w="96" w:type="dxa"/>
            <w:tcBorders/>
            <w:shd w:fill="FFFFFF" w:val="clear"/>
            <w:vAlign w:val="center"/>
          </w:tcPr>
          <w:p>
            <w:pPr>
              <w:pStyle w:val="TableContents"/>
              <w:spacing w:before="0" w:after="283"/>
              <w:rPr/>
            </w:pPr>
            <w:r>
              <w:rPr/>
              <w:t> </w:t>
            </w:r>
          </w:p>
        </w:tc>
        <w:tc>
          <w:tcPr>
            <w:tcW w:w="72" w:type="dxa"/>
            <w:tcBorders/>
            <w:shd w:fill="FFFFFF" w:val="clear"/>
            <w:vAlign w:val="center"/>
          </w:tcPr>
          <w:p>
            <w:pPr>
              <w:pStyle w:val="TableContents"/>
              <w:spacing w:before="0" w:after="283"/>
              <w:rPr/>
            </w:pPr>
            <w:r>
              <w:rPr/>
              <w:t> </w:t>
            </w:r>
          </w:p>
        </w:tc>
        <w:tc>
          <w:tcPr>
            <w:tcW w:w="151" w:type="dxa"/>
            <w:tcBorders/>
            <w:shd w:fill="FFFFFF" w:val="clear"/>
            <w:vAlign w:val="center"/>
          </w:tcPr>
          <w:p>
            <w:pPr>
              <w:pStyle w:val="TableContents"/>
              <w:spacing w:before="0" w:after="283"/>
              <w:rPr/>
            </w:pPr>
            <w:r>
              <w:rPr/>
              <w:t> </w:t>
            </w:r>
          </w:p>
        </w:tc>
        <w:tc>
          <w:tcPr>
            <w:tcW w:w="788" w:type="dxa"/>
            <w:tcBorders/>
            <w:shd w:fill="FFFFFF" w:val="clear"/>
            <w:vAlign w:val="center"/>
          </w:tcPr>
          <w:p>
            <w:pPr>
              <w:pStyle w:val="TableContents"/>
              <w:spacing w:before="0" w:after="283"/>
              <w:rPr/>
            </w:pPr>
            <w:r>
              <w:rPr/>
              <w:t> </w:t>
            </w:r>
          </w:p>
        </w:tc>
        <w:tc>
          <w:tcPr>
            <w:tcW w:w="803" w:type="dxa"/>
            <w:tcBorders/>
            <w:shd w:fill="FFFFFF" w:val="clear"/>
            <w:vAlign w:val="center"/>
          </w:tcPr>
          <w:p>
            <w:pPr>
              <w:pStyle w:val="TableContents"/>
              <w:spacing w:before="0" w:after="283"/>
              <w:rPr/>
            </w:pPr>
            <w:r>
              <w:rPr/>
              <w:t> </w:t>
            </w:r>
          </w:p>
        </w:tc>
      </w:tr>
      <w:tr>
        <w:trPr/>
        <w:tc>
          <w:tcPr>
            <w:tcW w:w="7369" w:type="dxa"/>
            <w:tcBorders/>
            <w:shd w:fill="CCEE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Cash flows provided by (used in) operating activities:</w:t>
            </w:r>
          </w:p>
        </w:tc>
        <w:tc>
          <w:tcPr>
            <w:tcW w:w="60" w:type="dxa"/>
            <w:tcBorders/>
            <w:shd w:fill="CCEEFF" w:val="clear"/>
            <w:vAlign w:val="center"/>
          </w:tcPr>
          <w:p>
            <w:pPr>
              <w:pStyle w:val="TableContents"/>
              <w:spacing w:before="0" w:after="283"/>
              <w:rPr/>
            </w:pPr>
            <w:r>
              <w:rPr/>
              <w:t> </w:t>
            </w:r>
          </w:p>
        </w:tc>
        <w:tc>
          <w:tcPr>
            <w:tcW w:w="151" w:type="dxa"/>
            <w:tcBorders/>
            <w:shd w:fill="CCEEFF" w:val="clear"/>
            <w:vAlign w:val="center"/>
          </w:tcPr>
          <w:p>
            <w:pPr>
              <w:pStyle w:val="TableContents"/>
              <w:spacing w:before="0" w:after="283"/>
              <w:rPr/>
            </w:pPr>
            <w:r>
              <w:rPr/>
              <w:t> </w:t>
            </w:r>
          </w:p>
        </w:tc>
        <w:tc>
          <w:tcPr>
            <w:tcW w:w="715" w:type="dxa"/>
            <w:tcBorders/>
            <w:shd w:fill="CCEEFF" w:val="clear"/>
            <w:vAlign w:val="center"/>
          </w:tcPr>
          <w:p>
            <w:pPr>
              <w:pStyle w:val="TableContents"/>
              <w:spacing w:before="0" w:after="283"/>
              <w:jc w:val="left"/>
              <w:rPr/>
            </w:pPr>
            <w:r>
              <w:rPr/>
              <w:t> </w:t>
            </w:r>
          </w:p>
        </w:tc>
        <w:tc>
          <w:tcPr>
            <w:tcW w:w="96" w:type="dxa"/>
            <w:tcBorders/>
            <w:shd w:fill="CCEEFF" w:val="clear"/>
            <w:vAlign w:val="center"/>
          </w:tcPr>
          <w:p>
            <w:pPr>
              <w:pStyle w:val="TableContents"/>
              <w:spacing w:before="0" w:after="283"/>
              <w:rPr/>
            </w:pPr>
            <w:r>
              <w:rPr/>
              <w:t> </w:t>
            </w:r>
          </w:p>
        </w:tc>
        <w:tc>
          <w:tcPr>
            <w:tcW w:w="72" w:type="dxa"/>
            <w:tcBorders/>
            <w:shd w:fill="CCEEFF" w:val="clear"/>
            <w:vAlign w:val="center"/>
          </w:tcPr>
          <w:p>
            <w:pPr>
              <w:pStyle w:val="TableContents"/>
              <w:spacing w:before="0" w:after="283"/>
              <w:rPr/>
            </w:pPr>
            <w:r>
              <w:rPr/>
              <w:t> </w:t>
            </w:r>
          </w:p>
        </w:tc>
        <w:tc>
          <w:tcPr>
            <w:tcW w:w="151" w:type="dxa"/>
            <w:tcBorders/>
            <w:shd w:fill="CCEEFF" w:val="clear"/>
            <w:vAlign w:val="center"/>
          </w:tcPr>
          <w:p>
            <w:pPr>
              <w:pStyle w:val="TableContents"/>
              <w:spacing w:before="0" w:after="283"/>
              <w:rPr/>
            </w:pPr>
            <w:r>
              <w:rPr/>
              <w:t> </w:t>
            </w:r>
          </w:p>
        </w:tc>
        <w:tc>
          <w:tcPr>
            <w:tcW w:w="788" w:type="dxa"/>
            <w:tcBorders/>
            <w:shd w:fill="CCEEFF" w:val="clear"/>
            <w:vAlign w:val="center"/>
          </w:tcPr>
          <w:p>
            <w:pPr>
              <w:pStyle w:val="TableContents"/>
              <w:spacing w:before="0" w:after="283"/>
              <w:jc w:val="left"/>
              <w:rPr/>
            </w:pPr>
            <w:r>
              <w:rPr/>
              <w:t> </w:t>
            </w:r>
          </w:p>
        </w:tc>
        <w:tc>
          <w:tcPr>
            <w:tcW w:w="803" w:type="dxa"/>
            <w:tcBorders/>
            <w:shd w:fill="CCEEFF" w:val="clear"/>
            <w:vAlign w:val="center"/>
          </w:tcPr>
          <w:p>
            <w:pPr>
              <w:pStyle w:val="TableContents"/>
              <w:spacing w:before="0" w:after="283"/>
              <w:rPr/>
            </w:pPr>
            <w:r>
              <w:rPr/>
              <w:t> </w:t>
            </w:r>
          </w:p>
        </w:tc>
      </w:tr>
      <w:tr>
        <w:trPr/>
        <w:tc>
          <w:tcPr>
            <w:tcW w:w="7369" w:type="dxa"/>
            <w:tcBorders/>
            <w:shd w:fill="FFFFFF" w:val="clear"/>
            <w:vAlign w:val="center"/>
          </w:tcPr>
          <w:p>
            <w:pPr>
              <w:pStyle w:val="TableContents"/>
              <w:spacing w:before="0" w:after="0"/>
              <w:ind w:left="360" w:right="0" w:hanging="0"/>
              <w:rPr>
                <w:rFonts w:ascii="Times New Roman;Times;serif" w:hAnsi="Times New Roman;Times;serif"/>
                <w:sz w:val="20"/>
              </w:rPr>
            </w:pPr>
            <w:r>
              <w:rPr>
                <w:rFonts w:ascii="Times New Roman;Times;serif" w:hAnsi="Times New Roman;Times;serif"/>
                <w:sz w:val="20"/>
              </w:rPr>
              <w:t>Net income (loss)</w:t>
            </w:r>
          </w:p>
        </w:tc>
        <w:tc>
          <w:tcPr>
            <w:tcW w:w="60" w:type="dxa"/>
            <w:tcBorders/>
            <w:shd w:fill="FFFFFF" w:val="clear"/>
            <w:vAlign w:val="center"/>
          </w:tcPr>
          <w:p>
            <w:pPr>
              <w:pStyle w:val="TableContents"/>
              <w:spacing w:before="0" w:after="283"/>
              <w:ind w:left="0" w:right="0" w:hanging="0"/>
              <w:rPr/>
            </w:pPr>
            <w:r>
              <w:rPr/>
              <w:t> </w:t>
            </w:r>
          </w:p>
        </w:tc>
        <w:tc>
          <w:tcPr>
            <w:tcW w:w="151" w:type="dxa"/>
            <w:tcBorders/>
            <w:shd w:fill="FFFF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715"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17,215</w:t>
            </w:r>
          </w:p>
        </w:tc>
        <w:tc>
          <w:tcPr>
            <w:tcW w:w="96" w:type="dxa"/>
            <w:tcBorders/>
            <w:shd w:fill="FFFFFF" w:val="clear"/>
            <w:vAlign w:val="center"/>
          </w:tcPr>
          <w:p>
            <w:pPr>
              <w:pStyle w:val="TableContents"/>
              <w:spacing w:before="0" w:after="283"/>
              <w:rPr/>
            </w:pPr>
            <w:r>
              <w:rPr/>
              <w:t> </w:t>
            </w:r>
          </w:p>
        </w:tc>
        <w:tc>
          <w:tcPr>
            <w:tcW w:w="72" w:type="dxa"/>
            <w:tcBorders/>
            <w:shd w:fill="FFFFFF" w:val="clear"/>
            <w:vAlign w:val="center"/>
          </w:tcPr>
          <w:p>
            <w:pPr>
              <w:pStyle w:val="TableContents"/>
              <w:spacing w:before="0" w:after="283"/>
              <w:ind w:left="0" w:right="0" w:hanging="0"/>
              <w:rPr/>
            </w:pPr>
            <w:r>
              <w:rPr/>
              <w:t> </w:t>
            </w:r>
          </w:p>
        </w:tc>
        <w:tc>
          <w:tcPr>
            <w:tcW w:w="151" w:type="dxa"/>
            <w:tcBorders/>
            <w:shd w:fill="FFFF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788"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(35,113</w:t>
            </w:r>
          </w:p>
        </w:tc>
        <w:tc>
          <w:tcPr>
            <w:tcW w:w="803"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r>
      <w:tr>
        <w:trPr/>
        <w:tc>
          <w:tcPr>
            <w:tcW w:w="7369" w:type="dxa"/>
            <w:tcBorders/>
            <w:shd w:fill="CCEEFF" w:val="clear"/>
            <w:vAlign w:val="center"/>
          </w:tcPr>
          <w:p>
            <w:pPr>
              <w:pStyle w:val="TableContents"/>
              <w:spacing w:before="0" w:after="0"/>
              <w:ind w:left="360" w:right="0" w:hanging="360"/>
              <w:rPr>
                <w:rFonts w:ascii="Times New Roman;Times;serif" w:hAnsi="Times New Roman;Times;serif"/>
                <w:sz w:val="20"/>
              </w:rPr>
            </w:pPr>
            <w:r>
              <w:rPr>
                <w:rFonts w:ascii="Times New Roman;Times;serif" w:hAnsi="Times New Roman;Times;serif"/>
                <w:sz w:val="20"/>
              </w:rPr>
              <w:t>Adjustments to reconcile net income (loss) to net cash provided by operating activities:</w:t>
            </w:r>
          </w:p>
        </w:tc>
        <w:tc>
          <w:tcPr>
            <w:tcW w:w="60" w:type="dxa"/>
            <w:tcBorders/>
            <w:shd w:fill="CCEEFF" w:val="clear"/>
            <w:vAlign w:val="center"/>
          </w:tcPr>
          <w:p>
            <w:pPr>
              <w:pStyle w:val="TableContents"/>
              <w:spacing w:before="0" w:after="283"/>
              <w:rPr/>
            </w:pPr>
            <w:r>
              <w:rPr/>
              <w:t> </w:t>
            </w:r>
          </w:p>
        </w:tc>
        <w:tc>
          <w:tcPr>
            <w:tcW w:w="151" w:type="dxa"/>
            <w:tcBorders/>
            <w:shd w:fill="CCEEFF" w:val="clear"/>
            <w:vAlign w:val="center"/>
          </w:tcPr>
          <w:p>
            <w:pPr>
              <w:pStyle w:val="TableContents"/>
              <w:spacing w:before="0" w:after="283"/>
              <w:rPr/>
            </w:pPr>
            <w:r>
              <w:rPr/>
              <w:t> </w:t>
            </w:r>
          </w:p>
        </w:tc>
        <w:tc>
          <w:tcPr>
            <w:tcW w:w="715" w:type="dxa"/>
            <w:tcBorders/>
            <w:shd w:fill="CCEEFF" w:val="clear"/>
            <w:vAlign w:val="center"/>
          </w:tcPr>
          <w:p>
            <w:pPr>
              <w:pStyle w:val="TableContents"/>
              <w:spacing w:before="0" w:after="283"/>
              <w:jc w:val="left"/>
              <w:rPr/>
            </w:pPr>
            <w:r>
              <w:rPr/>
              <w:t> </w:t>
            </w:r>
          </w:p>
        </w:tc>
        <w:tc>
          <w:tcPr>
            <w:tcW w:w="96" w:type="dxa"/>
            <w:tcBorders/>
            <w:shd w:fill="CCEEFF" w:val="clear"/>
            <w:vAlign w:val="center"/>
          </w:tcPr>
          <w:p>
            <w:pPr>
              <w:pStyle w:val="TableContents"/>
              <w:spacing w:before="0" w:after="283"/>
              <w:rPr/>
            </w:pPr>
            <w:r>
              <w:rPr/>
              <w:t> </w:t>
            </w:r>
          </w:p>
        </w:tc>
        <w:tc>
          <w:tcPr>
            <w:tcW w:w="72" w:type="dxa"/>
            <w:tcBorders/>
            <w:shd w:fill="CCEEFF" w:val="clear"/>
            <w:vAlign w:val="center"/>
          </w:tcPr>
          <w:p>
            <w:pPr>
              <w:pStyle w:val="TableContents"/>
              <w:spacing w:before="0" w:after="283"/>
              <w:rPr/>
            </w:pPr>
            <w:r>
              <w:rPr/>
              <w:t> </w:t>
            </w:r>
          </w:p>
        </w:tc>
        <w:tc>
          <w:tcPr>
            <w:tcW w:w="151" w:type="dxa"/>
            <w:tcBorders/>
            <w:shd w:fill="CCEEFF" w:val="clear"/>
            <w:vAlign w:val="center"/>
          </w:tcPr>
          <w:p>
            <w:pPr>
              <w:pStyle w:val="TableContents"/>
              <w:spacing w:before="0" w:after="283"/>
              <w:rPr/>
            </w:pPr>
            <w:r>
              <w:rPr/>
              <w:t> </w:t>
            </w:r>
          </w:p>
        </w:tc>
        <w:tc>
          <w:tcPr>
            <w:tcW w:w="788" w:type="dxa"/>
            <w:tcBorders/>
            <w:shd w:fill="CCEEFF" w:val="clear"/>
            <w:vAlign w:val="center"/>
          </w:tcPr>
          <w:p>
            <w:pPr>
              <w:pStyle w:val="TableContents"/>
              <w:spacing w:before="0" w:after="283"/>
              <w:jc w:val="left"/>
              <w:rPr/>
            </w:pPr>
            <w:r>
              <w:rPr/>
              <w:t> </w:t>
            </w:r>
          </w:p>
        </w:tc>
        <w:tc>
          <w:tcPr>
            <w:tcW w:w="803" w:type="dxa"/>
            <w:tcBorders/>
            <w:shd w:fill="CCEEFF" w:val="clear"/>
            <w:vAlign w:val="center"/>
          </w:tcPr>
          <w:p>
            <w:pPr>
              <w:pStyle w:val="TableContents"/>
              <w:spacing w:before="0" w:after="283"/>
              <w:ind w:left="0" w:right="0" w:firstLine="540"/>
              <w:rPr/>
            </w:pPr>
            <w:r>
              <w:rPr/>
              <w:t> </w:t>
            </w:r>
          </w:p>
        </w:tc>
      </w:tr>
      <w:tr>
        <w:trPr/>
        <w:tc>
          <w:tcPr>
            <w:tcW w:w="7369" w:type="dxa"/>
            <w:tcBorders/>
            <w:shd w:fill="FFFFFF" w:val="clear"/>
            <w:vAlign w:val="center"/>
          </w:tcPr>
          <w:p>
            <w:pPr>
              <w:pStyle w:val="TableContents"/>
              <w:spacing w:before="0" w:after="0"/>
              <w:ind w:left="0" w:right="0" w:firstLine="540"/>
              <w:rPr>
                <w:rFonts w:ascii="Times New Roman;Times;serif" w:hAnsi="Times New Roman;Times;serif"/>
                <w:sz w:val="20"/>
              </w:rPr>
            </w:pPr>
            <w:r>
              <w:rPr>
                <w:rFonts w:ascii="Times New Roman;Times;serif" w:hAnsi="Times New Roman;Times;serif"/>
                <w:sz w:val="20"/>
              </w:rPr>
              <w:t>Depreciation and amortization</w:t>
            </w:r>
          </w:p>
        </w:tc>
        <w:tc>
          <w:tcPr>
            <w:tcW w:w="60" w:type="dxa"/>
            <w:tcBorders/>
            <w:shd w:fill="FFFFFF" w:val="clear"/>
            <w:vAlign w:val="center"/>
          </w:tcPr>
          <w:p>
            <w:pPr>
              <w:pStyle w:val="TableContents"/>
              <w:spacing w:before="0" w:after="283"/>
              <w:rPr/>
            </w:pPr>
            <w:r>
              <w:rPr/>
              <w:t> </w:t>
            </w:r>
          </w:p>
        </w:tc>
        <w:tc>
          <w:tcPr>
            <w:tcW w:w="151" w:type="dxa"/>
            <w:tcBorders/>
            <w:shd w:fill="FFFFFF" w:val="clear"/>
            <w:vAlign w:val="center"/>
          </w:tcPr>
          <w:p>
            <w:pPr>
              <w:pStyle w:val="TableContents"/>
              <w:spacing w:before="0" w:after="283"/>
              <w:rPr/>
            </w:pPr>
            <w:r>
              <w:rPr/>
              <w:t> </w:t>
            </w:r>
          </w:p>
        </w:tc>
        <w:tc>
          <w:tcPr>
            <w:tcW w:w="715"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6,120</w:t>
            </w:r>
          </w:p>
        </w:tc>
        <w:tc>
          <w:tcPr>
            <w:tcW w:w="96" w:type="dxa"/>
            <w:tcBorders/>
            <w:shd w:fill="FFFFFF" w:val="clear"/>
            <w:vAlign w:val="center"/>
          </w:tcPr>
          <w:p>
            <w:pPr>
              <w:pStyle w:val="TableContents"/>
              <w:spacing w:before="0" w:after="283"/>
              <w:rPr/>
            </w:pPr>
            <w:r>
              <w:rPr/>
              <w:t> </w:t>
            </w:r>
          </w:p>
        </w:tc>
        <w:tc>
          <w:tcPr>
            <w:tcW w:w="72" w:type="dxa"/>
            <w:tcBorders/>
            <w:shd w:fill="FFFFFF" w:val="clear"/>
            <w:vAlign w:val="center"/>
          </w:tcPr>
          <w:p>
            <w:pPr>
              <w:pStyle w:val="TableContents"/>
              <w:spacing w:before="0" w:after="283"/>
              <w:rPr/>
            </w:pPr>
            <w:r>
              <w:rPr/>
              <w:t> </w:t>
            </w:r>
          </w:p>
        </w:tc>
        <w:tc>
          <w:tcPr>
            <w:tcW w:w="151" w:type="dxa"/>
            <w:tcBorders/>
            <w:shd w:fill="FFFFFF" w:val="clear"/>
            <w:vAlign w:val="center"/>
          </w:tcPr>
          <w:p>
            <w:pPr>
              <w:pStyle w:val="TableContents"/>
              <w:spacing w:before="0" w:after="283"/>
              <w:rPr/>
            </w:pPr>
            <w:r>
              <w:rPr/>
              <w:t> </w:t>
            </w:r>
          </w:p>
        </w:tc>
        <w:tc>
          <w:tcPr>
            <w:tcW w:w="788"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6,711</w:t>
            </w:r>
          </w:p>
        </w:tc>
        <w:tc>
          <w:tcPr>
            <w:tcW w:w="803" w:type="dxa"/>
            <w:tcBorders/>
            <w:shd w:fill="FFFFFF" w:val="clear"/>
            <w:vAlign w:val="center"/>
          </w:tcPr>
          <w:p>
            <w:pPr>
              <w:pStyle w:val="TableContents"/>
              <w:spacing w:before="0" w:after="283"/>
              <w:ind w:left="0" w:right="0" w:firstLine="540"/>
              <w:rPr/>
            </w:pPr>
            <w:r>
              <w:rPr/>
              <w:t> </w:t>
            </w:r>
          </w:p>
        </w:tc>
      </w:tr>
      <w:tr>
        <w:trPr/>
        <w:tc>
          <w:tcPr>
            <w:tcW w:w="7369" w:type="dxa"/>
            <w:tcBorders/>
            <w:shd w:fill="CCEEFF" w:val="clear"/>
            <w:vAlign w:val="center"/>
          </w:tcPr>
          <w:p>
            <w:pPr>
              <w:pStyle w:val="TableContents"/>
              <w:spacing w:before="0" w:after="0"/>
              <w:ind w:left="0" w:right="0" w:firstLine="540"/>
              <w:rPr>
                <w:rFonts w:ascii="Times New Roman;Times;serif" w:hAnsi="Times New Roman;Times;serif"/>
                <w:sz w:val="20"/>
              </w:rPr>
            </w:pPr>
            <w:r>
              <w:rPr>
                <w:rFonts w:ascii="Times New Roman;Times;serif" w:hAnsi="Times New Roman;Times;serif"/>
                <w:sz w:val="20"/>
              </w:rPr>
              <w:t>Share-based and performance-based stock compensation</w:t>
            </w:r>
          </w:p>
        </w:tc>
        <w:tc>
          <w:tcPr>
            <w:tcW w:w="60" w:type="dxa"/>
            <w:tcBorders/>
            <w:shd w:fill="CCEEFF" w:val="clear"/>
            <w:vAlign w:val="center"/>
          </w:tcPr>
          <w:p>
            <w:pPr>
              <w:pStyle w:val="TableContents"/>
              <w:spacing w:before="0" w:after="283"/>
              <w:rPr/>
            </w:pPr>
            <w:r>
              <w:rPr/>
              <w:t> </w:t>
            </w:r>
          </w:p>
        </w:tc>
        <w:tc>
          <w:tcPr>
            <w:tcW w:w="151" w:type="dxa"/>
            <w:tcBorders/>
            <w:shd w:fill="CCEEFF" w:val="clear"/>
            <w:vAlign w:val="center"/>
          </w:tcPr>
          <w:p>
            <w:pPr>
              <w:pStyle w:val="TableContents"/>
              <w:spacing w:before="0" w:after="283"/>
              <w:rPr/>
            </w:pPr>
            <w:r>
              <w:rPr/>
              <w:t> </w:t>
            </w:r>
          </w:p>
        </w:tc>
        <w:tc>
          <w:tcPr>
            <w:tcW w:w="715"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1,526</w:t>
            </w:r>
          </w:p>
        </w:tc>
        <w:tc>
          <w:tcPr>
            <w:tcW w:w="96" w:type="dxa"/>
            <w:tcBorders/>
            <w:shd w:fill="CCEEFF" w:val="clear"/>
            <w:vAlign w:val="center"/>
          </w:tcPr>
          <w:p>
            <w:pPr>
              <w:pStyle w:val="TableContents"/>
              <w:spacing w:before="0" w:after="283"/>
              <w:rPr/>
            </w:pPr>
            <w:r>
              <w:rPr/>
              <w:t> </w:t>
            </w:r>
          </w:p>
        </w:tc>
        <w:tc>
          <w:tcPr>
            <w:tcW w:w="72" w:type="dxa"/>
            <w:tcBorders/>
            <w:shd w:fill="CCEEFF" w:val="clear"/>
            <w:vAlign w:val="center"/>
          </w:tcPr>
          <w:p>
            <w:pPr>
              <w:pStyle w:val="TableContents"/>
              <w:spacing w:before="0" w:after="283"/>
              <w:rPr/>
            </w:pPr>
            <w:r>
              <w:rPr/>
              <w:t> </w:t>
            </w:r>
          </w:p>
        </w:tc>
        <w:tc>
          <w:tcPr>
            <w:tcW w:w="151" w:type="dxa"/>
            <w:tcBorders/>
            <w:shd w:fill="CCEEFF" w:val="clear"/>
            <w:vAlign w:val="center"/>
          </w:tcPr>
          <w:p>
            <w:pPr>
              <w:pStyle w:val="TableContents"/>
              <w:spacing w:before="0" w:after="283"/>
              <w:rPr/>
            </w:pPr>
            <w:r>
              <w:rPr/>
              <w:t> </w:t>
            </w:r>
          </w:p>
        </w:tc>
        <w:tc>
          <w:tcPr>
            <w:tcW w:w="788"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736</w:t>
            </w:r>
          </w:p>
        </w:tc>
        <w:tc>
          <w:tcPr>
            <w:tcW w:w="803" w:type="dxa"/>
            <w:tcBorders/>
            <w:shd w:fill="CCEEFF" w:val="clear"/>
            <w:vAlign w:val="center"/>
          </w:tcPr>
          <w:p>
            <w:pPr>
              <w:pStyle w:val="TableContents"/>
              <w:spacing w:before="0" w:after="283"/>
              <w:ind w:left="0" w:right="0" w:firstLine="540"/>
              <w:rPr/>
            </w:pPr>
            <w:r>
              <w:rPr/>
              <w:t> </w:t>
            </w:r>
          </w:p>
        </w:tc>
      </w:tr>
      <w:tr>
        <w:trPr/>
        <w:tc>
          <w:tcPr>
            <w:tcW w:w="7369" w:type="dxa"/>
            <w:tcBorders/>
            <w:shd w:fill="FFFFFF" w:val="clear"/>
            <w:vAlign w:val="center"/>
          </w:tcPr>
          <w:p>
            <w:pPr>
              <w:pStyle w:val="TableContents"/>
              <w:spacing w:before="0" w:after="0"/>
              <w:ind w:left="0" w:right="0" w:firstLine="540"/>
              <w:rPr>
                <w:rFonts w:ascii="Times New Roman;Times;serif" w:hAnsi="Times New Roman;Times;serif"/>
                <w:sz w:val="20"/>
              </w:rPr>
            </w:pPr>
            <w:r>
              <w:rPr>
                <w:rFonts w:ascii="Times New Roman;Times;serif" w:hAnsi="Times New Roman;Times;serif"/>
                <w:sz w:val="20"/>
              </w:rPr>
              <w:t>Impairment of right-of-use assets and fixed assets</w:t>
            </w:r>
          </w:p>
        </w:tc>
        <w:tc>
          <w:tcPr>
            <w:tcW w:w="60" w:type="dxa"/>
            <w:tcBorders/>
            <w:shd w:fill="FFFFFF" w:val="clear"/>
            <w:vAlign w:val="center"/>
          </w:tcPr>
          <w:p>
            <w:pPr>
              <w:pStyle w:val="TableContents"/>
              <w:spacing w:before="0" w:after="283"/>
              <w:rPr/>
            </w:pPr>
            <w:r>
              <w:rPr/>
              <w:t> </w:t>
            </w:r>
          </w:p>
        </w:tc>
        <w:tc>
          <w:tcPr>
            <w:tcW w:w="151" w:type="dxa"/>
            <w:tcBorders/>
            <w:shd w:fill="FFFFFF" w:val="clear"/>
            <w:vAlign w:val="center"/>
          </w:tcPr>
          <w:p>
            <w:pPr>
              <w:pStyle w:val="TableContents"/>
              <w:spacing w:before="0" w:after="283"/>
              <w:rPr/>
            </w:pPr>
            <w:r>
              <w:rPr/>
              <w:t> </w:t>
            </w:r>
          </w:p>
        </w:tc>
        <w:tc>
          <w:tcPr>
            <w:tcW w:w="715"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96" w:type="dxa"/>
            <w:tcBorders/>
            <w:shd w:fill="FFFFFF" w:val="clear"/>
            <w:vAlign w:val="center"/>
          </w:tcPr>
          <w:p>
            <w:pPr>
              <w:pStyle w:val="TableContents"/>
              <w:spacing w:before="0" w:after="283"/>
              <w:rPr/>
            </w:pPr>
            <w:r>
              <w:rPr/>
              <w:t> </w:t>
            </w:r>
          </w:p>
        </w:tc>
        <w:tc>
          <w:tcPr>
            <w:tcW w:w="72" w:type="dxa"/>
            <w:tcBorders/>
            <w:shd w:fill="FFFFFF" w:val="clear"/>
            <w:vAlign w:val="center"/>
          </w:tcPr>
          <w:p>
            <w:pPr>
              <w:pStyle w:val="TableContents"/>
              <w:spacing w:before="0" w:after="283"/>
              <w:rPr/>
            </w:pPr>
            <w:r>
              <w:rPr/>
              <w:t> </w:t>
            </w:r>
          </w:p>
        </w:tc>
        <w:tc>
          <w:tcPr>
            <w:tcW w:w="151" w:type="dxa"/>
            <w:tcBorders/>
            <w:shd w:fill="FFFFFF" w:val="clear"/>
            <w:vAlign w:val="center"/>
          </w:tcPr>
          <w:p>
            <w:pPr>
              <w:pStyle w:val="TableContents"/>
              <w:spacing w:before="0" w:after="283"/>
              <w:rPr/>
            </w:pPr>
            <w:r>
              <w:rPr/>
              <w:t> </w:t>
            </w:r>
          </w:p>
        </w:tc>
        <w:tc>
          <w:tcPr>
            <w:tcW w:w="788"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6,882</w:t>
            </w:r>
          </w:p>
        </w:tc>
        <w:tc>
          <w:tcPr>
            <w:tcW w:w="803" w:type="dxa"/>
            <w:tcBorders/>
            <w:shd w:fill="FFFFFF" w:val="clear"/>
            <w:vAlign w:val="center"/>
          </w:tcPr>
          <w:p>
            <w:pPr>
              <w:pStyle w:val="TableContents"/>
              <w:spacing w:before="0" w:after="283"/>
              <w:ind w:left="0" w:right="0" w:firstLine="540"/>
              <w:rPr/>
            </w:pPr>
            <w:r>
              <w:rPr/>
              <w:t> </w:t>
            </w:r>
          </w:p>
        </w:tc>
      </w:tr>
      <w:tr>
        <w:trPr/>
        <w:tc>
          <w:tcPr>
            <w:tcW w:w="7369" w:type="dxa"/>
            <w:tcBorders/>
            <w:shd w:fill="CCEEFF" w:val="clear"/>
            <w:vAlign w:val="center"/>
          </w:tcPr>
          <w:p>
            <w:pPr>
              <w:pStyle w:val="TableContents"/>
              <w:spacing w:before="0" w:after="0"/>
              <w:ind w:left="0" w:right="0" w:firstLine="540"/>
              <w:rPr>
                <w:rFonts w:ascii="Times New Roman;Times;serif" w:hAnsi="Times New Roman;Times;serif"/>
                <w:sz w:val="20"/>
              </w:rPr>
            </w:pPr>
            <w:r>
              <w:rPr>
                <w:rFonts w:ascii="Times New Roman;Times;serif" w:hAnsi="Times New Roman;Times;serif"/>
                <w:sz w:val="20"/>
              </w:rPr>
              <w:t>Deferred taxes</w:t>
            </w:r>
          </w:p>
        </w:tc>
        <w:tc>
          <w:tcPr>
            <w:tcW w:w="60" w:type="dxa"/>
            <w:tcBorders/>
            <w:shd w:fill="CCEEFF" w:val="clear"/>
            <w:vAlign w:val="center"/>
          </w:tcPr>
          <w:p>
            <w:pPr>
              <w:pStyle w:val="TableContents"/>
              <w:spacing w:before="0" w:after="283"/>
              <w:rPr/>
            </w:pPr>
            <w:r>
              <w:rPr/>
              <w:t> </w:t>
            </w:r>
          </w:p>
        </w:tc>
        <w:tc>
          <w:tcPr>
            <w:tcW w:w="151" w:type="dxa"/>
            <w:tcBorders/>
            <w:shd w:fill="CCEEFF" w:val="clear"/>
            <w:vAlign w:val="center"/>
          </w:tcPr>
          <w:p>
            <w:pPr>
              <w:pStyle w:val="TableContents"/>
              <w:spacing w:before="0" w:after="283"/>
              <w:rPr/>
            </w:pPr>
            <w:r>
              <w:rPr/>
              <w:t> </w:t>
            </w:r>
          </w:p>
        </w:tc>
        <w:tc>
          <w:tcPr>
            <w:tcW w:w="715"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96" w:type="dxa"/>
            <w:tcBorders/>
            <w:shd w:fill="CCEEFF" w:val="clear"/>
            <w:vAlign w:val="center"/>
          </w:tcPr>
          <w:p>
            <w:pPr>
              <w:pStyle w:val="TableContents"/>
              <w:spacing w:before="0" w:after="283"/>
              <w:rPr/>
            </w:pPr>
            <w:r>
              <w:rPr/>
              <w:t> </w:t>
            </w:r>
          </w:p>
        </w:tc>
        <w:tc>
          <w:tcPr>
            <w:tcW w:w="72" w:type="dxa"/>
            <w:tcBorders/>
            <w:shd w:fill="CCEEFF" w:val="clear"/>
            <w:vAlign w:val="center"/>
          </w:tcPr>
          <w:p>
            <w:pPr>
              <w:pStyle w:val="TableContents"/>
              <w:spacing w:before="0" w:after="283"/>
              <w:rPr/>
            </w:pPr>
            <w:r>
              <w:rPr/>
              <w:t> </w:t>
            </w:r>
          </w:p>
        </w:tc>
        <w:tc>
          <w:tcPr>
            <w:tcW w:w="151" w:type="dxa"/>
            <w:tcBorders/>
            <w:shd w:fill="CCEEFF" w:val="clear"/>
            <w:vAlign w:val="center"/>
          </w:tcPr>
          <w:p>
            <w:pPr>
              <w:pStyle w:val="TableContents"/>
              <w:spacing w:before="0" w:after="283"/>
              <w:rPr/>
            </w:pPr>
            <w:r>
              <w:rPr/>
              <w:t> </w:t>
            </w:r>
          </w:p>
        </w:tc>
        <w:tc>
          <w:tcPr>
            <w:tcW w:w="788"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3,388</w:t>
            </w:r>
          </w:p>
        </w:tc>
        <w:tc>
          <w:tcPr>
            <w:tcW w:w="803" w:type="dxa"/>
            <w:tcBorders/>
            <w:shd w:fill="CCEEFF" w:val="clear"/>
            <w:vAlign w:val="center"/>
          </w:tcPr>
          <w:p>
            <w:pPr>
              <w:pStyle w:val="TableContents"/>
              <w:spacing w:before="0" w:after="283"/>
              <w:ind w:left="0" w:right="0" w:firstLine="540"/>
              <w:rPr/>
            </w:pPr>
            <w:r>
              <w:rPr/>
              <w:t> </w:t>
            </w:r>
          </w:p>
        </w:tc>
      </w:tr>
      <w:tr>
        <w:trPr/>
        <w:tc>
          <w:tcPr>
            <w:tcW w:w="7369" w:type="dxa"/>
            <w:tcBorders/>
            <w:shd w:fill="FFFFFF" w:val="clear"/>
            <w:vAlign w:val="center"/>
          </w:tcPr>
          <w:p>
            <w:pPr>
              <w:pStyle w:val="TableContents"/>
              <w:spacing w:before="0" w:after="0"/>
              <w:ind w:left="0" w:right="0" w:firstLine="540"/>
              <w:rPr>
                <w:rFonts w:ascii="Times New Roman;Times;serif" w:hAnsi="Times New Roman;Times;serif"/>
                <w:sz w:val="20"/>
              </w:rPr>
            </w:pPr>
            <w:r>
              <w:rPr>
                <w:rFonts w:ascii="Times New Roman;Times;serif" w:hAnsi="Times New Roman;Times;serif"/>
                <w:sz w:val="20"/>
              </w:rPr>
              <w:t>Provision for doubtful accounts</w:t>
            </w:r>
          </w:p>
        </w:tc>
        <w:tc>
          <w:tcPr>
            <w:tcW w:w="60" w:type="dxa"/>
            <w:tcBorders/>
            <w:shd w:fill="FFFFFF" w:val="clear"/>
            <w:vAlign w:val="center"/>
          </w:tcPr>
          <w:p>
            <w:pPr>
              <w:pStyle w:val="TableContents"/>
              <w:spacing w:before="0" w:after="283"/>
              <w:rPr/>
            </w:pPr>
            <w:r>
              <w:rPr/>
              <w:t> </w:t>
            </w:r>
          </w:p>
        </w:tc>
        <w:tc>
          <w:tcPr>
            <w:tcW w:w="151" w:type="dxa"/>
            <w:tcBorders/>
            <w:shd w:fill="FFFFFF" w:val="clear"/>
            <w:vAlign w:val="center"/>
          </w:tcPr>
          <w:p>
            <w:pPr>
              <w:pStyle w:val="TableContents"/>
              <w:spacing w:before="0" w:after="283"/>
              <w:rPr/>
            </w:pPr>
            <w:r>
              <w:rPr/>
              <w:t> </w:t>
            </w:r>
          </w:p>
        </w:tc>
        <w:tc>
          <w:tcPr>
            <w:tcW w:w="715"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113</w:t>
            </w:r>
          </w:p>
        </w:tc>
        <w:tc>
          <w:tcPr>
            <w:tcW w:w="96" w:type="dxa"/>
            <w:tcBorders/>
            <w:shd w:fill="FFFFFF" w:val="clear"/>
            <w:vAlign w:val="center"/>
          </w:tcPr>
          <w:p>
            <w:pPr>
              <w:pStyle w:val="TableContents"/>
              <w:spacing w:before="0" w:after="283"/>
              <w:rPr/>
            </w:pPr>
            <w:r>
              <w:rPr/>
              <w:t> </w:t>
            </w:r>
          </w:p>
        </w:tc>
        <w:tc>
          <w:tcPr>
            <w:tcW w:w="72" w:type="dxa"/>
            <w:tcBorders/>
            <w:shd w:fill="FFFFFF" w:val="clear"/>
            <w:vAlign w:val="center"/>
          </w:tcPr>
          <w:p>
            <w:pPr>
              <w:pStyle w:val="TableContents"/>
              <w:spacing w:before="0" w:after="283"/>
              <w:rPr/>
            </w:pPr>
            <w:r>
              <w:rPr/>
              <w:t> </w:t>
            </w:r>
          </w:p>
        </w:tc>
        <w:tc>
          <w:tcPr>
            <w:tcW w:w="151" w:type="dxa"/>
            <w:tcBorders/>
            <w:shd w:fill="FFFFFF" w:val="clear"/>
            <w:vAlign w:val="center"/>
          </w:tcPr>
          <w:p>
            <w:pPr>
              <w:pStyle w:val="TableContents"/>
              <w:spacing w:before="0" w:after="283"/>
              <w:rPr/>
            </w:pPr>
            <w:r>
              <w:rPr/>
              <w:t> </w:t>
            </w:r>
          </w:p>
        </w:tc>
        <w:tc>
          <w:tcPr>
            <w:tcW w:w="788"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669</w:t>
            </w:r>
          </w:p>
        </w:tc>
        <w:tc>
          <w:tcPr>
            <w:tcW w:w="803" w:type="dxa"/>
            <w:tcBorders/>
            <w:shd w:fill="FFFFFF" w:val="clear"/>
            <w:vAlign w:val="center"/>
          </w:tcPr>
          <w:p>
            <w:pPr>
              <w:pStyle w:val="TableContents"/>
              <w:spacing w:before="0" w:after="283"/>
              <w:ind w:left="0" w:right="0" w:firstLine="540"/>
              <w:rPr/>
            </w:pPr>
            <w:r>
              <w:rPr/>
              <w:t> </w:t>
            </w:r>
          </w:p>
        </w:tc>
      </w:tr>
      <w:tr>
        <w:trPr/>
        <w:tc>
          <w:tcPr>
            <w:tcW w:w="7369" w:type="dxa"/>
            <w:tcBorders/>
            <w:shd w:fill="CCEEFF" w:val="clear"/>
            <w:vAlign w:val="center"/>
          </w:tcPr>
          <w:p>
            <w:pPr>
              <w:pStyle w:val="TableContents"/>
              <w:spacing w:before="0" w:after="0"/>
              <w:ind w:left="0" w:right="0" w:firstLine="540"/>
              <w:rPr>
                <w:rFonts w:ascii="Times New Roman;Times;serif" w:hAnsi="Times New Roman;Times;serif"/>
                <w:sz w:val="20"/>
              </w:rPr>
            </w:pPr>
            <w:r>
              <w:rPr>
                <w:rFonts w:ascii="Times New Roman;Times;serif" w:hAnsi="Times New Roman;Times;serif"/>
                <w:sz w:val="20"/>
              </w:rPr>
              <w:t>Loss on disposal of property and equipment</w:t>
            </w:r>
          </w:p>
        </w:tc>
        <w:tc>
          <w:tcPr>
            <w:tcW w:w="60" w:type="dxa"/>
            <w:tcBorders/>
            <w:shd w:fill="CCEEFF" w:val="clear"/>
            <w:vAlign w:val="center"/>
          </w:tcPr>
          <w:p>
            <w:pPr>
              <w:pStyle w:val="TableContents"/>
              <w:spacing w:before="0" w:after="283"/>
              <w:rPr/>
            </w:pPr>
            <w:r>
              <w:rPr/>
              <w:t> </w:t>
            </w:r>
          </w:p>
        </w:tc>
        <w:tc>
          <w:tcPr>
            <w:tcW w:w="151" w:type="dxa"/>
            <w:tcBorders/>
            <w:shd w:fill="CCEEFF" w:val="clear"/>
            <w:vAlign w:val="center"/>
          </w:tcPr>
          <w:p>
            <w:pPr>
              <w:pStyle w:val="TableContents"/>
              <w:spacing w:before="0" w:after="283"/>
              <w:rPr/>
            </w:pPr>
            <w:r>
              <w:rPr/>
              <w:t> </w:t>
            </w:r>
          </w:p>
        </w:tc>
        <w:tc>
          <w:tcPr>
            <w:tcW w:w="715"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28</w:t>
            </w:r>
          </w:p>
        </w:tc>
        <w:tc>
          <w:tcPr>
            <w:tcW w:w="96" w:type="dxa"/>
            <w:tcBorders/>
            <w:shd w:fill="CCEEFF" w:val="clear"/>
            <w:vAlign w:val="center"/>
          </w:tcPr>
          <w:p>
            <w:pPr>
              <w:pStyle w:val="TableContents"/>
              <w:spacing w:before="0" w:after="283"/>
              <w:rPr/>
            </w:pPr>
            <w:r>
              <w:rPr/>
              <w:t> </w:t>
            </w:r>
          </w:p>
        </w:tc>
        <w:tc>
          <w:tcPr>
            <w:tcW w:w="72" w:type="dxa"/>
            <w:tcBorders/>
            <w:shd w:fill="CCEEFF" w:val="clear"/>
            <w:vAlign w:val="center"/>
          </w:tcPr>
          <w:p>
            <w:pPr>
              <w:pStyle w:val="TableContents"/>
              <w:spacing w:before="0" w:after="283"/>
              <w:rPr/>
            </w:pPr>
            <w:r>
              <w:rPr/>
              <w:t> </w:t>
            </w:r>
          </w:p>
        </w:tc>
        <w:tc>
          <w:tcPr>
            <w:tcW w:w="151" w:type="dxa"/>
            <w:tcBorders/>
            <w:shd w:fill="CCEEFF" w:val="clear"/>
            <w:vAlign w:val="center"/>
          </w:tcPr>
          <w:p>
            <w:pPr>
              <w:pStyle w:val="TableContents"/>
              <w:spacing w:before="0" w:after="283"/>
              <w:rPr/>
            </w:pPr>
            <w:r>
              <w:rPr/>
              <w:t> </w:t>
            </w:r>
          </w:p>
        </w:tc>
        <w:tc>
          <w:tcPr>
            <w:tcW w:w="788"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22</w:t>
            </w:r>
          </w:p>
        </w:tc>
        <w:tc>
          <w:tcPr>
            <w:tcW w:w="803" w:type="dxa"/>
            <w:tcBorders/>
            <w:shd w:fill="CCEEFF" w:val="clear"/>
            <w:vAlign w:val="center"/>
          </w:tcPr>
          <w:p>
            <w:pPr>
              <w:pStyle w:val="TableContents"/>
              <w:spacing w:before="0" w:after="283"/>
              <w:rPr/>
            </w:pPr>
            <w:r>
              <w:rPr/>
              <w:t> </w:t>
            </w:r>
          </w:p>
        </w:tc>
      </w:tr>
      <w:tr>
        <w:trPr/>
        <w:tc>
          <w:tcPr>
            <w:tcW w:w="7369" w:type="dxa"/>
            <w:tcBorders/>
            <w:shd w:fill="FFFFFF" w:val="clear"/>
            <w:vAlign w:val="center"/>
          </w:tcPr>
          <w:p>
            <w:pPr>
              <w:pStyle w:val="TableContents"/>
              <w:spacing w:before="0" w:after="0"/>
              <w:ind w:left="720" w:right="0" w:hanging="180"/>
              <w:rPr>
                <w:rFonts w:ascii="Times New Roman;Times;serif" w:hAnsi="Times New Roman;Times;serif"/>
                <w:sz w:val="20"/>
              </w:rPr>
            </w:pPr>
            <w:r>
              <w:rPr>
                <w:rFonts w:ascii="Times New Roman;Times;serif" w:hAnsi="Times New Roman;Times;serif"/>
                <w:sz w:val="20"/>
              </w:rPr>
              <w:t>Change in assets and liabilities:</w:t>
            </w:r>
          </w:p>
        </w:tc>
        <w:tc>
          <w:tcPr>
            <w:tcW w:w="60" w:type="dxa"/>
            <w:tcBorders/>
            <w:shd w:fill="FFFFFF" w:val="clear"/>
            <w:vAlign w:val="center"/>
          </w:tcPr>
          <w:p>
            <w:pPr>
              <w:pStyle w:val="TableContents"/>
              <w:spacing w:before="0" w:after="283"/>
              <w:rPr/>
            </w:pPr>
            <w:r>
              <w:rPr/>
              <w:t> </w:t>
            </w:r>
          </w:p>
        </w:tc>
        <w:tc>
          <w:tcPr>
            <w:tcW w:w="151" w:type="dxa"/>
            <w:tcBorders/>
            <w:shd w:fill="FFFFFF" w:val="clear"/>
            <w:vAlign w:val="center"/>
          </w:tcPr>
          <w:p>
            <w:pPr>
              <w:pStyle w:val="TableContents"/>
              <w:spacing w:before="0" w:after="283"/>
              <w:rPr/>
            </w:pPr>
            <w:r>
              <w:rPr/>
              <w:t> </w:t>
            </w:r>
          </w:p>
        </w:tc>
        <w:tc>
          <w:tcPr>
            <w:tcW w:w="715" w:type="dxa"/>
            <w:tcBorders/>
            <w:shd w:fill="FFFFFF" w:val="clear"/>
            <w:vAlign w:val="center"/>
          </w:tcPr>
          <w:p>
            <w:pPr>
              <w:pStyle w:val="TableContents"/>
              <w:spacing w:before="0" w:after="283"/>
              <w:jc w:val="left"/>
              <w:rPr/>
            </w:pPr>
            <w:r>
              <w:rPr/>
              <w:t> </w:t>
            </w:r>
          </w:p>
        </w:tc>
        <w:tc>
          <w:tcPr>
            <w:tcW w:w="96" w:type="dxa"/>
            <w:tcBorders/>
            <w:shd w:fill="FFFFFF" w:val="clear"/>
            <w:vAlign w:val="center"/>
          </w:tcPr>
          <w:p>
            <w:pPr>
              <w:pStyle w:val="TableContents"/>
              <w:spacing w:before="0" w:after="283"/>
              <w:rPr/>
            </w:pPr>
            <w:r>
              <w:rPr/>
              <w:t> </w:t>
            </w:r>
          </w:p>
        </w:tc>
        <w:tc>
          <w:tcPr>
            <w:tcW w:w="72" w:type="dxa"/>
            <w:tcBorders/>
            <w:shd w:fill="FFFFFF" w:val="clear"/>
            <w:vAlign w:val="center"/>
          </w:tcPr>
          <w:p>
            <w:pPr>
              <w:pStyle w:val="TableContents"/>
              <w:spacing w:before="0" w:after="283"/>
              <w:rPr/>
            </w:pPr>
            <w:r>
              <w:rPr/>
              <w:t> </w:t>
            </w:r>
          </w:p>
        </w:tc>
        <w:tc>
          <w:tcPr>
            <w:tcW w:w="151" w:type="dxa"/>
            <w:tcBorders/>
            <w:shd w:fill="FFFFFF" w:val="clear"/>
            <w:vAlign w:val="center"/>
          </w:tcPr>
          <w:p>
            <w:pPr>
              <w:pStyle w:val="TableContents"/>
              <w:spacing w:before="0" w:after="283"/>
              <w:rPr/>
            </w:pPr>
            <w:r>
              <w:rPr/>
              <w:t> </w:t>
            </w:r>
          </w:p>
        </w:tc>
        <w:tc>
          <w:tcPr>
            <w:tcW w:w="788" w:type="dxa"/>
            <w:tcBorders/>
            <w:shd w:fill="FFFFFF" w:val="clear"/>
            <w:vAlign w:val="center"/>
          </w:tcPr>
          <w:p>
            <w:pPr>
              <w:pStyle w:val="TableContents"/>
              <w:spacing w:before="0" w:after="283"/>
              <w:jc w:val="left"/>
              <w:rPr/>
            </w:pPr>
            <w:r>
              <w:rPr/>
              <w:t> </w:t>
            </w:r>
          </w:p>
        </w:tc>
        <w:tc>
          <w:tcPr>
            <w:tcW w:w="803" w:type="dxa"/>
            <w:tcBorders/>
            <w:shd w:fill="FFFFFF" w:val="clear"/>
            <w:vAlign w:val="center"/>
          </w:tcPr>
          <w:p>
            <w:pPr>
              <w:pStyle w:val="TableContents"/>
              <w:spacing w:before="0" w:after="283"/>
              <w:ind w:left="0" w:right="0" w:firstLine="720"/>
              <w:rPr/>
            </w:pPr>
            <w:r>
              <w:rPr/>
              <w:t> </w:t>
            </w:r>
          </w:p>
        </w:tc>
      </w:tr>
      <w:tr>
        <w:trPr/>
        <w:tc>
          <w:tcPr>
            <w:tcW w:w="7369" w:type="dxa"/>
            <w:tcBorders/>
            <w:shd w:fill="CCEEFF" w:val="clear"/>
            <w:vAlign w:val="center"/>
          </w:tcPr>
          <w:p>
            <w:pPr>
              <w:pStyle w:val="TableContents"/>
              <w:spacing w:before="0" w:after="0"/>
              <w:ind w:left="0" w:right="0" w:firstLine="720"/>
              <w:rPr>
                <w:rFonts w:ascii="Times New Roman;Times;serif" w:hAnsi="Times New Roman;Times;serif"/>
                <w:sz w:val="20"/>
              </w:rPr>
            </w:pPr>
            <w:r>
              <w:rPr>
                <w:rFonts w:ascii="Times New Roman;Times;serif" w:hAnsi="Times New Roman;Times;serif"/>
                <w:sz w:val="20"/>
              </w:rPr>
              <w:t>Inventories, net</w:t>
            </w:r>
          </w:p>
        </w:tc>
        <w:tc>
          <w:tcPr>
            <w:tcW w:w="60" w:type="dxa"/>
            <w:tcBorders/>
            <w:shd w:fill="CCEEFF" w:val="clear"/>
            <w:vAlign w:val="center"/>
          </w:tcPr>
          <w:p>
            <w:pPr>
              <w:pStyle w:val="TableContents"/>
              <w:spacing w:before="0" w:after="283"/>
              <w:rPr/>
            </w:pPr>
            <w:r>
              <w:rPr/>
              <w:t> </w:t>
            </w:r>
          </w:p>
        </w:tc>
        <w:tc>
          <w:tcPr>
            <w:tcW w:w="151" w:type="dxa"/>
            <w:tcBorders/>
            <w:shd w:fill="CCEEFF" w:val="clear"/>
            <w:vAlign w:val="center"/>
          </w:tcPr>
          <w:p>
            <w:pPr>
              <w:pStyle w:val="TableContents"/>
              <w:spacing w:before="0" w:after="283"/>
              <w:rPr/>
            </w:pPr>
            <w:r>
              <w:rPr/>
              <w:t> </w:t>
            </w:r>
          </w:p>
        </w:tc>
        <w:tc>
          <w:tcPr>
            <w:tcW w:w="715"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(263</w:t>
            </w:r>
          </w:p>
        </w:tc>
        <w:tc>
          <w:tcPr>
            <w:tcW w:w="96"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72" w:type="dxa"/>
            <w:tcBorders/>
            <w:shd w:fill="CCEEFF" w:val="clear"/>
            <w:vAlign w:val="center"/>
          </w:tcPr>
          <w:p>
            <w:pPr>
              <w:pStyle w:val="TableContents"/>
              <w:spacing w:before="0" w:after="283"/>
              <w:rPr/>
            </w:pPr>
            <w:r>
              <w:rPr/>
              <w:t> </w:t>
            </w:r>
          </w:p>
        </w:tc>
        <w:tc>
          <w:tcPr>
            <w:tcW w:w="151" w:type="dxa"/>
            <w:tcBorders/>
            <w:shd w:fill="CCEEFF" w:val="clear"/>
            <w:vAlign w:val="center"/>
          </w:tcPr>
          <w:p>
            <w:pPr>
              <w:pStyle w:val="TableContents"/>
              <w:spacing w:before="0" w:after="283"/>
              <w:rPr/>
            </w:pPr>
            <w:r>
              <w:rPr/>
              <w:t> </w:t>
            </w:r>
          </w:p>
        </w:tc>
        <w:tc>
          <w:tcPr>
            <w:tcW w:w="788"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(2,217</w:t>
            </w:r>
          </w:p>
        </w:tc>
        <w:tc>
          <w:tcPr>
            <w:tcW w:w="803" w:type="dxa"/>
            <w:tcBorders/>
            <w:shd w:fill="CCEEFF" w:val="clear"/>
            <w:vAlign w:val="center"/>
          </w:tcPr>
          <w:p>
            <w:pPr>
              <w:pStyle w:val="TableContents"/>
              <w:spacing w:before="0" w:after="283"/>
              <w:ind w:left="0" w:right="0" w:firstLine="720"/>
              <w:rPr>
                <w:rFonts w:ascii="Times New Roman;Times;serif" w:hAnsi="Times New Roman;Times;serif"/>
                <w:sz w:val="20"/>
              </w:rPr>
            </w:pPr>
            <w:r>
              <w:rPr>
                <w:rFonts w:ascii="Times New Roman;Times;serif" w:hAnsi="Times New Roman;Times;serif"/>
                <w:sz w:val="20"/>
              </w:rPr>
              <w:t>)</w:t>
            </w:r>
          </w:p>
        </w:tc>
      </w:tr>
      <w:tr>
        <w:trPr/>
        <w:tc>
          <w:tcPr>
            <w:tcW w:w="7369" w:type="dxa"/>
            <w:tcBorders/>
            <w:shd w:fill="FFFFFF" w:val="clear"/>
            <w:vAlign w:val="center"/>
          </w:tcPr>
          <w:p>
            <w:pPr>
              <w:pStyle w:val="TableContents"/>
              <w:spacing w:before="0" w:after="0"/>
              <w:ind w:left="0" w:right="0" w:firstLine="720"/>
              <w:rPr>
                <w:rFonts w:ascii="Times New Roman;Times;serif" w:hAnsi="Times New Roman;Times;serif"/>
                <w:sz w:val="20"/>
              </w:rPr>
            </w:pPr>
            <w:r>
              <w:rPr>
                <w:rFonts w:ascii="Times New Roman;Times;serif" w:hAnsi="Times New Roman;Times;serif"/>
                <w:sz w:val="20"/>
              </w:rPr>
              <w:t>Receivables, net</w:t>
            </w:r>
          </w:p>
        </w:tc>
        <w:tc>
          <w:tcPr>
            <w:tcW w:w="60" w:type="dxa"/>
            <w:tcBorders/>
            <w:shd w:fill="FFFFFF" w:val="clear"/>
            <w:vAlign w:val="center"/>
          </w:tcPr>
          <w:p>
            <w:pPr>
              <w:pStyle w:val="TableContents"/>
              <w:spacing w:before="0" w:after="283"/>
              <w:rPr/>
            </w:pPr>
            <w:r>
              <w:rPr/>
              <w:t> </w:t>
            </w:r>
          </w:p>
        </w:tc>
        <w:tc>
          <w:tcPr>
            <w:tcW w:w="151" w:type="dxa"/>
            <w:tcBorders/>
            <w:shd w:fill="FFFFFF" w:val="clear"/>
            <w:vAlign w:val="center"/>
          </w:tcPr>
          <w:p>
            <w:pPr>
              <w:pStyle w:val="TableContents"/>
              <w:spacing w:before="0" w:after="283"/>
              <w:rPr/>
            </w:pPr>
            <w:r>
              <w:rPr/>
              <w:t> </w:t>
            </w:r>
          </w:p>
        </w:tc>
        <w:tc>
          <w:tcPr>
            <w:tcW w:w="715"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(427</w:t>
            </w:r>
          </w:p>
        </w:tc>
        <w:tc>
          <w:tcPr>
            <w:tcW w:w="96"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72" w:type="dxa"/>
            <w:tcBorders/>
            <w:shd w:fill="FFFFFF" w:val="clear"/>
            <w:vAlign w:val="center"/>
          </w:tcPr>
          <w:p>
            <w:pPr>
              <w:pStyle w:val="TableContents"/>
              <w:spacing w:before="0" w:after="283"/>
              <w:rPr/>
            </w:pPr>
            <w:r>
              <w:rPr/>
              <w:t> </w:t>
            </w:r>
          </w:p>
        </w:tc>
        <w:tc>
          <w:tcPr>
            <w:tcW w:w="151" w:type="dxa"/>
            <w:tcBorders/>
            <w:shd w:fill="FFFFFF" w:val="clear"/>
            <w:vAlign w:val="center"/>
          </w:tcPr>
          <w:p>
            <w:pPr>
              <w:pStyle w:val="TableContents"/>
              <w:spacing w:before="0" w:after="283"/>
              <w:rPr/>
            </w:pPr>
            <w:r>
              <w:rPr/>
              <w:t> </w:t>
            </w:r>
          </w:p>
        </w:tc>
        <w:tc>
          <w:tcPr>
            <w:tcW w:w="788"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4,512</w:t>
            </w:r>
          </w:p>
        </w:tc>
        <w:tc>
          <w:tcPr>
            <w:tcW w:w="803" w:type="dxa"/>
            <w:tcBorders/>
            <w:shd w:fill="FFFFFF" w:val="clear"/>
            <w:vAlign w:val="center"/>
          </w:tcPr>
          <w:p>
            <w:pPr>
              <w:pStyle w:val="TableContents"/>
              <w:spacing w:before="0" w:after="283"/>
              <w:ind w:left="0" w:right="0" w:firstLine="720"/>
              <w:rPr/>
            </w:pPr>
            <w:r>
              <w:rPr/>
              <w:t> </w:t>
            </w:r>
          </w:p>
        </w:tc>
      </w:tr>
      <w:tr>
        <w:trPr/>
        <w:tc>
          <w:tcPr>
            <w:tcW w:w="7369" w:type="dxa"/>
            <w:tcBorders/>
            <w:shd w:fill="CCEEFF" w:val="clear"/>
            <w:vAlign w:val="center"/>
          </w:tcPr>
          <w:p>
            <w:pPr>
              <w:pStyle w:val="TableContents"/>
              <w:spacing w:before="0" w:after="0"/>
              <w:ind w:left="0" w:right="0" w:firstLine="720"/>
              <w:rPr>
                <w:rFonts w:ascii="Times New Roman;Times;serif" w:hAnsi="Times New Roman;Times;serif"/>
                <w:sz w:val="20"/>
              </w:rPr>
            </w:pPr>
            <w:r>
              <w:rPr>
                <w:rFonts w:ascii="Times New Roman;Times;serif" w:hAnsi="Times New Roman;Times;serif"/>
                <w:sz w:val="20"/>
              </w:rPr>
              <w:t>Prepaid expenses and other assets</w:t>
            </w:r>
          </w:p>
        </w:tc>
        <w:tc>
          <w:tcPr>
            <w:tcW w:w="60" w:type="dxa"/>
            <w:tcBorders/>
            <w:shd w:fill="CCEEFF" w:val="clear"/>
            <w:vAlign w:val="center"/>
          </w:tcPr>
          <w:p>
            <w:pPr>
              <w:pStyle w:val="TableContents"/>
              <w:spacing w:before="0" w:after="283"/>
              <w:rPr/>
            </w:pPr>
            <w:r>
              <w:rPr/>
              <w:t> </w:t>
            </w:r>
          </w:p>
        </w:tc>
        <w:tc>
          <w:tcPr>
            <w:tcW w:w="151" w:type="dxa"/>
            <w:tcBorders/>
            <w:shd w:fill="CCEEFF" w:val="clear"/>
            <w:vAlign w:val="center"/>
          </w:tcPr>
          <w:p>
            <w:pPr>
              <w:pStyle w:val="TableContents"/>
              <w:spacing w:before="0" w:after="283"/>
              <w:rPr/>
            </w:pPr>
            <w:r>
              <w:rPr/>
              <w:t> </w:t>
            </w:r>
          </w:p>
        </w:tc>
        <w:tc>
          <w:tcPr>
            <w:tcW w:w="715"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(1,919</w:t>
            </w:r>
          </w:p>
        </w:tc>
        <w:tc>
          <w:tcPr>
            <w:tcW w:w="96"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72" w:type="dxa"/>
            <w:tcBorders/>
            <w:shd w:fill="CCEEFF" w:val="clear"/>
            <w:vAlign w:val="center"/>
          </w:tcPr>
          <w:p>
            <w:pPr>
              <w:pStyle w:val="TableContents"/>
              <w:spacing w:before="0" w:after="283"/>
              <w:rPr/>
            </w:pPr>
            <w:r>
              <w:rPr/>
              <w:t> </w:t>
            </w:r>
          </w:p>
        </w:tc>
        <w:tc>
          <w:tcPr>
            <w:tcW w:w="151" w:type="dxa"/>
            <w:tcBorders/>
            <w:shd w:fill="CCEEFF" w:val="clear"/>
            <w:vAlign w:val="center"/>
          </w:tcPr>
          <w:p>
            <w:pPr>
              <w:pStyle w:val="TableContents"/>
              <w:spacing w:before="0" w:after="283"/>
              <w:rPr/>
            </w:pPr>
            <w:r>
              <w:rPr/>
              <w:t> </w:t>
            </w:r>
          </w:p>
        </w:tc>
        <w:tc>
          <w:tcPr>
            <w:tcW w:w="788"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1,697</w:t>
            </w:r>
          </w:p>
        </w:tc>
        <w:tc>
          <w:tcPr>
            <w:tcW w:w="803" w:type="dxa"/>
            <w:tcBorders/>
            <w:shd w:fill="CCEEFF" w:val="clear"/>
            <w:vAlign w:val="center"/>
          </w:tcPr>
          <w:p>
            <w:pPr>
              <w:pStyle w:val="TableContents"/>
              <w:spacing w:before="0" w:after="283"/>
              <w:ind w:left="0" w:right="0" w:firstLine="720"/>
              <w:rPr/>
            </w:pPr>
            <w:r>
              <w:rPr/>
              <w:t> </w:t>
            </w:r>
          </w:p>
        </w:tc>
      </w:tr>
      <w:tr>
        <w:trPr/>
        <w:tc>
          <w:tcPr>
            <w:tcW w:w="7369" w:type="dxa"/>
            <w:tcBorders/>
            <w:shd w:fill="FFFFFF" w:val="clear"/>
            <w:vAlign w:val="center"/>
          </w:tcPr>
          <w:p>
            <w:pPr>
              <w:pStyle w:val="TableContents"/>
              <w:spacing w:before="0" w:after="0"/>
              <w:ind w:left="0" w:right="0" w:firstLine="720"/>
              <w:rPr>
                <w:rFonts w:ascii="Times New Roman;Times;serif" w:hAnsi="Times New Roman;Times;serif"/>
                <w:sz w:val="20"/>
              </w:rPr>
            </w:pPr>
            <w:r>
              <w:rPr>
                <w:rFonts w:ascii="Times New Roman;Times;serif" w:hAnsi="Times New Roman;Times;serif"/>
                <w:sz w:val="20"/>
              </w:rPr>
              <w:t>Accounts payable and accrued expenses</w:t>
            </w:r>
          </w:p>
        </w:tc>
        <w:tc>
          <w:tcPr>
            <w:tcW w:w="60" w:type="dxa"/>
            <w:tcBorders/>
            <w:shd w:fill="FFFFFF" w:val="clear"/>
            <w:vAlign w:val="center"/>
          </w:tcPr>
          <w:p>
            <w:pPr>
              <w:pStyle w:val="TableContents"/>
              <w:spacing w:before="0" w:after="283"/>
              <w:rPr/>
            </w:pPr>
            <w:r>
              <w:rPr/>
              <w:t> </w:t>
            </w:r>
          </w:p>
        </w:tc>
        <w:tc>
          <w:tcPr>
            <w:tcW w:w="151" w:type="dxa"/>
            <w:tcBorders/>
            <w:shd w:fill="FFFFFF" w:val="clear"/>
            <w:vAlign w:val="center"/>
          </w:tcPr>
          <w:p>
            <w:pPr>
              <w:pStyle w:val="TableContents"/>
              <w:spacing w:before="0" w:after="283"/>
              <w:rPr/>
            </w:pPr>
            <w:r>
              <w:rPr/>
              <w:t> </w:t>
            </w:r>
          </w:p>
        </w:tc>
        <w:tc>
          <w:tcPr>
            <w:tcW w:w="715"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1,108</w:t>
            </w:r>
          </w:p>
        </w:tc>
        <w:tc>
          <w:tcPr>
            <w:tcW w:w="96" w:type="dxa"/>
            <w:tcBorders/>
            <w:shd w:fill="FFFFFF" w:val="clear"/>
            <w:vAlign w:val="center"/>
          </w:tcPr>
          <w:p>
            <w:pPr>
              <w:pStyle w:val="TableContents"/>
              <w:spacing w:before="0" w:after="283"/>
              <w:rPr/>
            </w:pPr>
            <w:r>
              <w:rPr/>
              <w:t> </w:t>
            </w:r>
          </w:p>
        </w:tc>
        <w:tc>
          <w:tcPr>
            <w:tcW w:w="72" w:type="dxa"/>
            <w:tcBorders/>
            <w:shd w:fill="FFFFFF" w:val="clear"/>
            <w:vAlign w:val="center"/>
          </w:tcPr>
          <w:p>
            <w:pPr>
              <w:pStyle w:val="TableContents"/>
              <w:spacing w:before="0" w:after="283"/>
              <w:rPr/>
            </w:pPr>
            <w:r>
              <w:rPr/>
              <w:t> </w:t>
            </w:r>
          </w:p>
        </w:tc>
        <w:tc>
          <w:tcPr>
            <w:tcW w:w="151" w:type="dxa"/>
            <w:tcBorders/>
            <w:shd w:fill="FFFFFF" w:val="clear"/>
            <w:vAlign w:val="center"/>
          </w:tcPr>
          <w:p>
            <w:pPr>
              <w:pStyle w:val="TableContents"/>
              <w:spacing w:before="0" w:after="283"/>
              <w:rPr/>
            </w:pPr>
            <w:r>
              <w:rPr/>
              <w:t> </w:t>
            </w:r>
          </w:p>
        </w:tc>
        <w:tc>
          <w:tcPr>
            <w:tcW w:w="788"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8,360</w:t>
            </w:r>
          </w:p>
        </w:tc>
        <w:tc>
          <w:tcPr>
            <w:tcW w:w="803" w:type="dxa"/>
            <w:tcBorders/>
            <w:shd w:fill="FFFFFF" w:val="clear"/>
            <w:vAlign w:val="center"/>
          </w:tcPr>
          <w:p>
            <w:pPr>
              <w:pStyle w:val="TableContents"/>
              <w:spacing w:before="0" w:after="283"/>
              <w:ind w:left="0" w:right="0" w:firstLine="720"/>
              <w:rPr/>
            </w:pPr>
            <w:r>
              <w:rPr/>
              <w:t> </w:t>
            </w:r>
          </w:p>
        </w:tc>
      </w:tr>
      <w:tr>
        <w:trPr/>
        <w:tc>
          <w:tcPr>
            <w:tcW w:w="7369" w:type="dxa"/>
            <w:tcBorders/>
            <w:shd w:fill="CCEEFF" w:val="clear"/>
            <w:vAlign w:val="center"/>
          </w:tcPr>
          <w:p>
            <w:pPr>
              <w:pStyle w:val="TableContents"/>
              <w:spacing w:before="0" w:after="0"/>
              <w:ind w:left="0" w:right="0" w:firstLine="720"/>
              <w:rPr>
                <w:rFonts w:ascii="Times New Roman;Times;serif" w:hAnsi="Times New Roman;Times;serif"/>
                <w:sz w:val="20"/>
              </w:rPr>
            </w:pPr>
            <w:r>
              <w:rPr>
                <w:rFonts w:ascii="Times New Roman;Times;serif" w:hAnsi="Times New Roman;Times;serif"/>
                <w:sz w:val="20"/>
              </w:rPr>
              <w:t>Operating leases</w:t>
            </w:r>
          </w:p>
        </w:tc>
        <w:tc>
          <w:tcPr>
            <w:tcW w:w="60" w:type="dxa"/>
            <w:tcBorders/>
            <w:shd w:fill="CCEEFF" w:val="clear"/>
            <w:vAlign w:val="center"/>
          </w:tcPr>
          <w:p>
            <w:pPr>
              <w:pStyle w:val="TableContents"/>
              <w:spacing w:before="0" w:after="283"/>
              <w:rPr/>
            </w:pPr>
            <w:r>
              <w:rPr/>
              <w:t> </w:t>
            </w:r>
          </w:p>
        </w:tc>
        <w:tc>
          <w:tcPr>
            <w:tcW w:w="151" w:type="dxa"/>
            <w:tcBorders/>
            <w:shd w:fill="CCEEFF" w:val="clear"/>
            <w:vAlign w:val="center"/>
          </w:tcPr>
          <w:p>
            <w:pPr>
              <w:pStyle w:val="TableContents"/>
              <w:spacing w:before="0" w:after="283"/>
              <w:rPr/>
            </w:pPr>
            <w:r>
              <w:rPr/>
              <w:t> </w:t>
            </w:r>
          </w:p>
        </w:tc>
        <w:tc>
          <w:tcPr>
            <w:tcW w:w="715"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(4,429</w:t>
            </w:r>
          </w:p>
        </w:tc>
        <w:tc>
          <w:tcPr>
            <w:tcW w:w="96"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72" w:type="dxa"/>
            <w:tcBorders/>
            <w:shd w:fill="CCEEFF" w:val="clear"/>
            <w:vAlign w:val="center"/>
          </w:tcPr>
          <w:p>
            <w:pPr>
              <w:pStyle w:val="TableContents"/>
              <w:spacing w:before="0" w:after="283"/>
              <w:rPr/>
            </w:pPr>
            <w:r>
              <w:rPr/>
              <w:t> </w:t>
            </w:r>
          </w:p>
        </w:tc>
        <w:tc>
          <w:tcPr>
            <w:tcW w:w="151" w:type="dxa"/>
            <w:tcBorders/>
            <w:shd w:fill="CCEEFF" w:val="clear"/>
            <w:vAlign w:val="center"/>
          </w:tcPr>
          <w:p>
            <w:pPr>
              <w:pStyle w:val="TableContents"/>
              <w:spacing w:before="0" w:after="283"/>
              <w:rPr/>
            </w:pPr>
            <w:r>
              <w:rPr/>
              <w:t> </w:t>
            </w:r>
          </w:p>
        </w:tc>
        <w:tc>
          <w:tcPr>
            <w:tcW w:w="788"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8,732</w:t>
            </w:r>
          </w:p>
        </w:tc>
        <w:tc>
          <w:tcPr>
            <w:tcW w:w="803" w:type="dxa"/>
            <w:tcBorders/>
            <w:shd w:fill="CCEEFF" w:val="clear"/>
            <w:vAlign w:val="center"/>
          </w:tcPr>
          <w:p>
            <w:pPr>
              <w:pStyle w:val="TableContents"/>
              <w:spacing w:before="0" w:after="283"/>
              <w:ind w:left="0" w:right="0" w:firstLine="720"/>
              <w:rPr/>
            </w:pPr>
            <w:r>
              <w:rPr/>
              <w:t> </w:t>
            </w:r>
          </w:p>
        </w:tc>
      </w:tr>
      <w:tr>
        <w:trPr/>
        <w:tc>
          <w:tcPr>
            <w:tcW w:w="7369" w:type="dxa"/>
            <w:tcBorders/>
            <w:shd w:fill="FFFFFF" w:val="clear"/>
            <w:vAlign w:val="center"/>
          </w:tcPr>
          <w:p>
            <w:pPr>
              <w:pStyle w:val="TableContents"/>
              <w:spacing w:before="0" w:after="0"/>
              <w:ind w:left="0" w:right="0" w:firstLine="720"/>
              <w:rPr>
                <w:rFonts w:ascii="Times New Roman;Times;serif" w:hAnsi="Times New Roman;Times;serif"/>
                <w:sz w:val="20"/>
              </w:rPr>
            </w:pPr>
            <w:r>
              <w:rPr>
                <w:rFonts w:ascii="Times New Roman;Times;serif" w:hAnsi="Times New Roman;Times;serif"/>
                <w:sz w:val="20"/>
              </w:rPr>
              <w:t>Gift cards and customer deposits</w:t>
            </w:r>
          </w:p>
        </w:tc>
        <w:tc>
          <w:tcPr>
            <w:tcW w:w="60" w:type="dxa"/>
            <w:tcBorders/>
            <w:shd w:fill="FFFFFF" w:val="clear"/>
            <w:vAlign w:val="center"/>
          </w:tcPr>
          <w:p>
            <w:pPr>
              <w:pStyle w:val="TableContents"/>
              <w:spacing w:before="0" w:after="283"/>
              <w:rPr/>
            </w:pPr>
            <w:r>
              <w:rPr/>
              <w:t> </w:t>
            </w:r>
          </w:p>
        </w:tc>
        <w:tc>
          <w:tcPr>
            <w:tcW w:w="151" w:type="dxa"/>
            <w:tcBorders/>
            <w:shd w:fill="FFFFFF" w:val="clear"/>
            <w:vAlign w:val="center"/>
          </w:tcPr>
          <w:p>
            <w:pPr>
              <w:pStyle w:val="TableContents"/>
              <w:spacing w:before="0" w:after="283"/>
              <w:rPr/>
            </w:pPr>
            <w:r>
              <w:rPr/>
              <w:t> </w:t>
            </w:r>
          </w:p>
        </w:tc>
        <w:tc>
          <w:tcPr>
            <w:tcW w:w="715"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(946</w:t>
            </w:r>
          </w:p>
        </w:tc>
        <w:tc>
          <w:tcPr>
            <w:tcW w:w="96"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72" w:type="dxa"/>
            <w:tcBorders/>
            <w:shd w:fill="FFFFFF" w:val="clear"/>
            <w:vAlign w:val="center"/>
          </w:tcPr>
          <w:p>
            <w:pPr>
              <w:pStyle w:val="TableContents"/>
              <w:spacing w:before="0" w:after="283"/>
              <w:rPr/>
            </w:pPr>
            <w:r>
              <w:rPr/>
              <w:t> </w:t>
            </w:r>
          </w:p>
        </w:tc>
        <w:tc>
          <w:tcPr>
            <w:tcW w:w="151" w:type="dxa"/>
            <w:tcBorders/>
            <w:shd w:fill="FFFFFF" w:val="clear"/>
            <w:vAlign w:val="center"/>
          </w:tcPr>
          <w:p>
            <w:pPr>
              <w:pStyle w:val="TableContents"/>
              <w:spacing w:before="0" w:after="283"/>
              <w:rPr/>
            </w:pPr>
            <w:r>
              <w:rPr/>
              <w:t> </w:t>
            </w:r>
          </w:p>
        </w:tc>
        <w:tc>
          <w:tcPr>
            <w:tcW w:w="788"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(2,213</w:t>
            </w:r>
          </w:p>
        </w:tc>
        <w:tc>
          <w:tcPr>
            <w:tcW w:w="803" w:type="dxa"/>
            <w:tcBorders/>
            <w:shd w:fill="FFFFFF" w:val="clear"/>
            <w:vAlign w:val="center"/>
          </w:tcPr>
          <w:p>
            <w:pPr>
              <w:pStyle w:val="TableContents"/>
              <w:spacing w:before="0" w:after="283"/>
              <w:ind w:left="0" w:right="0" w:firstLine="720"/>
              <w:rPr>
                <w:rFonts w:ascii="Times New Roman;Times;serif" w:hAnsi="Times New Roman;Times;serif"/>
                <w:sz w:val="20"/>
              </w:rPr>
            </w:pPr>
            <w:r>
              <w:rPr>
                <w:rFonts w:ascii="Times New Roman;Times;serif" w:hAnsi="Times New Roman;Times;serif"/>
                <w:sz w:val="20"/>
              </w:rPr>
              <w:t>)</w:t>
            </w:r>
          </w:p>
        </w:tc>
      </w:tr>
      <w:tr>
        <w:trPr/>
        <w:tc>
          <w:tcPr>
            <w:tcW w:w="7369" w:type="dxa"/>
            <w:tcBorders/>
            <w:shd w:fill="CCEEFF" w:val="clear"/>
            <w:vAlign w:val="center"/>
          </w:tcPr>
          <w:p>
            <w:pPr>
              <w:pStyle w:val="TableContents"/>
              <w:spacing w:before="0" w:after="0"/>
              <w:ind w:left="0" w:right="0" w:firstLine="720"/>
              <w:rPr>
                <w:rFonts w:ascii="Times New Roman;Times;serif" w:hAnsi="Times New Roman;Times;serif"/>
                <w:sz w:val="20"/>
              </w:rPr>
            </w:pPr>
            <w:r>
              <w:rPr>
                <w:rFonts w:ascii="Times New Roman;Times;serif" w:hAnsi="Times New Roman;Times;serif"/>
                <w:sz w:val="20"/>
              </w:rPr>
              <w:t>Deferred revenue</w:t>
            </w:r>
          </w:p>
        </w:tc>
        <w:tc>
          <w:tcPr>
            <w:tcW w:w="60" w:type="dxa"/>
            <w:tcBorders/>
            <w:shd w:fill="CCEEFF" w:val="clear"/>
            <w:vAlign w:val="center"/>
          </w:tcPr>
          <w:p>
            <w:pPr>
              <w:pStyle w:val="TableContents"/>
              <w:spacing w:before="0" w:after="283"/>
              <w:ind w:left="0" w:right="0" w:hanging="0"/>
              <w:rPr/>
            </w:pPr>
            <w:r>
              <w:rPr/>
              <w:t> </w:t>
            </w:r>
          </w:p>
        </w:tc>
        <w:tc>
          <w:tcPr>
            <w:tcW w:w="15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15" w:type="dxa"/>
            <w:tcBorders>
              <w:bottom w:val="single" w:sz="2"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268</w:t>
            </w:r>
          </w:p>
        </w:tc>
        <w:tc>
          <w:tcPr>
            <w:tcW w:w="96" w:type="dxa"/>
            <w:tcBorders/>
            <w:shd w:fill="CCEEFF" w:val="clear"/>
            <w:vAlign w:val="center"/>
          </w:tcPr>
          <w:p>
            <w:pPr>
              <w:pStyle w:val="TableContents"/>
              <w:spacing w:before="0" w:after="283"/>
              <w:rPr/>
            </w:pPr>
            <w:r>
              <w:rPr/>
              <w:t> </w:t>
            </w:r>
          </w:p>
        </w:tc>
        <w:tc>
          <w:tcPr>
            <w:tcW w:w="72" w:type="dxa"/>
            <w:tcBorders/>
            <w:shd w:fill="CCEEFF" w:val="clear"/>
            <w:vAlign w:val="center"/>
          </w:tcPr>
          <w:p>
            <w:pPr>
              <w:pStyle w:val="TableContents"/>
              <w:spacing w:before="0" w:after="283"/>
              <w:ind w:left="0" w:right="0" w:hanging="0"/>
              <w:rPr/>
            </w:pPr>
            <w:r>
              <w:rPr/>
              <w:t> </w:t>
            </w:r>
          </w:p>
        </w:tc>
        <w:tc>
          <w:tcPr>
            <w:tcW w:w="15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88" w:type="dxa"/>
            <w:tcBorders>
              <w:bottom w:val="single" w:sz="2"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(256</w:t>
            </w:r>
          </w:p>
        </w:tc>
        <w:tc>
          <w:tcPr>
            <w:tcW w:w="803"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r>
      <w:tr>
        <w:trPr/>
        <w:tc>
          <w:tcPr>
            <w:tcW w:w="7369" w:type="dxa"/>
            <w:tcBorders/>
            <w:shd w:fill="FFFFFF" w:val="clear"/>
            <w:vAlign w:val="center"/>
          </w:tcPr>
          <w:p>
            <w:pPr>
              <w:pStyle w:val="TableContents"/>
              <w:spacing w:before="0" w:after="0"/>
              <w:ind w:left="1440" w:right="0" w:hanging="360"/>
              <w:rPr>
                <w:rFonts w:ascii="Times New Roman;Times;serif" w:hAnsi="Times New Roman;Times;serif"/>
                <w:sz w:val="20"/>
              </w:rPr>
            </w:pPr>
            <w:r>
              <w:rPr>
                <w:rFonts w:ascii="Times New Roman;Times;serif" w:hAnsi="Times New Roman;Times;serif"/>
                <w:sz w:val="20"/>
              </w:rPr>
              <w:t>Net cash provided by operating activities</w:t>
            </w:r>
          </w:p>
        </w:tc>
        <w:tc>
          <w:tcPr>
            <w:tcW w:w="60" w:type="dxa"/>
            <w:tcBorders/>
            <w:shd w:fill="FFFFFF" w:val="clear"/>
            <w:vAlign w:val="center"/>
          </w:tcPr>
          <w:p>
            <w:pPr>
              <w:pStyle w:val="TableContents"/>
              <w:spacing w:before="0" w:after="283"/>
              <w:rPr/>
            </w:pPr>
            <w:r>
              <w:rPr/>
              <w:t> </w:t>
            </w:r>
          </w:p>
        </w:tc>
        <w:tc>
          <w:tcPr>
            <w:tcW w:w="151"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1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18,394</w:t>
            </w:r>
          </w:p>
        </w:tc>
        <w:tc>
          <w:tcPr>
            <w:tcW w:w="96" w:type="dxa"/>
            <w:tcBorders/>
            <w:shd w:fill="FFFFFF" w:val="clear"/>
            <w:vAlign w:val="center"/>
          </w:tcPr>
          <w:p>
            <w:pPr>
              <w:pStyle w:val="TableContents"/>
              <w:spacing w:before="0" w:after="283"/>
              <w:rPr/>
            </w:pPr>
            <w:r>
              <w:rPr/>
              <w:t> </w:t>
            </w:r>
          </w:p>
        </w:tc>
        <w:tc>
          <w:tcPr>
            <w:tcW w:w="72" w:type="dxa"/>
            <w:tcBorders/>
            <w:shd w:fill="FFFFFF" w:val="clear"/>
            <w:vAlign w:val="center"/>
          </w:tcPr>
          <w:p>
            <w:pPr>
              <w:pStyle w:val="TableContents"/>
              <w:spacing w:before="0" w:after="283"/>
              <w:rPr/>
            </w:pPr>
            <w:r>
              <w:rPr/>
              <w:t> </w:t>
            </w:r>
          </w:p>
        </w:tc>
        <w:tc>
          <w:tcPr>
            <w:tcW w:w="151"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88"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1,910</w:t>
            </w:r>
          </w:p>
        </w:tc>
        <w:tc>
          <w:tcPr>
            <w:tcW w:w="803" w:type="dxa"/>
            <w:tcBorders/>
            <w:shd w:fill="FFFFFF" w:val="clear"/>
            <w:vAlign w:val="center"/>
          </w:tcPr>
          <w:p>
            <w:pPr>
              <w:pStyle w:val="TableContents"/>
              <w:spacing w:before="0" w:after="283"/>
              <w:rPr/>
            </w:pPr>
            <w:r>
              <w:rPr/>
              <w:t> </w:t>
            </w:r>
          </w:p>
        </w:tc>
      </w:tr>
      <w:tr>
        <w:trPr/>
        <w:tc>
          <w:tcPr>
            <w:tcW w:w="7369" w:type="dxa"/>
            <w:tcBorders/>
            <w:shd w:fill="CCEE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Cash flows used in investing activities:</w:t>
            </w:r>
          </w:p>
        </w:tc>
        <w:tc>
          <w:tcPr>
            <w:tcW w:w="60" w:type="dxa"/>
            <w:tcBorders/>
            <w:shd w:fill="CCEEFF" w:val="clear"/>
            <w:vAlign w:val="center"/>
          </w:tcPr>
          <w:p>
            <w:pPr>
              <w:pStyle w:val="TableContents"/>
              <w:spacing w:before="0" w:after="283"/>
              <w:rPr/>
            </w:pPr>
            <w:r>
              <w:rPr/>
              <w:t> </w:t>
            </w:r>
          </w:p>
        </w:tc>
        <w:tc>
          <w:tcPr>
            <w:tcW w:w="151" w:type="dxa"/>
            <w:tcBorders/>
            <w:shd w:fill="CCEEFF" w:val="clear"/>
            <w:vAlign w:val="center"/>
          </w:tcPr>
          <w:p>
            <w:pPr>
              <w:pStyle w:val="TableContents"/>
              <w:spacing w:before="0" w:after="283"/>
              <w:rPr/>
            </w:pPr>
            <w:r>
              <w:rPr/>
              <w:t> </w:t>
            </w:r>
          </w:p>
        </w:tc>
        <w:tc>
          <w:tcPr>
            <w:tcW w:w="715" w:type="dxa"/>
            <w:tcBorders/>
            <w:shd w:fill="CCEEFF" w:val="clear"/>
            <w:vAlign w:val="center"/>
          </w:tcPr>
          <w:p>
            <w:pPr>
              <w:pStyle w:val="TableContents"/>
              <w:spacing w:before="0" w:after="283"/>
              <w:jc w:val="left"/>
              <w:rPr/>
            </w:pPr>
            <w:r>
              <w:rPr/>
              <w:t> </w:t>
            </w:r>
          </w:p>
        </w:tc>
        <w:tc>
          <w:tcPr>
            <w:tcW w:w="96" w:type="dxa"/>
            <w:tcBorders/>
            <w:shd w:fill="CCEEFF" w:val="clear"/>
            <w:vAlign w:val="center"/>
          </w:tcPr>
          <w:p>
            <w:pPr>
              <w:pStyle w:val="TableContents"/>
              <w:spacing w:before="0" w:after="283"/>
              <w:rPr/>
            </w:pPr>
            <w:r>
              <w:rPr/>
              <w:t> </w:t>
            </w:r>
          </w:p>
        </w:tc>
        <w:tc>
          <w:tcPr>
            <w:tcW w:w="72" w:type="dxa"/>
            <w:tcBorders/>
            <w:shd w:fill="CCEEFF" w:val="clear"/>
            <w:vAlign w:val="center"/>
          </w:tcPr>
          <w:p>
            <w:pPr>
              <w:pStyle w:val="TableContents"/>
              <w:spacing w:before="0" w:after="283"/>
              <w:rPr/>
            </w:pPr>
            <w:r>
              <w:rPr/>
              <w:t> </w:t>
            </w:r>
          </w:p>
        </w:tc>
        <w:tc>
          <w:tcPr>
            <w:tcW w:w="151" w:type="dxa"/>
            <w:tcBorders/>
            <w:shd w:fill="CCEEFF" w:val="clear"/>
            <w:vAlign w:val="center"/>
          </w:tcPr>
          <w:p>
            <w:pPr>
              <w:pStyle w:val="TableContents"/>
              <w:spacing w:before="0" w:after="283"/>
              <w:rPr/>
            </w:pPr>
            <w:r>
              <w:rPr/>
              <w:t> </w:t>
            </w:r>
          </w:p>
        </w:tc>
        <w:tc>
          <w:tcPr>
            <w:tcW w:w="788" w:type="dxa"/>
            <w:tcBorders/>
            <w:shd w:fill="CCEEFF" w:val="clear"/>
            <w:vAlign w:val="center"/>
          </w:tcPr>
          <w:p>
            <w:pPr>
              <w:pStyle w:val="TableContents"/>
              <w:spacing w:before="0" w:after="283"/>
              <w:jc w:val="left"/>
              <w:rPr/>
            </w:pPr>
            <w:r>
              <w:rPr/>
              <w:t> </w:t>
            </w:r>
          </w:p>
        </w:tc>
        <w:tc>
          <w:tcPr>
            <w:tcW w:w="803" w:type="dxa"/>
            <w:tcBorders/>
            <w:shd w:fill="CCEEFF" w:val="clear"/>
            <w:vAlign w:val="center"/>
          </w:tcPr>
          <w:p>
            <w:pPr>
              <w:pStyle w:val="TableContents"/>
              <w:spacing w:before="0" w:after="283"/>
              <w:ind w:left="0" w:right="0" w:firstLine="540"/>
              <w:rPr/>
            </w:pPr>
            <w:r>
              <w:rPr/>
              <w:t> </w:t>
            </w:r>
          </w:p>
        </w:tc>
      </w:tr>
      <w:tr>
        <w:trPr/>
        <w:tc>
          <w:tcPr>
            <w:tcW w:w="7369" w:type="dxa"/>
            <w:tcBorders/>
            <w:shd w:fill="FFFFFF" w:val="clear"/>
            <w:vAlign w:val="center"/>
          </w:tcPr>
          <w:p>
            <w:pPr>
              <w:pStyle w:val="TableContents"/>
              <w:spacing w:before="0" w:after="0"/>
              <w:ind w:left="0" w:right="0" w:firstLine="540"/>
              <w:rPr>
                <w:rFonts w:ascii="Times New Roman;Times;serif" w:hAnsi="Times New Roman;Times;serif"/>
                <w:sz w:val="20"/>
              </w:rPr>
            </w:pPr>
            <w:r>
              <w:rPr>
                <w:rFonts w:ascii="Times New Roman;Times;serif" w:hAnsi="Times New Roman;Times;serif"/>
                <w:sz w:val="20"/>
              </w:rPr>
              <w:t>Purchases of property and equipment</w:t>
            </w:r>
          </w:p>
        </w:tc>
        <w:tc>
          <w:tcPr>
            <w:tcW w:w="60" w:type="dxa"/>
            <w:tcBorders/>
            <w:shd w:fill="FFFFFF" w:val="clear"/>
            <w:vAlign w:val="center"/>
          </w:tcPr>
          <w:p>
            <w:pPr>
              <w:pStyle w:val="TableContents"/>
              <w:spacing w:before="0" w:after="283"/>
              <w:ind w:left="0" w:right="0" w:hanging="0"/>
              <w:rPr/>
            </w:pPr>
            <w:r>
              <w:rPr/>
              <w:t> </w:t>
            </w:r>
          </w:p>
        </w:tc>
        <w:tc>
          <w:tcPr>
            <w:tcW w:w="151"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715" w:type="dxa"/>
            <w:tcBorders>
              <w:bottom w:val="single" w:sz="2" w:space="0" w:color="000000"/>
            </w:tcBorders>
            <w:shd w:fill="FFFF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(1,553</w:t>
            </w:r>
          </w:p>
        </w:tc>
        <w:tc>
          <w:tcPr>
            <w:tcW w:w="96"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72" w:type="dxa"/>
            <w:tcBorders/>
            <w:shd w:fill="FFFFFF" w:val="clear"/>
            <w:vAlign w:val="center"/>
          </w:tcPr>
          <w:p>
            <w:pPr>
              <w:pStyle w:val="TableContents"/>
              <w:spacing w:before="0" w:after="283"/>
              <w:ind w:left="0" w:right="0" w:hanging="0"/>
              <w:rPr/>
            </w:pPr>
            <w:r>
              <w:rPr/>
              <w:t> </w:t>
            </w:r>
          </w:p>
        </w:tc>
        <w:tc>
          <w:tcPr>
            <w:tcW w:w="151"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788" w:type="dxa"/>
            <w:tcBorders>
              <w:bottom w:val="single" w:sz="2" w:space="0" w:color="000000"/>
            </w:tcBorders>
            <w:shd w:fill="FFFF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(3,378</w:t>
            </w:r>
          </w:p>
        </w:tc>
        <w:tc>
          <w:tcPr>
            <w:tcW w:w="803"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r>
      <w:tr>
        <w:trPr/>
        <w:tc>
          <w:tcPr>
            <w:tcW w:w="7369" w:type="dxa"/>
            <w:tcBorders/>
            <w:shd w:fill="CCEEFF" w:val="clear"/>
            <w:vAlign w:val="center"/>
          </w:tcPr>
          <w:p>
            <w:pPr>
              <w:pStyle w:val="TableContents"/>
              <w:spacing w:before="0" w:after="0"/>
              <w:ind w:left="1440" w:right="0" w:hanging="360"/>
              <w:rPr>
                <w:rFonts w:ascii="Times New Roman;Times;serif" w:hAnsi="Times New Roman;Times;serif"/>
                <w:sz w:val="20"/>
              </w:rPr>
            </w:pPr>
            <w:r>
              <w:rPr>
                <w:rFonts w:ascii="Times New Roman;Times;serif" w:hAnsi="Times New Roman;Times;serif"/>
                <w:sz w:val="20"/>
              </w:rPr>
              <w:t>Net cash used in investing activities</w:t>
            </w:r>
          </w:p>
        </w:tc>
        <w:tc>
          <w:tcPr>
            <w:tcW w:w="60" w:type="dxa"/>
            <w:tcBorders/>
            <w:shd w:fill="CCEEFF" w:val="clear"/>
            <w:vAlign w:val="center"/>
          </w:tcPr>
          <w:p>
            <w:pPr>
              <w:pStyle w:val="TableContents"/>
              <w:spacing w:before="0" w:after="283"/>
              <w:rPr/>
            </w:pPr>
            <w:r>
              <w:rPr/>
              <w:t> </w:t>
            </w:r>
          </w:p>
        </w:tc>
        <w:tc>
          <w:tcPr>
            <w:tcW w:w="151"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71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(1,553</w:t>
            </w:r>
          </w:p>
        </w:tc>
        <w:tc>
          <w:tcPr>
            <w:tcW w:w="96"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72" w:type="dxa"/>
            <w:tcBorders/>
            <w:shd w:fill="CCEEFF" w:val="clear"/>
            <w:vAlign w:val="center"/>
          </w:tcPr>
          <w:p>
            <w:pPr>
              <w:pStyle w:val="TableContents"/>
              <w:spacing w:before="0" w:after="283"/>
              <w:rPr/>
            </w:pPr>
            <w:r>
              <w:rPr/>
              <w:t> </w:t>
            </w:r>
          </w:p>
        </w:tc>
        <w:tc>
          <w:tcPr>
            <w:tcW w:w="151"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788"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(3,378</w:t>
            </w:r>
          </w:p>
        </w:tc>
        <w:tc>
          <w:tcPr>
            <w:tcW w:w="803"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r>
      <w:tr>
        <w:trPr/>
        <w:tc>
          <w:tcPr>
            <w:tcW w:w="7369" w:type="dxa"/>
            <w:tcBorders/>
            <w:shd w:fill="FFFF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Cash flows used in financing activities:</w:t>
            </w:r>
          </w:p>
        </w:tc>
        <w:tc>
          <w:tcPr>
            <w:tcW w:w="60" w:type="dxa"/>
            <w:tcBorders/>
            <w:shd w:fill="FFFFFF" w:val="clear"/>
            <w:vAlign w:val="center"/>
          </w:tcPr>
          <w:p>
            <w:pPr>
              <w:pStyle w:val="TableContents"/>
              <w:spacing w:before="0" w:after="283"/>
              <w:rPr/>
            </w:pPr>
            <w:r>
              <w:rPr/>
              <w:t> </w:t>
            </w:r>
          </w:p>
        </w:tc>
        <w:tc>
          <w:tcPr>
            <w:tcW w:w="151" w:type="dxa"/>
            <w:tcBorders/>
            <w:shd w:fill="FFFFFF" w:val="clear"/>
            <w:vAlign w:val="center"/>
          </w:tcPr>
          <w:p>
            <w:pPr>
              <w:pStyle w:val="TableContents"/>
              <w:spacing w:before="0" w:after="283"/>
              <w:rPr/>
            </w:pPr>
            <w:r>
              <w:rPr/>
              <w:t> </w:t>
            </w:r>
          </w:p>
        </w:tc>
        <w:tc>
          <w:tcPr>
            <w:tcW w:w="715" w:type="dxa"/>
            <w:tcBorders/>
            <w:shd w:fill="FFFFFF" w:val="clear"/>
            <w:vAlign w:val="center"/>
          </w:tcPr>
          <w:p>
            <w:pPr>
              <w:pStyle w:val="TableContents"/>
              <w:spacing w:before="0" w:after="283"/>
              <w:jc w:val="left"/>
              <w:rPr/>
            </w:pPr>
            <w:r>
              <w:rPr/>
              <w:t> </w:t>
            </w:r>
          </w:p>
        </w:tc>
        <w:tc>
          <w:tcPr>
            <w:tcW w:w="96" w:type="dxa"/>
            <w:tcBorders/>
            <w:shd w:fill="FFFFFF" w:val="clear"/>
            <w:vAlign w:val="center"/>
          </w:tcPr>
          <w:p>
            <w:pPr>
              <w:pStyle w:val="TableContents"/>
              <w:spacing w:before="0" w:after="283"/>
              <w:rPr/>
            </w:pPr>
            <w:r>
              <w:rPr/>
              <w:t> </w:t>
            </w:r>
          </w:p>
        </w:tc>
        <w:tc>
          <w:tcPr>
            <w:tcW w:w="72" w:type="dxa"/>
            <w:tcBorders/>
            <w:shd w:fill="FFFFFF" w:val="clear"/>
            <w:vAlign w:val="center"/>
          </w:tcPr>
          <w:p>
            <w:pPr>
              <w:pStyle w:val="TableContents"/>
              <w:spacing w:before="0" w:after="283"/>
              <w:rPr/>
            </w:pPr>
            <w:r>
              <w:rPr/>
              <w:t> </w:t>
            </w:r>
          </w:p>
        </w:tc>
        <w:tc>
          <w:tcPr>
            <w:tcW w:w="151" w:type="dxa"/>
            <w:tcBorders/>
            <w:shd w:fill="FFFFFF" w:val="clear"/>
            <w:vAlign w:val="center"/>
          </w:tcPr>
          <w:p>
            <w:pPr>
              <w:pStyle w:val="TableContents"/>
              <w:spacing w:before="0" w:after="283"/>
              <w:rPr/>
            </w:pPr>
            <w:r>
              <w:rPr/>
              <w:t> </w:t>
            </w:r>
          </w:p>
        </w:tc>
        <w:tc>
          <w:tcPr>
            <w:tcW w:w="788" w:type="dxa"/>
            <w:tcBorders/>
            <w:shd w:fill="FFFFFF" w:val="clear"/>
            <w:vAlign w:val="center"/>
          </w:tcPr>
          <w:p>
            <w:pPr>
              <w:pStyle w:val="TableContents"/>
              <w:spacing w:before="0" w:after="283"/>
              <w:jc w:val="left"/>
              <w:rPr/>
            </w:pPr>
            <w:r>
              <w:rPr/>
              <w:t> </w:t>
            </w:r>
          </w:p>
        </w:tc>
        <w:tc>
          <w:tcPr>
            <w:tcW w:w="803" w:type="dxa"/>
            <w:tcBorders/>
            <w:shd w:fill="FFFFFF" w:val="clear"/>
            <w:vAlign w:val="center"/>
          </w:tcPr>
          <w:p>
            <w:pPr>
              <w:pStyle w:val="TableContents"/>
              <w:spacing w:before="0" w:after="283"/>
              <w:ind w:left="0" w:right="0" w:firstLine="540"/>
              <w:rPr/>
            </w:pPr>
            <w:r>
              <w:rPr/>
              <w:t> </w:t>
            </w:r>
          </w:p>
        </w:tc>
      </w:tr>
      <w:tr>
        <w:trPr/>
        <w:tc>
          <w:tcPr>
            <w:tcW w:w="7369" w:type="dxa"/>
            <w:tcBorders/>
            <w:shd w:fill="CCEEFF" w:val="clear"/>
            <w:vAlign w:val="center"/>
          </w:tcPr>
          <w:p>
            <w:pPr>
              <w:pStyle w:val="TableContents"/>
              <w:spacing w:before="0" w:after="0"/>
              <w:ind w:left="0" w:right="0" w:firstLine="540"/>
              <w:rPr>
                <w:rFonts w:ascii="Times New Roman;Times;serif" w:hAnsi="Times New Roman;Times;serif"/>
                <w:sz w:val="20"/>
              </w:rPr>
            </w:pPr>
            <w:r>
              <w:rPr>
                <w:rFonts w:ascii="Times New Roman;Times;serif" w:hAnsi="Times New Roman;Times;serif"/>
                <w:sz w:val="20"/>
              </w:rPr>
              <w:t>Proceeds from the exercise of employee stock options, net of tax withholding obligation</w:t>
            </w:r>
          </w:p>
        </w:tc>
        <w:tc>
          <w:tcPr>
            <w:tcW w:w="60" w:type="dxa"/>
            <w:tcBorders/>
            <w:shd w:fill="CCEEFF" w:val="clear"/>
            <w:vAlign w:val="center"/>
          </w:tcPr>
          <w:p>
            <w:pPr>
              <w:pStyle w:val="TableContents"/>
              <w:spacing w:before="0" w:after="283"/>
              <w:ind w:left="0" w:right="0" w:hanging="0"/>
              <w:rPr/>
            </w:pPr>
            <w:r>
              <w:rPr/>
              <w:t> </w:t>
            </w:r>
          </w:p>
        </w:tc>
        <w:tc>
          <w:tcPr>
            <w:tcW w:w="15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15" w:type="dxa"/>
            <w:tcBorders>
              <w:bottom w:val="single" w:sz="2"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(625</w:t>
            </w:r>
          </w:p>
        </w:tc>
        <w:tc>
          <w:tcPr>
            <w:tcW w:w="96"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72" w:type="dxa"/>
            <w:tcBorders/>
            <w:shd w:fill="CCEEFF" w:val="clear"/>
            <w:vAlign w:val="center"/>
          </w:tcPr>
          <w:p>
            <w:pPr>
              <w:pStyle w:val="TableContents"/>
              <w:spacing w:before="0" w:after="283"/>
              <w:ind w:left="0" w:right="0" w:hanging="0"/>
              <w:rPr/>
            </w:pPr>
            <w:r>
              <w:rPr/>
              <w:t> </w:t>
            </w:r>
          </w:p>
        </w:tc>
        <w:tc>
          <w:tcPr>
            <w:tcW w:w="15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88" w:type="dxa"/>
            <w:tcBorders>
              <w:bottom w:val="single" w:sz="2"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(114</w:t>
            </w:r>
          </w:p>
        </w:tc>
        <w:tc>
          <w:tcPr>
            <w:tcW w:w="803"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r>
      <w:tr>
        <w:trPr/>
        <w:tc>
          <w:tcPr>
            <w:tcW w:w="7369" w:type="dxa"/>
            <w:tcBorders/>
            <w:shd w:fill="FFFFFF" w:val="clear"/>
            <w:vAlign w:val="center"/>
          </w:tcPr>
          <w:p>
            <w:pPr>
              <w:pStyle w:val="TableContents"/>
              <w:spacing w:before="0" w:after="0"/>
              <w:ind w:left="1440" w:right="0" w:hanging="360"/>
              <w:rPr>
                <w:rFonts w:ascii="Times New Roman;Times;serif" w:hAnsi="Times New Roman;Times;serif"/>
                <w:sz w:val="20"/>
              </w:rPr>
            </w:pPr>
            <w:r>
              <w:rPr>
                <w:rFonts w:ascii="Times New Roman;Times;serif" w:hAnsi="Times New Roman;Times;serif"/>
                <w:sz w:val="20"/>
              </w:rPr>
              <w:t>Net cash used in financing activities</w:t>
            </w:r>
          </w:p>
        </w:tc>
        <w:tc>
          <w:tcPr>
            <w:tcW w:w="60" w:type="dxa"/>
            <w:tcBorders/>
            <w:shd w:fill="FFFFFF" w:val="clear"/>
            <w:vAlign w:val="center"/>
          </w:tcPr>
          <w:p>
            <w:pPr>
              <w:pStyle w:val="TableContents"/>
              <w:spacing w:before="0" w:after="283"/>
              <w:rPr/>
            </w:pPr>
            <w:r>
              <w:rPr/>
              <w:t> </w:t>
            </w:r>
          </w:p>
        </w:tc>
        <w:tc>
          <w:tcPr>
            <w:tcW w:w="151"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1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(625</w:t>
            </w:r>
          </w:p>
        </w:tc>
        <w:tc>
          <w:tcPr>
            <w:tcW w:w="96"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72" w:type="dxa"/>
            <w:tcBorders/>
            <w:shd w:fill="FFFFFF" w:val="clear"/>
            <w:vAlign w:val="center"/>
          </w:tcPr>
          <w:p>
            <w:pPr>
              <w:pStyle w:val="TableContents"/>
              <w:spacing w:before="0" w:after="283"/>
              <w:rPr/>
            </w:pPr>
            <w:r>
              <w:rPr/>
              <w:t> </w:t>
            </w:r>
          </w:p>
        </w:tc>
        <w:tc>
          <w:tcPr>
            <w:tcW w:w="151"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88"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(114</w:t>
            </w:r>
          </w:p>
        </w:tc>
        <w:tc>
          <w:tcPr>
            <w:tcW w:w="803"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r>
      <w:tr>
        <w:trPr/>
        <w:tc>
          <w:tcPr>
            <w:tcW w:w="7369" w:type="dxa"/>
            <w:tcBorders/>
            <w:shd w:fill="CCEE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Effect of exchange rates on cash</w:t>
            </w:r>
          </w:p>
        </w:tc>
        <w:tc>
          <w:tcPr>
            <w:tcW w:w="60" w:type="dxa"/>
            <w:tcBorders/>
            <w:shd w:fill="CCEEFF" w:val="clear"/>
            <w:vAlign w:val="center"/>
          </w:tcPr>
          <w:p>
            <w:pPr>
              <w:pStyle w:val="TableContents"/>
              <w:spacing w:before="0" w:after="283"/>
              <w:ind w:left="0" w:right="0" w:hanging="0"/>
              <w:rPr/>
            </w:pPr>
            <w:r>
              <w:rPr/>
              <w:t> </w:t>
            </w:r>
          </w:p>
        </w:tc>
        <w:tc>
          <w:tcPr>
            <w:tcW w:w="15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15" w:type="dxa"/>
            <w:tcBorders>
              <w:bottom w:val="single" w:sz="2"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80</w:t>
            </w:r>
          </w:p>
        </w:tc>
        <w:tc>
          <w:tcPr>
            <w:tcW w:w="96" w:type="dxa"/>
            <w:tcBorders/>
            <w:shd w:fill="CCEEFF" w:val="clear"/>
            <w:vAlign w:val="center"/>
          </w:tcPr>
          <w:p>
            <w:pPr>
              <w:pStyle w:val="TableContents"/>
              <w:spacing w:before="0" w:after="283"/>
              <w:rPr/>
            </w:pPr>
            <w:r>
              <w:rPr/>
              <w:t> </w:t>
            </w:r>
          </w:p>
        </w:tc>
        <w:tc>
          <w:tcPr>
            <w:tcW w:w="72" w:type="dxa"/>
            <w:tcBorders/>
            <w:shd w:fill="CCEEFF" w:val="clear"/>
            <w:vAlign w:val="center"/>
          </w:tcPr>
          <w:p>
            <w:pPr>
              <w:pStyle w:val="TableContents"/>
              <w:spacing w:before="0" w:after="283"/>
              <w:ind w:left="0" w:right="0" w:hanging="0"/>
              <w:rPr/>
            </w:pPr>
            <w:r>
              <w:rPr/>
              <w:t> </w:t>
            </w:r>
          </w:p>
        </w:tc>
        <w:tc>
          <w:tcPr>
            <w:tcW w:w="15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88" w:type="dxa"/>
            <w:tcBorders>
              <w:bottom w:val="single" w:sz="2"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123</w:t>
            </w:r>
          </w:p>
        </w:tc>
        <w:tc>
          <w:tcPr>
            <w:tcW w:w="803" w:type="dxa"/>
            <w:tcBorders/>
            <w:shd w:fill="CCEEFF" w:val="clear"/>
            <w:vAlign w:val="center"/>
          </w:tcPr>
          <w:p>
            <w:pPr>
              <w:pStyle w:val="TableContents"/>
              <w:spacing w:before="0" w:after="283"/>
              <w:rPr/>
            </w:pPr>
            <w:r>
              <w:rPr/>
              <w:t> </w:t>
            </w:r>
          </w:p>
        </w:tc>
      </w:tr>
      <w:tr>
        <w:trPr/>
        <w:tc>
          <w:tcPr>
            <w:tcW w:w="7369" w:type="dxa"/>
            <w:tcBorders/>
            <w:shd w:fill="FFFF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Increase (decrease) in cash, cash equivalents, and restricted cash</w:t>
            </w:r>
          </w:p>
        </w:tc>
        <w:tc>
          <w:tcPr>
            <w:tcW w:w="60" w:type="dxa"/>
            <w:tcBorders/>
            <w:shd w:fill="FFFFFF" w:val="clear"/>
            <w:vAlign w:val="center"/>
          </w:tcPr>
          <w:p>
            <w:pPr>
              <w:pStyle w:val="TableContents"/>
              <w:spacing w:before="0" w:after="283"/>
              <w:rPr/>
            </w:pPr>
            <w:r>
              <w:rPr/>
              <w:t> </w:t>
            </w:r>
          </w:p>
        </w:tc>
        <w:tc>
          <w:tcPr>
            <w:tcW w:w="151" w:type="dxa"/>
            <w:tcBorders/>
            <w:shd w:fill="FFFFFF" w:val="clear"/>
            <w:vAlign w:val="center"/>
          </w:tcPr>
          <w:p>
            <w:pPr>
              <w:pStyle w:val="TableContents"/>
              <w:spacing w:before="0" w:after="283"/>
              <w:rPr/>
            </w:pPr>
            <w:r>
              <w:rPr/>
              <w:t> </w:t>
            </w:r>
          </w:p>
        </w:tc>
        <w:tc>
          <w:tcPr>
            <w:tcW w:w="715"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16,296</w:t>
            </w:r>
          </w:p>
        </w:tc>
        <w:tc>
          <w:tcPr>
            <w:tcW w:w="96" w:type="dxa"/>
            <w:tcBorders/>
            <w:shd w:fill="FFFFFF" w:val="clear"/>
            <w:vAlign w:val="center"/>
          </w:tcPr>
          <w:p>
            <w:pPr>
              <w:pStyle w:val="TableContents"/>
              <w:spacing w:before="0" w:after="283"/>
              <w:rPr/>
            </w:pPr>
            <w:r>
              <w:rPr/>
              <w:t> </w:t>
            </w:r>
          </w:p>
        </w:tc>
        <w:tc>
          <w:tcPr>
            <w:tcW w:w="72" w:type="dxa"/>
            <w:tcBorders/>
            <w:shd w:fill="FFFFFF" w:val="clear"/>
            <w:vAlign w:val="center"/>
          </w:tcPr>
          <w:p>
            <w:pPr>
              <w:pStyle w:val="TableContents"/>
              <w:spacing w:before="0" w:after="283"/>
              <w:rPr/>
            </w:pPr>
            <w:r>
              <w:rPr/>
              <w:t> </w:t>
            </w:r>
          </w:p>
        </w:tc>
        <w:tc>
          <w:tcPr>
            <w:tcW w:w="151" w:type="dxa"/>
            <w:tcBorders/>
            <w:shd w:fill="FFFFFF" w:val="clear"/>
            <w:vAlign w:val="center"/>
          </w:tcPr>
          <w:p>
            <w:pPr>
              <w:pStyle w:val="TableContents"/>
              <w:spacing w:before="0" w:after="283"/>
              <w:rPr/>
            </w:pPr>
            <w:r>
              <w:rPr/>
              <w:t> </w:t>
            </w:r>
          </w:p>
        </w:tc>
        <w:tc>
          <w:tcPr>
            <w:tcW w:w="788"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(1,459</w:t>
            </w:r>
          </w:p>
        </w:tc>
        <w:tc>
          <w:tcPr>
            <w:tcW w:w="803"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r>
      <w:tr>
        <w:trPr/>
        <w:tc>
          <w:tcPr>
            <w:tcW w:w="7369" w:type="dxa"/>
            <w:tcBorders/>
            <w:shd w:fill="CCEE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Cash, cash equivalents and restricted cash, beginning of period</w:t>
            </w:r>
          </w:p>
        </w:tc>
        <w:tc>
          <w:tcPr>
            <w:tcW w:w="60" w:type="dxa"/>
            <w:tcBorders/>
            <w:shd w:fill="CCEEFF" w:val="clear"/>
            <w:vAlign w:val="center"/>
          </w:tcPr>
          <w:p>
            <w:pPr>
              <w:pStyle w:val="TableContents"/>
              <w:spacing w:before="0" w:after="283"/>
              <w:ind w:left="0" w:right="0" w:hanging="0"/>
              <w:rPr/>
            </w:pPr>
            <w:r>
              <w:rPr/>
              <w:t> </w:t>
            </w:r>
          </w:p>
        </w:tc>
        <w:tc>
          <w:tcPr>
            <w:tcW w:w="15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15" w:type="dxa"/>
            <w:tcBorders>
              <w:bottom w:val="single" w:sz="2"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34,840</w:t>
            </w:r>
          </w:p>
        </w:tc>
        <w:tc>
          <w:tcPr>
            <w:tcW w:w="96" w:type="dxa"/>
            <w:tcBorders/>
            <w:shd w:fill="CCEEFF" w:val="clear"/>
            <w:vAlign w:val="center"/>
          </w:tcPr>
          <w:p>
            <w:pPr>
              <w:pStyle w:val="TableContents"/>
              <w:spacing w:before="0" w:after="283"/>
              <w:rPr/>
            </w:pPr>
            <w:r>
              <w:rPr/>
              <w:t> </w:t>
            </w:r>
          </w:p>
        </w:tc>
        <w:tc>
          <w:tcPr>
            <w:tcW w:w="72" w:type="dxa"/>
            <w:tcBorders/>
            <w:shd w:fill="CCEEFF" w:val="clear"/>
            <w:vAlign w:val="center"/>
          </w:tcPr>
          <w:p>
            <w:pPr>
              <w:pStyle w:val="TableContents"/>
              <w:spacing w:before="0" w:after="283"/>
              <w:ind w:left="0" w:right="0" w:hanging="0"/>
              <w:rPr/>
            </w:pPr>
            <w:r>
              <w:rPr/>
              <w:t> </w:t>
            </w:r>
          </w:p>
        </w:tc>
        <w:tc>
          <w:tcPr>
            <w:tcW w:w="15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88" w:type="dxa"/>
            <w:tcBorders>
              <w:bottom w:val="single" w:sz="2"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28,395</w:t>
            </w:r>
          </w:p>
        </w:tc>
        <w:tc>
          <w:tcPr>
            <w:tcW w:w="803" w:type="dxa"/>
            <w:tcBorders/>
            <w:shd w:fill="CCEEFF" w:val="clear"/>
            <w:vAlign w:val="center"/>
          </w:tcPr>
          <w:p>
            <w:pPr>
              <w:pStyle w:val="TableContents"/>
              <w:spacing w:before="0" w:after="283"/>
              <w:rPr/>
            </w:pPr>
            <w:r>
              <w:rPr/>
              <w:t> </w:t>
            </w:r>
          </w:p>
        </w:tc>
      </w:tr>
      <w:tr>
        <w:trPr/>
        <w:tc>
          <w:tcPr>
            <w:tcW w:w="7369" w:type="dxa"/>
            <w:tcBorders/>
            <w:shd w:fill="FFFF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Cash, cash equivalents and restricted cash, end of period</w:t>
            </w:r>
          </w:p>
        </w:tc>
        <w:tc>
          <w:tcPr>
            <w:tcW w:w="60" w:type="dxa"/>
            <w:tcBorders/>
            <w:shd w:fill="FFFFFF" w:val="clear"/>
            <w:vAlign w:val="center"/>
          </w:tcPr>
          <w:p>
            <w:pPr>
              <w:pStyle w:val="TableContents"/>
              <w:spacing w:before="0" w:after="283"/>
              <w:ind w:left="0" w:right="0" w:hanging="0"/>
              <w:rPr/>
            </w:pPr>
            <w:r>
              <w:rPr/>
              <w:t> </w:t>
            </w:r>
          </w:p>
        </w:tc>
        <w:tc>
          <w:tcPr>
            <w:tcW w:w="151"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71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51,136</w:t>
            </w:r>
          </w:p>
        </w:tc>
        <w:tc>
          <w:tcPr>
            <w:tcW w:w="96" w:type="dxa"/>
            <w:tcBorders/>
            <w:shd w:fill="FFFFFF" w:val="clear"/>
            <w:vAlign w:val="center"/>
          </w:tcPr>
          <w:p>
            <w:pPr>
              <w:pStyle w:val="TableContents"/>
              <w:spacing w:before="0" w:after="283"/>
              <w:rPr/>
            </w:pPr>
            <w:r>
              <w:rPr/>
              <w:t> </w:t>
            </w:r>
          </w:p>
        </w:tc>
        <w:tc>
          <w:tcPr>
            <w:tcW w:w="72" w:type="dxa"/>
            <w:tcBorders/>
            <w:shd w:fill="FFFFFF" w:val="clear"/>
            <w:vAlign w:val="center"/>
          </w:tcPr>
          <w:p>
            <w:pPr>
              <w:pStyle w:val="TableContents"/>
              <w:spacing w:before="0" w:after="283"/>
              <w:ind w:left="0" w:right="0" w:hanging="0"/>
              <w:rPr/>
            </w:pPr>
            <w:r>
              <w:rPr/>
              <w:t> </w:t>
            </w:r>
          </w:p>
        </w:tc>
        <w:tc>
          <w:tcPr>
            <w:tcW w:w="151"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788"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26,936</w:t>
            </w:r>
          </w:p>
        </w:tc>
        <w:tc>
          <w:tcPr>
            <w:tcW w:w="803" w:type="dxa"/>
            <w:tcBorders/>
            <w:shd w:fill="FFFFFF" w:val="clear"/>
            <w:vAlign w:val="center"/>
          </w:tcPr>
          <w:p>
            <w:pPr>
              <w:pStyle w:val="TableContents"/>
              <w:spacing w:before="0" w:after="283"/>
              <w:rPr/>
            </w:pPr>
            <w:r>
              <w:rPr/>
              <w:t> </w:t>
            </w:r>
          </w:p>
        </w:tc>
      </w:tr>
      <w:tr>
        <w:trPr/>
        <w:tc>
          <w:tcPr>
            <w:tcW w:w="7369"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1" w:type="dxa"/>
            <w:tcBorders/>
            <w:shd w:fill="CCEEFF" w:val="clear"/>
            <w:vAlign w:val="center"/>
          </w:tcPr>
          <w:p>
            <w:pPr>
              <w:pStyle w:val="TableContents"/>
              <w:spacing w:before="0" w:after="283"/>
              <w:rPr/>
            </w:pPr>
            <w:r>
              <w:rPr/>
              <w:t> </w:t>
            </w:r>
          </w:p>
        </w:tc>
        <w:tc>
          <w:tcPr>
            <w:tcW w:w="715" w:type="dxa"/>
            <w:tcBorders/>
            <w:shd w:fill="CCEEFF" w:val="clear"/>
            <w:vAlign w:val="center"/>
          </w:tcPr>
          <w:p>
            <w:pPr>
              <w:pStyle w:val="TableContents"/>
              <w:spacing w:before="0" w:after="283"/>
              <w:rPr/>
            </w:pPr>
            <w:r>
              <w:rPr/>
              <w:t> </w:t>
            </w:r>
          </w:p>
        </w:tc>
        <w:tc>
          <w:tcPr>
            <w:tcW w:w="96" w:type="dxa"/>
            <w:tcBorders/>
            <w:shd w:fill="CCEEFF" w:val="clear"/>
            <w:vAlign w:val="center"/>
          </w:tcPr>
          <w:p>
            <w:pPr>
              <w:pStyle w:val="TableContents"/>
              <w:spacing w:before="0" w:after="283"/>
              <w:rPr/>
            </w:pPr>
            <w:r>
              <w:rPr/>
              <w:t> </w:t>
            </w:r>
          </w:p>
        </w:tc>
        <w:tc>
          <w:tcPr>
            <w:tcW w:w="72" w:type="dxa"/>
            <w:tcBorders/>
            <w:shd w:fill="CCEEFF" w:val="clear"/>
            <w:vAlign w:val="center"/>
          </w:tcPr>
          <w:p>
            <w:pPr>
              <w:pStyle w:val="TableContents"/>
              <w:spacing w:before="0" w:after="283"/>
              <w:rPr/>
            </w:pPr>
            <w:r>
              <w:rPr/>
              <w:t> </w:t>
            </w:r>
          </w:p>
        </w:tc>
        <w:tc>
          <w:tcPr>
            <w:tcW w:w="151" w:type="dxa"/>
            <w:tcBorders/>
            <w:shd w:fill="CCEEFF" w:val="clear"/>
            <w:vAlign w:val="center"/>
          </w:tcPr>
          <w:p>
            <w:pPr>
              <w:pStyle w:val="TableContents"/>
              <w:spacing w:before="0" w:after="283"/>
              <w:rPr/>
            </w:pPr>
            <w:r>
              <w:rPr/>
              <w:t> </w:t>
            </w:r>
          </w:p>
        </w:tc>
        <w:tc>
          <w:tcPr>
            <w:tcW w:w="788" w:type="dxa"/>
            <w:tcBorders/>
            <w:shd w:fill="CCEEFF" w:val="clear"/>
            <w:vAlign w:val="center"/>
          </w:tcPr>
          <w:p>
            <w:pPr>
              <w:pStyle w:val="TableContents"/>
              <w:spacing w:before="0" w:after="283"/>
              <w:rPr/>
            </w:pPr>
            <w:r>
              <w:rPr/>
              <w:t> </w:t>
            </w:r>
          </w:p>
        </w:tc>
        <w:tc>
          <w:tcPr>
            <w:tcW w:w="803" w:type="dxa"/>
            <w:tcBorders/>
            <w:shd w:fill="CCEEFF" w:val="clear"/>
            <w:vAlign w:val="center"/>
          </w:tcPr>
          <w:p>
            <w:pPr>
              <w:pStyle w:val="TableContents"/>
              <w:spacing w:before="0" w:after="283"/>
              <w:rPr/>
            </w:pPr>
            <w:r>
              <w:rPr/>
              <w:t> </w:t>
            </w:r>
          </w:p>
        </w:tc>
      </w:tr>
      <w:tr>
        <w:trPr/>
        <w:tc>
          <w:tcPr>
            <w:tcW w:w="7369" w:type="dxa"/>
            <w:tcBorders/>
            <w:shd w:fill="FFFF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Supplemental disclosure of cash flow information:</w:t>
            </w:r>
          </w:p>
        </w:tc>
        <w:tc>
          <w:tcPr>
            <w:tcW w:w="60" w:type="dxa"/>
            <w:tcBorders/>
            <w:shd w:fill="FFFFFF" w:val="clear"/>
            <w:vAlign w:val="center"/>
          </w:tcPr>
          <w:p>
            <w:pPr>
              <w:pStyle w:val="TableContents"/>
              <w:spacing w:before="0" w:after="283"/>
              <w:rPr/>
            </w:pPr>
            <w:r>
              <w:rPr/>
              <w:t> </w:t>
            </w:r>
          </w:p>
        </w:tc>
        <w:tc>
          <w:tcPr>
            <w:tcW w:w="151" w:type="dxa"/>
            <w:tcBorders/>
            <w:shd w:fill="FFFFFF" w:val="clear"/>
            <w:vAlign w:val="center"/>
          </w:tcPr>
          <w:p>
            <w:pPr>
              <w:pStyle w:val="TableContents"/>
              <w:spacing w:before="0" w:after="283"/>
              <w:rPr/>
            </w:pPr>
            <w:r>
              <w:rPr/>
              <w:t> </w:t>
            </w:r>
          </w:p>
        </w:tc>
        <w:tc>
          <w:tcPr>
            <w:tcW w:w="715" w:type="dxa"/>
            <w:tcBorders/>
            <w:shd w:fill="FFFFFF" w:val="clear"/>
            <w:vAlign w:val="center"/>
          </w:tcPr>
          <w:p>
            <w:pPr>
              <w:pStyle w:val="TableContents"/>
              <w:spacing w:before="0" w:after="283"/>
              <w:jc w:val="left"/>
              <w:rPr/>
            </w:pPr>
            <w:r>
              <w:rPr/>
              <w:t> </w:t>
            </w:r>
          </w:p>
        </w:tc>
        <w:tc>
          <w:tcPr>
            <w:tcW w:w="96" w:type="dxa"/>
            <w:tcBorders/>
            <w:shd w:fill="FFFFFF" w:val="clear"/>
            <w:vAlign w:val="center"/>
          </w:tcPr>
          <w:p>
            <w:pPr>
              <w:pStyle w:val="TableContents"/>
              <w:spacing w:before="0" w:after="283"/>
              <w:rPr/>
            </w:pPr>
            <w:r>
              <w:rPr/>
              <w:t> </w:t>
            </w:r>
          </w:p>
        </w:tc>
        <w:tc>
          <w:tcPr>
            <w:tcW w:w="72" w:type="dxa"/>
            <w:tcBorders/>
            <w:shd w:fill="FFFFFF" w:val="clear"/>
            <w:vAlign w:val="center"/>
          </w:tcPr>
          <w:p>
            <w:pPr>
              <w:pStyle w:val="TableContents"/>
              <w:spacing w:before="0" w:after="283"/>
              <w:rPr/>
            </w:pPr>
            <w:r>
              <w:rPr/>
              <w:t> </w:t>
            </w:r>
          </w:p>
        </w:tc>
        <w:tc>
          <w:tcPr>
            <w:tcW w:w="151" w:type="dxa"/>
            <w:tcBorders/>
            <w:shd w:fill="FFFFFF" w:val="clear"/>
            <w:vAlign w:val="center"/>
          </w:tcPr>
          <w:p>
            <w:pPr>
              <w:pStyle w:val="TableContents"/>
              <w:spacing w:before="0" w:after="283"/>
              <w:rPr/>
            </w:pPr>
            <w:r>
              <w:rPr/>
              <w:t> </w:t>
            </w:r>
          </w:p>
        </w:tc>
        <w:tc>
          <w:tcPr>
            <w:tcW w:w="788" w:type="dxa"/>
            <w:tcBorders/>
            <w:shd w:fill="FFFFFF" w:val="clear"/>
            <w:vAlign w:val="center"/>
          </w:tcPr>
          <w:p>
            <w:pPr>
              <w:pStyle w:val="TableContents"/>
              <w:spacing w:before="0" w:after="283"/>
              <w:jc w:val="left"/>
              <w:rPr/>
            </w:pPr>
            <w:r>
              <w:rPr/>
              <w:t> </w:t>
            </w:r>
          </w:p>
        </w:tc>
        <w:tc>
          <w:tcPr>
            <w:tcW w:w="803" w:type="dxa"/>
            <w:tcBorders/>
            <w:shd w:fill="FFFFFF" w:val="clear"/>
            <w:vAlign w:val="center"/>
          </w:tcPr>
          <w:p>
            <w:pPr>
              <w:pStyle w:val="TableContents"/>
              <w:spacing w:before="0" w:after="283"/>
              <w:ind w:left="0" w:right="0" w:firstLine="180"/>
              <w:rPr/>
            </w:pPr>
            <w:r>
              <w:rPr/>
              <w:t> </w:t>
            </w:r>
          </w:p>
        </w:tc>
      </w:tr>
      <w:tr>
        <w:trPr/>
        <w:tc>
          <w:tcPr>
            <w:tcW w:w="7369" w:type="dxa"/>
            <w:tcBorders/>
            <w:shd w:fill="CCEEFF" w:val="clear"/>
            <w:vAlign w:val="center"/>
          </w:tcPr>
          <w:p>
            <w:pPr>
              <w:pStyle w:val="TableContents"/>
              <w:spacing w:before="0" w:after="0"/>
              <w:ind w:left="0" w:right="0" w:firstLine="180"/>
              <w:rPr>
                <w:rFonts w:ascii="Times New Roman;Times;serif" w:hAnsi="Times New Roman;Times;serif"/>
                <w:sz w:val="20"/>
              </w:rPr>
            </w:pPr>
            <w:r>
              <w:rPr>
                <w:rFonts w:ascii="Times New Roman;Times;serif" w:hAnsi="Times New Roman;Times;serif"/>
                <w:sz w:val="20"/>
              </w:rPr>
              <w:t>Cash and cash equivalents</w:t>
            </w:r>
          </w:p>
        </w:tc>
        <w:tc>
          <w:tcPr>
            <w:tcW w:w="60" w:type="dxa"/>
            <w:tcBorders/>
            <w:shd w:fill="CCEEFF" w:val="clear"/>
            <w:vAlign w:val="center"/>
          </w:tcPr>
          <w:p>
            <w:pPr>
              <w:pStyle w:val="TableContents"/>
              <w:spacing w:before="0" w:after="283"/>
              <w:ind w:left="0" w:right="0" w:hanging="0"/>
              <w:rPr/>
            </w:pPr>
            <w:r>
              <w:rPr/>
              <w:t> </w:t>
            </w:r>
          </w:p>
        </w:tc>
        <w:tc>
          <w:tcPr>
            <w:tcW w:w="1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15"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49,426</w:t>
            </w:r>
          </w:p>
        </w:tc>
        <w:tc>
          <w:tcPr>
            <w:tcW w:w="96" w:type="dxa"/>
            <w:tcBorders/>
            <w:shd w:fill="CCEEFF" w:val="clear"/>
            <w:vAlign w:val="center"/>
          </w:tcPr>
          <w:p>
            <w:pPr>
              <w:pStyle w:val="TableContents"/>
              <w:spacing w:before="0" w:after="283"/>
              <w:rPr/>
            </w:pPr>
            <w:r>
              <w:rPr/>
              <w:t> </w:t>
            </w:r>
          </w:p>
        </w:tc>
        <w:tc>
          <w:tcPr>
            <w:tcW w:w="72" w:type="dxa"/>
            <w:tcBorders/>
            <w:shd w:fill="CCEEFF" w:val="clear"/>
            <w:vAlign w:val="center"/>
          </w:tcPr>
          <w:p>
            <w:pPr>
              <w:pStyle w:val="TableContents"/>
              <w:spacing w:before="0" w:after="283"/>
              <w:ind w:left="0" w:right="0" w:hanging="0"/>
              <w:rPr/>
            </w:pPr>
            <w:r>
              <w:rPr/>
              <w:t> </w:t>
            </w:r>
          </w:p>
        </w:tc>
        <w:tc>
          <w:tcPr>
            <w:tcW w:w="1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8"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25,274</w:t>
            </w:r>
          </w:p>
        </w:tc>
        <w:tc>
          <w:tcPr>
            <w:tcW w:w="803" w:type="dxa"/>
            <w:tcBorders/>
            <w:shd w:fill="CCEEFF" w:val="clear"/>
            <w:vAlign w:val="center"/>
          </w:tcPr>
          <w:p>
            <w:pPr>
              <w:pStyle w:val="TableContents"/>
              <w:spacing w:before="0" w:after="283"/>
              <w:ind w:left="0" w:right="0" w:firstLine="180"/>
              <w:rPr/>
            </w:pPr>
            <w:r>
              <w:rPr/>
              <w:t> </w:t>
            </w:r>
          </w:p>
        </w:tc>
      </w:tr>
      <w:tr>
        <w:trPr/>
        <w:tc>
          <w:tcPr>
            <w:tcW w:w="7369" w:type="dxa"/>
            <w:tcBorders/>
            <w:shd w:fill="FFFFFF" w:val="clear"/>
            <w:vAlign w:val="center"/>
          </w:tcPr>
          <w:p>
            <w:pPr>
              <w:pStyle w:val="TableContents"/>
              <w:spacing w:before="0" w:after="0"/>
              <w:ind w:left="0" w:right="0" w:firstLine="180"/>
              <w:rPr>
                <w:rFonts w:ascii="Times New Roman;Times;serif" w:hAnsi="Times New Roman;Times;serif"/>
                <w:sz w:val="20"/>
              </w:rPr>
            </w:pPr>
            <w:r>
              <w:rPr>
                <w:rFonts w:ascii="Times New Roman;Times;serif" w:hAnsi="Times New Roman;Times;serif"/>
                <w:sz w:val="20"/>
              </w:rPr>
              <w:t>Restricted cash from long-term deposits</w:t>
            </w:r>
          </w:p>
        </w:tc>
        <w:tc>
          <w:tcPr>
            <w:tcW w:w="60" w:type="dxa"/>
            <w:tcBorders/>
            <w:shd w:fill="FFFFFF" w:val="clear"/>
            <w:vAlign w:val="center"/>
          </w:tcPr>
          <w:p>
            <w:pPr>
              <w:pStyle w:val="TableContents"/>
              <w:spacing w:before="0" w:after="283"/>
              <w:ind w:left="0" w:right="0" w:hanging="0"/>
              <w:rPr/>
            </w:pPr>
            <w:r>
              <w:rPr/>
              <w:t> </w:t>
            </w:r>
          </w:p>
        </w:tc>
        <w:tc>
          <w:tcPr>
            <w:tcW w:w="151" w:type="dxa"/>
            <w:tcBorders>
              <w:bottom w:val="single" w:sz="2" w:space="0" w:color="000000"/>
            </w:tcBorders>
            <w:shd w:fill="FFFF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15" w:type="dxa"/>
            <w:tcBorders>
              <w:bottom w:val="single" w:sz="2" w:space="0" w:color="000000"/>
            </w:tcBorders>
            <w:shd w:fill="FFFF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1,710</w:t>
            </w:r>
          </w:p>
        </w:tc>
        <w:tc>
          <w:tcPr>
            <w:tcW w:w="96" w:type="dxa"/>
            <w:tcBorders/>
            <w:shd w:fill="FFFFFF" w:val="clear"/>
            <w:vAlign w:val="center"/>
          </w:tcPr>
          <w:p>
            <w:pPr>
              <w:pStyle w:val="TableContents"/>
              <w:spacing w:before="0" w:after="283"/>
              <w:rPr/>
            </w:pPr>
            <w:r>
              <w:rPr/>
              <w:t> </w:t>
            </w:r>
          </w:p>
        </w:tc>
        <w:tc>
          <w:tcPr>
            <w:tcW w:w="72" w:type="dxa"/>
            <w:tcBorders/>
            <w:shd w:fill="FFFFFF" w:val="clear"/>
            <w:vAlign w:val="center"/>
          </w:tcPr>
          <w:p>
            <w:pPr>
              <w:pStyle w:val="TableContents"/>
              <w:spacing w:before="0" w:after="283"/>
              <w:ind w:left="0" w:right="0" w:hanging="0"/>
              <w:rPr/>
            </w:pPr>
            <w:r>
              <w:rPr/>
              <w:t> </w:t>
            </w:r>
          </w:p>
        </w:tc>
        <w:tc>
          <w:tcPr>
            <w:tcW w:w="151" w:type="dxa"/>
            <w:tcBorders>
              <w:bottom w:val="single" w:sz="2" w:space="0" w:color="000000"/>
            </w:tcBorders>
            <w:shd w:fill="FFFF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8" w:type="dxa"/>
            <w:tcBorders>
              <w:bottom w:val="single" w:sz="2" w:space="0" w:color="000000"/>
            </w:tcBorders>
            <w:shd w:fill="FFFF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1,662</w:t>
            </w:r>
          </w:p>
        </w:tc>
        <w:tc>
          <w:tcPr>
            <w:tcW w:w="803" w:type="dxa"/>
            <w:tcBorders/>
            <w:shd w:fill="FFFFFF" w:val="clear"/>
            <w:vAlign w:val="center"/>
          </w:tcPr>
          <w:p>
            <w:pPr>
              <w:pStyle w:val="TableContents"/>
              <w:spacing w:before="0" w:after="283"/>
              <w:ind w:left="0" w:right="0" w:firstLine="360"/>
              <w:rPr/>
            </w:pPr>
            <w:r>
              <w:rPr/>
              <w:t> </w:t>
            </w:r>
          </w:p>
        </w:tc>
      </w:tr>
      <w:tr>
        <w:trPr/>
        <w:tc>
          <w:tcPr>
            <w:tcW w:w="7369" w:type="dxa"/>
            <w:tcBorders/>
            <w:shd w:fill="CCEEFF" w:val="clear"/>
            <w:vAlign w:val="center"/>
          </w:tcPr>
          <w:p>
            <w:pPr>
              <w:pStyle w:val="TableContents"/>
              <w:spacing w:before="0" w:after="0"/>
              <w:ind w:left="0" w:right="0" w:firstLine="360"/>
              <w:rPr>
                <w:rFonts w:ascii="Times New Roman;Times;serif" w:hAnsi="Times New Roman;Times;serif"/>
                <w:sz w:val="20"/>
              </w:rPr>
            </w:pPr>
            <w:r>
              <w:rPr>
                <w:rFonts w:ascii="Times New Roman;Times;serif" w:hAnsi="Times New Roman;Times;serif"/>
                <w:sz w:val="20"/>
              </w:rPr>
              <w:t>Total cash, cash equivalents and restricted cash</w:t>
            </w:r>
          </w:p>
        </w:tc>
        <w:tc>
          <w:tcPr>
            <w:tcW w:w="60" w:type="dxa"/>
            <w:tcBorders/>
            <w:shd w:fill="CCEEFF" w:val="clear"/>
            <w:vAlign w:val="center"/>
          </w:tcPr>
          <w:p>
            <w:pPr>
              <w:pStyle w:val="TableContents"/>
              <w:spacing w:before="0" w:after="283"/>
              <w:ind w:left="0" w:right="0" w:hanging="0"/>
              <w:rPr/>
            </w:pPr>
            <w:r>
              <w:rPr/>
              <w:t> </w:t>
            </w:r>
          </w:p>
        </w:tc>
        <w:tc>
          <w:tcPr>
            <w:tcW w:w="15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15" w:type="dxa"/>
            <w:tcBorders>
              <w:bottom w:val="double" w:sz="6"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51,136</w:t>
            </w:r>
          </w:p>
        </w:tc>
        <w:tc>
          <w:tcPr>
            <w:tcW w:w="96" w:type="dxa"/>
            <w:tcBorders/>
            <w:shd w:fill="CCEEFF" w:val="clear"/>
            <w:vAlign w:val="center"/>
          </w:tcPr>
          <w:p>
            <w:pPr>
              <w:pStyle w:val="TableContents"/>
              <w:spacing w:before="0" w:after="283"/>
              <w:rPr/>
            </w:pPr>
            <w:r>
              <w:rPr/>
              <w:t> </w:t>
            </w:r>
          </w:p>
        </w:tc>
        <w:tc>
          <w:tcPr>
            <w:tcW w:w="72" w:type="dxa"/>
            <w:tcBorders/>
            <w:shd w:fill="CCEEFF" w:val="clear"/>
            <w:vAlign w:val="center"/>
          </w:tcPr>
          <w:p>
            <w:pPr>
              <w:pStyle w:val="TableContents"/>
              <w:spacing w:before="0" w:after="283"/>
              <w:ind w:left="0" w:right="0" w:hanging="0"/>
              <w:rPr/>
            </w:pPr>
            <w:r>
              <w:rPr/>
              <w:t> </w:t>
            </w:r>
          </w:p>
        </w:tc>
        <w:tc>
          <w:tcPr>
            <w:tcW w:w="15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8" w:type="dxa"/>
            <w:tcBorders>
              <w:bottom w:val="double" w:sz="6"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26,936</w:t>
            </w:r>
          </w:p>
        </w:tc>
        <w:tc>
          <w:tcPr>
            <w:tcW w:w="803" w:type="dxa"/>
            <w:tcBorders/>
            <w:shd w:fill="CCEEFF" w:val="clear"/>
            <w:vAlign w:val="center"/>
          </w:tcPr>
          <w:p>
            <w:pPr>
              <w:pStyle w:val="TableContents"/>
              <w:spacing w:before="0" w:after="283"/>
              <w:rPr/>
            </w:pPr>
            <w:r>
              <w:rPr/>
              <w:t> </w:t>
            </w:r>
          </w:p>
        </w:tc>
      </w:tr>
      <w:tr>
        <w:trPr/>
        <w:tc>
          <w:tcPr>
            <w:tcW w:w="7369"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51" w:type="dxa"/>
            <w:tcBorders/>
            <w:shd w:fill="FFFFFF" w:val="clear"/>
            <w:vAlign w:val="center"/>
          </w:tcPr>
          <w:p>
            <w:pPr>
              <w:pStyle w:val="TableContents"/>
              <w:spacing w:before="0" w:after="283"/>
              <w:rPr/>
            </w:pPr>
            <w:r>
              <w:rPr/>
              <w:t> </w:t>
            </w:r>
          </w:p>
        </w:tc>
        <w:tc>
          <w:tcPr>
            <w:tcW w:w="715" w:type="dxa"/>
            <w:tcBorders/>
            <w:shd w:fill="FFFFFF" w:val="clear"/>
            <w:vAlign w:val="center"/>
          </w:tcPr>
          <w:p>
            <w:pPr>
              <w:pStyle w:val="TableContents"/>
              <w:spacing w:before="0" w:after="283"/>
              <w:rPr/>
            </w:pPr>
            <w:r>
              <w:rPr/>
              <w:t> </w:t>
            </w:r>
          </w:p>
        </w:tc>
        <w:tc>
          <w:tcPr>
            <w:tcW w:w="96" w:type="dxa"/>
            <w:tcBorders/>
            <w:shd w:fill="FFFFFF" w:val="clear"/>
            <w:vAlign w:val="center"/>
          </w:tcPr>
          <w:p>
            <w:pPr>
              <w:pStyle w:val="TableContents"/>
              <w:spacing w:before="0" w:after="283"/>
              <w:rPr/>
            </w:pPr>
            <w:r>
              <w:rPr/>
              <w:t> </w:t>
            </w:r>
          </w:p>
        </w:tc>
        <w:tc>
          <w:tcPr>
            <w:tcW w:w="72" w:type="dxa"/>
            <w:tcBorders/>
            <w:shd w:fill="FFFFFF" w:val="clear"/>
            <w:vAlign w:val="center"/>
          </w:tcPr>
          <w:p>
            <w:pPr>
              <w:pStyle w:val="TableContents"/>
              <w:spacing w:before="0" w:after="283"/>
              <w:rPr/>
            </w:pPr>
            <w:r>
              <w:rPr/>
              <w:t> </w:t>
            </w:r>
          </w:p>
        </w:tc>
        <w:tc>
          <w:tcPr>
            <w:tcW w:w="151" w:type="dxa"/>
            <w:tcBorders/>
            <w:shd w:fill="FFFFFF" w:val="clear"/>
            <w:vAlign w:val="center"/>
          </w:tcPr>
          <w:p>
            <w:pPr>
              <w:pStyle w:val="TableContents"/>
              <w:spacing w:before="0" w:after="283"/>
              <w:rPr/>
            </w:pPr>
            <w:r>
              <w:rPr/>
              <w:t> </w:t>
            </w:r>
          </w:p>
        </w:tc>
        <w:tc>
          <w:tcPr>
            <w:tcW w:w="788" w:type="dxa"/>
            <w:tcBorders/>
            <w:shd w:fill="FFFFFF" w:val="clear"/>
            <w:vAlign w:val="center"/>
          </w:tcPr>
          <w:p>
            <w:pPr>
              <w:pStyle w:val="TableContents"/>
              <w:spacing w:before="0" w:after="283"/>
              <w:rPr/>
            </w:pPr>
            <w:r>
              <w:rPr/>
              <w:t> </w:t>
            </w:r>
          </w:p>
        </w:tc>
        <w:tc>
          <w:tcPr>
            <w:tcW w:w="803" w:type="dxa"/>
            <w:tcBorders/>
            <w:shd w:fill="FFFFFF" w:val="clear"/>
            <w:vAlign w:val="center"/>
          </w:tcPr>
          <w:p>
            <w:pPr>
              <w:pStyle w:val="TableContents"/>
              <w:spacing w:before="0" w:after="283"/>
              <w:rPr/>
            </w:pPr>
            <w:r>
              <w:rPr/>
              <w:t> </w:t>
            </w:r>
          </w:p>
        </w:tc>
      </w:tr>
      <w:tr>
        <w:trPr/>
        <w:tc>
          <w:tcPr>
            <w:tcW w:w="7369" w:type="dxa"/>
            <w:tcBorders/>
            <w:shd w:fill="CCEE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Net cash paid (received) during the period for income taxes</w:t>
            </w:r>
          </w:p>
        </w:tc>
        <w:tc>
          <w:tcPr>
            <w:tcW w:w="60" w:type="dxa"/>
            <w:tcBorders/>
            <w:shd w:fill="CCEEFF" w:val="clear"/>
            <w:vAlign w:val="center"/>
          </w:tcPr>
          <w:p>
            <w:pPr>
              <w:pStyle w:val="TableContents"/>
              <w:spacing w:before="0" w:after="283"/>
              <w:rPr/>
            </w:pPr>
            <w:r>
              <w:rPr/>
              <w:t> </w:t>
            </w:r>
          </w:p>
        </w:tc>
        <w:tc>
          <w:tcPr>
            <w:tcW w:w="151"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715"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3,502</w:t>
            </w:r>
          </w:p>
        </w:tc>
        <w:tc>
          <w:tcPr>
            <w:tcW w:w="96" w:type="dxa"/>
            <w:tcBorders/>
            <w:shd w:fill="CCEEFF" w:val="clear"/>
            <w:vAlign w:val="center"/>
          </w:tcPr>
          <w:p>
            <w:pPr>
              <w:pStyle w:val="TableContents"/>
              <w:spacing w:before="0" w:after="283"/>
              <w:rPr/>
            </w:pPr>
            <w:r>
              <w:rPr/>
              <w:t> </w:t>
            </w:r>
          </w:p>
        </w:tc>
        <w:tc>
          <w:tcPr>
            <w:tcW w:w="72" w:type="dxa"/>
            <w:tcBorders/>
            <w:shd w:fill="CCEEFF" w:val="clear"/>
            <w:vAlign w:val="center"/>
          </w:tcPr>
          <w:p>
            <w:pPr>
              <w:pStyle w:val="TableContents"/>
              <w:spacing w:before="0" w:after="283"/>
              <w:rPr/>
            </w:pPr>
            <w:r>
              <w:rPr/>
              <w:t> </w:t>
            </w:r>
          </w:p>
        </w:tc>
        <w:tc>
          <w:tcPr>
            <w:tcW w:w="151"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788"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(135</w:t>
            </w:r>
          </w:p>
        </w:tc>
        <w:tc>
          <w:tcPr>
            <w:tcW w:w="803"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r>
    </w:tbl>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br/>
        <w:t>See accompanying notes to condensed consolidated financial statements.</w:t>
      </w:r>
    </w:p>
    <w:p>
      <w:pPr>
        <w:pStyle w:val="TextBody"/>
        <w:spacing w:before="0" w:after="0"/>
        <w:ind w:left="144" w:right="144" w:hanging="0"/>
        <w:jc w:val="center"/>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6 </w:t>
      </w:r>
    </w:p>
    <w:p>
      <w:pPr>
        <w:pStyle w:val="HorizontalLine"/>
        <w:rPr/>
      </w:pPr>
      <w:r>
        <w:rPr/>
      </w:r>
    </w:p>
    <w:p>
      <w:pPr>
        <w:pStyle w:val="TextBody"/>
        <w:jc w:val="left"/>
        <w:rPr/>
      </w:pPr>
      <w:hyperlink w:anchor="Table_of_Contents">
        <w:r>
          <w:rPr>
            <w:rStyle w:val="InternetLink"/>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b/>
          <w:sz w:val="20"/>
        </w:rPr>
      </w:pPr>
      <w:bookmarkStart w:id="6" w:name="Footnotes"/>
      <w:bookmarkEnd w:id="6"/>
      <w:r>
        <w:rPr>
          <w:rFonts w:ascii="Times New Roman;Times;serif" w:hAnsi="Times New Roman;Times;serif"/>
          <w:b/>
          <w:sz w:val="20"/>
        </w:rPr>
        <w:t xml:space="preserve">Notes to Condensed Consolidated Financial Statements </w:t>
      </w:r>
    </w:p>
    <w:p>
      <w:pPr>
        <w:pStyle w:val="TextBody"/>
        <w:spacing w:before="0" w:after="0"/>
        <w:ind w:left="0" w:right="0" w:hanging="0"/>
        <w:jc w:val="left"/>
        <w:rPr/>
      </w:pPr>
      <w:r>
        <w:rPr/>
        <w:t> </w:t>
      </w:r>
    </w:p>
    <w:p>
      <w:pPr>
        <w:pStyle w:val="TextBody"/>
        <w:rPr/>
      </w:pPr>
      <w:r>
        <w:rPr/>
        <w:t xml:space="preserve">  </w:t>
      </w:r>
    </w:p>
    <w:p>
      <w:pPr>
        <w:pStyle w:val="TextBody"/>
        <w:spacing w:before="0" w:after="0"/>
        <w:ind w:left="0" w:right="0" w:hanging="0"/>
        <w:jc w:val="left"/>
        <w:rPr/>
      </w:pPr>
      <w:r>
        <w:rPr>
          <w:rStyle w:val="Emphasis"/>
          <w:rFonts w:ascii="Times New Roman" w:hAnsi="Times New Roman"/>
          <w:b/>
          <w:sz w:val="20"/>
        </w:rPr>
        <w:t>1.</w:t>
      </w:r>
      <w:r>
        <w:rPr>
          <w:rFonts w:ascii="Times New Roman" w:hAnsi="Times New Roman"/>
          <w:b/>
          <w:sz w:val="20"/>
        </w:rPr>
        <w:t xml:space="preserve"> Basis of Presentation </w:t>
      </w:r>
    </w:p>
    <w:p>
      <w:pPr>
        <w:pStyle w:val="TextBody"/>
        <w:spacing w:before="0" w:after="0"/>
        <w:ind w:left="144" w:right="144" w:hanging="0"/>
        <w:jc w:val="left"/>
        <w:rPr/>
      </w:pPr>
      <w:r>
        <w:rPr/>
        <w:t> </w:t>
      </w:r>
    </w:p>
    <w:p>
      <w:pPr>
        <w:pStyle w:val="TextBody"/>
        <w:spacing w:before="0" w:after="0"/>
        <w:ind w:left="0" w:right="0" w:firstLine="720"/>
        <w:jc w:val="left"/>
        <w:rPr/>
      </w:pPr>
      <w:r>
        <w:rPr>
          <w:rFonts w:ascii="Times New Roman" w:hAnsi="Times New Roman"/>
          <w:sz w:val="20"/>
        </w:rPr>
        <w:t xml:space="preserve">The condensed consolidated financial statements included herein are unaudited and have been prepared by Build-A-Bear Workshop, Inc. and its subsidiaries (collectively, the “Company”) pursuant to the rules and regulations of the U.S. Securities and Exchange Commission (“SEC”). Certain information and footnote disclosures normally included in financial statements prepared in accordance with U.S. generally accepted accounting principles (“GAAP”) have been condensed or omitted pursuant to such rules and regulations. The condensed consolidated balance sheet of the Company as of </w:t>
      </w:r>
      <w:r>
        <w:rPr>
          <w:rStyle w:val="Emphasis"/>
          <w:rFonts w:ascii="Times New Roman" w:hAnsi="Times New Roman"/>
          <w:sz w:val="20"/>
        </w:rPr>
        <w:t>January 30, 2021</w:t>
      </w:r>
      <w:r>
        <w:rPr>
          <w:rFonts w:ascii="Times New Roman" w:hAnsi="Times New Roman"/>
          <w:sz w:val="20"/>
        </w:rPr>
        <w:t xml:space="preserve"> was derived from the Company’s audited consolidated balance sheet as of that date. All other condensed consolidated financial statements contained herein are unaudited and reflect all adjustments which are, in the opinion of management, necessary to summarize fairly the financial position of the Company and the results of the Company’s operations and cash flows for the periods presented. All of these adjustments are of a normal recurring nature. All significant intercompany balances and transactions have been eliminated in consolidation. Because of the seasonal nature of the Company’s operations, results of operations of any single reporting period should </w:t>
      </w:r>
      <w:r>
        <w:rPr>
          <w:rStyle w:val="Emphasis"/>
          <w:rFonts w:ascii="Times New Roman" w:hAnsi="Times New Roman"/>
          <w:sz w:val="20"/>
        </w:rPr>
        <w:t>not</w:t>
      </w:r>
      <w:r>
        <w:rPr>
          <w:rFonts w:ascii="Times New Roman" w:hAnsi="Times New Roman"/>
          <w:sz w:val="20"/>
        </w:rPr>
        <w:t xml:space="preserve"> be considered as indicative of results for a full year. These condensed consolidated financial statements should be read in conjunction with the Company’s audited consolidated financial statements for the fiscal year ended </w:t>
      </w:r>
      <w:r>
        <w:rPr>
          <w:rStyle w:val="Emphasis"/>
          <w:rFonts w:ascii="Times New Roman" w:hAnsi="Times New Roman"/>
          <w:sz w:val="20"/>
        </w:rPr>
        <w:t>January 30, 2021</w:t>
      </w:r>
      <w:r>
        <w:rPr>
          <w:rFonts w:ascii="Times New Roman" w:hAnsi="Times New Roman"/>
          <w:sz w:val="20"/>
        </w:rPr>
        <w:t xml:space="preserve">, which were included in the Company’s Annual Report on Form </w:t>
      </w:r>
      <w:r>
        <w:rPr>
          <w:rStyle w:val="Emphasis"/>
          <w:rFonts w:ascii="Times New Roman" w:hAnsi="Times New Roman"/>
          <w:sz w:val="20"/>
        </w:rPr>
        <w:t>10</w:t>
      </w:r>
      <w:r>
        <w:rPr>
          <w:rFonts w:ascii="Times New Roman" w:hAnsi="Times New Roman"/>
          <w:sz w:val="20"/>
        </w:rPr>
        <w:t xml:space="preserve">-K filed with the SEC on </w:t>
      </w:r>
      <w:r>
        <w:rPr>
          <w:rStyle w:val="Emphasis"/>
          <w:rFonts w:ascii="Times New Roman" w:hAnsi="Times New Roman"/>
          <w:sz w:val="20"/>
        </w:rPr>
        <w:t>April 15, 2021. </w:t>
      </w:r>
    </w:p>
    <w:p>
      <w:pPr>
        <w:pStyle w:val="TextBody"/>
        <w:spacing w:before="0" w:after="0"/>
        <w:ind w:left="0" w:right="0" w:firstLine="540"/>
        <w:jc w:val="left"/>
        <w:rPr/>
      </w:pPr>
      <w:r>
        <w:rPr/>
        <w:t> </w:t>
      </w:r>
    </w:p>
    <w:p>
      <w:pPr>
        <w:pStyle w:val="TextBody"/>
        <w:spacing w:before="0" w:after="0"/>
        <w:ind w:left="0" w:right="0" w:hanging="0"/>
        <w:jc w:val="left"/>
        <w:rPr/>
      </w:pPr>
      <w:r>
        <w:rPr>
          <w:rFonts w:ascii="Times New Roman" w:hAnsi="Times New Roman"/>
          <w:i/>
          <w:sz w:val="20"/>
        </w:rPr>
        <w:t>COVID-</w:t>
      </w:r>
      <w:r>
        <w:rPr>
          <w:rStyle w:val="Emphasis"/>
          <w:rFonts w:ascii="Times New Roman" w:hAnsi="Times New Roman"/>
          <w:i/>
          <w:sz w:val="20"/>
        </w:rPr>
        <w:t>19</w:t>
      </w:r>
      <w:r>
        <w:rPr>
          <w:rFonts w:ascii="Times New Roman" w:hAnsi="Times New Roman"/>
          <w:i/>
          <w:sz w:val="20"/>
        </w:rPr>
        <w:t xml:space="preserve"> Pandemic</w:t>
      </w:r>
    </w:p>
    <w:p>
      <w:pPr>
        <w:pStyle w:val="TextBody"/>
        <w:spacing w:before="0" w:after="0"/>
        <w:ind w:left="0" w:right="0" w:hanging="0"/>
        <w:jc w:val="left"/>
        <w:rPr/>
      </w:pPr>
      <w:r>
        <w:rPr/>
        <w:t> </w:t>
      </w:r>
    </w:p>
    <w:p>
      <w:pPr>
        <w:pStyle w:val="TextBody"/>
        <w:spacing w:before="0" w:after="0"/>
        <w:ind w:left="0" w:right="0" w:firstLine="720"/>
        <w:jc w:val="left"/>
        <w:rPr/>
      </w:pPr>
      <w:r>
        <w:rPr>
          <w:rFonts w:ascii="Times New Roman" w:hAnsi="Times New Roman"/>
          <w:sz w:val="20"/>
        </w:rPr>
        <w:t xml:space="preserve">The Company's results of operations in fiscal </w:t>
      </w:r>
      <w:r>
        <w:rPr>
          <w:rStyle w:val="Emphasis"/>
          <w:rFonts w:ascii="Times New Roman" w:hAnsi="Times New Roman"/>
          <w:sz w:val="20"/>
        </w:rPr>
        <w:t>2020</w:t>
      </w:r>
      <w:r>
        <w:rPr>
          <w:rFonts w:ascii="Times New Roman" w:hAnsi="Times New Roman"/>
          <w:sz w:val="20"/>
        </w:rPr>
        <w:t xml:space="preserve"> ended </w:t>
      </w:r>
      <w:r>
        <w:rPr>
          <w:rStyle w:val="Emphasis"/>
          <w:rFonts w:ascii="Times New Roman" w:hAnsi="Times New Roman"/>
          <w:sz w:val="20"/>
        </w:rPr>
        <w:t xml:space="preserve">January 30, 2021 </w:t>
      </w:r>
      <w:r>
        <w:rPr>
          <w:rFonts w:ascii="Times New Roman" w:hAnsi="Times New Roman"/>
          <w:sz w:val="20"/>
        </w:rPr>
        <w:t>were significantly negatively impacted by COVID-</w:t>
      </w:r>
      <w:r>
        <w:rPr>
          <w:rStyle w:val="Emphasis"/>
          <w:rFonts w:ascii="Times New Roman" w:hAnsi="Times New Roman"/>
          <w:sz w:val="20"/>
        </w:rPr>
        <w:t>19</w:t>
      </w:r>
      <w:r>
        <w:rPr>
          <w:rFonts w:ascii="Times New Roman" w:hAnsi="Times New Roman"/>
          <w:sz w:val="20"/>
        </w:rPr>
        <w:t xml:space="preserve"> which was declared a global pandemic by the World Health Organization in </w:t>
      </w:r>
      <w:r>
        <w:rPr>
          <w:rStyle w:val="Emphasis"/>
          <w:rFonts w:ascii="Times New Roman" w:hAnsi="Times New Roman"/>
          <w:sz w:val="20"/>
        </w:rPr>
        <w:t xml:space="preserve">March 2020. </w:t>
      </w:r>
      <w:r>
        <w:rPr>
          <w:rFonts w:ascii="Times New Roman" w:hAnsi="Times New Roman"/>
          <w:sz w:val="20"/>
        </w:rPr>
        <w:t xml:space="preserve">In the beginning of fiscal </w:t>
      </w:r>
      <w:r>
        <w:rPr>
          <w:rStyle w:val="Emphasis"/>
          <w:rFonts w:ascii="Times New Roman" w:hAnsi="Times New Roman"/>
          <w:sz w:val="20"/>
        </w:rPr>
        <w:t>2021</w:t>
      </w:r>
      <w:r>
        <w:rPr>
          <w:rFonts w:ascii="Times New Roman" w:hAnsi="Times New Roman"/>
          <w:sz w:val="20"/>
        </w:rPr>
        <w:t xml:space="preserve"> most of the Company's United States store portfolio was open and operating while its stores in the United Kingdom, Canada, and Ireland remained temporarily closed. In </w:t>
      </w:r>
      <w:r>
        <w:rPr>
          <w:rStyle w:val="Emphasis"/>
          <w:rFonts w:ascii="Times New Roman" w:hAnsi="Times New Roman"/>
          <w:sz w:val="20"/>
        </w:rPr>
        <w:t xml:space="preserve">April 2021, </w:t>
      </w:r>
      <w:r>
        <w:rPr>
          <w:rFonts w:ascii="Times New Roman" w:hAnsi="Times New Roman"/>
          <w:sz w:val="20"/>
        </w:rPr>
        <w:t xml:space="preserve">stores in the United Kingdom reopened as the government lifted lockdown restrictions resulting in almost all of the Company's stores operating as the end of the </w:t>
      </w:r>
      <w:r>
        <w:rPr>
          <w:rStyle w:val="Emphasis"/>
          <w:rFonts w:ascii="Times New Roman" w:hAnsi="Times New Roman"/>
          <w:sz w:val="20"/>
        </w:rPr>
        <w:t>2021</w:t>
      </w:r>
      <w:r>
        <w:rPr>
          <w:rFonts w:ascii="Times New Roman" w:hAnsi="Times New Roman"/>
          <w:sz w:val="20"/>
        </w:rPr>
        <w:t xml:space="preserve"> </w:t>
      </w:r>
      <w:r>
        <w:rPr>
          <w:rStyle w:val="Emphasis"/>
          <w:rFonts w:ascii="Times New Roman" w:hAnsi="Times New Roman"/>
          <w:sz w:val="20"/>
        </w:rPr>
        <w:t>first</w:t>
      </w:r>
      <w:r>
        <w:rPr>
          <w:rFonts w:ascii="Times New Roman" w:hAnsi="Times New Roman"/>
          <w:sz w:val="20"/>
        </w:rPr>
        <w:t xml:space="preserve"> fiscal quarter with the remaining stores in the United Kingdom and Ireland opening in the </w:t>
      </w:r>
      <w:r>
        <w:rPr>
          <w:rStyle w:val="Emphasis"/>
          <w:rFonts w:ascii="Times New Roman" w:hAnsi="Times New Roman"/>
          <w:sz w:val="20"/>
        </w:rPr>
        <w:t>second</w:t>
      </w:r>
      <w:r>
        <w:rPr>
          <w:rFonts w:ascii="Times New Roman" w:hAnsi="Times New Roman"/>
          <w:sz w:val="20"/>
        </w:rPr>
        <w:t xml:space="preserve"> fiscal quarter and ending the quarter with all stores open. The majority of the Company's Canadian stores were temporarily closed to begin the </w:t>
      </w:r>
      <w:r>
        <w:rPr>
          <w:rStyle w:val="Emphasis"/>
          <w:rFonts w:ascii="Times New Roman" w:hAnsi="Times New Roman"/>
          <w:sz w:val="20"/>
        </w:rPr>
        <w:t>second</w:t>
      </w:r>
      <w:r>
        <w:rPr>
          <w:rFonts w:ascii="Times New Roman" w:hAnsi="Times New Roman"/>
          <w:sz w:val="20"/>
        </w:rPr>
        <w:t xml:space="preserve"> fiscal quarter with the majority reopening in </w:t>
      </w:r>
      <w:r>
        <w:rPr>
          <w:rStyle w:val="Emphasis"/>
          <w:rFonts w:ascii="Times New Roman" w:hAnsi="Times New Roman"/>
          <w:sz w:val="20"/>
        </w:rPr>
        <w:t xml:space="preserve">June 2021 </w:t>
      </w:r>
      <w:r>
        <w:rPr>
          <w:rFonts w:ascii="Times New Roman" w:hAnsi="Times New Roman"/>
          <w:sz w:val="20"/>
        </w:rPr>
        <w:t xml:space="preserve">and with all stores open at the end of </w:t>
      </w:r>
      <w:r>
        <w:rPr>
          <w:rStyle w:val="Emphasis"/>
          <w:rFonts w:ascii="Times New Roman" w:hAnsi="Times New Roman"/>
          <w:sz w:val="20"/>
        </w:rPr>
        <w:t>second</w:t>
      </w:r>
      <w:r>
        <w:rPr>
          <w:rFonts w:ascii="Times New Roman" w:hAnsi="Times New Roman"/>
          <w:sz w:val="20"/>
        </w:rPr>
        <w:t xml:space="preserve"> fiscal quarter.</w:t>
      </w:r>
    </w:p>
    <w:p>
      <w:pPr>
        <w:pStyle w:val="TextBody"/>
        <w:spacing w:before="0" w:after="0"/>
        <w:ind w:left="0" w:right="144" w:firstLine="720"/>
        <w:jc w:val="left"/>
        <w:rPr/>
      </w:pPr>
      <w:r>
        <w:rPr/>
        <w:t> </w:t>
      </w:r>
    </w:p>
    <w:p>
      <w:pPr>
        <w:pStyle w:val="TextBody"/>
        <w:spacing w:before="0" w:after="0"/>
        <w:ind w:left="0" w:right="0" w:firstLine="540"/>
        <w:jc w:val="left"/>
        <w:rPr>
          <w:rFonts w:ascii="Times New Roman" w:hAnsi="Times New Roman"/>
          <w:i/>
          <w:sz w:val="20"/>
        </w:rPr>
      </w:pPr>
      <w:r>
        <w:rPr>
          <w:rFonts w:ascii="Times New Roman" w:hAnsi="Times New Roman"/>
          <w:i/>
          <w:sz w:val="20"/>
        </w:rPr>
        <w:t>Significant Accounting Policies</w:t>
      </w:r>
    </w:p>
    <w:p>
      <w:pPr>
        <w:pStyle w:val="TextBody"/>
        <w:spacing w:before="0" w:after="0"/>
        <w:ind w:left="0" w:right="0" w:firstLine="540"/>
        <w:jc w:val="left"/>
        <w:rPr/>
      </w:pPr>
      <w:r>
        <w:rPr/>
        <w:t> </w:t>
      </w:r>
    </w:p>
    <w:p>
      <w:pPr>
        <w:pStyle w:val="TextBody"/>
        <w:spacing w:before="0" w:after="0"/>
        <w:ind w:left="0" w:right="0" w:firstLine="720"/>
        <w:jc w:val="left"/>
        <w:rPr/>
      </w:pPr>
      <w:r>
        <w:rPr>
          <w:rFonts w:ascii="Times New Roman" w:hAnsi="Times New Roman"/>
          <w:sz w:val="20"/>
        </w:rPr>
        <w:t xml:space="preserve">The Company's significant accounting policies are summarized in Note </w:t>
      </w:r>
      <w:r>
        <w:rPr>
          <w:rStyle w:val="Emphasis"/>
          <w:rFonts w:ascii="Times New Roman" w:hAnsi="Times New Roman"/>
          <w:sz w:val="20"/>
        </w:rPr>
        <w:t>2</w:t>
      </w:r>
      <w:r>
        <w:rPr>
          <w:rFonts w:ascii="Times New Roman" w:hAnsi="Times New Roman"/>
          <w:sz w:val="20"/>
        </w:rPr>
        <w:t xml:space="preserve"> to the consolidated financial statements included in its Form </w:t>
      </w:r>
      <w:r>
        <w:rPr>
          <w:rStyle w:val="Emphasis"/>
          <w:rFonts w:ascii="Times New Roman" w:hAnsi="Times New Roman"/>
          <w:sz w:val="20"/>
        </w:rPr>
        <w:t>10</w:t>
      </w:r>
      <w:r>
        <w:rPr>
          <w:rFonts w:ascii="Times New Roman" w:hAnsi="Times New Roman"/>
          <w:sz w:val="20"/>
        </w:rPr>
        <w:t xml:space="preserve">-K for the year ended </w:t>
      </w:r>
      <w:r>
        <w:rPr>
          <w:rStyle w:val="Emphasis"/>
          <w:rFonts w:ascii="Times New Roman" w:hAnsi="Times New Roman"/>
          <w:sz w:val="20"/>
        </w:rPr>
        <w:t>January 30, 2021.</w:t>
      </w:r>
    </w:p>
    <w:p>
      <w:pPr>
        <w:pStyle w:val="TextBody"/>
        <w:spacing w:before="0" w:after="0"/>
        <w:ind w:left="0" w:right="0" w:firstLine="720"/>
        <w:rPr>
          <w:caps w:val="false"/>
          <w:smallCaps w:val="false"/>
        </w:rPr>
      </w:pPr>
      <w:r>
        <w:rPr>
          <w:caps w:val="false"/>
          <w:smallCaps w:val="false"/>
        </w:rPr>
        <w:t> </w:t>
      </w:r>
    </w:p>
    <w:p>
      <w:pPr>
        <w:pStyle w:val="TextBody"/>
        <w:spacing w:before="0" w:after="0"/>
        <w:ind w:left="160" w:right="0" w:hanging="0"/>
        <w:rPr>
          <w:rFonts w:ascii="Times New Roman" w:hAnsi="Times New Roman"/>
          <w:i/>
          <w:caps w:val="false"/>
          <w:smallCaps w:val="false"/>
          <w:sz w:val="20"/>
        </w:rPr>
      </w:pPr>
      <w:r>
        <w:rPr>
          <w:rFonts w:ascii="Times New Roman" w:hAnsi="Times New Roman"/>
          <w:i/>
          <w:caps w:val="false"/>
          <w:smallCaps w:val="false"/>
          <w:sz w:val="20"/>
        </w:rPr>
        <w:t>Government Grants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As a result of the pandemic, governments enacted relief legislation and stimulus packages to help combat the economic effects through such things as payroll expense reimbursement and business and restart grants. Due to the nature of these grants relating to income, they can be presented in </w:t>
      </w:r>
      <w:r>
        <w:rPr>
          <w:rStyle w:val="Emphasis"/>
          <w:rFonts w:ascii="Times New Roman" w:hAnsi="Times New Roman"/>
          <w:caps w:val="false"/>
          <w:smallCaps w:val="false"/>
          <w:sz w:val="20"/>
        </w:rPr>
        <w:t>one</w:t>
      </w:r>
      <w:r>
        <w:rPr>
          <w:rFonts w:ascii="Times New Roman" w:hAnsi="Times New Roman"/>
          <w:caps w:val="false"/>
          <w:smallCaps w:val="false"/>
          <w:sz w:val="20"/>
        </w:rPr>
        <w:t> of </w:t>
      </w:r>
      <w:r>
        <w:rPr>
          <w:rStyle w:val="Emphasis"/>
          <w:rFonts w:ascii="Times New Roman" w:hAnsi="Times New Roman"/>
          <w:caps w:val="false"/>
          <w:smallCaps w:val="false"/>
          <w:sz w:val="20"/>
        </w:rPr>
        <w:t>two</w:t>
      </w:r>
      <w:r>
        <w:rPr>
          <w:rFonts w:ascii="Times New Roman" w:hAnsi="Times New Roman"/>
          <w:caps w:val="false"/>
          <w:smallCaps w:val="false"/>
          <w:sz w:val="20"/>
        </w:rPr>
        <w:t> ways: (</w:t>
      </w:r>
      <w:r>
        <w:rPr>
          <w:rStyle w:val="Emphasis"/>
          <w:rFonts w:ascii="Times New Roman" w:hAnsi="Times New Roman"/>
          <w:caps w:val="false"/>
          <w:smallCaps w:val="false"/>
          <w:sz w:val="20"/>
        </w:rPr>
        <w:t>1</w:t>
      </w:r>
      <w:r>
        <w:rPr>
          <w:rFonts w:ascii="Times New Roman" w:hAnsi="Times New Roman"/>
          <w:caps w:val="false"/>
          <w:smallCaps w:val="false"/>
          <w:sz w:val="20"/>
        </w:rPr>
        <w:t>) a credit in the income statement under a general heading such as "other income" or (</w:t>
      </w:r>
      <w:r>
        <w:rPr>
          <w:rStyle w:val="Emphasis"/>
          <w:rFonts w:ascii="Times New Roman" w:hAnsi="Times New Roman"/>
          <w:caps w:val="false"/>
          <w:smallCaps w:val="false"/>
          <w:sz w:val="20"/>
        </w:rPr>
        <w:t>2</w:t>
      </w:r>
      <w:r>
        <w:rPr>
          <w:rFonts w:ascii="Times New Roman" w:hAnsi="Times New Roman"/>
          <w:caps w:val="false"/>
          <w:smallCaps w:val="false"/>
          <w:sz w:val="20"/>
        </w:rPr>
        <w:t>) as a reduction to the related expense. The Company applied for reimbursement of payroll expenses in certain jurisdictions through COVID-</w:t>
      </w:r>
      <w:r>
        <w:rPr>
          <w:rStyle w:val="Emphasis"/>
          <w:rFonts w:ascii="Times New Roman" w:hAnsi="Times New Roman"/>
          <w:caps w:val="false"/>
          <w:smallCaps w:val="false"/>
          <w:sz w:val="20"/>
        </w:rPr>
        <w:t>19</w:t>
      </w:r>
      <w:r>
        <w:rPr>
          <w:rFonts w:ascii="Times New Roman" w:hAnsi="Times New Roman"/>
          <w:caps w:val="false"/>
          <w:smallCaps w:val="false"/>
          <w:sz w:val="20"/>
        </w:rPr>
        <w:t> related government programs for payroll paid to employees who were paid while </w:t>
      </w:r>
      <w:r>
        <w:rPr>
          <w:rStyle w:val="Emphasis"/>
          <w:rFonts w:ascii="Times New Roman" w:hAnsi="Times New Roman"/>
          <w:caps w:val="false"/>
          <w:smallCaps w:val="false"/>
          <w:sz w:val="20"/>
        </w:rPr>
        <w:t>not</w:t>
      </w:r>
      <w:r>
        <w:rPr>
          <w:rFonts w:ascii="Times New Roman" w:hAnsi="Times New Roman"/>
          <w:caps w:val="false"/>
          <w:smallCaps w:val="false"/>
          <w:sz w:val="20"/>
        </w:rPr>
        <w:t> providing services to the Company and for business and restart grants from the United Kingdom government for businesses in the retail, hospitality and leisure sectors. The Company recorded a reduction of expenses of less than $0.1 million for the </w:t>
      </w:r>
      <w:r>
        <w:rPr>
          <w:rStyle w:val="Emphasis"/>
          <w:rFonts w:ascii="Times New Roman" w:hAnsi="Times New Roman"/>
          <w:caps w:val="false"/>
          <w:smallCaps w:val="false"/>
          <w:sz w:val="20"/>
        </w:rPr>
        <w:t>thirteen</w:t>
      </w:r>
      <w:r>
        <w:rPr>
          <w:rFonts w:ascii="Times New Roman" w:hAnsi="Times New Roman"/>
          <w:caps w:val="false"/>
          <w:smallCaps w:val="false"/>
          <w:sz w:val="20"/>
        </w:rPr>
        <w:t xml:space="preserve"> weeks ended </w:t>
      </w:r>
      <w:r>
        <w:rPr>
          <w:rStyle w:val="Emphasis"/>
          <w:rFonts w:ascii="Times New Roman" w:hAnsi="Times New Roman"/>
          <w:caps w:val="false"/>
          <w:smallCaps w:val="false"/>
          <w:sz w:val="20"/>
        </w:rPr>
        <w:t>July 31, 2021</w:t>
      </w:r>
      <w:r>
        <w:rPr>
          <w:rFonts w:ascii="Times New Roman" w:hAnsi="Times New Roman"/>
          <w:caps w:val="false"/>
          <w:smallCaps w:val="false"/>
          <w:sz w:val="20"/>
        </w:rPr>
        <w:t xml:space="preserve"> related to these wages within the Selling, general and administrative line in the Condensed Consolidated Statement of Operations and Comprehensive Income (Loss) for employees in various jurisdictions. For the </w:t>
      </w:r>
      <w:r>
        <w:rPr>
          <w:rStyle w:val="Emphasis"/>
          <w:rFonts w:ascii="Times New Roman" w:hAnsi="Times New Roman"/>
          <w:caps w:val="false"/>
          <w:smallCaps w:val="false"/>
          <w:sz w:val="20"/>
        </w:rPr>
        <w:t>thirteen</w:t>
      </w:r>
      <w:r>
        <w:rPr>
          <w:rFonts w:ascii="Times New Roman" w:hAnsi="Times New Roman"/>
          <w:caps w:val="false"/>
          <w:smallCaps w:val="false"/>
          <w:sz w:val="20"/>
        </w:rPr>
        <w:t xml:space="preserve"> weeks ended </w:t>
      </w:r>
      <w:r>
        <w:rPr>
          <w:rStyle w:val="Emphasis"/>
          <w:rFonts w:ascii="Times New Roman" w:hAnsi="Times New Roman"/>
          <w:caps w:val="false"/>
          <w:smallCaps w:val="false"/>
          <w:sz w:val="20"/>
        </w:rPr>
        <w:t>August 1, 2020</w:t>
      </w:r>
      <w:r>
        <w:rPr>
          <w:rFonts w:ascii="Times New Roman" w:hAnsi="Times New Roman"/>
          <w:caps w:val="false"/>
          <w:smallCaps w:val="false"/>
          <w:sz w:val="20"/>
        </w:rPr>
        <w:t>, the Company recorded a reduction to expense of $1.5 million. For the </w:t>
      </w:r>
      <w:r>
        <w:rPr>
          <w:rStyle w:val="Emphasis"/>
          <w:rFonts w:ascii="Times New Roman" w:hAnsi="Times New Roman"/>
          <w:caps w:val="false"/>
          <w:smallCaps w:val="false"/>
          <w:sz w:val="20"/>
        </w:rPr>
        <w:t>twenty-six</w:t>
      </w:r>
      <w:r>
        <w:rPr>
          <w:rFonts w:ascii="Times New Roman" w:hAnsi="Times New Roman"/>
          <w:caps w:val="false"/>
          <w:smallCaps w:val="false"/>
          <w:sz w:val="20"/>
        </w:rPr>
        <w:t xml:space="preserve"> weeks ended </w:t>
      </w:r>
      <w:r>
        <w:rPr>
          <w:rStyle w:val="Emphasis"/>
          <w:rFonts w:ascii="Times New Roman" w:hAnsi="Times New Roman"/>
          <w:caps w:val="false"/>
          <w:smallCaps w:val="false"/>
          <w:sz w:val="20"/>
        </w:rPr>
        <w:t xml:space="preserve">July 31, 2021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August 1, 2020</w:t>
      </w:r>
      <w:r>
        <w:rPr>
          <w:rFonts w:ascii="Times New Roman" w:hAnsi="Times New Roman"/>
          <w:caps w:val="false"/>
          <w:smallCaps w:val="false"/>
          <w:sz w:val="20"/>
        </w:rPr>
        <w:t>, the Company recorded a reduction of expense related to payroll reimbursements of $1.0 million and $3.0 million, respectively. The business and restart grants in the United Kingdom for businesses in the non-essential retail, hospitality and leisure sectors, were applied for on a per-property basis to support businesses through the latest lockdown restrictions. For the </w:t>
      </w:r>
      <w:r>
        <w:rPr>
          <w:rStyle w:val="Emphasis"/>
          <w:rFonts w:ascii="Times New Roman" w:hAnsi="Times New Roman"/>
          <w:caps w:val="false"/>
          <w:smallCaps w:val="false"/>
          <w:sz w:val="20"/>
        </w:rPr>
        <w:t>thirteen</w:t>
      </w:r>
      <w:r>
        <w:rPr>
          <w:rFonts w:ascii="Times New Roman" w:hAnsi="Times New Roman"/>
          <w:caps w:val="false"/>
          <w:smallCaps w:val="false"/>
          <w:sz w:val="20"/>
        </w:rPr>
        <w:t xml:space="preserve"> weeks ended </w:t>
      </w:r>
      <w:r>
        <w:rPr>
          <w:rStyle w:val="Emphasis"/>
          <w:rFonts w:ascii="Times New Roman" w:hAnsi="Times New Roman"/>
          <w:caps w:val="false"/>
          <w:smallCaps w:val="false"/>
          <w:sz w:val="20"/>
        </w:rPr>
        <w:t>July 31, 2021</w:t>
      </w:r>
      <w:r>
        <w:rPr>
          <w:rFonts w:ascii="Times New Roman" w:hAnsi="Times New Roman"/>
          <w:caps w:val="false"/>
          <w:smallCaps w:val="false"/>
          <w:sz w:val="20"/>
        </w:rPr>
        <w:t xml:space="preserve">, the Company recorded an expense of less than $0.1 million due to and adjustment of the amounts recorded in the prior fiscal quarter. This amount was recorded as "other expense" within the Selling, general and administrative line in the Condensed Consolidated Statement of Operations and Comprehensive Income (Loss). The Company did not record income related to business or restart grants in the </w:t>
      </w:r>
      <w:r>
        <w:rPr>
          <w:rStyle w:val="Emphasis"/>
          <w:rFonts w:ascii="Times New Roman" w:hAnsi="Times New Roman"/>
          <w:caps w:val="false"/>
          <w:smallCaps w:val="false"/>
          <w:sz w:val="20"/>
        </w:rPr>
        <w:t>thirteen</w:t>
      </w:r>
      <w:r>
        <w:rPr>
          <w:rFonts w:ascii="Times New Roman" w:hAnsi="Times New Roman"/>
          <w:caps w:val="false"/>
          <w:smallCaps w:val="false"/>
          <w:sz w:val="20"/>
        </w:rPr>
        <w:t xml:space="preserve"> weeks ended </w:t>
      </w:r>
      <w:r>
        <w:rPr>
          <w:rStyle w:val="Emphasis"/>
          <w:rFonts w:ascii="Times New Roman" w:hAnsi="Times New Roman"/>
          <w:caps w:val="false"/>
          <w:smallCaps w:val="false"/>
          <w:sz w:val="20"/>
        </w:rPr>
        <w:t>August 1, 2020</w:t>
      </w:r>
      <w:r>
        <w:rPr>
          <w:rFonts w:ascii="Times New Roman" w:hAnsi="Times New Roman"/>
          <w:caps w:val="false"/>
          <w:smallCaps w:val="false"/>
          <w:sz w:val="20"/>
        </w:rPr>
        <w:t xml:space="preserve">. For the </w:t>
      </w:r>
      <w:r>
        <w:rPr>
          <w:rStyle w:val="Emphasis"/>
          <w:rFonts w:ascii="Times New Roman" w:hAnsi="Times New Roman"/>
          <w:caps w:val="false"/>
          <w:smallCaps w:val="false"/>
          <w:sz w:val="20"/>
        </w:rPr>
        <w:t>twenty-six</w:t>
      </w:r>
      <w:r>
        <w:rPr>
          <w:rFonts w:ascii="Times New Roman" w:hAnsi="Times New Roman"/>
          <w:caps w:val="false"/>
          <w:smallCaps w:val="false"/>
          <w:sz w:val="20"/>
        </w:rPr>
        <w:t xml:space="preserve"> weeks ended </w:t>
      </w:r>
      <w:r>
        <w:rPr>
          <w:rStyle w:val="Emphasis"/>
          <w:rFonts w:ascii="Times New Roman" w:hAnsi="Times New Roman"/>
          <w:caps w:val="false"/>
          <w:smallCaps w:val="false"/>
          <w:sz w:val="20"/>
        </w:rPr>
        <w:t>July 31, 2021</w:t>
      </w:r>
      <w:r>
        <w:rPr>
          <w:rFonts w:ascii="Times New Roman" w:hAnsi="Times New Roman"/>
          <w:caps w:val="false"/>
          <w:smallCaps w:val="false"/>
          <w:sz w:val="20"/>
        </w:rPr>
        <w:t xml:space="preserve">, the Company recorded $0.9 million of business and restart grants. The Company did not record income related to business or restart grants for the </w:t>
      </w:r>
      <w:r>
        <w:rPr>
          <w:rStyle w:val="Emphasis"/>
          <w:rFonts w:ascii="Times New Roman" w:hAnsi="Times New Roman"/>
          <w:caps w:val="false"/>
          <w:smallCaps w:val="false"/>
          <w:sz w:val="20"/>
        </w:rPr>
        <w:t>twenty-six</w:t>
      </w:r>
      <w:r>
        <w:rPr>
          <w:rFonts w:ascii="Times New Roman" w:hAnsi="Times New Roman"/>
          <w:caps w:val="false"/>
          <w:smallCaps w:val="false"/>
          <w:sz w:val="20"/>
        </w:rPr>
        <w:t xml:space="preserve"> weeks ended </w:t>
      </w:r>
      <w:r>
        <w:rPr>
          <w:rStyle w:val="Emphasis"/>
          <w:rFonts w:ascii="Times New Roman" w:hAnsi="Times New Roman"/>
          <w:caps w:val="false"/>
          <w:smallCaps w:val="false"/>
          <w:sz w:val="20"/>
        </w:rPr>
        <w:t>August 1, 2020</w:t>
      </w:r>
      <w:r>
        <w:rPr>
          <w:rFonts w:ascii="Times New Roman" w:hAnsi="Times New Roman"/>
          <w:caps w:val="false"/>
          <w:smallCaps w:val="false"/>
          <w:sz w:val="20"/>
        </w:rPr>
        <w:t>.</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rPr>
          <w:rFonts w:ascii="Times New Roman" w:hAnsi="Times New Roman"/>
          <w:i/>
          <w:caps w:val="false"/>
          <w:smallCaps w:val="false"/>
          <w:sz w:val="20"/>
        </w:rPr>
      </w:pPr>
      <w:r>
        <w:rPr>
          <w:rFonts w:ascii="Times New Roman" w:hAnsi="Times New Roman"/>
          <w:i/>
          <w:caps w:val="false"/>
          <w:smallCaps w:val="false"/>
          <w:sz w:val="20"/>
        </w:rPr>
        <w:t>Entertainment Production Costs</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pPr>
      <w:r>
        <w:rPr>
          <w:rFonts w:ascii="Times New Roman" w:hAnsi="Times New Roman"/>
          <w:caps w:val="false"/>
          <w:smallCaps w:val="false"/>
          <w:sz w:val="20"/>
        </w:rPr>
        <w:t xml:space="preserve">Costs of producing entertainment assets, which include direct costs, production overhead and development costs, are capitalized when incurred and are stated at the lower of cost, less accumulated amortization, or fair value. For film related costs, the Company expects assets to be monetized individually and will be amortized using the individual film-forecast-computation method which amortizes such costs in the same ratio that current period actual revenue bears to the estimated remaining unrecognized total revenues (ultimate revenue). Ultimate revenue includes estimates over a period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to exceed </w:t>
      </w:r>
      <w:r>
        <w:rPr>
          <w:rStyle w:val="Emphasis"/>
          <w:rFonts w:ascii="Times New Roman" w:hAnsi="Times New Roman"/>
          <w:caps w:val="false"/>
          <w:smallCaps w:val="false"/>
          <w:sz w:val="20"/>
        </w:rPr>
        <w:t>ten</w:t>
      </w:r>
      <w:r>
        <w:rPr>
          <w:rFonts w:ascii="Times New Roman" w:hAnsi="Times New Roman"/>
          <w:caps w:val="false"/>
          <w:smallCaps w:val="false"/>
          <w:sz w:val="20"/>
        </w:rPr>
        <w:t xml:space="preserve"> years from the date of initial release of the film. Participation costs and residuals are accrued and expensed over the applicable product life cycle based upon the ratio of the current period's revenues to the estimated remaining total revenues for each production.</w:t>
      </w:r>
    </w:p>
    <w:p>
      <w:pPr>
        <w:pStyle w:val="TextBody"/>
        <w:spacing w:before="0" w:after="0"/>
        <w:ind w:left="0" w:right="0" w:firstLine="720"/>
        <w:rPr>
          <w:caps w:val="false"/>
          <w:smallCaps w:val="false"/>
        </w:rPr>
      </w:pPr>
      <w:r>
        <w:rPr>
          <w:caps w:val="false"/>
          <w:smallCaps w:val="false"/>
        </w:rPr>
        <w:t> </w:t>
      </w:r>
    </w:p>
    <w:p>
      <w:pPr>
        <w:pStyle w:val="TextBody"/>
        <w:spacing w:before="0" w:after="0"/>
        <w:jc w:val="center"/>
        <w:rPr/>
      </w:pPr>
      <w:r>
        <w:rPr>
          <w:rStyle w:val="Emphasis"/>
          <w:rFonts w:ascii="Times New Roman" w:hAnsi="Times New Roman"/>
          <w:sz w:val="20"/>
        </w:rPr>
        <w:t>7</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firstLine="720"/>
        <w:rPr/>
      </w:pPr>
      <w:r>
        <w:rPr>
          <w:rFonts w:ascii="Times New Roman" w:hAnsi="Times New Roman"/>
          <w:caps w:val="false"/>
          <w:smallCaps w:val="false"/>
          <w:sz w:val="20"/>
        </w:rPr>
        <w:t xml:space="preserve">Costs of entertainment productions are subject to recoverability assessments, which for content predominantly monetized individually, compare the estimated fair values with the unamortized cost, whenever events or changes in circumstances indicate that the fair value of the film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less than the unamortized cost. The fair value is determined based on a discounted cash flow analysis of the cash flows directly attributable to the entertainment assets. The discounted cash flow analysis includes cash flow estimates of ultimate revenue as well as a discount rate (a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fair value measurement). The discount rate used in the Company’s discounted cash flow model will reflect the time value of money, expectations about variation in the amount or timing of the most likely cash flows, and the price market participants would seek for bearing the uncertainty inherent with the film asset. The amount by which the unamortized costs of entertainment assets exceed their estimated fair values are written off. As of </w:t>
      </w:r>
      <w:r>
        <w:rPr>
          <w:rStyle w:val="Emphasis"/>
          <w:rFonts w:ascii="Times New Roman" w:hAnsi="Times New Roman"/>
          <w:caps w:val="false"/>
          <w:smallCaps w:val="false"/>
          <w:sz w:val="20"/>
        </w:rPr>
        <w:t xml:space="preserve"> July 31, 2021</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 xml:space="preserve"> August 1, 2020</w:t>
      </w:r>
      <w:r>
        <w:rPr>
          <w:rFonts w:ascii="Times New Roman" w:hAnsi="Times New Roman"/>
          <w:caps w:val="false"/>
          <w:smallCaps w:val="false"/>
          <w:sz w:val="20"/>
        </w:rPr>
        <w:t>, the Company had capitalized entertainment production costs of $5.3 million and $0.3 million, respectively. The entertainment production comprising a significant portion of the capitalized entertainment production costs balance as of </w:t>
      </w:r>
      <w:r>
        <w:rPr>
          <w:rStyle w:val="Emphasis"/>
          <w:rFonts w:ascii="Times New Roman" w:hAnsi="Times New Roman"/>
          <w:caps w:val="false"/>
          <w:smallCaps w:val="false"/>
          <w:sz w:val="20"/>
        </w:rPr>
        <w:t xml:space="preserve"> July 31, 2021</w:t>
      </w:r>
      <w:r>
        <w:rPr>
          <w:rFonts w:ascii="Times New Roman" w:hAnsi="Times New Roman"/>
          <w:caps w:val="false"/>
          <w:smallCaps w:val="false"/>
          <w:sz w:val="20"/>
        </w:rPr>
        <w:t xml:space="preserve"> is expected to be released in late </w:t>
      </w:r>
      <w:r>
        <w:rPr>
          <w:rStyle w:val="Emphasis"/>
          <w:rFonts w:ascii="Times New Roman" w:hAnsi="Times New Roman"/>
          <w:caps w:val="false"/>
          <w:smallCaps w:val="false"/>
          <w:sz w:val="20"/>
        </w:rPr>
        <w:t>October 2021.</w:t>
      </w:r>
    </w:p>
    <w:p>
      <w:pPr>
        <w:pStyle w:val="TextBody"/>
        <w:rPr/>
      </w:pPr>
      <w:r>
        <w:rPr/>
        <w:t xml:space="preserve">  </w:t>
      </w:r>
    </w:p>
    <w:p>
      <w:pPr>
        <w:pStyle w:val="TextBody"/>
        <w:spacing w:before="0" w:after="0"/>
        <w:ind w:left="0" w:right="0" w:hanging="0"/>
        <w:jc w:val="left"/>
        <w:rPr/>
      </w:pPr>
      <w:r>
        <w:rPr>
          <w:rStyle w:val="Emphasis"/>
          <w:rFonts w:ascii="Times New Roman;Times;serif" w:hAnsi="Times New Roman;Times;serif"/>
          <w:b/>
          <w:sz w:val="20"/>
        </w:rPr>
        <w:t>2.</w:t>
      </w:r>
      <w:r>
        <w:rPr>
          <w:rFonts w:ascii="Times New Roman;Times;serif" w:hAnsi="Times New Roman;Times;serif"/>
          <w:b/>
          <w:sz w:val="20"/>
        </w:rPr>
        <w:t xml:space="preserve"> Revenue </w:t>
      </w:r>
    </w:p>
    <w:p>
      <w:pPr>
        <w:pStyle w:val="TextBody"/>
        <w:spacing w:before="0" w:after="0"/>
        <w:ind w:left="144" w:right="144" w:hanging="0"/>
        <w:jc w:val="left"/>
        <w:rPr/>
      </w:pPr>
      <w:r>
        <w:rPr/>
        <w:t> </w:t>
      </w:r>
    </w:p>
    <w:p>
      <w:pPr>
        <w:pStyle w:val="TextBody"/>
        <w:spacing w:before="0" w:after="0"/>
        <w:ind w:left="0" w:right="0" w:firstLine="720"/>
        <w:jc w:val="left"/>
        <w:rPr/>
      </w:pPr>
      <w:r>
        <w:rPr>
          <w:rFonts w:ascii="Times New Roman;Times;serif" w:hAnsi="Times New Roman;Times;serif"/>
          <w:sz w:val="20"/>
        </w:rPr>
        <w:t xml:space="preserve">Nearly all the Company’s revenue is derived from retail sales (including from its e-commerce sites) and is recognized when control of the merchandise is transferred to the customer. The Company's disaggregated revenue is fully disclosed as net sales to external customers by reporting segment and by geographic area (See Note </w:t>
      </w:r>
      <w:r>
        <w:rPr>
          <w:rStyle w:val="Emphasis"/>
          <w:rFonts w:ascii="Times New Roman;Times;serif" w:hAnsi="Times New Roman;Times;serif"/>
          <w:sz w:val="20"/>
        </w:rPr>
        <w:t>11</w:t>
      </w:r>
      <w:r>
        <w:rPr>
          <w:rFonts w:ascii="Times New Roman;Times;serif" w:hAnsi="Times New Roman;Times;serif"/>
          <w:sz w:val="20"/>
        </w:rPr>
        <w:t xml:space="preserve"> — Segment Information for additional information). The Company's direct-to-consumer reporting segment represents 96% of consolidated revenue for the </w:t>
      </w:r>
      <w:r>
        <w:rPr>
          <w:rStyle w:val="Emphasis"/>
          <w:rFonts w:ascii="Times New Roman;Times;serif" w:hAnsi="Times New Roman;Times;serif"/>
          <w:sz w:val="20"/>
        </w:rPr>
        <w:t>second</w:t>
      </w:r>
      <w:r>
        <w:rPr>
          <w:rFonts w:ascii="Times New Roman;Times;serif" w:hAnsi="Times New Roman;Times;serif"/>
          <w:sz w:val="20"/>
        </w:rPr>
        <w:t xml:space="preserve"> quarter of fiscal </w:t>
      </w:r>
      <w:r>
        <w:rPr>
          <w:rStyle w:val="Emphasis"/>
          <w:rFonts w:ascii="Times New Roman;Times;serif" w:hAnsi="Times New Roman;Times;serif"/>
          <w:sz w:val="20"/>
        </w:rPr>
        <w:t>2021.</w:t>
      </w:r>
      <w:r>
        <w:rPr>
          <w:rFonts w:ascii="Times New Roman;Times;serif" w:hAnsi="Times New Roman;Times;serif"/>
          <w:sz w:val="20"/>
        </w:rPr>
        <w:t xml:space="preserve"> The majority of these sales transactions were single performance obligations that were recorded when control was transferred to the customer.</w:t>
      </w:r>
    </w:p>
    <w:p>
      <w:pPr>
        <w:pStyle w:val="TextBody"/>
        <w:spacing w:before="0" w:after="0"/>
        <w:ind w:left="144" w:right="144" w:firstLine="180"/>
        <w:jc w:val="left"/>
        <w:rPr/>
      </w:pPr>
      <w:r>
        <w:rPr/>
        <w:t> </w:t>
      </w:r>
    </w:p>
    <w:p>
      <w:pPr>
        <w:pStyle w:val="TextBody"/>
        <w:spacing w:before="0" w:after="0"/>
        <w:ind w:left="0" w:right="0" w:firstLine="180"/>
        <w:jc w:val="left"/>
        <w:rPr>
          <w:rFonts w:ascii="Times New Roman;Times;serif" w:hAnsi="Times New Roman;Times;serif"/>
          <w:i/>
          <w:sz w:val="20"/>
        </w:rPr>
      </w:pPr>
      <w:r>
        <w:rPr>
          <w:rFonts w:ascii="Times New Roman;Times;serif" w:hAnsi="Times New Roman;Times;serif"/>
          <w:i/>
          <w:sz w:val="20"/>
        </w:rPr>
        <w:t>The following is a description of principal activities from which the Company generates its revenue, by reportable segment.</w:t>
      </w:r>
    </w:p>
    <w:p>
      <w:pPr>
        <w:pStyle w:val="TextBody"/>
        <w:spacing w:before="0" w:after="0"/>
        <w:ind w:left="144" w:right="144" w:firstLine="180"/>
        <w:jc w:val="left"/>
        <w:rPr/>
      </w:pPr>
      <w:r>
        <w:rPr/>
        <w:t> </w:t>
      </w:r>
    </w:p>
    <w:p>
      <w:pPr>
        <w:pStyle w:val="TextBody"/>
        <w:spacing w:before="0" w:after="0"/>
        <w:ind w:left="0" w:right="0" w:firstLine="720"/>
        <w:jc w:val="left"/>
        <w:rPr/>
      </w:pPr>
      <w:r>
        <w:rPr>
          <w:rFonts w:ascii="Times New Roman;Times;serif" w:hAnsi="Times New Roman;Times;serif"/>
          <w:sz w:val="20"/>
        </w:rPr>
        <w:t xml:space="preserve">The Company’s direct-to-consumer segment includes the operating activities of corporately-managed stores, other retail-delivered operations and online sales. Direct-to-consumer revenue is recognized when control of the merchandise is transferred to the customer and for the Company's online sales, generally upon estimated delivery to the customer. Revenue is measured as the amount of consideration, including any discounts or incentives, the Company expects to receive in exchange for transferring the merchandise. Product returns have historically averaged less than </w:t>
      </w:r>
      <w:r>
        <w:rPr>
          <w:rStyle w:val="Emphasis"/>
          <w:rFonts w:ascii="Times New Roman;Times;serif" w:hAnsi="Times New Roman;Times;serif"/>
          <w:sz w:val="20"/>
        </w:rPr>
        <w:t>one</w:t>
      </w:r>
      <w:r>
        <w:rPr>
          <w:rFonts w:ascii="Times New Roman;Times;serif" w:hAnsi="Times New Roman;Times;serif"/>
          <w:sz w:val="20"/>
        </w:rPr>
        <w:t xml:space="preserve">-half of </w:t>
      </w:r>
      <w:r>
        <w:rPr>
          <w:rStyle w:val="Emphasis"/>
          <w:rFonts w:ascii="Times New Roman;Times;serif" w:hAnsi="Times New Roman;Times;serif"/>
          <w:sz w:val="20"/>
        </w:rPr>
        <w:t>one</w:t>
      </w:r>
      <w:r>
        <w:rPr>
          <w:rFonts w:ascii="Times New Roman;Times;serif" w:hAnsi="Times New Roman;Times;serif"/>
          <w:sz w:val="20"/>
        </w:rPr>
        <w:t xml:space="preserve"> percent due to the personalized and interactive nature of sales, where consumers customize their own stuffed animal. The Company has elected to exclude from revenue all collected sales, value added and other taxes paid by its customers.</w:t>
      </w:r>
    </w:p>
    <w:p>
      <w:pPr>
        <w:pStyle w:val="TextBody"/>
        <w:spacing w:before="0" w:after="0"/>
        <w:ind w:left="0" w:right="0" w:firstLine="720"/>
        <w:jc w:val="left"/>
        <w:rPr/>
      </w:pPr>
      <w:r>
        <w:rPr/>
        <w:t> </w:t>
      </w:r>
    </w:p>
    <w:p>
      <w:pPr>
        <w:pStyle w:val="TextBody"/>
        <w:spacing w:before="0" w:after="0"/>
        <w:ind w:left="0" w:right="0" w:firstLine="720"/>
        <w:jc w:val="left"/>
        <w:rPr/>
      </w:pPr>
      <w:r>
        <w:rPr>
          <w:rFonts w:ascii="Times New Roman;Times;serif" w:hAnsi="Times New Roman;Times;serif"/>
          <w:sz w:val="20"/>
        </w:rPr>
        <w:t xml:space="preserve">For the Company’s gift cards, revenue, including any related gift card discounts, is deferred for single transactions until redemption. Historically, the vast majority of gift card redemptions have occurred within two years of acquisition and approximately 75% of gift cards have been redeemed within the </w:t>
      </w:r>
      <w:r>
        <w:rPr>
          <w:rStyle w:val="Emphasis"/>
          <w:rFonts w:ascii="Times New Roman;Times;serif" w:hAnsi="Times New Roman;Times;serif"/>
          <w:sz w:val="20"/>
        </w:rPr>
        <w:t>first</w:t>
      </w:r>
      <w:r>
        <w:rPr>
          <w:rFonts w:ascii="Times New Roman;Times;serif" w:hAnsi="Times New Roman;Times;serif"/>
          <w:sz w:val="20"/>
        </w:rPr>
        <w:t xml:space="preserve"> </w:t>
      </w:r>
      <w:r>
        <w:rPr>
          <w:rStyle w:val="Emphasis"/>
          <w:rFonts w:ascii="Times New Roman;Times;serif" w:hAnsi="Times New Roman;Times;serif"/>
          <w:sz w:val="20"/>
        </w:rPr>
        <w:t>twelve</w:t>
      </w:r>
      <w:r>
        <w:rPr>
          <w:rFonts w:ascii="Times New Roman;Times;serif" w:hAnsi="Times New Roman;Times;serif"/>
          <w:sz w:val="20"/>
        </w:rPr>
        <w:t xml:space="preserve"> months. In addition, unredeemed gift cards or breakage revenue is recorded in proportion to the customer’s redemption period using an estimated breakage rate based on historical experience. For certain qualifying transactions, a portion of revenue transactions are deferred for the obligation related to the Company’s loyalty program or when a material right in the form of a future discount is granted. In these transactions, the transaction price is allocated to the separate performance obligations based on the relative standalone selling price. The standalone selling price for the points earned for the Company's loyalty program is estimated using the net retail value of the merchandise purchased, adjusted for estimated breakage based on historical redemption patterns. The revenue associated with the initial merchandise purchased is recognized immediately and the v</w:t>
      </w:r>
      <w:r>
        <w:rPr>
          <w:rFonts w:ascii="Times New Roman;Times;serif" w:hAnsi="Times New Roman;Times;serif"/>
          <w:sz w:val="20"/>
          <w:highlight w:val="white"/>
        </w:rPr>
        <w:t>alue assigned to the points is deferred until the points are redeemed, forfeited or expired. In regard to the consolidated balance sheet, contract liabilities for gift cards are classified as gift cards and customer deposits and deferred revenues for the Company's loyalty program are classified as deferred revenue and other.</w:t>
      </w:r>
    </w:p>
    <w:p>
      <w:pPr>
        <w:pStyle w:val="TextBody"/>
        <w:spacing w:before="0" w:after="0"/>
        <w:ind w:left="0" w:right="0" w:firstLine="180"/>
        <w:jc w:val="left"/>
        <w:rPr/>
      </w:pPr>
      <w:r>
        <w:rPr/>
        <w:t> </w:t>
      </w:r>
    </w:p>
    <w:p>
      <w:pPr>
        <w:pStyle w:val="TextBody"/>
        <w:spacing w:before="0" w:after="0"/>
        <w:ind w:left="0" w:right="0" w:firstLine="720"/>
        <w:jc w:val="left"/>
        <w:rPr/>
      </w:pPr>
      <w:r>
        <w:rPr>
          <w:rFonts w:ascii="Times New Roman;Times;serif" w:hAnsi="Times New Roman;Times;serif"/>
          <w:sz w:val="20"/>
        </w:rPr>
        <w:t xml:space="preserve">The Company’s commercial segment includes transactions with other businesses and are mainly comprised of licensing the Company’s intellectual properties for </w:t>
      </w:r>
      <w:r>
        <w:rPr>
          <w:rStyle w:val="Emphasis"/>
          <w:rFonts w:ascii="Times New Roman;Times;serif" w:hAnsi="Times New Roman;Times;serif"/>
          <w:sz w:val="20"/>
        </w:rPr>
        <w:t>third</w:t>
      </w:r>
      <w:r>
        <w:rPr>
          <w:rFonts w:ascii="Times New Roman;Times;serif" w:hAnsi="Times New Roman;Times;serif"/>
          <w:sz w:val="20"/>
        </w:rPr>
        <w:t xml:space="preserve">-party use and wholesale sales of merchandise, including supplies and fixtures. Revenue for wholesale sales is recognized when control of the merchandise or fixtures is transferred to the customer, which generally occurs upon delivery to the customer. The license agreements provide the customer with highly interrelated rights that are </w:t>
      </w:r>
      <w:r>
        <w:rPr>
          <w:rStyle w:val="Emphasis"/>
          <w:rFonts w:ascii="Times New Roman;Times;serif" w:hAnsi="Times New Roman;Times;serif"/>
          <w:sz w:val="20"/>
        </w:rPr>
        <w:t>not</w:t>
      </w:r>
      <w:r>
        <w:rPr>
          <w:rFonts w:ascii="Times New Roman;Times;serif" w:hAnsi="Times New Roman;Times;serif"/>
          <w:sz w:val="20"/>
        </w:rPr>
        <w:t xml:space="preserve"> distinct in the context of the contract and therefore, have been accounted for as a single performance obligation and recognized as licensee sales occur. If the contract includes a guaranteed minimum, the minimum guarantee is recognized on a straight-line basis over the guarantee term until such time as royalties earned through licensee sales exceed the minimum guarantee. The Company classifies these guaranteed minimum contract liabilities as deferred revenue on the consolidated balance sheet.</w:t>
      </w:r>
    </w:p>
    <w:p>
      <w:pPr>
        <w:pStyle w:val="TextBody"/>
        <w:spacing w:before="0" w:after="0"/>
        <w:ind w:left="0" w:right="0" w:firstLine="720"/>
        <w:jc w:val="left"/>
        <w:rPr/>
      </w:pPr>
      <w:r>
        <w:rPr/>
        <w:t> </w:t>
      </w:r>
    </w:p>
    <w:p>
      <w:pPr>
        <w:pStyle w:val="TextBody"/>
        <w:spacing w:before="0" w:after="0"/>
        <w:ind w:left="0" w:right="0" w:firstLine="720"/>
        <w:jc w:val="left"/>
        <w:rPr/>
      </w:pPr>
      <w:r>
        <w:rPr>
          <w:rFonts w:ascii="Times New Roman;Times;serif" w:hAnsi="Times New Roman;Times;serif"/>
          <w:sz w:val="20"/>
        </w:rPr>
        <w:t xml:space="preserve">The Company’s international franchising segment includes the activities with franchisees who operate store locations in certain countries and includes development fees, sales-based royalties and merchandise, including supplies and fixture sales. The Company's obligations under the franchise agreements are ongoing and include operations and product development support and training, generally concentrated around initial store openings. These obligations are highly interrelated rights that are </w:t>
      </w:r>
      <w:r>
        <w:rPr>
          <w:rStyle w:val="Emphasis"/>
          <w:rFonts w:ascii="Times New Roman;Times;serif" w:hAnsi="Times New Roman;Times;serif"/>
          <w:sz w:val="20"/>
        </w:rPr>
        <w:t>not</w:t>
      </w:r>
      <w:r>
        <w:rPr>
          <w:rFonts w:ascii="Times New Roman;Times;serif" w:hAnsi="Times New Roman;Times;serif"/>
          <w:sz w:val="20"/>
        </w:rPr>
        <w:t xml:space="preserve"> distinct in the context of the contract and, therefore, have been accounted for as a single performance obligation and recognized as franchisee sales occur. If the contract includes an initial, </w:t>
      </w:r>
      <w:r>
        <w:rPr>
          <w:rStyle w:val="Emphasis"/>
          <w:rFonts w:ascii="Times New Roman;Times;serif" w:hAnsi="Times New Roman;Times;serif"/>
          <w:sz w:val="20"/>
        </w:rPr>
        <w:t>one</w:t>
      </w:r>
      <w:r>
        <w:rPr>
          <w:rFonts w:ascii="Times New Roman;Times;serif" w:hAnsi="Times New Roman;Times;serif"/>
          <w:sz w:val="20"/>
        </w:rPr>
        <w:t xml:space="preserve">-time nonrefundable development fee, this fee is recognized on a straight-line basis over the term of the franchise agreement, which </w:t>
      </w:r>
      <w:r>
        <w:rPr>
          <w:rStyle w:val="Emphasis"/>
          <w:rFonts w:ascii="Times New Roman;Times;serif" w:hAnsi="Times New Roman;Times;serif"/>
          <w:sz w:val="20"/>
        </w:rPr>
        <w:t xml:space="preserve">may </w:t>
      </w:r>
      <w:r>
        <w:rPr>
          <w:rFonts w:ascii="Times New Roman;Times;serif" w:hAnsi="Times New Roman;Times;serif"/>
          <w:sz w:val="20"/>
        </w:rPr>
        <w:t xml:space="preserve">extend for periods up to 25 years, or sooner if the agreement is terminated prior to the end of the term. The Company classifies these initial, </w:t>
      </w:r>
      <w:r>
        <w:rPr>
          <w:rStyle w:val="Emphasis"/>
          <w:rFonts w:ascii="Times New Roman;Times;serif" w:hAnsi="Times New Roman;Times;serif"/>
          <w:sz w:val="20"/>
        </w:rPr>
        <w:t>one</w:t>
      </w:r>
      <w:r>
        <w:rPr>
          <w:rFonts w:ascii="Times New Roman;Times;serif" w:hAnsi="Times New Roman;Times;serif"/>
          <w:sz w:val="20"/>
        </w:rPr>
        <w:t>-time nonrefundable franchise fee contract liabilities as deferred</w:t>
      </w:r>
    </w:p>
    <w:p>
      <w:pPr>
        <w:pStyle w:val="TextBody"/>
        <w:spacing w:before="0" w:after="0"/>
        <w:ind w:left="0" w:right="0" w:firstLine="540"/>
        <w:jc w:val="left"/>
        <w:rPr/>
      </w:pPr>
      <w:r>
        <w:rPr/>
        <w:t> </w:t>
      </w:r>
    </w:p>
    <w:p>
      <w:pPr>
        <w:pStyle w:val="TextBody"/>
        <w:spacing w:before="0" w:after="0"/>
        <w:jc w:val="center"/>
        <w:rPr/>
      </w:pPr>
      <w:r>
        <w:rPr>
          <w:rStyle w:val="Emphasis"/>
          <w:rFonts w:ascii="Times New Roman" w:hAnsi="Times New Roman"/>
          <w:sz w:val="20"/>
        </w:rPr>
        <w:t>8</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sz w:val="20"/>
        </w:rPr>
        <w:t>revenue on its consolidated balance sheet. Revenue from merchandise and fixture sales is recognized when control is transferred to the franchisee which generally occurs upon delivery.</w:t>
      </w:r>
    </w:p>
    <w:p>
      <w:pPr>
        <w:pStyle w:val="TextBody"/>
        <w:spacing w:before="0" w:after="0"/>
        <w:ind w:left="0" w:right="0" w:firstLine="720"/>
        <w:jc w:val="left"/>
        <w:rPr/>
      </w:pPr>
      <w:r>
        <w:rPr/>
        <w:t> </w:t>
      </w:r>
    </w:p>
    <w:p>
      <w:pPr>
        <w:pStyle w:val="TextBody"/>
        <w:spacing w:before="0" w:after="0"/>
        <w:ind w:left="0" w:right="0" w:firstLine="720"/>
        <w:jc w:val="left"/>
        <w:rPr/>
      </w:pPr>
      <w:r>
        <w:rPr>
          <w:rFonts w:ascii="Times New Roman;Times;serif" w:hAnsi="Times New Roman;Times;serif"/>
          <w:sz w:val="20"/>
        </w:rPr>
        <w:t xml:space="preserve">The Company also incurs expenses directly related to the startup of new franchises, which </w:t>
      </w:r>
      <w:r>
        <w:rPr>
          <w:rStyle w:val="Emphasis"/>
          <w:rFonts w:ascii="Times New Roman;Times;serif" w:hAnsi="Times New Roman;Times;serif"/>
          <w:sz w:val="20"/>
        </w:rPr>
        <w:t xml:space="preserve">may </w:t>
      </w:r>
      <w:r>
        <w:rPr>
          <w:rFonts w:ascii="Times New Roman;Times;serif" w:hAnsi="Times New Roman;Times;serif"/>
          <w:sz w:val="20"/>
        </w:rPr>
        <w:t>include finder’s fees, legal and travel costs, expenses related to its ongoing support of the franchises and employee compensation. Accordingly, the Company’s policy is to capitalize any finder’s fee, an incremental cost, and expense all other costs as incurred. Additionally, the Company amortizes these capitalized costs into expense in the same pattern as the development fee's recording of revenue as described previously.</w:t>
      </w:r>
    </w:p>
    <w:p>
      <w:pPr>
        <w:pStyle w:val="TextBody"/>
        <w:rPr/>
      </w:pPr>
      <w:r>
        <w:rPr/>
        <w:t xml:space="preserve">  </w:t>
      </w:r>
    </w:p>
    <w:p>
      <w:pPr>
        <w:pStyle w:val="TextBody"/>
        <w:spacing w:before="0" w:after="0"/>
        <w:ind w:left="0" w:right="0" w:hanging="0"/>
        <w:jc w:val="left"/>
        <w:rPr/>
      </w:pPr>
      <w:r>
        <w:rPr/>
        <w:t> </w:t>
      </w:r>
    </w:p>
    <w:p>
      <w:pPr>
        <w:pStyle w:val="TextBody"/>
        <w:spacing w:before="0" w:after="0"/>
        <w:ind w:left="0" w:right="0" w:hanging="0"/>
        <w:jc w:val="left"/>
        <w:rPr/>
      </w:pPr>
      <w:r>
        <w:rPr>
          <w:rStyle w:val="Emphasis"/>
          <w:rFonts w:ascii="Times New Roman;Times;serif" w:hAnsi="Times New Roman;Times;serif"/>
          <w:b/>
          <w:sz w:val="20"/>
        </w:rPr>
        <w:t>3.</w:t>
      </w:r>
      <w:r>
        <w:rPr>
          <w:rFonts w:ascii="Times New Roman;Times;serif" w:hAnsi="Times New Roman;Times;serif"/>
          <w:b/>
          <w:sz w:val="20"/>
        </w:rPr>
        <w:t xml:space="preserve"> Leases</w:t>
      </w:r>
    </w:p>
    <w:p>
      <w:pPr>
        <w:pStyle w:val="TextBody"/>
        <w:spacing w:before="0" w:after="0"/>
        <w:ind w:left="0" w:right="0" w:firstLine="540"/>
        <w:jc w:val="left"/>
        <w:rPr/>
      </w:pPr>
      <w:r>
        <w:rPr/>
        <w:t> </w:t>
      </w:r>
    </w:p>
    <w:p>
      <w:pPr>
        <w:pStyle w:val="TextBody"/>
        <w:spacing w:before="0" w:after="0"/>
        <w:ind w:left="0" w:right="0" w:firstLine="720"/>
        <w:jc w:val="left"/>
        <w:rPr/>
      </w:pPr>
      <w:r>
        <w:rPr>
          <w:rFonts w:ascii="Times New Roman;Times;serif" w:hAnsi="Times New Roman;Times;serif"/>
          <w:sz w:val="20"/>
        </w:rPr>
        <w:t xml:space="preserve">The majority of the Company's leases relate to retail stores and corporate offices. For leases with terms greater than </w:t>
      </w:r>
      <w:r>
        <w:rPr>
          <w:rStyle w:val="Emphasis"/>
          <w:rFonts w:ascii="Times New Roman;Times;serif" w:hAnsi="Times New Roman;Times;serif"/>
          <w:sz w:val="20"/>
        </w:rPr>
        <w:t>12</w:t>
      </w:r>
      <w:r>
        <w:rPr>
          <w:rFonts w:ascii="Times New Roman;Times;serif" w:hAnsi="Times New Roman;Times;serif"/>
          <w:sz w:val="20"/>
        </w:rPr>
        <w:t xml:space="preserve"> months, the Company records the related asset and obligation at the present value of lease payments over the term. Most new retail store leases have an original term of a five to ten-year base period and </w:t>
      </w:r>
      <w:r>
        <w:rPr>
          <w:rStyle w:val="Emphasis"/>
          <w:rFonts w:ascii="Times New Roman;Times;serif" w:hAnsi="Times New Roman;Times;serif"/>
          <w:sz w:val="20"/>
        </w:rPr>
        <w:t xml:space="preserve">may </w:t>
      </w:r>
      <w:r>
        <w:rPr>
          <w:rFonts w:ascii="Times New Roman;Times;serif" w:hAnsi="Times New Roman;Times;serif"/>
          <w:sz w:val="20"/>
        </w:rPr>
        <w:t xml:space="preserve">include renewal options to extend the lease term beyond the initial base period. The extension periods are typically much shorter than the original lease term giving the Company's strategic decision to maintain a high level of lease optionality. Some leases also include early termination options, which can be exercised under specific conditions. Additionally, the Company </w:t>
      </w:r>
      <w:r>
        <w:rPr>
          <w:rStyle w:val="Emphasis"/>
          <w:rFonts w:ascii="Times New Roman;Times;serif" w:hAnsi="Times New Roman;Times;serif"/>
          <w:sz w:val="20"/>
        </w:rPr>
        <w:t xml:space="preserve">may </w:t>
      </w:r>
      <w:r>
        <w:rPr>
          <w:rFonts w:ascii="Times New Roman;Times;serif" w:hAnsi="Times New Roman;Times;serif"/>
          <w:sz w:val="20"/>
        </w:rPr>
        <w:t xml:space="preserve">operate stores for a period of time on a month-to-month basis after the expiration of the lease term. The Company's lease agreements do </w:t>
      </w:r>
      <w:r>
        <w:rPr>
          <w:rStyle w:val="Emphasis"/>
          <w:rFonts w:ascii="Times New Roman;Times;serif" w:hAnsi="Times New Roman;Times;serif"/>
          <w:sz w:val="20"/>
        </w:rPr>
        <w:t>not</w:t>
      </w:r>
      <w:r>
        <w:rPr>
          <w:rFonts w:ascii="Times New Roman;Times;serif" w:hAnsi="Times New Roman;Times;serif"/>
          <w:sz w:val="20"/>
        </w:rPr>
        <w:t xml:space="preserve"> contain any material residual value guarantees or material restrictive covenants. Additionally, certain leases contain incentives, such as construction allowances from landlords and/or rent abatements subsequent to taking possession of the leased property.</w:t>
      </w:r>
    </w:p>
    <w:p>
      <w:pPr>
        <w:pStyle w:val="TextBody"/>
        <w:spacing w:before="0" w:after="0"/>
        <w:ind w:left="288" w:right="288" w:hanging="0"/>
        <w:jc w:val="center"/>
        <w:rPr/>
      </w:pPr>
      <w:r>
        <w:rPr/>
        <w:t> </w:t>
      </w:r>
    </w:p>
    <w:p>
      <w:pPr>
        <w:pStyle w:val="TextBody"/>
        <w:spacing w:before="0" w:after="0"/>
        <w:ind w:left="0" w:right="0" w:firstLine="720"/>
        <w:jc w:val="left"/>
        <w:rPr/>
      </w:pPr>
      <w:r>
        <w:rPr>
          <w:rFonts w:ascii="Times New Roman;Times;serif" w:hAnsi="Times New Roman;Times;serif"/>
          <w:sz w:val="20"/>
        </w:rPr>
        <w:t>The table below presents certain information related to the lease costs for operating leases for the </w:t>
      </w:r>
      <w:r>
        <w:rPr>
          <w:rStyle w:val="Emphasis"/>
          <w:rFonts w:ascii="Times New Roman;Times;serif" w:hAnsi="Times New Roman;Times;serif"/>
          <w:sz w:val="20"/>
        </w:rPr>
        <w:t>thirteen</w:t>
      </w:r>
      <w:r>
        <w:rPr>
          <w:rFonts w:ascii="Times New Roman;Times;serif" w:hAnsi="Times New Roman;Times;serif"/>
          <w:sz w:val="20"/>
        </w:rPr>
        <w:t xml:space="preserve"> and </w:t>
      </w:r>
      <w:r>
        <w:rPr>
          <w:rStyle w:val="Emphasis"/>
          <w:rFonts w:ascii="Times New Roman;Times;serif" w:hAnsi="Times New Roman;Times;serif"/>
          <w:sz w:val="20"/>
        </w:rPr>
        <w:t>twenty-six</w:t>
      </w:r>
      <w:r>
        <w:rPr>
          <w:rFonts w:ascii="Times New Roman;Times;serif" w:hAnsi="Times New Roman;Times;serif"/>
          <w:sz w:val="20"/>
        </w:rPr>
        <w:t xml:space="preserve"> weeks ended </w:t>
      </w:r>
      <w:r>
        <w:rPr>
          <w:rStyle w:val="Emphasis"/>
          <w:rFonts w:ascii="Times New Roman;Times;serif" w:hAnsi="Times New Roman;Times;serif"/>
          <w:sz w:val="20"/>
        </w:rPr>
        <w:t xml:space="preserve">July 31, 2021 </w:t>
      </w:r>
      <w:r>
        <w:rPr>
          <w:rFonts w:ascii="Times New Roman;Times;serif" w:hAnsi="Times New Roman;Times;serif"/>
          <w:sz w:val="20"/>
        </w:rPr>
        <w:t xml:space="preserve">and </w:t>
      </w:r>
      <w:r>
        <w:rPr>
          <w:rStyle w:val="Emphasis"/>
          <w:rFonts w:ascii="Times New Roman;Times;serif" w:hAnsi="Times New Roman;Times;serif"/>
          <w:sz w:val="20"/>
        </w:rPr>
        <w:t>August 1, 2020</w:t>
      </w:r>
      <w:r>
        <w:rPr>
          <w:rFonts w:ascii="Times New Roman;Times;serif" w:hAnsi="Times New Roman;Times;serif"/>
          <w:sz w:val="20"/>
        </w:rPr>
        <w:t> (in thousands).</w:t>
      </w:r>
    </w:p>
    <w:p>
      <w:pPr>
        <w:pStyle w:val="TextBody"/>
        <w:spacing w:before="0" w:after="0"/>
        <w:ind w:left="288" w:right="288" w:hanging="0"/>
        <w:jc w:val="center"/>
        <w:rPr/>
      </w:pPr>
      <w:r>
        <w:rPr/>
        <w:t> </w:t>
      </w:r>
    </w:p>
    <w:tbl>
      <w:tblPr>
        <w:tblW w:w="7618" w:type="dxa"/>
        <w:jc w:val="left"/>
        <w:tblInd w:w="0" w:type="dxa"/>
        <w:tblCellMar>
          <w:top w:w="0" w:type="dxa"/>
          <w:left w:w="0" w:type="dxa"/>
          <w:bottom w:w="0" w:type="dxa"/>
          <w:right w:w="0" w:type="dxa"/>
        </w:tblCellMar>
      </w:tblPr>
      <w:tblGrid>
        <w:gridCol w:w="2270"/>
        <w:gridCol w:w="60"/>
        <w:gridCol w:w="199"/>
        <w:gridCol w:w="945"/>
        <w:gridCol w:w="69"/>
        <w:gridCol w:w="69"/>
        <w:gridCol w:w="220"/>
        <w:gridCol w:w="1044"/>
        <w:gridCol w:w="60"/>
        <w:gridCol w:w="60"/>
        <w:gridCol w:w="199"/>
        <w:gridCol w:w="945"/>
        <w:gridCol w:w="77"/>
        <w:gridCol w:w="77"/>
        <w:gridCol w:w="220"/>
        <w:gridCol w:w="1044"/>
        <w:gridCol w:w="60"/>
      </w:tblGrid>
      <w:tr>
        <w:trPr/>
        <w:tc>
          <w:tcPr>
            <w:tcW w:w="227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546" w:type="dxa"/>
            <w:gridSpan w:val="6"/>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Thirteen weeks ended</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562" w:type="dxa"/>
            <w:gridSpan w:val="6"/>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Twenty-six weeks ended</w:t>
            </w:r>
          </w:p>
        </w:tc>
        <w:tc>
          <w:tcPr>
            <w:tcW w:w="60" w:type="dxa"/>
            <w:tcBorders/>
            <w:shd w:fill="FFFFFF" w:val="clear"/>
            <w:vAlign w:val="center"/>
          </w:tcPr>
          <w:p>
            <w:pPr>
              <w:pStyle w:val="TableContents"/>
              <w:spacing w:before="0" w:after="283"/>
              <w:rPr/>
            </w:pPr>
            <w:r>
              <w:rPr/>
              <w:t> </w:t>
            </w:r>
          </w:p>
        </w:tc>
      </w:tr>
      <w:tr>
        <w:trPr/>
        <w:tc>
          <w:tcPr>
            <w:tcW w:w="227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4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July 31, 2021</w:t>
            </w:r>
          </w:p>
        </w:tc>
        <w:tc>
          <w:tcPr>
            <w:tcW w:w="69" w:type="dxa"/>
            <w:tcBorders/>
            <w:shd w:fill="FFFFFF" w:val="clear"/>
            <w:vAlign w:val="center"/>
          </w:tcPr>
          <w:p>
            <w:pPr>
              <w:pStyle w:val="TableContents"/>
              <w:spacing w:before="0" w:after="283"/>
              <w:rPr/>
            </w:pPr>
            <w:r>
              <w:rPr/>
              <w:t> </w:t>
            </w:r>
          </w:p>
        </w:tc>
        <w:tc>
          <w:tcPr>
            <w:tcW w:w="69" w:type="dxa"/>
            <w:tcBorders/>
            <w:shd w:fill="FFFFFF" w:val="clear"/>
            <w:vAlign w:val="center"/>
          </w:tcPr>
          <w:p>
            <w:pPr>
              <w:pStyle w:val="TableContents"/>
              <w:spacing w:before="0" w:after="283"/>
              <w:ind w:left="0" w:right="0" w:hanging="0"/>
              <w:rPr/>
            </w:pPr>
            <w:r>
              <w:rPr/>
              <w:t> </w:t>
            </w:r>
          </w:p>
        </w:tc>
        <w:tc>
          <w:tcPr>
            <w:tcW w:w="126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August 1, 2020</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4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July 31, 2021</w:t>
            </w:r>
          </w:p>
        </w:tc>
        <w:tc>
          <w:tcPr>
            <w:tcW w:w="77" w:type="dxa"/>
            <w:tcBorders/>
            <w:shd w:fill="FFFFFF" w:val="clear"/>
            <w:vAlign w:val="center"/>
          </w:tcPr>
          <w:p>
            <w:pPr>
              <w:pStyle w:val="TableContents"/>
              <w:spacing w:before="0" w:after="283"/>
              <w:rPr/>
            </w:pPr>
            <w:r>
              <w:rPr/>
              <w:t> </w:t>
            </w:r>
          </w:p>
        </w:tc>
        <w:tc>
          <w:tcPr>
            <w:tcW w:w="77" w:type="dxa"/>
            <w:tcBorders/>
            <w:shd w:fill="FFFFFF" w:val="clear"/>
            <w:vAlign w:val="center"/>
          </w:tcPr>
          <w:p>
            <w:pPr>
              <w:pStyle w:val="TableContents"/>
              <w:spacing w:before="0" w:after="283"/>
              <w:ind w:left="0" w:right="0" w:hanging="0"/>
              <w:rPr/>
            </w:pPr>
            <w:r>
              <w:rPr/>
              <w:t> </w:t>
            </w:r>
          </w:p>
        </w:tc>
        <w:tc>
          <w:tcPr>
            <w:tcW w:w="126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August 1, 2020</w:t>
            </w:r>
          </w:p>
        </w:tc>
        <w:tc>
          <w:tcPr>
            <w:tcW w:w="60" w:type="dxa"/>
            <w:tcBorders/>
            <w:shd w:fill="FFFFFF" w:val="clear"/>
            <w:vAlign w:val="center"/>
          </w:tcPr>
          <w:p>
            <w:pPr>
              <w:pStyle w:val="TableContents"/>
              <w:spacing w:before="0" w:after="283"/>
              <w:rPr/>
            </w:pPr>
            <w:r>
              <w:rPr/>
              <w:t> </w:t>
            </w:r>
          </w:p>
        </w:tc>
      </w:tr>
      <w:tr>
        <w:trPr/>
        <w:tc>
          <w:tcPr>
            <w:tcW w:w="227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99" w:type="dxa"/>
            <w:tcBorders/>
            <w:shd w:fill="FFFFFF" w:val="clear"/>
            <w:vAlign w:val="center"/>
          </w:tcPr>
          <w:p>
            <w:pPr>
              <w:pStyle w:val="TableContents"/>
              <w:spacing w:before="0" w:after="283"/>
              <w:rPr/>
            </w:pPr>
            <w:r>
              <w:rPr/>
              <w:t> </w:t>
            </w:r>
          </w:p>
        </w:tc>
        <w:tc>
          <w:tcPr>
            <w:tcW w:w="945" w:type="dxa"/>
            <w:tcBorders/>
            <w:shd w:fill="FFFFFF" w:val="clear"/>
            <w:vAlign w:val="center"/>
          </w:tcPr>
          <w:p>
            <w:pPr>
              <w:pStyle w:val="TableContents"/>
              <w:spacing w:before="0" w:after="283"/>
              <w:rPr/>
            </w:pPr>
            <w:r>
              <w:rPr/>
              <w:t> </w:t>
            </w:r>
          </w:p>
        </w:tc>
        <w:tc>
          <w:tcPr>
            <w:tcW w:w="69" w:type="dxa"/>
            <w:tcBorders/>
            <w:shd w:fill="FFFFFF" w:val="clear"/>
            <w:vAlign w:val="center"/>
          </w:tcPr>
          <w:p>
            <w:pPr>
              <w:pStyle w:val="TableContents"/>
              <w:spacing w:before="0" w:after="283"/>
              <w:rPr/>
            </w:pPr>
            <w:r>
              <w:rPr/>
              <w:t> </w:t>
            </w:r>
          </w:p>
        </w:tc>
        <w:tc>
          <w:tcPr>
            <w:tcW w:w="69" w:type="dxa"/>
            <w:tcBorders/>
            <w:shd w:fill="FFFFFF" w:val="clear"/>
            <w:vAlign w:val="center"/>
          </w:tcPr>
          <w:p>
            <w:pPr>
              <w:pStyle w:val="TableContents"/>
              <w:spacing w:before="0" w:after="283"/>
              <w:rPr/>
            </w:pPr>
            <w:r>
              <w:rPr/>
              <w:t> </w:t>
            </w:r>
          </w:p>
        </w:tc>
        <w:tc>
          <w:tcPr>
            <w:tcW w:w="220" w:type="dxa"/>
            <w:tcBorders/>
            <w:shd w:fill="FFFFFF" w:val="clear"/>
            <w:vAlign w:val="center"/>
          </w:tcPr>
          <w:p>
            <w:pPr>
              <w:pStyle w:val="TableContents"/>
              <w:spacing w:before="0" w:after="283"/>
              <w:rPr/>
            </w:pPr>
            <w:r>
              <w:rPr/>
              <w:t> </w:t>
            </w:r>
          </w:p>
        </w:tc>
        <w:tc>
          <w:tcPr>
            <w:tcW w:w="1044"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99" w:type="dxa"/>
            <w:tcBorders/>
            <w:shd w:fill="FFFFFF" w:val="clear"/>
            <w:vAlign w:val="center"/>
          </w:tcPr>
          <w:p>
            <w:pPr>
              <w:pStyle w:val="TableContents"/>
              <w:spacing w:before="0" w:after="283"/>
              <w:rPr/>
            </w:pPr>
            <w:r>
              <w:rPr/>
              <w:t> </w:t>
            </w:r>
          </w:p>
        </w:tc>
        <w:tc>
          <w:tcPr>
            <w:tcW w:w="945" w:type="dxa"/>
            <w:tcBorders/>
            <w:shd w:fill="FFFFFF" w:val="clear"/>
            <w:vAlign w:val="center"/>
          </w:tcPr>
          <w:p>
            <w:pPr>
              <w:pStyle w:val="TableContents"/>
              <w:spacing w:before="0" w:after="283"/>
              <w:rPr/>
            </w:pPr>
            <w:r>
              <w:rPr/>
              <w:t> </w:t>
            </w:r>
          </w:p>
        </w:tc>
        <w:tc>
          <w:tcPr>
            <w:tcW w:w="77" w:type="dxa"/>
            <w:tcBorders/>
            <w:shd w:fill="FFFFFF" w:val="clear"/>
            <w:vAlign w:val="center"/>
          </w:tcPr>
          <w:p>
            <w:pPr>
              <w:pStyle w:val="TableContents"/>
              <w:spacing w:before="0" w:after="283"/>
              <w:rPr/>
            </w:pPr>
            <w:r>
              <w:rPr/>
              <w:t> </w:t>
            </w:r>
          </w:p>
        </w:tc>
        <w:tc>
          <w:tcPr>
            <w:tcW w:w="77" w:type="dxa"/>
            <w:tcBorders/>
            <w:shd w:fill="FFFFFF" w:val="clear"/>
            <w:vAlign w:val="center"/>
          </w:tcPr>
          <w:p>
            <w:pPr>
              <w:pStyle w:val="TableContents"/>
              <w:spacing w:before="0" w:after="283"/>
              <w:rPr/>
            </w:pPr>
            <w:r>
              <w:rPr/>
              <w:t> </w:t>
            </w:r>
          </w:p>
        </w:tc>
        <w:tc>
          <w:tcPr>
            <w:tcW w:w="220" w:type="dxa"/>
            <w:tcBorders/>
            <w:shd w:fill="FFFFFF" w:val="clear"/>
            <w:vAlign w:val="center"/>
          </w:tcPr>
          <w:p>
            <w:pPr>
              <w:pStyle w:val="TableContents"/>
              <w:spacing w:before="0" w:after="283"/>
              <w:rPr/>
            </w:pPr>
            <w:r>
              <w:rPr/>
              <w:t> </w:t>
            </w:r>
          </w:p>
        </w:tc>
        <w:tc>
          <w:tcPr>
            <w:tcW w:w="1044"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r>
      <w:tr>
        <w:trPr/>
        <w:tc>
          <w:tcPr>
            <w:tcW w:w="227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Operating lease costs</w:t>
            </w:r>
          </w:p>
        </w:tc>
        <w:tc>
          <w:tcPr>
            <w:tcW w:w="60" w:type="dxa"/>
            <w:tcBorders/>
            <w:shd w:fill="CCEEFF" w:val="clear"/>
            <w:vAlign w:val="center"/>
          </w:tcPr>
          <w:p>
            <w:pPr>
              <w:pStyle w:val="TableContents"/>
              <w:spacing w:before="0" w:after="283"/>
              <w:rPr/>
            </w:pPr>
            <w:r>
              <w:rPr/>
              <w:t> </w:t>
            </w:r>
          </w:p>
        </w:tc>
        <w:tc>
          <w:tcPr>
            <w:tcW w:w="199" w:type="dxa"/>
            <w:tcBorders/>
            <w:shd w:fill="CCEEFF" w:val="clear"/>
            <w:vAlign w:val="center"/>
          </w:tcPr>
          <w:p>
            <w:pPr>
              <w:pStyle w:val="TableContents"/>
              <w:spacing w:before="0" w:after="283"/>
              <w:rPr/>
            </w:pPr>
            <w:r>
              <w:rPr/>
              <w:t> </w:t>
            </w:r>
          </w:p>
        </w:tc>
        <w:tc>
          <w:tcPr>
            <w:tcW w:w="945"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8,732</w:t>
            </w:r>
          </w:p>
        </w:tc>
        <w:tc>
          <w:tcPr>
            <w:tcW w:w="69" w:type="dxa"/>
            <w:tcBorders/>
            <w:shd w:fill="CCEEFF" w:val="clear"/>
            <w:vAlign w:val="center"/>
          </w:tcPr>
          <w:p>
            <w:pPr>
              <w:pStyle w:val="TableContents"/>
              <w:spacing w:before="0" w:after="283"/>
              <w:rPr/>
            </w:pPr>
            <w:r>
              <w:rPr/>
              <w:t> </w:t>
            </w:r>
          </w:p>
        </w:tc>
        <w:tc>
          <w:tcPr>
            <w:tcW w:w="69" w:type="dxa"/>
            <w:tcBorders/>
            <w:shd w:fill="CCEEFF" w:val="clear"/>
            <w:vAlign w:val="center"/>
          </w:tcPr>
          <w:p>
            <w:pPr>
              <w:pStyle w:val="TableContents"/>
              <w:spacing w:before="0" w:after="283"/>
              <w:rPr/>
            </w:pPr>
            <w:r>
              <w:rPr/>
              <w:t> </w:t>
            </w:r>
          </w:p>
        </w:tc>
        <w:tc>
          <w:tcPr>
            <w:tcW w:w="220" w:type="dxa"/>
            <w:tcBorders/>
            <w:shd w:fill="CCEEFF" w:val="clear"/>
            <w:vAlign w:val="center"/>
          </w:tcPr>
          <w:p>
            <w:pPr>
              <w:pStyle w:val="TableContents"/>
              <w:spacing w:before="0" w:after="283"/>
              <w:rPr/>
            </w:pPr>
            <w:r>
              <w:rPr/>
              <w:t> </w:t>
            </w:r>
          </w:p>
        </w:tc>
        <w:tc>
          <w:tcPr>
            <w:tcW w:w="1044"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9,928</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9" w:type="dxa"/>
            <w:tcBorders/>
            <w:shd w:fill="CCEEFF" w:val="clear"/>
            <w:vAlign w:val="center"/>
          </w:tcPr>
          <w:p>
            <w:pPr>
              <w:pStyle w:val="TableContents"/>
              <w:spacing w:before="0" w:after="283"/>
              <w:rPr/>
            </w:pPr>
            <w:r>
              <w:rPr/>
              <w:t> </w:t>
            </w:r>
          </w:p>
        </w:tc>
        <w:tc>
          <w:tcPr>
            <w:tcW w:w="945"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17,312</w:t>
            </w:r>
          </w:p>
        </w:tc>
        <w:tc>
          <w:tcPr>
            <w:tcW w:w="77"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rPr/>
            </w:pPr>
            <w:r>
              <w:rPr/>
              <w:t> </w:t>
            </w:r>
          </w:p>
        </w:tc>
        <w:tc>
          <w:tcPr>
            <w:tcW w:w="220" w:type="dxa"/>
            <w:tcBorders/>
            <w:shd w:fill="CCEEFF" w:val="clear"/>
            <w:vAlign w:val="center"/>
          </w:tcPr>
          <w:p>
            <w:pPr>
              <w:pStyle w:val="TableContents"/>
              <w:spacing w:before="0" w:after="283"/>
              <w:rPr/>
            </w:pPr>
            <w:r>
              <w:rPr/>
              <w:t> </w:t>
            </w:r>
          </w:p>
        </w:tc>
        <w:tc>
          <w:tcPr>
            <w:tcW w:w="1044"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19,584</w:t>
            </w:r>
          </w:p>
        </w:tc>
        <w:tc>
          <w:tcPr>
            <w:tcW w:w="60" w:type="dxa"/>
            <w:tcBorders/>
            <w:shd w:fill="CCEEFF" w:val="clear"/>
            <w:vAlign w:val="center"/>
          </w:tcPr>
          <w:p>
            <w:pPr>
              <w:pStyle w:val="TableContents"/>
              <w:spacing w:before="0" w:after="283"/>
              <w:rPr/>
            </w:pPr>
            <w:r>
              <w:rPr/>
              <w:t> </w:t>
            </w:r>
          </w:p>
        </w:tc>
      </w:tr>
      <w:tr>
        <w:trPr/>
        <w:tc>
          <w:tcPr>
            <w:tcW w:w="2270" w:type="dxa"/>
            <w:tcBorders/>
            <w:shd w:fill="FFFFFF" w:val="clear"/>
            <w:vAlign w:val="center"/>
          </w:tcPr>
          <w:p>
            <w:pPr>
              <w:pStyle w:val="TableContents"/>
              <w:spacing w:before="0" w:after="0"/>
              <w:rPr>
                <w:rFonts w:ascii="Times New Roman" w:hAnsi="Times New Roman"/>
                <w:sz w:val="20"/>
              </w:rPr>
            </w:pPr>
            <w:r>
              <w:rPr>
                <w:rFonts w:ascii="Times New Roman" w:hAnsi="Times New Roman"/>
                <w:sz w:val="20"/>
              </w:rPr>
              <w:t>Variable lease costs</w:t>
            </w:r>
          </w:p>
        </w:tc>
        <w:tc>
          <w:tcPr>
            <w:tcW w:w="60" w:type="dxa"/>
            <w:tcBorders/>
            <w:shd w:fill="FFFFFF" w:val="clear"/>
            <w:vAlign w:val="center"/>
          </w:tcPr>
          <w:p>
            <w:pPr>
              <w:pStyle w:val="TableContents"/>
              <w:spacing w:before="0" w:after="283"/>
              <w:rPr/>
            </w:pPr>
            <w:r>
              <w:rPr/>
              <w:t> </w:t>
            </w:r>
          </w:p>
        </w:tc>
        <w:tc>
          <w:tcPr>
            <w:tcW w:w="199" w:type="dxa"/>
            <w:tcBorders/>
            <w:shd w:fill="FFFFFF" w:val="clear"/>
            <w:vAlign w:val="center"/>
          </w:tcPr>
          <w:p>
            <w:pPr>
              <w:pStyle w:val="TableContents"/>
              <w:spacing w:before="0" w:after="283"/>
              <w:rPr/>
            </w:pPr>
            <w:r>
              <w:rPr/>
              <w:t> </w:t>
            </w:r>
          </w:p>
        </w:tc>
        <w:tc>
          <w:tcPr>
            <w:tcW w:w="945"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1,288</w:t>
            </w:r>
          </w:p>
        </w:tc>
        <w:tc>
          <w:tcPr>
            <w:tcW w:w="69" w:type="dxa"/>
            <w:tcBorders/>
            <w:shd w:fill="FFFFFF" w:val="clear"/>
            <w:vAlign w:val="center"/>
          </w:tcPr>
          <w:p>
            <w:pPr>
              <w:pStyle w:val="TableContents"/>
              <w:spacing w:before="0" w:after="283"/>
              <w:rPr/>
            </w:pPr>
            <w:r>
              <w:rPr/>
              <w:t> </w:t>
            </w:r>
          </w:p>
        </w:tc>
        <w:tc>
          <w:tcPr>
            <w:tcW w:w="69" w:type="dxa"/>
            <w:tcBorders/>
            <w:shd w:fill="FFFFFF" w:val="clear"/>
            <w:vAlign w:val="center"/>
          </w:tcPr>
          <w:p>
            <w:pPr>
              <w:pStyle w:val="TableContents"/>
              <w:spacing w:before="0" w:after="283"/>
              <w:rPr/>
            </w:pPr>
            <w:r>
              <w:rPr/>
              <w:t> </w:t>
            </w:r>
          </w:p>
        </w:tc>
        <w:tc>
          <w:tcPr>
            <w:tcW w:w="220" w:type="dxa"/>
            <w:tcBorders/>
            <w:shd w:fill="FFFFFF" w:val="clear"/>
            <w:vAlign w:val="center"/>
          </w:tcPr>
          <w:p>
            <w:pPr>
              <w:pStyle w:val="TableContents"/>
              <w:spacing w:before="0" w:after="283"/>
              <w:rPr/>
            </w:pPr>
            <w:r>
              <w:rPr/>
              <w:t> </w:t>
            </w:r>
          </w:p>
        </w:tc>
        <w:tc>
          <w:tcPr>
            <w:tcW w:w="1044"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148</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99" w:type="dxa"/>
            <w:tcBorders/>
            <w:shd w:fill="FFFFFF" w:val="clear"/>
            <w:vAlign w:val="center"/>
          </w:tcPr>
          <w:p>
            <w:pPr>
              <w:pStyle w:val="TableContents"/>
              <w:spacing w:before="0" w:after="283"/>
              <w:rPr/>
            </w:pPr>
            <w:r>
              <w:rPr/>
              <w:t> </w:t>
            </w:r>
          </w:p>
        </w:tc>
        <w:tc>
          <w:tcPr>
            <w:tcW w:w="945"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2,167</w:t>
            </w:r>
          </w:p>
        </w:tc>
        <w:tc>
          <w:tcPr>
            <w:tcW w:w="77" w:type="dxa"/>
            <w:tcBorders/>
            <w:shd w:fill="FFFFFF" w:val="clear"/>
            <w:vAlign w:val="center"/>
          </w:tcPr>
          <w:p>
            <w:pPr>
              <w:pStyle w:val="TableContents"/>
              <w:spacing w:before="0" w:after="283"/>
              <w:rPr/>
            </w:pPr>
            <w:r>
              <w:rPr/>
              <w:t> </w:t>
            </w:r>
          </w:p>
        </w:tc>
        <w:tc>
          <w:tcPr>
            <w:tcW w:w="77" w:type="dxa"/>
            <w:tcBorders/>
            <w:shd w:fill="FFFFFF" w:val="clear"/>
            <w:vAlign w:val="center"/>
          </w:tcPr>
          <w:p>
            <w:pPr>
              <w:pStyle w:val="TableContents"/>
              <w:spacing w:before="0" w:after="283"/>
              <w:rPr/>
            </w:pPr>
            <w:r>
              <w:rPr/>
              <w:t> </w:t>
            </w:r>
          </w:p>
        </w:tc>
        <w:tc>
          <w:tcPr>
            <w:tcW w:w="220" w:type="dxa"/>
            <w:tcBorders/>
            <w:shd w:fill="FFFFFF" w:val="clear"/>
            <w:vAlign w:val="center"/>
          </w:tcPr>
          <w:p>
            <w:pPr>
              <w:pStyle w:val="TableContents"/>
              <w:spacing w:before="0" w:after="283"/>
              <w:rPr/>
            </w:pPr>
            <w:r>
              <w:rPr/>
              <w:t> </w:t>
            </w:r>
          </w:p>
        </w:tc>
        <w:tc>
          <w:tcPr>
            <w:tcW w:w="1044"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422</w:t>
            </w:r>
          </w:p>
        </w:tc>
        <w:tc>
          <w:tcPr>
            <w:tcW w:w="60" w:type="dxa"/>
            <w:tcBorders/>
            <w:shd w:fill="FFFFFF" w:val="clear"/>
            <w:vAlign w:val="center"/>
          </w:tcPr>
          <w:p>
            <w:pPr>
              <w:pStyle w:val="TableContents"/>
              <w:spacing w:before="0" w:after="283"/>
              <w:rPr/>
            </w:pPr>
            <w:r>
              <w:rPr/>
              <w:t> </w:t>
            </w:r>
          </w:p>
        </w:tc>
      </w:tr>
      <w:tr>
        <w:trPr/>
        <w:tc>
          <w:tcPr>
            <w:tcW w:w="227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Short term lease costs</w:t>
            </w:r>
          </w:p>
        </w:tc>
        <w:tc>
          <w:tcPr>
            <w:tcW w:w="60" w:type="dxa"/>
            <w:tcBorders/>
            <w:shd w:fill="CCEEFF" w:val="clear"/>
            <w:vAlign w:val="center"/>
          </w:tcPr>
          <w:p>
            <w:pPr>
              <w:pStyle w:val="TableContents"/>
              <w:spacing w:before="0" w:after="283"/>
              <w:ind w:left="0" w:right="0" w:hanging="0"/>
              <w:rPr/>
            </w:pPr>
            <w:r>
              <w:rPr/>
              <w:t> </w:t>
            </w:r>
          </w:p>
        </w:tc>
        <w:tc>
          <w:tcPr>
            <w:tcW w:w="199"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45" w:type="dxa"/>
            <w:tcBorders>
              <w:bottom w:val="single" w:sz="2" w:space="0" w:color="000000"/>
            </w:tcBorders>
            <w:shd w:fill="CCEEFF" w:val="clear"/>
            <w:tcMar>
              <w:bottom w:w="28" w:type="dxa"/>
            </w:tcMar>
            <w:vAlign w:val="center"/>
          </w:tcPr>
          <w:p>
            <w:pPr>
              <w:pStyle w:val="TableContents"/>
              <w:spacing w:before="0" w:after="0"/>
              <w:jc w:val="right"/>
              <w:rPr>
                <w:rFonts w:ascii="Times New Roman" w:hAnsi="Times New Roman"/>
                <w:sz w:val="20"/>
              </w:rPr>
            </w:pPr>
            <w:r>
              <w:rPr>
                <w:rFonts w:ascii="Times New Roman" w:hAnsi="Times New Roman"/>
                <w:sz w:val="20"/>
              </w:rPr>
              <w:t>16</w:t>
            </w:r>
          </w:p>
        </w:tc>
        <w:tc>
          <w:tcPr>
            <w:tcW w:w="69" w:type="dxa"/>
            <w:tcBorders/>
            <w:shd w:fill="CCEEFF" w:val="clear"/>
            <w:vAlign w:val="center"/>
          </w:tcPr>
          <w:p>
            <w:pPr>
              <w:pStyle w:val="TableContents"/>
              <w:spacing w:before="0" w:after="283"/>
              <w:rPr/>
            </w:pPr>
            <w:r>
              <w:rPr/>
              <w:t> </w:t>
            </w:r>
          </w:p>
        </w:tc>
        <w:tc>
          <w:tcPr>
            <w:tcW w:w="69" w:type="dxa"/>
            <w:tcBorders/>
            <w:shd w:fill="CCEEFF" w:val="clear"/>
            <w:vAlign w:val="center"/>
          </w:tcPr>
          <w:p>
            <w:pPr>
              <w:pStyle w:val="TableContents"/>
              <w:spacing w:before="0" w:after="283"/>
              <w:ind w:left="0" w:right="0" w:hanging="0"/>
              <w:rPr/>
            </w:pPr>
            <w:r>
              <w:rPr/>
              <w:t> </w:t>
            </w:r>
          </w:p>
        </w:tc>
        <w:tc>
          <w:tcPr>
            <w:tcW w:w="22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44" w:type="dxa"/>
            <w:tcBorders>
              <w:bottom w:val="single" w:sz="2" w:space="0" w:color="000000"/>
            </w:tcBorders>
            <w:shd w:fill="CCEEFF" w:val="clear"/>
            <w:tcMar>
              <w:bottom w:w="28" w:type="dxa"/>
            </w:tcMar>
            <w:vAlign w:val="center"/>
          </w:tcPr>
          <w:p>
            <w:pPr>
              <w:pStyle w:val="TableContents"/>
              <w:spacing w:before="0" w:after="0"/>
              <w:jc w:val="right"/>
              <w:rPr>
                <w:rFonts w:ascii="Times New Roman" w:hAnsi="Times New Roman"/>
                <w:sz w:val="20"/>
              </w:rPr>
            </w:pPr>
            <w:r>
              <w:rPr>
                <w:rFonts w:ascii="Times New Roman" w:hAnsi="Times New Roman"/>
                <w:sz w:val="20"/>
              </w:rPr>
              <w:t>6</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99"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45" w:type="dxa"/>
            <w:tcBorders>
              <w:bottom w:val="single" w:sz="2" w:space="0" w:color="000000"/>
            </w:tcBorders>
            <w:shd w:fill="CCEEFF" w:val="clear"/>
            <w:tcMar>
              <w:bottom w:w="28" w:type="dxa"/>
            </w:tcMar>
            <w:vAlign w:val="center"/>
          </w:tcPr>
          <w:p>
            <w:pPr>
              <w:pStyle w:val="TableContents"/>
              <w:spacing w:before="0" w:after="0"/>
              <w:jc w:val="right"/>
              <w:rPr>
                <w:rFonts w:ascii="Times New Roman" w:hAnsi="Times New Roman"/>
                <w:sz w:val="20"/>
              </w:rPr>
            </w:pPr>
            <w:r>
              <w:rPr>
                <w:rFonts w:ascii="Times New Roman" w:hAnsi="Times New Roman"/>
                <w:sz w:val="20"/>
              </w:rPr>
              <w:t>30</w:t>
            </w:r>
          </w:p>
        </w:tc>
        <w:tc>
          <w:tcPr>
            <w:tcW w:w="77" w:type="dxa"/>
            <w:tcBorders/>
            <w:shd w:fill="CCEEFF" w:val="clear"/>
            <w:vAlign w:val="center"/>
          </w:tcPr>
          <w:p>
            <w:pPr>
              <w:pStyle w:val="TableContents"/>
              <w:spacing w:before="0" w:after="283"/>
              <w:rPr/>
            </w:pPr>
            <w:r>
              <w:rPr/>
              <w:t> </w:t>
            </w:r>
          </w:p>
        </w:tc>
        <w:tc>
          <w:tcPr>
            <w:tcW w:w="77" w:type="dxa"/>
            <w:tcBorders/>
            <w:shd w:fill="CCEEFF" w:val="clear"/>
            <w:vAlign w:val="center"/>
          </w:tcPr>
          <w:p>
            <w:pPr>
              <w:pStyle w:val="TableContents"/>
              <w:spacing w:before="0" w:after="283"/>
              <w:ind w:left="0" w:right="0" w:hanging="0"/>
              <w:rPr/>
            </w:pPr>
            <w:r>
              <w:rPr/>
              <w:t> </w:t>
            </w:r>
          </w:p>
        </w:tc>
        <w:tc>
          <w:tcPr>
            <w:tcW w:w="22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44" w:type="dxa"/>
            <w:tcBorders>
              <w:bottom w:val="single" w:sz="2" w:space="0" w:color="000000"/>
            </w:tcBorders>
            <w:shd w:fill="CCEEFF" w:val="clear"/>
            <w:tcMar>
              <w:bottom w:w="28" w:type="dxa"/>
            </w:tcMar>
            <w:vAlign w:val="center"/>
          </w:tcPr>
          <w:p>
            <w:pPr>
              <w:pStyle w:val="TableContents"/>
              <w:spacing w:before="0" w:after="0"/>
              <w:jc w:val="right"/>
              <w:rPr>
                <w:rFonts w:ascii="Times New Roman" w:hAnsi="Times New Roman"/>
                <w:sz w:val="20"/>
              </w:rPr>
            </w:pPr>
            <w:r>
              <w:rPr>
                <w:rFonts w:ascii="Times New Roman" w:hAnsi="Times New Roman"/>
                <w:sz w:val="20"/>
              </w:rPr>
              <w:t>94</w:t>
            </w:r>
          </w:p>
        </w:tc>
        <w:tc>
          <w:tcPr>
            <w:tcW w:w="60" w:type="dxa"/>
            <w:tcBorders/>
            <w:shd w:fill="CCEEFF" w:val="clear"/>
            <w:vAlign w:val="center"/>
          </w:tcPr>
          <w:p>
            <w:pPr>
              <w:pStyle w:val="TableContents"/>
              <w:spacing w:before="0" w:after="283"/>
              <w:rPr/>
            </w:pPr>
            <w:r>
              <w:rPr/>
              <w:t> </w:t>
            </w:r>
          </w:p>
        </w:tc>
      </w:tr>
      <w:tr>
        <w:trPr/>
        <w:tc>
          <w:tcPr>
            <w:tcW w:w="2270"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Total Operating Lease costs</w:t>
            </w:r>
          </w:p>
        </w:tc>
        <w:tc>
          <w:tcPr>
            <w:tcW w:w="60" w:type="dxa"/>
            <w:tcBorders/>
            <w:shd w:fill="FFFFFF" w:val="clear"/>
            <w:vAlign w:val="center"/>
          </w:tcPr>
          <w:p>
            <w:pPr>
              <w:pStyle w:val="TableContents"/>
              <w:spacing w:before="0" w:after="283"/>
              <w:ind w:left="0" w:right="0" w:hanging="0"/>
              <w:rPr/>
            </w:pPr>
            <w:r>
              <w:rPr/>
              <w:t> </w:t>
            </w:r>
          </w:p>
        </w:tc>
        <w:tc>
          <w:tcPr>
            <w:tcW w:w="199"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4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10,036</w:t>
            </w:r>
          </w:p>
        </w:tc>
        <w:tc>
          <w:tcPr>
            <w:tcW w:w="69" w:type="dxa"/>
            <w:tcBorders/>
            <w:shd w:fill="FFFFFF" w:val="clear"/>
            <w:vAlign w:val="center"/>
          </w:tcPr>
          <w:p>
            <w:pPr>
              <w:pStyle w:val="TableContents"/>
              <w:spacing w:before="0" w:after="283"/>
              <w:rPr/>
            </w:pPr>
            <w:r>
              <w:rPr/>
              <w:t> </w:t>
            </w:r>
          </w:p>
        </w:tc>
        <w:tc>
          <w:tcPr>
            <w:tcW w:w="69" w:type="dxa"/>
            <w:tcBorders/>
            <w:shd w:fill="FFFFFF" w:val="clear"/>
            <w:vAlign w:val="center"/>
          </w:tcPr>
          <w:p>
            <w:pPr>
              <w:pStyle w:val="TableContents"/>
              <w:spacing w:before="0" w:after="283"/>
              <w:ind w:left="0" w:right="0" w:hanging="0"/>
              <w:rPr/>
            </w:pPr>
            <w:r>
              <w:rPr/>
              <w:t> </w:t>
            </w:r>
          </w:p>
        </w:tc>
        <w:tc>
          <w:tcPr>
            <w:tcW w:w="220"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044"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10,082</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99"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4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19,509</w:t>
            </w:r>
          </w:p>
        </w:tc>
        <w:tc>
          <w:tcPr>
            <w:tcW w:w="77" w:type="dxa"/>
            <w:tcBorders/>
            <w:shd w:fill="FFFFFF" w:val="clear"/>
            <w:vAlign w:val="center"/>
          </w:tcPr>
          <w:p>
            <w:pPr>
              <w:pStyle w:val="TableContents"/>
              <w:spacing w:before="0" w:after="283"/>
              <w:rPr/>
            </w:pPr>
            <w:r>
              <w:rPr/>
              <w:t> </w:t>
            </w:r>
          </w:p>
        </w:tc>
        <w:tc>
          <w:tcPr>
            <w:tcW w:w="77" w:type="dxa"/>
            <w:tcBorders/>
            <w:shd w:fill="FFFFFF" w:val="clear"/>
            <w:vAlign w:val="center"/>
          </w:tcPr>
          <w:p>
            <w:pPr>
              <w:pStyle w:val="TableContents"/>
              <w:spacing w:before="0" w:after="283"/>
              <w:ind w:left="0" w:right="0" w:hanging="0"/>
              <w:rPr/>
            </w:pPr>
            <w:r>
              <w:rPr/>
              <w:t> </w:t>
            </w:r>
          </w:p>
        </w:tc>
        <w:tc>
          <w:tcPr>
            <w:tcW w:w="220"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044"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20,100</w:t>
            </w:r>
          </w:p>
        </w:tc>
        <w:tc>
          <w:tcPr>
            <w:tcW w:w="60" w:type="dxa"/>
            <w:tcBorders/>
            <w:shd w:fill="FFFFFF" w:val="clear"/>
            <w:vAlign w:val="center"/>
          </w:tcPr>
          <w:p>
            <w:pPr>
              <w:pStyle w:val="TableContents"/>
              <w:spacing w:before="0" w:after="283"/>
              <w:rPr/>
            </w:pPr>
            <w:r>
              <w:rPr/>
              <w:t> </w:t>
            </w:r>
          </w:p>
        </w:tc>
      </w:tr>
    </w:tbl>
    <w:p>
      <w:pPr>
        <w:pStyle w:val="TextBody"/>
        <w:spacing w:before="0" w:after="0"/>
        <w:ind w:left="288" w:right="288" w:hanging="0"/>
        <w:jc w:val="center"/>
        <w:rPr/>
      </w:pPr>
      <w:r>
        <w:rPr/>
        <w:t> </w:t>
      </w:r>
    </w:p>
    <w:p>
      <w:pPr>
        <w:pStyle w:val="TextBody"/>
        <w:spacing w:before="0" w:after="0"/>
        <w:ind w:left="0" w:right="0" w:hanging="0"/>
        <w:jc w:val="left"/>
        <w:rPr>
          <w:rFonts w:ascii="Times New Roman;Times;serif" w:hAnsi="Times New Roman;Times;serif"/>
          <w:i/>
          <w:sz w:val="20"/>
        </w:rPr>
      </w:pPr>
      <w:r>
        <w:rPr>
          <w:rFonts w:ascii="Times New Roman;Times;serif" w:hAnsi="Times New Roman;Times;serif"/>
          <w:i/>
          <w:sz w:val="20"/>
        </w:rPr>
        <w:t>Other information</w:t>
      </w:r>
    </w:p>
    <w:p>
      <w:pPr>
        <w:pStyle w:val="TextBody"/>
        <w:spacing w:before="0" w:after="0"/>
        <w:ind w:left="0" w:right="0" w:hanging="0"/>
        <w:jc w:val="left"/>
        <w:rPr/>
      </w:pPr>
      <w:r>
        <w:rPr/>
        <w:t> </w:t>
      </w:r>
    </w:p>
    <w:p>
      <w:pPr>
        <w:pStyle w:val="TextBody"/>
        <w:spacing w:before="0" w:after="0"/>
        <w:ind w:left="0" w:right="0" w:firstLine="720"/>
        <w:jc w:val="left"/>
        <w:rPr/>
      </w:pPr>
      <w:r>
        <w:rPr>
          <w:rFonts w:ascii="Times New Roman;Times;serif" w:hAnsi="Times New Roman;Times;serif"/>
          <w:sz w:val="20"/>
        </w:rPr>
        <w:t xml:space="preserve">The table below presents supplemental cash flow information related to leases for the </w:t>
      </w:r>
      <w:r>
        <w:rPr>
          <w:rStyle w:val="Emphasis"/>
          <w:rFonts w:ascii="Times New Roman;Times;serif" w:hAnsi="Times New Roman;Times;serif"/>
          <w:sz w:val="20"/>
        </w:rPr>
        <w:t>thirteen</w:t>
      </w:r>
      <w:r>
        <w:rPr>
          <w:rFonts w:ascii="Times New Roman;Times;serif" w:hAnsi="Times New Roman;Times;serif"/>
          <w:sz w:val="20"/>
        </w:rPr>
        <w:t xml:space="preserve"> and </w:t>
      </w:r>
      <w:r>
        <w:rPr>
          <w:rStyle w:val="Emphasis"/>
          <w:rFonts w:ascii="Times New Roman;Times;serif" w:hAnsi="Times New Roman;Times;serif"/>
          <w:sz w:val="20"/>
        </w:rPr>
        <w:t>twenty-six</w:t>
      </w:r>
      <w:r>
        <w:rPr>
          <w:rFonts w:ascii="Times New Roman;Times;serif" w:hAnsi="Times New Roman;Times;serif"/>
          <w:sz w:val="20"/>
        </w:rPr>
        <w:t xml:space="preserve"> weeks ended </w:t>
      </w:r>
      <w:r>
        <w:rPr>
          <w:rStyle w:val="Emphasis"/>
          <w:rFonts w:ascii="Times New Roman;Times;serif" w:hAnsi="Times New Roman;Times;serif"/>
          <w:sz w:val="20"/>
        </w:rPr>
        <w:t xml:space="preserve">July 31, 2021 </w:t>
      </w:r>
      <w:r>
        <w:rPr>
          <w:rFonts w:ascii="Times New Roman;Times;serif" w:hAnsi="Times New Roman;Times;serif"/>
          <w:sz w:val="20"/>
        </w:rPr>
        <w:t xml:space="preserve">and </w:t>
      </w:r>
      <w:r>
        <w:rPr>
          <w:rStyle w:val="Emphasis"/>
          <w:rFonts w:ascii="Times New Roman;Times;serif" w:hAnsi="Times New Roman;Times;serif"/>
          <w:sz w:val="20"/>
        </w:rPr>
        <w:t>August 1, 2020</w:t>
      </w:r>
      <w:r>
        <w:rPr>
          <w:rFonts w:ascii="Times New Roman;Times;serif" w:hAnsi="Times New Roman;Times;serif"/>
          <w:sz w:val="20"/>
        </w:rPr>
        <w:t> (in thousands).</w:t>
      </w:r>
    </w:p>
    <w:p>
      <w:pPr>
        <w:pStyle w:val="TextBody"/>
        <w:spacing w:before="0" w:after="0"/>
        <w:ind w:left="288" w:right="288" w:hanging="0"/>
        <w:jc w:val="left"/>
        <w:rPr/>
      </w:pPr>
      <w:r>
        <w:rPr/>
        <w:t> </w:t>
      </w:r>
    </w:p>
    <w:tbl>
      <w:tblPr>
        <w:tblW w:w="8723" w:type="dxa"/>
        <w:jc w:val="left"/>
        <w:tblInd w:w="0" w:type="dxa"/>
        <w:tblCellMar>
          <w:top w:w="0" w:type="dxa"/>
          <w:left w:w="0" w:type="dxa"/>
          <w:bottom w:w="0" w:type="dxa"/>
          <w:right w:w="0" w:type="dxa"/>
        </w:tblCellMar>
      </w:tblPr>
      <w:tblGrid>
        <w:gridCol w:w="3335"/>
        <w:gridCol w:w="60"/>
        <w:gridCol w:w="105"/>
        <w:gridCol w:w="1039"/>
        <w:gridCol w:w="82"/>
        <w:gridCol w:w="82"/>
        <w:gridCol w:w="138"/>
        <w:gridCol w:w="1126"/>
        <w:gridCol w:w="60"/>
        <w:gridCol w:w="60"/>
        <w:gridCol w:w="105"/>
        <w:gridCol w:w="1039"/>
        <w:gridCol w:w="84"/>
        <w:gridCol w:w="84"/>
        <w:gridCol w:w="116"/>
        <w:gridCol w:w="1148"/>
        <w:gridCol w:w="60"/>
      </w:tblGrid>
      <w:tr>
        <w:trPr/>
        <w:tc>
          <w:tcPr>
            <w:tcW w:w="333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572" w:type="dxa"/>
            <w:gridSpan w:val="6"/>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Thirteen weeks ended</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576" w:type="dxa"/>
            <w:gridSpan w:val="6"/>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Twenty-six weeks ended</w:t>
            </w:r>
          </w:p>
        </w:tc>
        <w:tc>
          <w:tcPr>
            <w:tcW w:w="60" w:type="dxa"/>
            <w:tcBorders/>
            <w:shd w:fill="FFFFFF" w:val="clear"/>
            <w:vAlign w:val="center"/>
          </w:tcPr>
          <w:p>
            <w:pPr>
              <w:pStyle w:val="TableContents"/>
              <w:spacing w:before="0" w:after="283"/>
              <w:rPr/>
            </w:pPr>
            <w:r>
              <w:rPr/>
              <w:t> </w:t>
            </w:r>
          </w:p>
        </w:tc>
      </w:tr>
      <w:tr>
        <w:trPr/>
        <w:tc>
          <w:tcPr>
            <w:tcW w:w="333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4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July 31, 2021</w:t>
            </w:r>
          </w:p>
        </w:tc>
        <w:tc>
          <w:tcPr>
            <w:tcW w:w="82" w:type="dxa"/>
            <w:tcBorders/>
            <w:shd w:fill="FFFFFF" w:val="clear"/>
            <w:vAlign w:val="center"/>
          </w:tcPr>
          <w:p>
            <w:pPr>
              <w:pStyle w:val="TableContents"/>
              <w:spacing w:before="0" w:after="283"/>
              <w:rPr/>
            </w:pPr>
            <w:r>
              <w:rPr/>
              <w:t> </w:t>
            </w:r>
          </w:p>
        </w:tc>
        <w:tc>
          <w:tcPr>
            <w:tcW w:w="82" w:type="dxa"/>
            <w:tcBorders/>
            <w:shd w:fill="FFFFFF" w:val="clear"/>
            <w:vAlign w:val="center"/>
          </w:tcPr>
          <w:p>
            <w:pPr>
              <w:pStyle w:val="TableContents"/>
              <w:spacing w:before="0" w:after="283"/>
              <w:ind w:left="0" w:right="0" w:hanging="0"/>
              <w:rPr/>
            </w:pPr>
            <w:r>
              <w:rPr/>
              <w:t> </w:t>
            </w:r>
          </w:p>
        </w:tc>
        <w:tc>
          <w:tcPr>
            <w:tcW w:w="126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August 1, 2020</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4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July 31, 2021</w:t>
            </w:r>
          </w:p>
        </w:tc>
        <w:tc>
          <w:tcPr>
            <w:tcW w:w="84" w:type="dxa"/>
            <w:tcBorders/>
            <w:shd w:fill="FFFFFF" w:val="clear"/>
            <w:vAlign w:val="center"/>
          </w:tcPr>
          <w:p>
            <w:pPr>
              <w:pStyle w:val="TableContents"/>
              <w:spacing w:before="0" w:after="283"/>
              <w:rPr/>
            </w:pPr>
            <w:r>
              <w:rPr/>
              <w:t> </w:t>
            </w:r>
          </w:p>
        </w:tc>
        <w:tc>
          <w:tcPr>
            <w:tcW w:w="84" w:type="dxa"/>
            <w:tcBorders/>
            <w:shd w:fill="FFFFFF" w:val="clear"/>
            <w:vAlign w:val="center"/>
          </w:tcPr>
          <w:p>
            <w:pPr>
              <w:pStyle w:val="TableContents"/>
              <w:spacing w:before="0" w:after="283"/>
              <w:ind w:left="0" w:right="0" w:hanging="0"/>
              <w:rPr/>
            </w:pPr>
            <w:r>
              <w:rPr/>
              <w:t> </w:t>
            </w:r>
          </w:p>
        </w:tc>
        <w:tc>
          <w:tcPr>
            <w:tcW w:w="126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August 1, 2020</w:t>
            </w:r>
          </w:p>
        </w:tc>
        <w:tc>
          <w:tcPr>
            <w:tcW w:w="60" w:type="dxa"/>
            <w:tcBorders/>
            <w:shd w:fill="FFFFFF" w:val="clear"/>
            <w:vAlign w:val="center"/>
          </w:tcPr>
          <w:p>
            <w:pPr>
              <w:pStyle w:val="TableContents"/>
              <w:spacing w:before="0" w:after="283"/>
              <w:rPr/>
            </w:pPr>
            <w:r>
              <w:rPr/>
              <w:t> </w:t>
            </w:r>
          </w:p>
        </w:tc>
      </w:tr>
      <w:tr>
        <w:trPr/>
        <w:tc>
          <w:tcPr>
            <w:tcW w:w="333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Operating cash flows for operating leases</w:t>
            </w:r>
          </w:p>
        </w:tc>
        <w:tc>
          <w:tcPr>
            <w:tcW w:w="60" w:type="dxa"/>
            <w:tcBorders/>
            <w:shd w:fill="CCEEFF" w:val="clear"/>
            <w:vAlign w:val="center"/>
          </w:tcPr>
          <w:p>
            <w:pPr>
              <w:pStyle w:val="TableContents"/>
              <w:spacing w:before="0" w:after="283"/>
              <w:rPr/>
            </w:pPr>
            <w:r>
              <w:rPr/>
              <w:t> </w:t>
            </w:r>
          </w:p>
        </w:tc>
        <w:tc>
          <w:tcPr>
            <w:tcW w:w="105" w:type="dxa"/>
            <w:tcBorders/>
            <w:shd w:fill="CCEEFF" w:val="clear"/>
            <w:vAlign w:val="center"/>
          </w:tcPr>
          <w:p>
            <w:pPr>
              <w:pStyle w:val="TableContents"/>
              <w:spacing w:before="0" w:after="283"/>
              <w:ind w:left="0" w:right="0" w:hanging="0"/>
              <w:rPr/>
            </w:pPr>
            <w:r>
              <w:rPr/>
              <w:t> </w:t>
            </w:r>
          </w:p>
        </w:tc>
        <w:tc>
          <w:tcPr>
            <w:tcW w:w="103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11,343</w:t>
            </w:r>
          </w:p>
        </w:tc>
        <w:tc>
          <w:tcPr>
            <w:tcW w:w="82" w:type="dxa"/>
            <w:tcBorders/>
            <w:shd w:fill="CCEEFF" w:val="clear"/>
            <w:vAlign w:val="center"/>
          </w:tcPr>
          <w:p>
            <w:pPr>
              <w:pStyle w:val="TableContents"/>
              <w:spacing w:before="0" w:after="283"/>
              <w:rPr/>
            </w:pPr>
            <w:r>
              <w:rPr/>
              <w:t> </w:t>
            </w:r>
          </w:p>
        </w:tc>
        <w:tc>
          <w:tcPr>
            <w:tcW w:w="82" w:type="dxa"/>
            <w:tcBorders/>
            <w:shd w:fill="CCEEFF" w:val="clear"/>
            <w:vAlign w:val="center"/>
          </w:tcPr>
          <w:p>
            <w:pPr>
              <w:pStyle w:val="TableContents"/>
              <w:spacing w:before="0" w:after="283"/>
              <w:rPr/>
            </w:pPr>
            <w:r>
              <w:rPr/>
              <w:t> </w:t>
            </w:r>
          </w:p>
        </w:tc>
        <w:tc>
          <w:tcPr>
            <w:tcW w:w="138" w:type="dxa"/>
            <w:tcBorders/>
            <w:shd w:fill="CCEEFF" w:val="clear"/>
            <w:vAlign w:val="center"/>
          </w:tcPr>
          <w:p>
            <w:pPr>
              <w:pStyle w:val="TableContents"/>
              <w:spacing w:before="0" w:after="283"/>
              <w:ind w:left="0" w:right="0" w:hanging="0"/>
              <w:rPr/>
            </w:pPr>
            <w:r>
              <w:rPr/>
              <w:t> </w:t>
            </w:r>
          </w:p>
        </w:tc>
        <w:tc>
          <w:tcPr>
            <w:tcW w:w="112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8,474</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5" w:type="dxa"/>
            <w:tcBorders/>
            <w:shd w:fill="CCEEFF" w:val="clear"/>
            <w:vAlign w:val="center"/>
          </w:tcPr>
          <w:p>
            <w:pPr>
              <w:pStyle w:val="TableContents"/>
              <w:spacing w:before="0" w:after="283"/>
              <w:ind w:left="0" w:right="0" w:hanging="0"/>
              <w:rPr/>
            </w:pPr>
            <w:r>
              <w:rPr/>
              <w:t> </w:t>
            </w:r>
          </w:p>
        </w:tc>
        <w:tc>
          <w:tcPr>
            <w:tcW w:w="103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22,472</w:t>
            </w:r>
          </w:p>
        </w:tc>
        <w:tc>
          <w:tcPr>
            <w:tcW w:w="84" w:type="dxa"/>
            <w:tcBorders/>
            <w:shd w:fill="CCEEFF" w:val="clear"/>
            <w:vAlign w:val="center"/>
          </w:tcPr>
          <w:p>
            <w:pPr>
              <w:pStyle w:val="TableContents"/>
              <w:spacing w:before="0" w:after="283"/>
              <w:rPr/>
            </w:pPr>
            <w:r>
              <w:rPr/>
              <w:t> </w:t>
            </w:r>
          </w:p>
        </w:tc>
        <w:tc>
          <w:tcPr>
            <w:tcW w:w="84" w:type="dxa"/>
            <w:tcBorders/>
            <w:shd w:fill="CCEEFF" w:val="clear"/>
            <w:vAlign w:val="center"/>
          </w:tcPr>
          <w:p>
            <w:pPr>
              <w:pStyle w:val="TableContents"/>
              <w:spacing w:before="0" w:after="283"/>
              <w:rPr/>
            </w:pPr>
            <w:r>
              <w:rPr/>
              <w:t> </w:t>
            </w:r>
          </w:p>
        </w:tc>
        <w:tc>
          <w:tcPr>
            <w:tcW w:w="116" w:type="dxa"/>
            <w:tcBorders/>
            <w:shd w:fill="CCEEFF" w:val="clear"/>
            <w:vAlign w:val="center"/>
          </w:tcPr>
          <w:p>
            <w:pPr>
              <w:pStyle w:val="TableContents"/>
              <w:spacing w:before="0" w:after="283"/>
              <w:ind w:left="0" w:right="0" w:hanging="0"/>
              <w:rPr/>
            </w:pPr>
            <w:r>
              <w:rPr/>
              <w:t> </w:t>
            </w:r>
          </w:p>
        </w:tc>
        <w:tc>
          <w:tcPr>
            <w:tcW w:w="1148"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15,929</w:t>
            </w:r>
          </w:p>
        </w:tc>
        <w:tc>
          <w:tcPr>
            <w:tcW w:w="60" w:type="dxa"/>
            <w:tcBorders/>
            <w:shd w:fill="CCEEFF" w:val="clear"/>
            <w:vAlign w:val="center"/>
          </w:tcPr>
          <w:p>
            <w:pPr>
              <w:pStyle w:val="TableContents"/>
              <w:spacing w:before="0" w:after="283"/>
              <w:rPr/>
            </w:pPr>
            <w:r>
              <w:rPr/>
              <w:t> </w:t>
            </w:r>
          </w:p>
        </w:tc>
      </w:tr>
    </w:tbl>
    <w:p>
      <w:pPr>
        <w:pStyle w:val="TextBody"/>
        <w:spacing w:before="0" w:after="0"/>
        <w:ind w:left="288" w:right="288" w:hanging="0"/>
        <w:jc w:val="left"/>
        <w:rPr/>
      </w:pPr>
      <w:r>
        <w:rPr/>
        <w:t> </w:t>
      </w:r>
    </w:p>
    <w:p>
      <w:pPr>
        <w:pStyle w:val="TextBody"/>
        <w:spacing w:before="0" w:after="0"/>
        <w:ind w:left="0" w:right="0" w:firstLine="720"/>
        <w:jc w:val="left"/>
        <w:rPr/>
      </w:pPr>
      <w:r>
        <w:rPr>
          <w:rFonts w:ascii="Times New Roman;Times;serif" w:hAnsi="Times New Roman;Times;serif"/>
          <w:color w:val="000000"/>
          <w:sz w:val="20"/>
        </w:rPr>
        <w:t xml:space="preserve">Operating cash flow for the </w:t>
      </w:r>
      <w:r>
        <w:rPr>
          <w:rStyle w:val="Emphasis"/>
          <w:rFonts w:ascii="Times New Roman;Times;serif" w:hAnsi="Times New Roman;Times;serif"/>
          <w:color w:val="000000"/>
          <w:sz w:val="20"/>
        </w:rPr>
        <w:t>second</w:t>
      </w:r>
      <w:r>
        <w:rPr>
          <w:rFonts w:ascii="Times New Roman;Times;serif" w:hAnsi="Times New Roman;Times;serif"/>
          <w:color w:val="000000"/>
          <w:sz w:val="20"/>
        </w:rPr>
        <w:t xml:space="preserve"> quarter and year-to-date fiscal </w:t>
      </w:r>
      <w:r>
        <w:rPr>
          <w:rStyle w:val="Emphasis"/>
          <w:rFonts w:ascii="Times New Roman;Times;serif" w:hAnsi="Times New Roman;Times;serif"/>
          <w:color w:val="000000"/>
          <w:sz w:val="20"/>
        </w:rPr>
        <w:t>2021</w:t>
      </w:r>
      <w:r>
        <w:rPr>
          <w:rFonts w:ascii="Times New Roman;Times;serif" w:hAnsi="Times New Roman;Times;serif"/>
          <w:color w:val="000000"/>
          <w:sz w:val="20"/>
        </w:rPr>
        <w:t xml:space="preserve"> exceeded expense recorded for the same periods, which is expected to continue for the remainder of fiscal </w:t>
      </w:r>
      <w:r>
        <w:rPr>
          <w:rStyle w:val="Emphasis"/>
          <w:rFonts w:ascii="Times New Roman;Times;serif" w:hAnsi="Times New Roman;Times;serif"/>
          <w:color w:val="000000"/>
          <w:sz w:val="20"/>
        </w:rPr>
        <w:t>2021,</w:t>
      </w:r>
      <w:r>
        <w:rPr>
          <w:rFonts w:ascii="Times New Roman;Times;serif" w:hAnsi="Times New Roman;Times;serif"/>
          <w:color w:val="000000"/>
          <w:sz w:val="20"/>
        </w:rPr>
        <w:t xml:space="preserve"> as the Company's deferred rent obligations obtained during rent negotiations in fiscal </w:t>
      </w:r>
      <w:r>
        <w:rPr>
          <w:rStyle w:val="Emphasis"/>
          <w:rFonts w:ascii="Times New Roman;Times;serif" w:hAnsi="Times New Roman;Times;serif"/>
          <w:color w:val="000000"/>
          <w:sz w:val="20"/>
        </w:rPr>
        <w:t>2020</w:t>
      </w:r>
      <w:r>
        <w:rPr>
          <w:rFonts w:ascii="Times New Roman;Times;serif" w:hAnsi="Times New Roman;Times;serif"/>
          <w:color w:val="000000"/>
          <w:sz w:val="20"/>
        </w:rPr>
        <w:t xml:space="preserve"> are to be paid during fiscal </w:t>
      </w:r>
      <w:r>
        <w:rPr>
          <w:rStyle w:val="Emphasis"/>
          <w:rFonts w:ascii="Times New Roman;Times;serif" w:hAnsi="Times New Roman;Times;serif"/>
          <w:color w:val="000000"/>
          <w:sz w:val="20"/>
        </w:rPr>
        <w:t>2021.</w:t>
      </w:r>
      <w:r>
        <w:rPr>
          <w:rFonts w:ascii="Times New Roman;Times;serif" w:hAnsi="Times New Roman;Times;serif"/>
          <w:color w:val="000000"/>
          <w:sz w:val="20"/>
        </w:rPr>
        <w:t xml:space="preserve"> The Company has approximately $2.3 million remaining of rent deferrals to be paid in the remainder of fiscal </w:t>
      </w:r>
      <w:r>
        <w:rPr>
          <w:rStyle w:val="Emphasis"/>
          <w:rFonts w:ascii="Times New Roman;Times;serif" w:hAnsi="Times New Roman;Times;serif"/>
          <w:color w:val="000000"/>
          <w:sz w:val="20"/>
        </w:rPr>
        <w:t>2021,</w:t>
      </w:r>
      <w:r>
        <w:rPr>
          <w:rFonts w:ascii="Times New Roman;Times;serif" w:hAnsi="Times New Roman;Times;serif"/>
          <w:color w:val="000000"/>
          <w:sz w:val="20"/>
        </w:rPr>
        <w:t xml:space="preserve"> whose liability is recorded in the Operating lease liability short term line of the Condensed Consolidated Balance Sheet.</w:t>
      </w:r>
    </w:p>
    <w:p>
      <w:pPr>
        <w:pStyle w:val="TextBody"/>
        <w:spacing w:before="0" w:after="0"/>
        <w:ind w:left="0" w:right="0" w:firstLine="720"/>
        <w:jc w:val="left"/>
        <w:rPr>
          <w:color w:val="000000"/>
        </w:rPr>
      </w:pPr>
      <w:r>
        <w:rPr>
          <w:color w:val="000000"/>
        </w:rPr>
        <w:t> </w:t>
      </w:r>
    </w:p>
    <w:p>
      <w:pPr>
        <w:pStyle w:val="TextBody"/>
        <w:spacing w:before="0" w:after="0"/>
        <w:ind w:left="0" w:right="0" w:firstLine="720"/>
        <w:jc w:val="left"/>
        <w:rPr/>
      </w:pPr>
      <w:r>
        <w:rPr>
          <w:rFonts w:ascii="Times New Roman;Times;serif" w:hAnsi="Times New Roman;Times;serif"/>
          <w:color w:val="000000"/>
          <w:sz w:val="20"/>
        </w:rPr>
        <w:t xml:space="preserve">As of </w:t>
      </w:r>
      <w:r>
        <w:rPr>
          <w:rStyle w:val="Emphasis"/>
          <w:rFonts w:ascii="Times New Roman;Times;serif" w:hAnsi="Times New Roman;Times;serif"/>
          <w:color w:val="000000"/>
          <w:sz w:val="20"/>
        </w:rPr>
        <w:t xml:space="preserve">July 31, 2021 </w:t>
      </w:r>
      <w:r>
        <w:rPr>
          <w:rFonts w:ascii="Times New Roman;Times;serif" w:hAnsi="Times New Roman;Times;serif"/>
          <w:color w:val="000000"/>
          <w:sz w:val="20"/>
        </w:rPr>
        <w:t xml:space="preserve">and </w:t>
      </w:r>
      <w:r>
        <w:rPr>
          <w:rStyle w:val="Emphasis"/>
          <w:rFonts w:ascii="Times New Roman;Times;serif" w:hAnsi="Times New Roman;Times;serif"/>
          <w:color w:val="000000"/>
          <w:sz w:val="20"/>
        </w:rPr>
        <w:t>August 1, 2020</w:t>
      </w:r>
      <w:r>
        <w:rPr>
          <w:rFonts w:ascii="Times New Roman;Times;serif" w:hAnsi="Times New Roman;Times;serif"/>
          <w:color w:val="000000"/>
          <w:sz w:val="20"/>
        </w:rPr>
        <w:t>, the weighted-average remaining operating lease term was 4.6 years and 5.0 years, respectively, and the weighted-average discount rate was 6.0% and 6.0%, respectively, for operating leases recognized on the Company's Condensed Consolidated Balance Sheets.</w:t>
      </w:r>
    </w:p>
    <w:p>
      <w:pPr>
        <w:pStyle w:val="TextBody"/>
        <w:spacing w:before="0" w:after="0"/>
        <w:ind w:left="0" w:right="0" w:firstLine="540"/>
        <w:jc w:val="left"/>
        <w:rPr>
          <w:color w:val="000000"/>
        </w:rPr>
      </w:pPr>
      <w:r>
        <w:rPr>
          <w:color w:val="000000"/>
        </w:rPr>
        <w:t> </w:t>
      </w:r>
    </w:p>
    <w:p>
      <w:pPr>
        <w:pStyle w:val="TextBody"/>
        <w:spacing w:before="0" w:after="0"/>
        <w:ind w:left="0" w:right="0" w:firstLine="720"/>
        <w:jc w:val="left"/>
        <w:rPr/>
      </w:pPr>
      <w:r>
        <w:rPr>
          <w:rFonts w:ascii="Times New Roman;Times;serif" w:hAnsi="Times New Roman;Times;serif"/>
          <w:color w:val="000000"/>
          <w:sz w:val="20"/>
        </w:rPr>
        <w:t>For the </w:t>
      </w:r>
      <w:r>
        <w:rPr>
          <w:rStyle w:val="Emphasis"/>
          <w:rFonts w:ascii="Times New Roman;Times;serif" w:hAnsi="Times New Roman;Times;serif"/>
          <w:color w:val="000000"/>
          <w:sz w:val="20"/>
        </w:rPr>
        <w:t>thirteen</w:t>
      </w:r>
      <w:r>
        <w:rPr>
          <w:rFonts w:ascii="Times New Roman;Times;serif" w:hAnsi="Times New Roman;Times;serif"/>
          <w:color w:val="000000"/>
          <w:sz w:val="20"/>
        </w:rPr>
        <w:t xml:space="preserve"> and </w:t>
      </w:r>
      <w:r>
        <w:rPr>
          <w:rStyle w:val="Emphasis"/>
          <w:rFonts w:ascii="Times New Roman;Times;serif" w:hAnsi="Times New Roman;Times;serif"/>
          <w:color w:val="000000"/>
          <w:sz w:val="20"/>
        </w:rPr>
        <w:t>twenty-six</w:t>
      </w:r>
      <w:r>
        <w:rPr>
          <w:rFonts w:ascii="Times New Roman;Times;serif" w:hAnsi="Times New Roman;Times;serif"/>
          <w:color w:val="000000"/>
          <w:sz w:val="20"/>
        </w:rPr>
        <w:t xml:space="preserve"> weeks ended </w:t>
      </w:r>
      <w:r>
        <w:rPr>
          <w:rStyle w:val="Emphasis"/>
          <w:rFonts w:ascii="Times New Roman;Times;serif" w:hAnsi="Times New Roman;Times;serif"/>
          <w:color w:val="000000"/>
          <w:sz w:val="20"/>
        </w:rPr>
        <w:t>July 31, 2021</w:t>
      </w:r>
      <w:r>
        <w:rPr>
          <w:rFonts w:ascii="Times New Roman;Times;serif" w:hAnsi="Times New Roman;Times;serif"/>
          <w:color w:val="000000"/>
          <w:sz w:val="20"/>
        </w:rPr>
        <w:t xml:space="preserve">, the Company did </w:t>
      </w:r>
      <w:r>
        <w:rPr>
          <w:rStyle w:val="Emphasis"/>
          <w:rFonts w:ascii="Times New Roman;Times;serif" w:hAnsi="Times New Roman;Times;serif"/>
          <w:color w:val="000000"/>
          <w:sz w:val="20"/>
        </w:rPr>
        <w:t>not</w:t>
      </w:r>
      <w:r>
        <w:rPr>
          <w:rFonts w:ascii="Times New Roman;Times;serif" w:hAnsi="Times New Roman;Times;serif"/>
          <w:color w:val="000000"/>
          <w:sz w:val="20"/>
        </w:rPr>
        <w:t xml:space="preserve"> incur impairment charges against its right-of-use operating lease assets. For the </w:t>
      </w:r>
      <w:r>
        <w:rPr>
          <w:rStyle w:val="Emphasis"/>
          <w:rFonts w:ascii="Times New Roman;Times;serif" w:hAnsi="Times New Roman;Times;serif"/>
          <w:color w:val="000000"/>
          <w:sz w:val="20"/>
        </w:rPr>
        <w:t>thirteen</w:t>
      </w:r>
      <w:r>
        <w:rPr>
          <w:rFonts w:ascii="Times New Roman;Times;serif" w:hAnsi="Times New Roman;Times;serif"/>
          <w:color w:val="000000"/>
          <w:sz w:val="20"/>
        </w:rPr>
        <w:t xml:space="preserve"> and </w:t>
      </w:r>
      <w:r>
        <w:rPr>
          <w:rStyle w:val="Emphasis"/>
          <w:rFonts w:ascii="Times New Roman;Times;serif" w:hAnsi="Times New Roman;Times;serif"/>
          <w:color w:val="000000"/>
          <w:sz w:val="20"/>
        </w:rPr>
        <w:t>twenty-six</w:t>
      </w:r>
      <w:r>
        <w:rPr>
          <w:rFonts w:ascii="Times New Roman;Times;serif" w:hAnsi="Times New Roman;Times;serif"/>
          <w:color w:val="000000"/>
          <w:sz w:val="20"/>
        </w:rPr>
        <w:t xml:space="preserve"> weeks ended </w:t>
      </w:r>
      <w:r>
        <w:rPr>
          <w:rStyle w:val="Emphasis"/>
          <w:rFonts w:ascii="Times New Roman;Times;serif" w:hAnsi="Times New Roman;Times;serif"/>
          <w:color w:val="000000"/>
          <w:sz w:val="20"/>
        </w:rPr>
        <w:t>August 1, 2020</w:t>
      </w:r>
      <w:r>
        <w:rPr>
          <w:rFonts w:ascii="Times New Roman;Times;serif" w:hAnsi="Times New Roman;Times;serif"/>
          <w:color w:val="000000"/>
          <w:sz w:val="20"/>
        </w:rPr>
        <w:t>, the Company incurred right-of-use asset impairment charges of $1.2 million and $3.6 million, respectively.</w:t>
      </w:r>
    </w:p>
    <w:p>
      <w:pPr>
        <w:pStyle w:val="TextBody"/>
        <w:spacing w:before="0" w:after="0"/>
        <w:ind w:left="0" w:right="0" w:firstLine="720"/>
        <w:jc w:val="left"/>
        <w:rPr>
          <w:color w:val="000000"/>
        </w:rPr>
      </w:pPr>
      <w:r>
        <w:rPr>
          <w:color w:val="000000"/>
        </w:rPr>
        <w:t> </w:t>
      </w:r>
    </w:p>
    <w:p>
      <w:pPr>
        <w:pStyle w:val="TextBody"/>
        <w:spacing w:before="0" w:after="0"/>
        <w:jc w:val="center"/>
        <w:rPr/>
      </w:pPr>
      <w:r>
        <w:rPr>
          <w:rStyle w:val="Emphasis"/>
          <w:rFonts w:ascii="Times New Roman" w:hAnsi="Times New Roman"/>
          <w:sz w:val="20"/>
        </w:rPr>
        <w:t>9</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hanging="0"/>
        <w:jc w:val="left"/>
        <w:rPr>
          <w:rFonts w:ascii="Times New Roman;Times;serif" w:hAnsi="Times New Roman;Times;serif"/>
          <w:i/>
          <w:sz w:val="20"/>
        </w:rPr>
      </w:pPr>
      <w:r>
        <w:rPr>
          <w:rFonts w:ascii="Times New Roman;Times;serif" w:hAnsi="Times New Roman;Times;serif"/>
          <w:i/>
          <w:sz w:val="20"/>
        </w:rPr>
        <w:t>Undiscounted cash flows</w:t>
      </w:r>
    </w:p>
    <w:p>
      <w:pPr>
        <w:pStyle w:val="TextBody"/>
        <w:spacing w:before="0" w:after="0"/>
        <w:ind w:left="0" w:right="0" w:hanging="0"/>
        <w:jc w:val="left"/>
        <w:rPr/>
      </w:pPr>
      <w:r>
        <w:rPr/>
        <w:t> </w:t>
      </w:r>
    </w:p>
    <w:p>
      <w:pPr>
        <w:pStyle w:val="TextBody"/>
        <w:spacing w:before="0" w:after="0"/>
        <w:ind w:left="540" w:right="0" w:firstLine="180"/>
        <w:jc w:val="left"/>
        <w:rPr/>
      </w:pPr>
      <w:r>
        <w:rPr>
          <w:rFonts w:ascii="Times New Roman;Times;serif" w:hAnsi="Times New Roman;Times;serif"/>
          <w:sz w:val="20"/>
        </w:rPr>
        <w:t xml:space="preserve">The table below reconciles the undiscounted cash flows for each of the </w:t>
      </w:r>
      <w:r>
        <w:rPr>
          <w:rStyle w:val="Emphasis"/>
          <w:rFonts w:ascii="Times New Roman;Times;serif" w:hAnsi="Times New Roman;Times;serif"/>
          <w:sz w:val="20"/>
        </w:rPr>
        <w:t>first</w:t>
      </w:r>
      <w:r>
        <w:rPr>
          <w:rFonts w:ascii="Times New Roman;Times;serif" w:hAnsi="Times New Roman;Times;serif"/>
          <w:sz w:val="20"/>
        </w:rPr>
        <w:t xml:space="preserve"> </w:t>
      </w:r>
      <w:r>
        <w:rPr>
          <w:rStyle w:val="Emphasis"/>
          <w:rFonts w:ascii="Times New Roman;Times;serif" w:hAnsi="Times New Roman;Times;serif"/>
          <w:sz w:val="20"/>
        </w:rPr>
        <w:t>five</w:t>
      </w:r>
      <w:r>
        <w:rPr>
          <w:rFonts w:ascii="Times New Roman;Times;serif" w:hAnsi="Times New Roman;Times;serif"/>
          <w:sz w:val="20"/>
        </w:rPr>
        <w:t xml:space="preserve"> years and total of the remaining years to the operating lease liabilities recorded on the balance sheet (in thousands).</w:t>
      </w:r>
    </w:p>
    <w:p>
      <w:pPr>
        <w:pStyle w:val="TextBody"/>
        <w:spacing w:before="0" w:after="0"/>
        <w:ind w:left="288" w:right="288" w:hanging="0"/>
        <w:jc w:val="left"/>
        <w:rPr/>
      </w:pPr>
      <w:r>
        <w:rPr/>
        <w:t> </w:t>
      </w:r>
    </w:p>
    <w:tbl>
      <w:tblPr>
        <w:tblW w:w="5240" w:type="dxa"/>
        <w:jc w:val="left"/>
        <w:tblInd w:w="0" w:type="dxa"/>
        <w:tblCellMar>
          <w:top w:w="0" w:type="dxa"/>
          <w:left w:w="0" w:type="dxa"/>
          <w:bottom w:w="28" w:type="dxa"/>
          <w:right w:w="0" w:type="dxa"/>
        </w:tblCellMar>
      </w:tblPr>
      <w:tblGrid>
        <w:gridCol w:w="4280"/>
        <w:gridCol w:w="60"/>
        <w:gridCol w:w="125"/>
        <w:gridCol w:w="695"/>
        <w:gridCol w:w="80"/>
      </w:tblGrid>
      <w:tr>
        <w:trPr/>
        <w:tc>
          <w:tcPr>
            <w:tcW w:w="4280" w:type="dxa"/>
            <w:tcBorders>
              <w:bottom w:val="single" w:sz="2" w:space="0" w:color="000000"/>
            </w:tcBorders>
            <w:shd w:fill="FFFFFF" w:val="clear"/>
            <w:vAlign w:val="center"/>
          </w:tcPr>
          <w:p>
            <w:pPr>
              <w:pStyle w:val="TableContents"/>
              <w:spacing w:before="0" w:after="0"/>
              <w:jc w:val="center"/>
              <w:rPr>
                <w:rFonts w:ascii="Times New Roman;Times;serif" w:hAnsi="Times New Roman;Times;serif"/>
                <w:b/>
                <w:sz w:val="20"/>
              </w:rPr>
            </w:pPr>
            <w:r>
              <w:rPr>
                <w:rFonts w:ascii="Times New Roman;Times;serif" w:hAnsi="Times New Roman;Times;serif"/>
                <w:b/>
                <w:sz w:val="20"/>
              </w:rPr>
              <w:t>Operating Leases</w:t>
            </w:r>
          </w:p>
        </w:tc>
        <w:tc>
          <w:tcPr>
            <w:tcW w:w="60" w:type="dxa"/>
            <w:tcBorders>
              <w:bottom w:val="single" w:sz="2" w:space="0" w:color="000000"/>
            </w:tcBorders>
            <w:shd w:fill="FFFFFF" w:val="clear"/>
            <w:vAlign w:val="center"/>
          </w:tcPr>
          <w:p>
            <w:pPr>
              <w:pStyle w:val="TableContents"/>
              <w:spacing w:before="0" w:after="283"/>
              <w:ind w:left="0" w:right="0" w:hanging="0"/>
              <w:rPr/>
            </w:pPr>
            <w:r>
              <w:rPr/>
              <w:t> </w:t>
            </w:r>
          </w:p>
        </w:tc>
        <w:tc>
          <w:tcPr>
            <w:tcW w:w="820" w:type="dxa"/>
            <w:gridSpan w:val="2"/>
            <w:tcBorders>
              <w:bottom w:val="single" w:sz="2" w:space="0" w:color="000000"/>
            </w:tcBorders>
            <w:shd w:fill="FFFFFF" w:val="clear"/>
            <w:vAlign w:val="center"/>
          </w:tcPr>
          <w:p>
            <w:pPr>
              <w:pStyle w:val="TableContents"/>
              <w:spacing w:before="0" w:after="283"/>
              <w:jc w:val="center"/>
              <w:rPr/>
            </w:pPr>
            <w:r>
              <w:rPr/>
              <w:t> </w:t>
            </w:r>
          </w:p>
        </w:tc>
        <w:tc>
          <w:tcPr>
            <w:tcW w:w="80" w:type="dxa"/>
            <w:tcBorders>
              <w:bottom w:val="single" w:sz="2" w:space="0" w:color="000000"/>
            </w:tcBorders>
            <w:shd w:fill="FFFFFF" w:val="clear"/>
            <w:vAlign w:val="center"/>
          </w:tcPr>
          <w:p>
            <w:pPr>
              <w:pStyle w:val="TableContents"/>
              <w:spacing w:before="0" w:after="283"/>
              <w:rPr/>
            </w:pPr>
            <w:r>
              <w:rPr/>
              <w:t> </w:t>
            </w:r>
          </w:p>
        </w:tc>
      </w:tr>
      <w:tr>
        <w:trPr/>
        <w:tc>
          <w:tcPr>
            <w:tcW w:w="4280" w:type="dxa"/>
            <w:tcBorders/>
            <w:shd w:fill="CCEEFF" w:val="clear"/>
            <w:tcMar>
              <w:bottom w:w="0" w:type="dxa"/>
            </w:tcM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2021</w:t>
            </w:r>
          </w:p>
        </w:tc>
        <w:tc>
          <w:tcPr>
            <w:tcW w:w="60" w:type="dxa"/>
            <w:tcBorders/>
            <w:shd w:fill="CCEEFF" w:val="clear"/>
            <w:tcMar>
              <w:bottom w:w="0" w:type="dxa"/>
            </w:tcMar>
            <w:vAlign w:val="center"/>
          </w:tcPr>
          <w:p>
            <w:pPr>
              <w:pStyle w:val="TableContents"/>
              <w:spacing w:before="0" w:after="283"/>
              <w:rPr/>
            </w:pPr>
            <w:r>
              <w:rPr/>
              <w:t> </w:t>
            </w:r>
          </w:p>
        </w:tc>
        <w:tc>
          <w:tcPr>
            <w:tcW w:w="125" w:type="dxa"/>
            <w:tcBorders/>
            <w:shd w:fill="CCEEFF" w:val="clear"/>
            <w:tcMar>
              <w:bottom w:w="0" w:type="dxa"/>
            </w:tcMar>
            <w:vAlign w:val="center"/>
          </w:tcPr>
          <w:p>
            <w:pPr>
              <w:pStyle w:val="TableContents"/>
              <w:spacing w:before="0" w:after="283"/>
              <w:rPr/>
            </w:pPr>
            <w:r>
              <w:rPr/>
              <w:t> </w:t>
            </w:r>
          </w:p>
        </w:tc>
        <w:tc>
          <w:tcPr>
            <w:tcW w:w="695" w:type="dxa"/>
            <w:tcBorders/>
            <w:shd w:fill="CCEE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18,450</w:t>
            </w:r>
          </w:p>
        </w:tc>
        <w:tc>
          <w:tcPr>
            <w:tcW w:w="80" w:type="dxa"/>
            <w:tcBorders/>
            <w:shd w:fill="CCEEFF" w:val="clear"/>
            <w:tcMar>
              <w:bottom w:w="0" w:type="dxa"/>
            </w:tcMar>
            <w:vAlign w:val="center"/>
          </w:tcPr>
          <w:p>
            <w:pPr>
              <w:pStyle w:val="TableContents"/>
              <w:spacing w:before="0" w:after="283"/>
              <w:rPr/>
            </w:pPr>
            <w:r>
              <w:rPr/>
              <w:t> </w:t>
            </w:r>
          </w:p>
        </w:tc>
      </w:tr>
      <w:tr>
        <w:trPr/>
        <w:tc>
          <w:tcPr>
            <w:tcW w:w="4280" w:type="dxa"/>
            <w:tcBorders/>
            <w:shd w:fill="FFFFFF" w:val="clear"/>
            <w:tcMar>
              <w:bottom w:w="0" w:type="dxa"/>
            </w:tcM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2022</w:t>
            </w:r>
          </w:p>
        </w:tc>
        <w:tc>
          <w:tcPr>
            <w:tcW w:w="60"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center"/>
          </w:tcPr>
          <w:p>
            <w:pPr>
              <w:pStyle w:val="TableContents"/>
              <w:spacing w:before="0" w:after="283"/>
              <w:rPr/>
            </w:pPr>
            <w:r>
              <w:rPr/>
              <w:t> </w:t>
            </w:r>
          </w:p>
        </w:tc>
        <w:tc>
          <w:tcPr>
            <w:tcW w:w="695" w:type="dxa"/>
            <w:tcBorders/>
            <w:shd w:fill="FFFF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32,181</w:t>
            </w:r>
          </w:p>
        </w:tc>
        <w:tc>
          <w:tcPr>
            <w:tcW w:w="80" w:type="dxa"/>
            <w:tcBorders/>
            <w:shd w:fill="FFFFFF" w:val="clear"/>
            <w:tcMar>
              <w:bottom w:w="0" w:type="dxa"/>
            </w:tcMar>
            <w:vAlign w:val="center"/>
          </w:tcPr>
          <w:p>
            <w:pPr>
              <w:pStyle w:val="TableContents"/>
              <w:spacing w:before="0" w:after="283"/>
              <w:rPr/>
            </w:pPr>
            <w:r>
              <w:rPr/>
              <w:t> </w:t>
            </w:r>
          </w:p>
        </w:tc>
      </w:tr>
      <w:tr>
        <w:trPr/>
        <w:tc>
          <w:tcPr>
            <w:tcW w:w="4280" w:type="dxa"/>
            <w:tcBorders/>
            <w:shd w:fill="CCEEFF" w:val="clear"/>
            <w:tcMar>
              <w:bottom w:w="0" w:type="dxa"/>
            </w:tcM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2023</w:t>
            </w:r>
          </w:p>
        </w:tc>
        <w:tc>
          <w:tcPr>
            <w:tcW w:w="60" w:type="dxa"/>
            <w:tcBorders/>
            <w:shd w:fill="CCEEFF" w:val="clear"/>
            <w:tcMar>
              <w:bottom w:w="0" w:type="dxa"/>
            </w:tcMar>
            <w:vAlign w:val="center"/>
          </w:tcPr>
          <w:p>
            <w:pPr>
              <w:pStyle w:val="TableContents"/>
              <w:spacing w:before="0" w:after="283"/>
              <w:rPr/>
            </w:pPr>
            <w:r>
              <w:rPr/>
              <w:t> </w:t>
            </w:r>
          </w:p>
        </w:tc>
        <w:tc>
          <w:tcPr>
            <w:tcW w:w="125" w:type="dxa"/>
            <w:tcBorders/>
            <w:shd w:fill="CCEEFF" w:val="clear"/>
            <w:tcMar>
              <w:bottom w:w="0" w:type="dxa"/>
            </w:tcMar>
            <w:vAlign w:val="center"/>
          </w:tcPr>
          <w:p>
            <w:pPr>
              <w:pStyle w:val="TableContents"/>
              <w:spacing w:before="0" w:after="283"/>
              <w:rPr/>
            </w:pPr>
            <w:r>
              <w:rPr/>
              <w:t> </w:t>
            </w:r>
          </w:p>
        </w:tc>
        <w:tc>
          <w:tcPr>
            <w:tcW w:w="695" w:type="dxa"/>
            <w:tcBorders/>
            <w:shd w:fill="CCEE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26,296</w:t>
            </w:r>
          </w:p>
        </w:tc>
        <w:tc>
          <w:tcPr>
            <w:tcW w:w="80" w:type="dxa"/>
            <w:tcBorders/>
            <w:shd w:fill="CCEEFF" w:val="clear"/>
            <w:tcMar>
              <w:bottom w:w="0" w:type="dxa"/>
            </w:tcMar>
            <w:vAlign w:val="center"/>
          </w:tcPr>
          <w:p>
            <w:pPr>
              <w:pStyle w:val="TableContents"/>
              <w:spacing w:before="0" w:after="283"/>
              <w:rPr/>
            </w:pPr>
            <w:r>
              <w:rPr/>
              <w:t> </w:t>
            </w:r>
          </w:p>
        </w:tc>
      </w:tr>
      <w:tr>
        <w:trPr/>
        <w:tc>
          <w:tcPr>
            <w:tcW w:w="4280" w:type="dxa"/>
            <w:tcBorders/>
            <w:shd w:fill="FFFFFF" w:val="clear"/>
            <w:tcMar>
              <w:bottom w:w="0" w:type="dxa"/>
            </w:tcM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2024</w:t>
            </w:r>
          </w:p>
        </w:tc>
        <w:tc>
          <w:tcPr>
            <w:tcW w:w="60"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center"/>
          </w:tcPr>
          <w:p>
            <w:pPr>
              <w:pStyle w:val="TableContents"/>
              <w:spacing w:before="0" w:after="283"/>
              <w:rPr/>
            </w:pPr>
            <w:r>
              <w:rPr/>
              <w:t> </w:t>
            </w:r>
          </w:p>
        </w:tc>
        <w:tc>
          <w:tcPr>
            <w:tcW w:w="695" w:type="dxa"/>
            <w:tcBorders/>
            <w:shd w:fill="FFFF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21,898</w:t>
            </w:r>
          </w:p>
        </w:tc>
        <w:tc>
          <w:tcPr>
            <w:tcW w:w="80" w:type="dxa"/>
            <w:tcBorders/>
            <w:shd w:fill="FFFFFF" w:val="clear"/>
            <w:tcMar>
              <w:bottom w:w="0" w:type="dxa"/>
            </w:tcMar>
            <w:vAlign w:val="center"/>
          </w:tcPr>
          <w:p>
            <w:pPr>
              <w:pStyle w:val="TableContents"/>
              <w:spacing w:before="0" w:after="283"/>
              <w:rPr/>
            </w:pPr>
            <w:r>
              <w:rPr/>
              <w:t> </w:t>
            </w:r>
          </w:p>
        </w:tc>
      </w:tr>
      <w:tr>
        <w:trPr/>
        <w:tc>
          <w:tcPr>
            <w:tcW w:w="4280" w:type="dxa"/>
            <w:tcBorders/>
            <w:shd w:fill="CCEEFF" w:val="clear"/>
            <w:tcMar>
              <w:bottom w:w="0" w:type="dxa"/>
            </w:tcM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2025</w:t>
            </w:r>
          </w:p>
        </w:tc>
        <w:tc>
          <w:tcPr>
            <w:tcW w:w="60" w:type="dxa"/>
            <w:tcBorders/>
            <w:shd w:fill="CCEEFF" w:val="clear"/>
            <w:tcMar>
              <w:bottom w:w="0" w:type="dxa"/>
            </w:tcMar>
            <w:vAlign w:val="center"/>
          </w:tcPr>
          <w:p>
            <w:pPr>
              <w:pStyle w:val="TableContents"/>
              <w:spacing w:before="0" w:after="283"/>
              <w:rPr/>
            </w:pPr>
            <w:r>
              <w:rPr/>
              <w:t> </w:t>
            </w:r>
          </w:p>
        </w:tc>
        <w:tc>
          <w:tcPr>
            <w:tcW w:w="125" w:type="dxa"/>
            <w:tcBorders/>
            <w:shd w:fill="CCEEFF" w:val="clear"/>
            <w:tcMar>
              <w:bottom w:w="0" w:type="dxa"/>
            </w:tcMar>
            <w:vAlign w:val="center"/>
          </w:tcPr>
          <w:p>
            <w:pPr>
              <w:pStyle w:val="TableContents"/>
              <w:spacing w:before="0" w:after="283"/>
              <w:rPr/>
            </w:pPr>
            <w:r>
              <w:rPr/>
              <w:t> </w:t>
            </w:r>
          </w:p>
        </w:tc>
        <w:tc>
          <w:tcPr>
            <w:tcW w:w="695" w:type="dxa"/>
            <w:tcBorders/>
            <w:shd w:fill="CCEE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16,287</w:t>
            </w:r>
          </w:p>
        </w:tc>
        <w:tc>
          <w:tcPr>
            <w:tcW w:w="80" w:type="dxa"/>
            <w:tcBorders/>
            <w:shd w:fill="CCEEFF" w:val="clear"/>
            <w:tcMar>
              <w:bottom w:w="0" w:type="dxa"/>
            </w:tcMar>
            <w:vAlign w:val="center"/>
          </w:tcPr>
          <w:p>
            <w:pPr>
              <w:pStyle w:val="TableContents"/>
              <w:spacing w:before="0" w:after="283"/>
              <w:rPr/>
            </w:pPr>
            <w:r>
              <w:rPr/>
              <w:t> </w:t>
            </w:r>
          </w:p>
        </w:tc>
      </w:tr>
      <w:tr>
        <w:trPr/>
        <w:tc>
          <w:tcPr>
            <w:tcW w:w="4280" w:type="dxa"/>
            <w:tcBorders/>
            <w:shd w:fill="FFFFFF" w:val="clear"/>
            <w:tcMar>
              <w:bottom w:w="0" w:type="dxa"/>
            </w:tcM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Thereafter</w:t>
            </w:r>
          </w:p>
        </w:tc>
        <w:tc>
          <w:tcPr>
            <w:tcW w:w="60" w:type="dxa"/>
            <w:tcBorders/>
            <w:shd w:fill="FFFFFF" w:val="clear"/>
            <w:tcMar>
              <w:bottom w:w="0" w:type="dxa"/>
            </w:tcMar>
            <w:vAlign w:val="center"/>
          </w:tcPr>
          <w:p>
            <w:pPr>
              <w:pStyle w:val="TableContents"/>
              <w:spacing w:before="0" w:after="283"/>
              <w:ind w:left="0" w:right="0" w:hanging="0"/>
              <w:rPr/>
            </w:pPr>
            <w:r>
              <w:rPr/>
              <w:t> </w:t>
            </w:r>
          </w:p>
        </w:tc>
        <w:tc>
          <w:tcPr>
            <w:tcW w:w="125" w:type="dxa"/>
            <w:tcBorders>
              <w:bottom w:val="single" w:sz="2" w:space="0" w:color="000000"/>
            </w:tcBorders>
            <w:shd w:fill="FFFFFF" w:val="clear"/>
            <w:vAlign w:val="center"/>
          </w:tcPr>
          <w:p>
            <w:pPr>
              <w:pStyle w:val="TableContents"/>
              <w:spacing w:before="0" w:after="0"/>
              <w:ind w:left="0" w:right="0" w:hanging="0"/>
              <w:rPr/>
            </w:pPr>
            <w:r>
              <w:rPr/>
              <w:t> </w:t>
            </w:r>
          </w:p>
        </w:tc>
        <w:tc>
          <w:tcPr>
            <w:tcW w:w="695" w:type="dxa"/>
            <w:tcBorders>
              <w:bottom w:val="single" w:sz="2" w:space="0" w:color="000000"/>
            </w:tcBorders>
            <w:shd w:fill="FFFF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20,612</w:t>
            </w:r>
          </w:p>
        </w:tc>
        <w:tc>
          <w:tcPr>
            <w:tcW w:w="80" w:type="dxa"/>
            <w:tcBorders/>
            <w:shd w:fill="FFFFFF" w:val="clear"/>
            <w:tcMar>
              <w:bottom w:w="0" w:type="dxa"/>
            </w:tcMar>
            <w:vAlign w:val="center"/>
          </w:tcPr>
          <w:p>
            <w:pPr>
              <w:pStyle w:val="TableContents"/>
              <w:spacing w:before="0" w:after="283"/>
              <w:rPr/>
            </w:pPr>
            <w:r>
              <w:rPr/>
              <w:t> </w:t>
            </w:r>
          </w:p>
        </w:tc>
      </w:tr>
      <w:tr>
        <w:trPr/>
        <w:tc>
          <w:tcPr>
            <w:tcW w:w="4280" w:type="dxa"/>
            <w:tcBorders/>
            <w:shd w:fill="CCEEFF" w:val="clear"/>
            <w:tcMar>
              <w:bottom w:w="0" w:type="dxa"/>
            </w:tcMar>
            <w:vAlign w:val="center"/>
          </w:tcPr>
          <w:p>
            <w:pPr>
              <w:pStyle w:val="TableContents"/>
              <w:spacing w:before="0" w:after="0"/>
              <w:ind w:left="0" w:right="0" w:firstLine="180"/>
              <w:rPr>
                <w:rFonts w:ascii="Times New Roman;Times;serif" w:hAnsi="Times New Roman;Times;serif"/>
                <w:sz w:val="20"/>
              </w:rPr>
            </w:pPr>
            <w:r>
              <w:rPr>
                <w:rFonts w:ascii="Times New Roman;Times;serif" w:hAnsi="Times New Roman;Times;serif"/>
                <w:sz w:val="20"/>
              </w:rPr>
              <w:t>Total minimum lease payments</w:t>
            </w:r>
          </w:p>
        </w:tc>
        <w:tc>
          <w:tcPr>
            <w:tcW w:w="60" w:type="dxa"/>
            <w:tcBorders/>
            <w:shd w:fill="CCEEFF" w:val="clear"/>
            <w:tcMar>
              <w:bottom w:w="0" w:type="dxa"/>
            </w:tcMar>
            <w:vAlign w:val="center"/>
          </w:tcPr>
          <w:p>
            <w:pPr>
              <w:pStyle w:val="TableContents"/>
              <w:spacing w:before="0" w:after="283"/>
              <w:rPr/>
            </w:pPr>
            <w:r>
              <w:rPr/>
              <w:t> </w:t>
            </w:r>
          </w:p>
        </w:tc>
        <w:tc>
          <w:tcPr>
            <w:tcW w:w="125" w:type="dxa"/>
            <w:tcBorders/>
            <w:shd w:fill="CCEEFF" w:val="clear"/>
            <w:tcMar>
              <w:bottom w:w="0" w:type="dxa"/>
            </w:tcMar>
            <w:vAlign w:val="center"/>
          </w:tcPr>
          <w:p>
            <w:pPr>
              <w:pStyle w:val="TableContents"/>
              <w:spacing w:before="0" w:after="283"/>
              <w:ind w:left="0" w:right="0" w:hanging="0"/>
              <w:rPr/>
            </w:pPr>
            <w:r>
              <w:rPr/>
              <w:t> </w:t>
            </w:r>
          </w:p>
        </w:tc>
        <w:tc>
          <w:tcPr>
            <w:tcW w:w="695" w:type="dxa"/>
            <w:tcBorders/>
            <w:shd w:fill="CCEEFF" w:val="clear"/>
            <w:tcMar>
              <w:bottom w:w="0"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135,724</w:t>
            </w:r>
          </w:p>
        </w:tc>
        <w:tc>
          <w:tcPr>
            <w:tcW w:w="80" w:type="dxa"/>
            <w:tcBorders/>
            <w:shd w:fill="CCEEFF" w:val="clear"/>
            <w:tcMar>
              <w:bottom w:w="0" w:type="dxa"/>
            </w:tcMar>
            <w:vAlign w:val="center"/>
          </w:tcPr>
          <w:p>
            <w:pPr>
              <w:pStyle w:val="TableContents"/>
              <w:spacing w:before="0" w:after="283"/>
              <w:rPr/>
            </w:pPr>
            <w:r>
              <w:rPr/>
              <w:t> </w:t>
            </w:r>
          </w:p>
        </w:tc>
      </w:tr>
      <w:tr>
        <w:trPr/>
        <w:tc>
          <w:tcPr>
            <w:tcW w:w="4280" w:type="dxa"/>
            <w:tcBorders/>
            <w:shd w:fill="FFFFFF" w:val="clear"/>
            <w:tcMar>
              <w:bottom w:w="0" w:type="dxa"/>
            </w:tcM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Less: amount of lease payments representing interest</w:t>
            </w:r>
          </w:p>
        </w:tc>
        <w:tc>
          <w:tcPr>
            <w:tcW w:w="60" w:type="dxa"/>
            <w:tcBorders/>
            <w:shd w:fill="FFFFFF" w:val="clear"/>
            <w:tcMar>
              <w:bottom w:w="0" w:type="dxa"/>
            </w:tcMar>
            <w:vAlign w:val="center"/>
          </w:tcPr>
          <w:p>
            <w:pPr>
              <w:pStyle w:val="TableContents"/>
              <w:spacing w:before="0" w:after="283"/>
              <w:ind w:left="0" w:right="0" w:hanging="0"/>
              <w:rPr/>
            </w:pPr>
            <w:r>
              <w:rPr/>
              <w:t> </w:t>
            </w:r>
          </w:p>
        </w:tc>
        <w:tc>
          <w:tcPr>
            <w:tcW w:w="125" w:type="dxa"/>
            <w:tcBorders>
              <w:bottom w:val="single" w:sz="2" w:space="0" w:color="000000"/>
            </w:tcBorders>
            <w:shd w:fill="FFFFFF" w:val="clear"/>
            <w:vAlign w:val="center"/>
          </w:tcPr>
          <w:p>
            <w:pPr>
              <w:pStyle w:val="TableContents"/>
              <w:spacing w:before="0" w:after="0"/>
              <w:ind w:left="0" w:right="0" w:hanging="0"/>
              <w:rPr/>
            </w:pPr>
            <w:r>
              <w:rPr/>
              <w:t> </w:t>
            </w:r>
          </w:p>
        </w:tc>
        <w:tc>
          <w:tcPr>
            <w:tcW w:w="695" w:type="dxa"/>
            <w:tcBorders>
              <w:bottom w:val="single" w:sz="2" w:space="0" w:color="000000"/>
            </w:tcBorders>
            <w:shd w:fill="FFFF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(17,822</w:t>
            </w:r>
          </w:p>
        </w:tc>
        <w:tc>
          <w:tcPr>
            <w:tcW w:w="80" w:type="dxa"/>
            <w:tcBorders/>
            <w:shd w:fill="FFFF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r>
      <w:tr>
        <w:trPr/>
        <w:tc>
          <w:tcPr>
            <w:tcW w:w="4280" w:type="dxa"/>
            <w:tcBorders/>
            <w:shd w:fill="CCEEFF" w:val="clear"/>
            <w:tcMar>
              <w:bottom w:w="0" w:type="dxa"/>
            </w:tcMar>
            <w:vAlign w:val="center"/>
          </w:tcPr>
          <w:p>
            <w:pPr>
              <w:pStyle w:val="TableContents"/>
              <w:spacing w:before="0" w:after="0"/>
              <w:ind w:left="0" w:right="0" w:firstLine="180"/>
              <w:rPr>
                <w:rFonts w:ascii="Times New Roman;Times;serif" w:hAnsi="Times New Roman;Times;serif"/>
                <w:sz w:val="20"/>
              </w:rPr>
            </w:pPr>
            <w:r>
              <w:rPr>
                <w:rFonts w:ascii="Times New Roman;Times;serif" w:hAnsi="Times New Roman;Times;serif"/>
                <w:sz w:val="20"/>
              </w:rPr>
              <w:t>Present value of future minimum lease payments</w:t>
            </w:r>
          </w:p>
        </w:tc>
        <w:tc>
          <w:tcPr>
            <w:tcW w:w="60" w:type="dxa"/>
            <w:tcBorders/>
            <w:shd w:fill="CCEEFF" w:val="clear"/>
            <w:tcMar>
              <w:bottom w:w="0" w:type="dxa"/>
            </w:tcMar>
            <w:vAlign w:val="center"/>
          </w:tcPr>
          <w:p>
            <w:pPr>
              <w:pStyle w:val="TableContents"/>
              <w:spacing w:before="0" w:after="283"/>
              <w:rPr/>
            </w:pPr>
            <w:r>
              <w:rPr/>
              <w:t> </w:t>
            </w:r>
          </w:p>
        </w:tc>
        <w:tc>
          <w:tcPr>
            <w:tcW w:w="125" w:type="dxa"/>
            <w:tcBorders/>
            <w:shd w:fill="CCEEFF" w:val="clear"/>
            <w:tcMar>
              <w:bottom w:w="0" w:type="dxa"/>
            </w:tcMar>
            <w:vAlign w:val="center"/>
          </w:tcPr>
          <w:p>
            <w:pPr>
              <w:pStyle w:val="TableContents"/>
              <w:spacing w:before="0" w:after="283"/>
              <w:ind w:left="0" w:right="0" w:hanging="0"/>
              <w:rPr/>
            </w:pPr>
            <w:r>
              <w:rPr/>
              <w:t> </w:t>
            </w:r>
          </w:p>
        </w:tc>
        <w:tc>
          <w:tcPr>
            <w:tcW w:w="695" w:type="dxa"/>
            <w:tcBorders/>
            <w:shd w:fill="CCEEFF" w:val="clear"/>
            <w:tcMar>
              <w:bottom w:w="0"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117,902</w:t>
            </w:r>
          </w:p>
        </w:tc>
        <w:tc>
          <w:tcPr>
            <w:tcW w:w="80" w:type="dxa"/>
            <w:tcBorders/>
            <w:shd w:fill="CCEEFF" w:val="clear"/>
            <w:tcMar>
              <w:bottom w:w="0" w:type="dxa"/>
            </w:tcMar>
            <w:vAlign w:val="center"/>
          </w:tcPr>
          <w:p>
            <w:pPr>
              <w:pStyle w:val="TableContents"/>
              <w:spacing w:before="0" w:after="283"/>
              <w:rPr/>
            </w:pPr>
            <w:r>
              <w:rPr/>
              <w:t> </w:t>
            </w:r>
          </w:p>
        </w:tc>
      </w:tr>
      <w:tr>
        <w:trPr/>
        <w:tc>
          <w:tcPr>
            <w:tcW w:w="4280" w:type="dxa"/>
            <w:tcBorders/>
            <w:shd w:fill="FFFFFF" w:val="clear"/>
            <w:tcMar>
              <w:bottom w:w="0" w:type="dxa"/>
            </w:tcM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Less: current obligations under leases</w:t>
            </w:r>
          </w:p>
        </w:tc>
        <w:tc>
          <w:tcPr>
            <w:tcW w:w="60" w:type="dxa"/>
            <w:tcBorders/>
            <w:shd w:fill="FFFFFF" w:val="clear"/>
            <w:tcMar>
              <w:bottom w:w="0" w:type="dxa"/>
            </w:tcMar>
            <w:vAlign w:val="center"/>
          </w:tcPr>
          <w:p>
            <w:pPr>
              <w:pStyle w:val="TableContents"/>
              <w:spacing w:before="0" w:after="283"/>
              <w:rPr/>
            </w:pPr>
            <w:r>
              <w:rPr/>
              <w:t> </w:t>
            </w:r>
          </w:p>
        </w:tc>
        <w:tc>
          <w:tcPr>
            <w:tcW w:w="125" w:type="dxa"/>
            <w:tcBorders>
              <w:bottom w:val="single" w:sz="2" w:space="0" w:color="000000"/>
            </w:tcBorders>
            <w:shd w:fill="FFFFFF" w:val="clear"/>
            <w:vAlign w:val="center"/>
          </w:tcPr>
          <w:p>
            <w:pPr>
              <w:pStyle w:val="TableContents"/>
              <w:spacing w:before="0" w:after="283"/>
              <w:ind w:left="0" w:right="0" w:hanging="0"/>
              <w:rPr/>
            </w:pPr>
            <w:r>
              <w:rPr/>
              <w:t> </w:t>
            </w:r>
          </w:p>
        </w:tc>
        <w:tc>
          <w:tcPr>
            <w:tcW w:w="695" w:type="dxa"/>
            <w:tcBorders>
              <w:bottom w:val="single" w:sz="2" w:space="0" w:color="000000"/>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(28,019</w:t>
            </w:r>
          </w:p>
        </w:tc>
        <w:tc>
          <w:tcPr>
            <w:tcW w:w="80" w:type="dxa"/>
            <w:tcBorders/>
            <w:shd w:fill="FFFF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r>
      <w:tr>
        <w:trPr/>
        <w:tc>
          <w:tcPr>
            <w:tcW w:w="4280" w:type="dxa"/>
            <w:tcBorders/>
            <w:shd w:fill="CCEEFF" w:val="clear"/>
            <w:tcMar>
              <w:bottom w:w="0" w:type="dxa"/>
            </w:tcMar>
            <w:vAlign w:val="center"/>
          </w:tcPr>
          <w:p>
            <w:pPr>
              <w:pStyle w:val="TableContents"/>
              <w:spacing w:before="0" w:after="0"/>
              <w:ind w:left="0" w:right="0" w:firstLine="180"/>
              <w:rPr>
                <w:rFonts w:ascii="Times New Roman;Times;serif" w:hAnsi="Times New Roman;Times;serif"/>
                <w:sz w:val="20"/>
              </w:rPr>
            </w:pPr>
            <w:r>
              <w:rPr>
                <w:rFonts w:ascii="Times New Roman;Times;serif" w:hAnsi="Times New Roman;Times;serif"/>
                <w:sz w:val="20"/>
              </w:rPr>
              <w:t>Long-term lease obligations</w:t>
            </w:r>
          </w:p>
        </w:tc>
        <w:tc>
          <w:tcPr>
            <w:tcW w:w="60" w:type="dxa"/>
            <w:tcBorders/>
            <w:shd w:fill="CCEEFF" w:val="clear"/>
            <w:tcMar>
              <w:bottom w:w="0" w:type="dxa"/>
            </w:tcMar>
            <w:vAlign w:val="center"/>
          </w:tcPr>
          <w:p>
            <w:pPr>
              <w:pStyle w:val="TableContents"/>
              <w:spacing w:before="0" w:after="283"/>
              <w:ind w:left="0" w:right="0" w:hanging="0"/>
              <w:rPr/>
            </w:pPr>
            <w:r>
              <w:rPr/>
              <w:t> </w:t>
            </w:r>
          </w:p>
        </w:tc>
        <w:tc>
          <w:tcPr>
            <w:tcW w:w="125" w:type="dxa"/>
            <w:tcBorders>
              <w:bottom w:val="double" w:sz="6" w:space="0" w:color="000000"/>
            </w:tcBorders>
            <w:shd w:fill="CCEE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89,883</w:t>
            </w:r>
          </w:p>
        </w:tc>
        <w:tc>
          <w:tcPr>
            <w:tcW w:w="80" w:type="dxa"/>
            <w:tcBorders/>
            <w:shd w:fill="CCEEFF" w:val="clear"/>
            <w:tcMar>
              <w:bottom w:w="0" w:type="dxa"/>
            </w:tcMar>
            <w:vAlign w:val="center"/>
          </w:tcPr>
          <w:p>
            <w:pPr>
              <w:pStyle w:val="TableContents"/>
              <w:spacing w:before="0" w:after="283"/>
              <w:rPr/>
            </w:pPr>
            <w:r>
              <w:rPr/>
              <w:t> </w:t>
            </w:r>
          </w:p>
        </w:tc>
      </w:tr>
    </w:tbl>
    <w:p>
      <w:pPr>
        <w:pStyle w:val="TextBody"/>
        <w:spacing w:before="0" w:after="0"/>
        <w:rPr/>
      </w:pPr>
      <w:r>
        <w:rPr/>
        <w:t> </w:t>
      </w:r>
    </w:p>
    <w:p>
      <w:pPr>
        <w:pStyle w:val="TextBody"/>
        <w:spacing w:before="0" w:after="0"/>
        <w:ind w:left="0" w:right="0" w:hanging="0"/>
        <w:jc w:val="left"/>
        <w:rPr/>
      </w:pPr>
      <w:r>
        <w:rPr>
          <w:rFonts w:ascii="Times New Roman;Times;serif" w:hAnsi="Times New Roman;Times;serif"/>
          <w:sz w:val="20"/>
        </w:rPr>
        <w:t xml:space="preserve">As of </w:t>
      </w:r>
      <w:r>
        <w:rPr>
          <w:rStyle w:val="Emphasis"/>
          <w:rFonts w:ascii="Times New Roman;Times;serif" w:hAnsi="Times New Roman;Times;serif"/>
          <w:sz w:val="20"/>
        </w:rPr>
        <w:t>July 31, 2021</w:t>
      </w:r>
      <w:r>
        <w:rPr>
          <w:rFonts w:ascii="Times New Roman;Times;serif" w:hAnsi="Times New Roman;Times;serif"/>
          <w:sz w:val="20"/>
        </w:rPr>
        <w:t>, the Company had additional executed leases that had </w:t>
      </w:r>
      <w:r>
        <w:rPr>
          <w:rStyle w:val="Emphasis"/>
          <w:rFonts w:ascii="Times New Roman;Times;serif" w:hAnsi="Times New Roman;Times;serif"/>
          <w:sz w:val="20"/>
        </w:rPr>
        <w:t>not</w:t>
      </w:r>
      <w:r>
        <w:rPr>
          <w:rFonts w:ascii="Times New Roman;Times;serif" w:hAnsi="Times New Roman;Times;serif"/>
          <w:sz w:val="20"/>
        </w:rPr>
        <w:t xml:space="preserve"> yet commenced with operating lease liabilities of $2.0 million. These leases are expected to commence in </w:t>
      </w:r>
      <w:r>
        <w:rPr>
          <w:rStyle w:val="Emphasis"/>
          <w:rFonts w:ascii="Times New Roman;Times;serif" w:hAnsi="Times New Roman;Times;serif"/>
          <w:sz w:val="20"/>
        </w:rPr>
        <w:t>2021</w:t>
      </w:r>
      <w:r>
        <w:rPr>
          <w:rFonts w:ascii="Times New Roman;Times;serif" w:hAnsi="Times New Roman;Times;serif"/>
          <w:sz w:val="20"/>
        </w:rPr>
        <w:t> with lease terms ranging from one to three years.</w:t>
      </w:r>
    </w:p>
    <w:p>
      <w:pPr>
        <w:pStyle w:val="TextBody"/>
        <w:rPr/>
      </w:pPr>
      <w:r>
        <w:rPr/>
        <w:t xml:space="preserve">  </w:t>
      </w:r>
    </w:p>
    <w:p>
      <w:pPr>
        <w:pStyle w:val="TextBody"/>
        <w:spacing w:before="0" w:after="0"/>
        <w:ind w:left="0" w:right="0" w:hanging="0"/>
        <w:jc w:val="left"/>
        <w:rPr/>
      </w:pPr>
      <w:r>
        <w:rPr>
          <w:rStyle w:val="Emphasis"/>
          <w:rFonts w:ascii="Times New Roman;Times;serif" w:hAnsi="Times New Roman;Times;serif"/>
          <w:b/>
          <w:sz w:val="20"/>
        </w:rPr>
        <w:t>4.</w:t>
      </w:r>
      <w:r>
        <w:rPr>
          <w:rFonts w:ascii="Times New Roman;Times;serif" w:hAnsi="Times New Roman;Times;serif"/>
          <w:b/>
          <w:sz w:val="20"/>
        </w:rPr>
        <w:t xml:space="preserve"> Other Assets </w:t>
      </w:r>
    </w:p>
    <w:p>
      <w:pPr>
        <w:pStyle w:val="TextBody"/>
        <w:spacing w:before="0" w:after="0"/>
        <w:ind w:left="144" w:right="144" w:hanging="0"/>
        <w:jc w:val="left"/>
        <w:rPr/>
      </w:pPr>
      <w:r>
        <w:rPr/>
        <w:t> </w:t>
      </w:r>
    </w:p>
    <w:p>
      <w:pPr>
        <w:pStyle w:val="TextBody"/>
        <w:spacing w:before="0" w:after="0"/>
        <w:ind w:left="0" w:right="0" w:firstLine="720"/>
        <w:jc w:val="left"/>
        <w:rPr>
          <w:rFonts w:ascii="Times New Roman;Times;serif" w:hAnsi="Times New Roman;Times;serif"/>
          <w:sz w:val="20"/>
        </w:rPr>
      </w:pPr>
      <w:r>
        <w:rPr>
          <w:rFonts w:ascii="Times New Roman;Times;serif" w:hAnsi="Times New Roman;Times;serif"/>
          <w:sz w:val="20"/>
        </w:rPr>
        <w:t>Prepaid expenses and other current assets consist of the following (in thousands):</w:t>
      </w:r>
    </w:p>
    <w:p>
      <w:pPr>
        <w:pStyle w:val="TextBody"/>
        <w:spacing w:before="0" w:after="0"/>
        <w:ind w:left="144" w:right="144" w:hanging="0"/>
        <w:jc w:val="center"/>
        <w:rPr/>
      </w:pPr>
      <w:r>
        <w:rPr/>
        <w:t> </w:t>
      </w:r>
    </w:p>
    <w:tbl>
      <w:tblPr>
        <w:tblW w:w="4862" w:type="dxa"/>
        <w:jc w:val="left"/>
        <w:tblInd w:w="0" w:type="dxa"/>
        <w:tblCellMar>
          <w:top w:w="0" w:type="dxa"/>
          <w:left w:w="0" w:type="dxa"/>
          <w:bottom w:w="0" w:type="dxa"/>
          <w:right w:w="0" w:type="dxa"/>
        </w:tblCellMar>
      </w:tblPr>
      <w:tblGrid>
        <w:gridCol w:w="1835"/>
        <w:gridCol w:w="60"/>
        <w:gridCol w:w="139"/>
        <w:gridCol w:w="540"/>
        <w:gridCol w:w="60"/>
        <w:gridCol w:w="60"/>
        <w:gridCol w:w="176"/>
        <w:gridCol w:w="833"/>
        <w:gridCol w:w="60"/>
        <w:gridCol w:w="60"/>
        <w:gridCol w:w="163"/>
        <w:gridCol w:w="636"/>
        <w:gridCol w:w="240"/>
      </w:tblGrid>
      <w:tr>
        <w:trPr/>
        <w:tc>
          <w:tcPr>
            <w:tcW w:w="183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679"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sz w:val="20"/>
              </w:rPr>
              <w:t>July 31,</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09"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sz w:val="20"/>
              </w:rPr>
              <w:t>January 30,</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99"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sz w:val="20"/>
              </w:rPr>
              <w:t>August 1,</w:t>
            </w:r>
          </w:p>
        </w:tc>
        <w:tc>
          <w:tcPr>
            <w:tcW w:w="240" w:type="dxa"/>
            <w:tcBorders/>
            <w:shd w:fill="FFFFFF" w:val="clear"/>
            <w:vAlign w:val="center"/>
          </w:tcPr>
          <w:p>
            <w:pPr>
              <w:pStyle w:val="TableContents"/>
              <w:spacing w:before="0" w:after="283"/>
              <w:rPr/>
            </w:pPr>
            <w:r>
              <w:rPr/>
              <w:t> </w:t>
            </w:r>
          </w:p>
        </w:tc>
      </w:tr>
      <w:tr>
        <w:trPr/>
        <w:tc>
          <w:tcPr>
            <w:tcW w:w="183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679"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sz w:val="20"/>
              </w:rPr>
              <w:t>2021</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09"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sz w:val="20"/>
              </w:rPr>
              <w:t>2021</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99"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sz w:val="20"/>
              </w:rPr>
              <w:t>2020</w:t>
            </w:r>
          </w:p>
        </w:tc>
        <w:tc>
          <w:tcPr>
            <w:tcW w:w="240" w:type="dxa"/>
            <w:tcBorders/>
            <w:shd w:fill="FFFFFF" w:val="clear"/>
            <w:vAlign w:val="center"/>
          </w:tcPr>
          <w:p>
            <w:pPr>
              <w:pStyle w:val="TableContents"/>
              <w:spacing w:before="0" w:after="283"/>
              <w:rPr/>
            </w:pPr>
            <w:r>
              <w:rPr/>
              <w:t> </w:t>
            </w:r>
          </w:p>
        </w:tc>
      </w:tr>
      <w:tr>
        <w:trPr/>
        <w:tc>
          <w:tcPr>
            <w:tcW w:w="1835" w:type="dxa"/>
            <w:tcBorders/>
            <w:shd w:fill="CCEEFF" w:val="clear"/>
            <w:vAlign w:val="center"/>
          </w:tcPr>
          <w:p>
            <w:pPr>
              <w:pStyle w:val="TableContents"/>
              <w:spacing w:lineRule="auto" w:line="288" w:before="0" w:after="0"/>
              <w:rPr>
                <w:rFonts w:ascii="Times New Roman;Times;serif" w:hAnsi="Times New Roman;Times;serif"/>
                <w:sz w:val="20"/>
              </w:rPr>
            </w:pPr>
            <w:r>
              <w:rPr>
                <w:rFonts w:ascii="Times New Roman;Times;serif" w:hAnsi="Times New Roman;Times;serif"/>
                <w:sz w:val="20"/>
              </w:rPr>
              <w:t>Prepaid occupancy (1)</w:t>
            </w:r>
          </w:p>
        </w:tc>
        <w:tc>
          <w:tcPr>
            <w:tcW w:w="60" w:type="dxa"/>
            <w:tcBorders/>
            <w:shd w:fill="CCEEFF" w:val="clear"/>
            <w:vAlign w:val="center"/>
          </w:tcPr>
          <w:p>
            <w:pPr>
              <w:pStyle w:val="TableContents"/>
              <w:spacing w:before="0" w:after="283"/>
              <w:rPr/>
            </w:pPr>
            <w:r>
              <w:rPr/>
              <w:t> </w:t>
            </w:r>
          </w:p>
        </w:tc>
        <w:tc>
          <w:tcPr>
            <w:tcW w:w="139"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540"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1,494</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6"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833"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1,367</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3"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36"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23</w:t>
            </w:r>
          </w:p>
        </w:tc>
        <w:tc>
          <w:tcPr>
            <w:tcW w:w="240" w:type="dxa"/>
            <w:tcBorders/>
            <w:shd w:fill="CCEEFF" w:val="clear"/>
            <w:vAlign w:val="center"/>
          </w:tcPr>
          <w:p>
            <w:pPr>
              <w:pStyle w:val="TableContents"/>
              <w:spacing w:before="0" w:after="283"/>
              <w:rPr/>
            </w:pPr>
            <w:r>
              <w:rPr/>
              <w:t> </w:t>
            </w:r>
          </w:p>
        </w:tc>
      </w:tr>
      <w:tr>
        <w:trPr/>
        <w:tc>
          <w:tcPr>
            <w:tcW w:w="1835" w:type="dxa"/>
            <w:tcBorders/>
            <w:shd w:fill="FFFFFF" w:val="clear"/>
            <w:vAlign w:val="center"/>
          </w:tcPr>
          <w:p>
            <w:pPr>
              <w:pStyle w:val="TableContents"/>
              <w:spacing w:lineRule="auto" w:line="288" w:before="0" w:after="0"/>
              <w:rPr>
                <w:rFonts w:ascii="Times New Roman;Times;serif" w:hAnsi="Times New Roman;Times;serif"/>
                <w:sz w:val="20"/>
              </w:rPr>
            </w:pPr>
            <w:r>
              <w:rPr>
                <w:rFonts w:ascii="Times New Roman;Times;serif" w:hAnsi="Times New Roman;Times;serif"/>
                <w:sz w:val="20"/>
              </w:rPr>
              <w:t>Prepaid taxes (2)</w:t>
            </w:r>
          </w:p>
        </w:tc>
        <w:tc>
          <w:tcPr>
            <w:tcW w:w="60" w:type="dxa"/>
            <w:tcBorders/>
            <w:shd w:fill="FFFFFF" w:val="clear"/>
            <w:vAlign w:val="center"/>
          </w:tcPr>
          <w:p>
            <w:pPr>
              <w:pStyle w:val="TableContents"/>
              <w:spacing w:before="0" w:after="283"/>
              <w:rPr/>
            </w:pPr>
            <w:r>
              <w:rPr/>
              <w:t> </w:t>
            </w:r>
          </w:p>
        </w:tc>
        <w:tc>
          <w:tcPr>
            <w:tcW w:w="139" w:type="dxa"/>
            <w:tcBorders/>
            <w:shd w:fill="FFFFFF" w:val="clear"/>
            <w:vAlign w:val="center"/>
          </w:tcPr>
          <w:p>
            <w:pPr>
              <w:pStyle w:val="TableContents"/>
              <w:spacing w:before="0" w:after="283"/>
              <w:rPr/>
            </w:pPr>
            <w:r>
              <w:rPr/>
              <w:t> </w:t>
            </w:r>
          </w:p>
        </w:tc>
        <w:tc>
          <w:tcPr>
            <w:tcW w:w="540"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85</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76" w:type="dxa"/>
            <w:tcBorders/>
            <w:shd w:fill="FFFFFF" w:val="clear"/>
            <w:vAlign w:val="center"/>
          </w:tcPr>
          <w:p>
            <w:pPr>
              <w:pStyle w:val="TableContents"/>
              <w:spacing w:before="0" w:after="283"/>
              <w:rPr/>
            </w:pPr>
            <w:r>
              <w:rPr/>
              <w:t> </w:t>
            </w:r>
          </w:p>
        </w:tc>
        <w:tc>
          <w:tcPr>
            <w:tcW w:w="833"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473</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3" w:type="dxa"/>
            <w:tcBorders/>
            <w:shd w:fill="FFFFFF" w:val="clear"/>
            <w:vAlign w:val="center"/>
          </w:tcPr>
          <w:p>
            <w:pPr>
              <w:pStyle w:val="TableContents"/>
              <w:spacing w:before="0" w:after="283"/>
              <w:rPr/>
            </w:pPr>
            <w:r>
              <w:rPr/>
              <w:t> </w:t>
            </w:r>
          </w:p>
        </w:tc>
        <w:tc>
          <w:tcPr>
            <w:tcW w:w="636"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424</w:t>
            </w:r>
          </w:p>
        </w:tc>
        <w:tc>
          <w:tcPr>
            <w:tcW w:w="240" w:type="dxa"/>
            <w:tcBorders/>
            <w:shd w:fill="FFFFFF" w:val="clear"/>
            <w:vAlign w:val="center"/>
          </w:tcPr>
          <w:p>
            <w:pPr>
              <w:pStyle w:val="TableContents"/>
              <w:spacing w:before="0" w:after="283"/>
              <w:rPr/>
            </w:pPr>
            <w:r>
              <w:rPr/>
              <w:t> </w:t>
            </w:r>
          </w:p>
        </w:tc>
      </w:tr>
      <w:tr>
        <w:trPr/>
        <w:tc>
          <w:tcPr>
            <w:tcW w:w="1835" w:type="dxa"/>
            <w:tcBorders/>
            <w:shd w:fill="CCEE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Prepaid insurance</w:t>
            </w:r>
          </w:p>
        </w:tc>
        <w:tc>
          <w:tcPr>
            <w:tcW w:w="60" w:type="dxa"/>
            <w:tcBorders/>
            <w:shd w:fill="CCEEFF" w:val="clear"/>
            <w:vAlign w:val="center"/>
          </w:tcPr>
          <w:p>
            <w:pPr>
              <w:pStyle w:val="TableContents"/>
              <w:spacing w:before="0" w:after="283"/>
              <w:rPr/>
            </w:pPr>
            <w:r>
              <w:rPr/>
              <w:t> </w:t>
            </w:r>
          </w:p>
        </w:tc>
        <w:tc>
          <w:tcPr>
            <w:tcW w:w="139" w:type="dxa"/>
            <w:tcBorders/>
            <w:shd w:fill="CCEEFF" w:val="clear"/>
            <w:vAlign w:val="center"/>
          </w:tcPr>
          <w:p>
            <w:pPr>
              <w:pStyle w:val="TableContents"/>
              <w:spacing w:before="0" w:after="283"/>
              <w:rPr/>
            </w:pPr>
            <w:r>
              <w:rPr/>
              <w:t> </w:t>
            </w:r>
          </w:p>
        </w:tc>
        <w:tc>
          <w:tcPr>
            <w:tcW w:w="540"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422</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6" w:type="dxa"/>
            <w:tcBorders/>
            <w:shd w:fill="CCEEFF" w:val="clear"/>
            <w:vAlign w:val="center"/>
          </w:tcPr>
          <w:p>
            <w:pPr>
              <w:pStyle w:val="TableContents"/>
              <w:spacing w:before="0" w:after="283"/>
              <w:rPr/>
            </w:pPr>
            <w:r>
              <w:rPr/>
              <w:t> </w:t>
            </w:r>
          </w:p>
        </w:tc>
        <w:tc>
          <w:tcPr>
            <w:tcW w:w="833"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884</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3" w:type="dxa"/>
            <w:tcBorders/>
            <w:shd w:fill="CCEEFF" w:val="clear"/>
            <w:vAlign w:val="center"/>
          </w:tcPr>
          <w:p>
            <w:pPr>
              <w:pStyle w:val="TableContents"/>
              <w:spacing w:before="0" w:after="283"/>
              <w:rPr/>
            </w:pPr>
            <w:r>
              <w:rPr/>
              <w:t> </w:t>
            </w:r>
          </w:p>
        </w:tc>
        <w:tc>
          <w:tcPr>
            <w:tcW w:w="636"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268</w:t>
            </w:r>
          </w:p>
        </w:tc>
        <w:tc>
          <w:tcPr>
            <w:tcW w:w="240" w:type="dxa"/>
            <w:tcBorders/>
            <w:shd w:fill="CCEEFF" w:val="clear"/>
            <w:vAlign w:val="center"/>
          </w:tcPr>
          <w:p>
            <w:pPr>
              <w:pStyle w:val="TableContents"/>
              <w:spacing w:before="0" w:after="283"/>
              <w:rPr/>
            </w:pPr>
            <w:r>
              <w:rPr/>
              <w:t> </w:t>
            </w:r>
          </w:p>
        </w:tc>
      </w:tr>
      <w:tr>
        <w:trPr/>
        <w:tc>
          <w:tcPr>
            <w:tcW w:w="1835" w:type="dxa"/>
            <w:tcBorders/>
            <w:shd w:fill="FFFF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Prepaid gift card fees</w:t>
            </w:r>
          </w:p>
        </w:tc>
        <w:tc>
          <w:tcPr>
            <w:tcW w:w="60" w:type="dxa"/>
            <w:tcBorders/>
            <w:shd w:fill="FFFFFF" w:val="clear"/>
            <w:vAlign w:val="center"/>
          </w:tcPr>
          <w:p>
            <w:pPr>
              <w:pStyle w:val="TableContents"/>
              <w:spacing w:before="0" w:after="283"/>
              <w:rPr/>
            </w:pPr>
            <w:r>
              <w:rPr/>
              <w:t> </w:t>
            </w:r>
          </w:p>
        </w:tc>
        <w:tc>
          <w:tcPr>
            <w:tcW w:w="139" w:type="dxa"/>
            <w:tcBorders/>
            <w:shd w:fill="FFFFFF" w:val="clear"/>
            <w:vAlign w:val="center"/>
          </w:tcPr>
          <w:p>
            <w:pPr>
              <w:pStyle w:val="TableContents"/>
              <w:spacing w:before="0" w:after="283"/>
              <w:rPr/>
            </w:pPr>
            <w:r>
              <w:rPr/>
              <w:t> </w:t>
            </w:r>
          </w:p>
        </w:tc>
        <w:tc>
          <w:tcPr>
            <w:tcW w:w="540"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1,168</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76" w:type="dxa"/>
            <w:tcBorders/>
            <w:shd w:fill="FFFFFF" w:val="clear"/>
            <w:vAlign w:val="center"/>
          </w:tcPr>
          <w:p>
            <w:pPr>
              <w:pStyle w:val="TableContents"/>
              <w:spacing w:before="0" w:after="283"/>
              <w:rPr/>
            </w:pPr>
            <w:r>
              <w:rPr/>
              <w:t> </w:t>
            </w:r>
          </w:p>
        </w:tc>
        <w:tc>
          <w:tcPr>
            <w:tcW w:w="833"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1,291</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3" w:type="dxa"/>
            <w:tcBorders/>
            <w:shd w:fill="FFFFFF" w:val="clear"/>
            <w:vAlign w:val="center"/>
          </w:tcPr>
          <w:p>
            <w:pPr>
              <w:pStyle w:val="TableContents"/>
              <w:spacing w:before="0" w:after="283"/>
              <w:rPr/>
            </w:pPr>
            <w:r>
              <w:rPr/>
              <w:t> </w:t>
            </w:r>
          </w:p>
        </w:tc>
        <w:tc>
          <w:tcPr>
            <w:tcW w:w="636"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1,225</w:t>
            </w:r>
          </w:p>
        </w:tc>
        <w:tc>
          <w:tcPr>
            <w:tcW w:w="240" w:type="dxa"/>
            <w:tcBorders/>
            <w:shd w:fill="FFFFFF" w:val="clear"/>
            <w:vAlign w:val="center"/>
          </w:tcPr>
          <w:p>
            <w:pPr>
              <w:pStyle w:val="TableContents"/>
              <w:spacing w:before="0" w:after="283"/>
              <w:rPr/>
            </w:pPr>
            <w:r>
              <w:rPr/>
              <w:t> </w:t>
            </w:r>
          </w:p>
        </w:tc>
      </w:tr>
      <w:tr>
        <w:trPr/>
        <w:tc>
          <w:tcPr>
            <w:tcW w:w="1835" w:type="dxa"/>
            <w:tcBorders/>
            <w:shd w:fill="CCEEFF" w:val="clear"/>
            <w:vAlign w:val="center"/>
          </w:tcPr>
          <w:p>
            <w:pPr>
              <w:pStyle w:val="TableContents"/>
              <w:spacing w:lineRule="auto" w:line="288" w:before="0" w:after="0"/>
              <w:rPr>
                <w:rFonts w:ascii="Times New Roman;Times;serif" w:hAnsi="Times New Roman;Times;serif"/>
                <w:sz w:val="20"/>
              </w:rPr>
            </w:pPr>
            <w:r>
              <w:rPr>
                <w:rFonts w:ascii="Times New Roman;Times;serif" w:hAnsi="Times New Roman;Times;serif"/>
                <w:sz w:val="20"/>
              </w:rPr>
              <w:t>Other (3)</w:t>
            </w:r>
          </w:p>
        </w:tc>
        <w:tc>
          <w:tcPr>
            <w:tcW w:w="60" w:type="dxa"/>
            <w:tcBorders/>
            <w:shd w:fill="CCEEFF" w:val="clear"/>
            <w:vAlign w:val="center"/>
          </w:tcPr>
          <w:p>
            <w:pPr>
              <w:pStyle w:val="TableContents"/>
              <w:spacing w:before="0" w:after="283"/>
              <w:ind w:left="0" w:right="0" w:hanging="0"/>
              <w:rPr/>
            </w:pPr>
            <w:r>
              <w:rPr/>
              <w:t> </w:t>
            </w:r>
          </w:p>
        </w:tc>
        <w:tc>
          <w:tcPr>
            <w:tcW w:w="139"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540" w:type="dxa"/>
            <w:tcBorders>
              <w:bottom w:val="single" w:sz="2"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5,672</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7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33" w:type="dxa"/>
            <w:tcBorders>
              <w:bottom w:val="single" w:sz="2"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6,096</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63"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36" w:type="dxa"/>
            <w:tcBorders>
              <w:bottom w:val="single" w:sz="2"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3,460</w:t>
            </w:r>
          </w:p>
        </w:tc>
        <w:tc>
          <w:tcPr>
            <w:tcW w:w="240" w:type="dxa"/>
            <w:tcBorders/>
            <w:shd w:fill="CCEEFF" w:val="clear"/>
            <w:vAlign w:val="center"/>
          </w:tcPr>
          <w:p>
            <w:pPr>
              <w:pStyle w:val="TableContents"/>
              <w:spacing w:before="0" w:after="283"/>
              <w:ind w:left="0" w:right="0" w:firstLine="180"/>
              <w:rPr/>
            </w:pPr>
            <w:r>
              <w:rPr/>
              <w:t> </w:t>
            </w:r>
          </w:p>
        </w:tc>
      </w:tr>
      <w:tr>
        <w:trPr/>
        <w:tc>
          <w:tcPr>
            <w:tcW w:w="1835" w:type="dxa"/>
            <w:tcBorders/>
            <w:shd w:fill="FFFFFF" w:val="clear"/>
            <w:vAlign w:val="center"/>
          </w:tcPr>
          <w:p>
            <w:pPr>
              <w:pStyle w:val="TableContents"/>
              <w:spacing w:before="0" w:after="0"/>
              <w:ind w:left="0" w:right="0" w:firstLine="180"/>
              <w:rPr>
                <w:rFonts w:ascii="Times New Roman;Times;serif" w:hAnsi="Times New Roman;Times;serif"/>
                <w:sz w:val="20"/>
              </w:rPr>
            </w:pPr>
            <w:r>
              <w:rPr>
                <w:rFonts w:ascii="Times New Roman;Times;serif" w:hAnsi="Times New Roman;Times;serif"/>
                <w:sz w:val="20"/>
              </w:rPr>
              <w:t>Total</w:t>
            </w:r>
          </w:p>
        </w:tc>
        <w:tc>
          <w:tcPr>
            <w:tcW w:w="60" w:type="dxa"/>
            <w:tcBorders/>
            <w:shd w:fill="FFFFFF" w:val="clear"/>
            <w:vAlign w:val="center"/>
          </w:tcPr>
          <w:p>
            <w:pPr>
              <w:pStyle w:val="TableContents"/>
              <w:spacing w:before="0" w:after="283"/>
              <w:ind w:left="0" w:right="0" w:hanging="0"/>
              <w:rPr/>
            </w:pPr>
            <w:r>
              <w:rPr/>
              <w:t> </w:t>
            </w:r>
          </w:p>
        </w:tc>
        <w:tc>
          <w:tcPr>
            <w:tcW w:w="139" w:type="dxa"/>
            <w:tcBorders>
              <w:bottom w:val="double" w:sz="6" w:space="0" w:color="000000"/>
            </w:tcBorders>
            <w:shd w:fill="FFFF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40" w:type="dxa"/>
            <w:tcBorders>
              <w:bottom w:val="double" w:sz="6" w:space="0" w:color="000000"/>
            </w:tcBorders>
            <w:shd w:fill="FFFF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8,841</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76" w:type="dxa"/>
            <w:tcBorders>
              <w:bottom w:val="double" w:sz="6" w:space="0" w:color="000000"/>
            </w:tcBorders>
            <w:shd w:fill="FFFF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33" w:type="dxa"/>
            <w:tcBorders>
              <w:bottom w:val="double" w:sz="6" w:space="0" w:color="000000"/>
            </w:tcBorders>
            <w:shd w:fill="FFFF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10,111</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63" w:type="dxa"/>
            <w:tcBorders>
              <w:bottom w:val="double" w:sz="6" w:space="0" w:color="000000"/>
            </w:tcBorders>
            <w:shd w:fill="FFFF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36" w:type="dxa"/>
            <w:tcBorders>
              <w:bottom w:val="double" w:sz="6" w:space="0" w:color="000000"/>
            </w:tcBorders>
            <w:shd w:fill="FFFF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5,400</w:t>
            </w:r>
          </w:p>
        </w:tc>
        <w:tc>
          <w:tcPr>
            <w:tcW w:w="240" w:type="dxa"/>
            <w:tcBorders/>
            <w:shd w:fill="FFFFFF" w:val="clear"/>
            <w:vAlign w:val="center"/>
          </w:tcPr>
          <w:p>
            <w:pPr>
              <w:pStyle w:val="TableContents"/>
              <w:spacing w:before="0" w:after="283"/>
              <w:rPr/>
            </w:pPr>
            <w:r>
              <w:rPr/>
              <w:t> </w:t>
            </w:r>
          </w:p>
        </w:tc>
      </w:tr>
    </w:tbl>
    <w:p>
      <w:pPr>
        <w:pStyle w:val="TextBody"/>
        <w:spacing w:before="0" w:after="0"/>
        <w:ind w:left="144" w:right="144" w:hanging="0"/>
        <w:jc w:val="center"/>
        <w:rPr/>
      </w:pPr>
      <w:r>
        <w:rPr/>
        <w:t> </w:t>
      </w:r>
    </w:p>
    <w:tbl>
      <w:tblPr>
        <w:tblW w:w="10205" w:type="dxa"/>
        <w:jc w:val="left"/>
        <w:tblInd w:w="0" w:type="dxa"/>
        <w:tblCellMar>
          <w:top w:w="0" w:type="dxa"/>
          <w:left w:w="0" w:type="dxa"/>
          <w:bottom w:w="0" w:type="dxa"/>
          <w:right w:w="0" w:type="dxa"/>
        </w:tblCellMar>
      </w:tblPr>
      <w:tblGrid>
        <w:gridCol w:w="60"/>
        <w:gridCol w:w="386"/>
        <w:gridCol w:w="9759"/>
      </w:tblGrid>
      <w:tr>
        <w:trPr/>
        <w:tc>
          <w:tcPr>
            <w:tcW w:w="60" w:type="dxa"/>
            <w:tcBorders/>
            <w:shd w:fill="auto" w:val="clear"/>
            <w:vAlign w:val="center"/>
          </w:tcPr>
          <w:p>
            <w:pPr>
              <w:pStyle w:val="TableContents"/>
              <w:spacing w:before="0" w:after="283"/>
              <w:rPr/>
            </w:pPr>
            <w:r>
              <w:rPr/>
              <w:t> </w:t>
            </w:r>
          </w:p>
        </w:tc>
        <w:tc>
          <w:tcPr>
            <w:tcW w:w="386" w:type="dxa"/>
            <w:tcBorders/>
            <w:shd w:fill="auto" w:val="clear"/>
            <w:vAlign w:val="center"/>
          </w:tcPr>
          <w:p>
            <w:pPr>
              <w:pStyle w:val="TableContents"/>
              <w:spacing w:before="0" w:after="0"/>
              <w:ind w:left="0" w:right="144" w:hanging="0"/>
              <w:jc w:val="left"/>
              <w:rPr/>
            </w:pPr>
            <w:r>
              <w:rPr>
                <w:rFonts w:ascii="Times New Roman;Times;serif" w:hAnsi="Times New Roman;Times;serif"/>
                <w:sz w:val="20"/>
              </w:rPr>
              <w:t>(</w:t>
            </w:r>
            <w:r>
              <w:rPr>
                <w:rStyle w:val="Emphasis"/>
                <w:rFonts w:ascii="Times New Roman;Times;serif" w:hAnsi="Times New Roman;Times;serif"/>
                <w:sz w:val="20"/>
              </w:rPr>
              <w:t>1</w:t>
            </w:r>
            <w:r>
              <w:rPr>
                <w:rFonts w:ascii="Times New Roman;Times;serif" w:hAnsi="Times New Roman;Times;serif"/>
                <w:sz w:val="20"/>
              </w:rPr>
              <w:t>)</w:t>
            </w:r>
          </w:p>
        </w:tc>
        <w:tc>
          <w:tcPr>
            <w:tcW w:w="9759" w:type="dxa"/>
            <w:tcBorders/>
            <w:shd w:fill="auto" w:val="clear"/>
            <w:vAlign w:val="center"/>
          </w:tcPr>
          <w:p>
            <w:pPr>
              <w:pStyle w:val="TableContents"/>
              <w:spacing w:before="0" w:after="0"/>
              <w:ind w:left="0" w:right="144" w:hanging="0"/>
              <w:jc w:val="left"/>
              <w:rPr>
                <w:rFonts w:ascii="Times New Roman;Times;serif" w:hAnsi="Times New Roman;Times;serif"/>
                <w:sz w:val="20"/>
              </w:rPr>
            </w:pPr>
            <w:r>
              <w:rPr>
                <w:rFonts w:ascii="Times New Roman;Times;serif" w:hAnsi="Times New Roman;Times;serif"/>
                <w:sz w:val="20"/>
              </w:rPr>
              <w:t>Prepaid occupancy consists of prepaid expenses related to non-lease components.</w:t>
            </w:r>
          </w:p>
        </w:tc>
      </w:tr>
      <w:tr>
        <w:trPr/>
        <w:tc>
          <w:tcPr>
            <w:tcW w:w="60" w:type="dxa"/>
            <w:tcBorders/>
            <w:shd w:fill="auto" w:val="clear"/>
            <w:vAlign w:val="center"/>
          </w:tcPr>
          <w:p>
            <w:pPr>
              <w:pStyle w:val="TableContents"/>
              <w:spacing w:before="0" w:after="283"/>
              <w:rPr/>
            </w:pPr>
            <w:r>
              <w:rPr/>
              <w:t> </w:t>
            </w:r>
          </w:p>
        </w:tc>
        <w:tc>
          <w:tcPr>
            <w:tcW w:w="386" w:type="dxa"/>
            <w:tcBorders/>
            <w:shd w:fill="auto" w:val="clear"/>
            <w:vAlign w:val="center"/>
          </w:tcPr>
          <w:p>
            <w:pPr>
              <w:pStyle w:val="TableContents"/>
              <w:spacing w:before="0" w:after="283"/>
              <w:rPr/>
            </w:pPr>
            <w:r>
              <w:rPr/>
              <w:t>(</w:t>
            </w:r>
            <w:r>
              <w:rPr>
                <w:rStyle w:val="Emphasis"/>
              </w:rPr>
              <w:t>2</w:t>
            </w:r>
            <w:r>
              <w:rPr/>
              <w:t>)</w:t>
            </w:r>
          </w:p>
        </w:tc>
        <w:tc>
          <w:tcPr>
            <w:tcW w:w="9759" w:type="dxa"/>
            <w:tcBorders/>
            <w:shd w:fill="auto" w:val="clear"/>
            <w:vAlign w:val="center"/>
          </w:tcPr>
          <w:p>
            <w:pPr>
              <w:pStyle w:val="TableContents"/>
              <w:spacing w:before="0" w:after="283"/>
              <w:rPr/>
            </w:pPr>
            <w:r>
              <w:rPr/>
              <w:t>Prepaid taxes consist of prepaid federal and state income tax and other taxes.</w:t>
            </w:r>
          </w:p>
        </w:tc>
      </w:tr>
      <w:tr>
        <w:trPr/>
        <w:tc>
          <w:tcPr>
            <w:tcW w:w="60" w:type="dxa"/>
            <w:tcBorders/>
            <w:shd w:fill="auto" w:val="clear"/>
            <w:vAlign w:val="center"/>
          </w:tcPr>
          <w:p>
            <w:pPr>
              <w:pStyle w:val="TableContents"/>
              <w:spacing w:before="0" w:after="283"/>
              <w:rPr/>
            </w:pPr>
            <w:r>
              <w:rPr/>
              <w:t> </w:t>
            </w:r>
          </w:p>
        </w:tc>
        <w:tc>
          <w:tcPr>
            <w:tcW w:w="386" w:type="dxa"/>
            <w:tcBorders/>
            <w:shd w:fill="auto" w:val="clear"/>
            <w:vAlign w:val="center"/>
          </w:tcPr>
          <w:p>
            <w:pPr>
              <w:pStyle w:val="TableContents"/>
              <w:spacing w:before="0" w:after="283"/>
              <w:rPr/>
            </w:pPr>
            <w:r>
              <w:rPr/>
              <w:t>(</w:t>
            </w:r>
            <w:r>
              <w:rPr>
                <w:rStyle w:val="Emphasis"/>
              </w:rPr>
              <w:t>3</w:t>
            </w:r>
            <w:r>
              <w:rPr/>
              <w:t>)</w:t>
            </w:r>
          </w:p>
        </w:tc>
        <w:tc>
          <w:tcPr>
            <w:tcW w:w="9759" w:type="dxa"/>
            <w:tcBorders/>
            <w:shd w:fill="auto" w:val="clear"/>
            <w:vAlign w:val="center"/>
          </w:tcPr>
          <w:p>
            <w:pPr>
              <w:pStyle w:val="TableContents"/>
              <w:spacing w:before="0" w:after="283"/>
              <w:rPr/>
            </w:pPr>
            <w:r>
              <w:rPr/>
              <w:t>Other consists primarily of prepaid expense related to IT maintenance contracts and software as a service.</w:t>
            </w:r>
          </w:p>
        </w:tc>
      </w:tr>
    </w:tbl>
    <w:p>
      <w:pPr>
        <w:pStyle w:val="TextBody"/>
        <w:spacing w:before="0" w:after="0"/>
        <w:ind w:left="144" w:right="144" w:hanging="0"/>
        <w:jc w:val="left"/>
        <w:rPr/>
      </w:pPr>
      <w:r>
        <w:rPr/>
        <w:t> </w:t>
      </w:r>
    </w:p>
    <w:p>
      <w:pPr>
        <w:pStyle w:val="TextBody"/>
        <w:spacing w:before="0" w:after="0"/>
        <w:ind w:left="144" w:right="144" w:firstLine="360"/>
        <w:jc w:val="left"/>
        <w:rPr>
          <w:rFonts w:ascii="Times New Roman;Times;serif" w:hAnsi="Times New Roman;Times;serif"/>
          <w:sz w:val="20"/>
        </w:rPr>
      </w:pPr>
      <w:r>
        <w:rPr>
          <w:rFonts w:ascii="Times New Roman;Times;serif" w:hAnsi="Times New Roman;Times;serif"/>
          <w:sz w:val="20"/>
        </w:rPr>
        <w:t>Other non-current assets consist of the following (in thousands):</w:t>
      </w:r>
    </w:p>
    <w:p>
      <w:pPr>
        <w:pStyle w:val="TextBody"/>
        <w:spacing w:before="0" w:after="0"/>
        <w:ind w:left="144" w:right="144" w:hanging="0"/>
        <w:jc w:val="left"/>
        <w:rPr/>
      </w:pPr>
      <w:r>
        <w:rPr/>
        <w:t> </w:t>
      </w:r>
    </w:p>
    <w:tbl>
      <w:tblPr>
        <w:tblW w:w="5402" w:type="dxa"/>
        <w:jc w:val="left"/>
        <w:tblInd w:w="0" w:type="dxa"/>
        <w:tblCellMar>
          <w:top w:w="0" w:type="dxa"/>
          <w:left w:w="0" w:type="dxa"/>
          <w:bottom w:w="0" w:type="dxa"/>
          <w:right w:w="0" w:type="dxa"/>
        </w:tblCellMar>
      </w:tblPr>
      <w:tblGrid>
        <w:gridCol w:w="2555"/>
        <w:gridCol w:w="60"/>
        <w:gridCol w:w="139"/>
        <w:gridCol w:w="540"/>
        <w:gridCol w:w="60"/>
        <w:gridCol w:w="60"/>
        <w:gridCol w:w="206"/>
        <w:gridCol w:w="803"/>
        <w:gridCol w:w="60"/>
        <w:gridCol w:w="60"/>
        <w:gridCol w:w="163"/>
        <w:gridCol w:w="636"/>
        <w:gridCol w:w="60"/>
      </w:tblGrid>
      <w:tr>
        <w:trPr/>
        <w:tc>
          <w:tcPr>
            <w:tcW w:w="25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679"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July 31,</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09"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January 30,</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99"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August 1,</w:t>
            </w:r>
          </w:p>
        </w:tc>
        <w:tc>
          <w:tcPr>
            <w:tcW w:w="60" w:type="dxa"/>
            <w:tcBorders/>
            <w:shd w:fill="FFFFFF" w:val="clear"/>
            <w:vAlign w:val="center"/>
          </w:tcPr>
          <w:p>
            <w:pPr>
              <w:pStyle w:val="TableContents"/>
              <w:spacing w:before="0" w:after="283"/>
              <w:rPr/>
            </w:pPr>
            <w:r>
              <w:rPr/>
              <w:t> </w:t>
            </w:r>
          </w:p>
        </w:tc>
      </w:tr>
      <w:tr>
        <w:trPr/>
        <w:tc>
          <w:tcPr>
            <w:tcW w:w="25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679"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2021</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09"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2021</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99"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2020</w:t>
            </w:r>
          </w:p>
        </w:tc>
        <w:tc>
          <w:tcPr>
            <w:tcW w:w="60" w:type="dxa"/>
            <w:tcBorders/>
            <w:shd w:fill="FFFFFF" w:val="clear"/>
            <w:vAlign w:val="center"/>
          </w:tcPr>
          <w:p>
            <w:pPr>
              <w:pStyle w:val="TableContents"/>
              <w:spacing w:before="0" w:after="283"/>
              <w:rPr/>
            </w:pPr>
            <w:r>
              <w:rPr/>
              <w:t> </w:t>
            </w:r>
          </w:p>
        </w:tc>
      </w:tr>
      <w:tr>
        <w:trPr/>
        <w:tc>
          <w:tcPr>
            <w:tcW w:w="255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Entertainment production asset</w:t>
            </w:r>
          </w:p>
        </w:tc>
        <w:tc>
          <w:tcPr>
            <w:tcW w:w="60" w:type="dxa"/>
            <w:tcBorders/>
            <w:shd w:fill="CCEEFF" w:val="clear"/>
            <w:vAlign w:val="center"/>
          </w:tcPr>
          <w:p>
            <w:pPr>
              <w:pStyle w:val="TableContents"/>
              <w:spacing w:before="0" w:after="283"/>
              <w:ind w:left="0" w:right="0" w:hanging="0"/>
              <w:rPr/>
            </w:pPr>
            <w:r>
              <w:rPr/>
              <w:t> </w:t>
            </w:r>
          </w:p>
        </w:tc>
        <w:tc>
          <w:tcPr>
            <w:tcW w:w="139"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4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5,312</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06"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03"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1,715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63"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3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340</w:t>
            </w:r>
          </w:p>
        </w:tc>
        <w:tc>
          <w:tcPr>
            <w:tcW w:w="60" w:type="dxa"/>
            <w:tcBorders/>
            <w:shd w:fill="CCEEFF" w:val="clear"/>
            <w:vAlign w:val="center"/>
          </w:tcPr>
          <w:p>
            <w:pPr>
              <w:pStyle w:val="TableContents"/>
              <w:spacing w:before="0" w:after="283"/>
              <w:rPr/>
            </w:pPr>
            <w:r>
              <w:rPr/>
              <w:t> </w:t>
            </w:r>
          </w:p>
        </w:tc>
      </w:tr>
      <w:tr>
        <w:trPr/>
        <w:tc>
          <w:tcPr>
            <w:tcW w:w="255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Deferred compensation</w:t>
            </w:r>
          </w:p>
        </w:tc>
        <w:tc>
          <w:tcPr>
            <w:tcW w:w="60" w:type="dxa"/>
            <w:tcBorders/>
            <w:shd w:fill="FFFFFF" w:val="clear"/>
            <w:vAlign w:val="center"/>
          </w:tcPr>
          <w:p>
            <w:pPr>
              <w:pStyle w:val="TableContents"/>
              <w:spacing w:before="0" w:after="283"/>
              <w:rPr/>
            </w:pPr>
            <w:r>
              <w:rPr/>
              <w:t> </w:t>
            </w:r>
          </w:p>
        </w:tc>
        <w:tc>
          <w:tcPr>
            <w:tcW w:w="139" w:type="dxa"/>
            <w:tcBorders/>
            <w:shd w:fill="FFFFFF" w:val="clear"/>
            <w:vAlign w:val="center"/>
          </w:tcPr>
          <w:p>
            <w:pPr>
              <w:pStyle w:val="TableContents"/>
              <w:spacing w:before="0" w:after="283"/>
              <w:ind w:left="0" w:right="0" w:hanging="0"/>
              <w:rPr/>
            </w:pPr>
            <w:r>
              <w:rPr/>
              <w:t> </w:t>
            </w:r>
          </w:p>
        </w:tc>
        <w:tc>
          <w:tcPr>
            <w:tcW w:w="54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1,187</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06" w:type="dxa"/>
            <w:tcBorders/>
            <w:shd w:fill="FFFFFF" w:val="clear"/>
            <w:vAlign w:val="center"/>
          </w:tcPr>
          <w:p>
            <w:pPr>
              <w:pStyle w:val="TableContents"/>
              <w:spacing w:before="0" w:after="283"/>
              <w:ind w:left="0" w:right="0" w:hanging="0"/>
              <w:rPr/>
            </w:pPr>
            <w:r>
              <w:rPr/>
              <w:t> </w:t>
            </w:r>
          </w:p>
        </w:tc>
        <w:tc>
          <w:tcPr>
            <w:tcW w:w="803"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1,037</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3" w:type="dxa"/>
            <w:tcBorders/>
            <w:shd w:fill="FFFFFF" w:val="clear"/>
            <w:vAlign w:val="center"/>
          </w:tcPr>
          <w:p>
            <w:pPr>
              <w:pStyle w:val="TableContents"/>
              <w:spacing w:before="0" w:after="283"/>
              <w:ind w:left="0" w:right="0" w:hanging="0"/>
              <w:rPr/>
            </w:pPr>
            <w:r>
              <w:rPr/>
              <w:t> </w:t>
            </w:r>
          </w:p>
        </w:tc>
        <w:tc>
          <w:tcPr>
            <w:tcW w:w="63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2,632</w:t>
            </w:r>
          </w:p>
        </w:tc>
        <w:tc>
          <w:tcPr>
            <w:tcW w:w="60" w:type="dxa"/>
            <w:tcBorders/>
            <w:shd w:fill="FFFFFF" w:val="clear"/>
            <w:vAlign w:val="center"/>
          </w:tcPr>
          <w:p>
            <w:pPr>
              <w:pStyle w:val="TableContents"/>
              <w:spacing w:before="0" w:after="283"/>
              <w:rPr/>
            </w:pPr>
            <w:r>
              <w:rPr/>
              <w:t> </w:t>
            </w:r>
          </w:p>
        </w:tc>
      </w:tr>
      <w:tr>
        <w:trPr/>
        <w:tc>
          <w:tcPr>
            <w:tcW w:w="2555" w:type="dxa"/>
            <w:tcBorders/>
            <w:shd w:fill="CCEEFF" w:val="clear"/>
            <w:vAlign w:val="center"/>
          </w:tcPr>
          <w:p>
            <w:pPr>
              <w:pStyle w:val="TableContents"/>
              <w:spacing w:lineRule="auto" w:line="288" w:before="0" w:after="0"/>
              <w:rPr>
                <w:rFonts w:ascii="Times New Roman" w:hAnsi="Times New Roman"/>
                <w:caps w:val="false"/>
                <w:smallCaps w:val="false"/>
                <w:sz w:val="20"/>
              </w:rPr>
            </w:pPr>
            <w:r>
              <w:rPr>
                <w:rFonts w:ascii="Times New Roman" w:hAnsi="Times New Roman"/>
                <w:caps w:val="false"/>
                <w:smallCaps w:val="false"/>
                <w:sz w:val="20"/>
              </w:rPr>
              <w:t>Other (1)</w:t>
            </w:r>
          </w:p>
        </w:tc>
        <w:tc>
          <w:tcPr>
            <w:tcW w:w="60" w:type="dxa"/>
            <w:tcBorders/>
            <w:shd w:fill="CCEEFF" w:val="clear"/>
            <w:vAlign w:val="center"/>
          </w:tcPr>
          <w:p>
            <w:pPr>
              <w:pStyle w:val="TableContents"/>
              <w:spacing w:before="0" w:after="283"/>
              <w:rPr/>
            </w:pPr>
            <w:r>
              <w:rPr/>
              <w:t> </w:t>
            </w:r>
          </w:p>
        </w:tc>
        <w:tc>
          <w:tcPr>
            <w:tcW w:w="139"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4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561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06"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803"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629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3"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36"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r>
      <w:tr>
        <w:trPr/>
        <w:tc>
          <w:tcPr>
            <w:tcW w:w="2555"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FFFFFF" w:val="clear"/>
            <w:vAlign w:val="center"/>
          </w:tcPr>
          <w:p>
            <w:pPr>
              <w:pStyle w:val="TableContents"/>
              <w:spacing w:before="0" w:after="283"/>
              <w:ind w:left="0" w:right="0" w:hanging="0"/>
              <w:rPr/>
            </w:pPr>
            <w:r>
              <w:rPr/>
              <w:t> </w:t>
            </w:r>
          </w:p>
        </w:tc>
        <w:tc>
          <w:tcPr>
            <w:tcW w:w="139"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4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7,060</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06"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03"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3,381</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63"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36"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2,972</w:t>
            </w:r>
          </w:p>
        </w:tc>
        <w:tc>
          <w:tcPr>
            <w:tcW w:w="60" w:type="dxa"/>
            <w:tcBorders/>
            <w:shd w:fill="FFFFFF" w:val="clear"/>
            <w:vAlign w:val="center"/>
          </w:tcPr>
          <w:p>
            <w:pPr>
              <w:pStyle w:val="TableContents"/>
              <w:spacing w:before="0" w:after="283"/>
              <w:rPr/>
            </w:pPr>
            <w:r>
              <w:rPr/>
              <w:t> </w:t>
            </w:r>
          </w:p>
        </w:tc>
      </w:tr>
    </w:tbl>
    <w:p>
      <w:pPr>
        <w:pStyle w:val="TextBody"/>
        <w:spacing w:before="0" w:after="0"/>
        <w:ind w:left="144" w:right="144" w:hanging="0"/>
        <w:jc w:val="left"/>
        <w:rPr/>
      </w:pPr>
      <w:r>
        <w:rPr/>
        <w:t> </w:t>
      </w:r>
    </w:p>
    <w:tbl>
      <w:tblPr>
        <w:tblW w:w="7933" w:type="dxa"/>
        <w:jc w:val="left"/>
        <w:tblInd w:w="0" w:type="dxa"/>
        <w:tblCellMar>
          <w:top w:w="0" w:type="dxa"/>
          <w:left w:w="0" w:type="dxa"/>
          <w:bottom w:w="0" w:type="dxa"/>
          <w:right w:w="0" w:type="dxa"/>
        </w:tblCellMar>
      </w:tblPr>
      <w:tblGrid>
        <w:gridCol w:w="60"/>
        <w:gridCol w:w="389"/>
        <w:gridCol w:w="7484"/>
      </w:tblGrid>
      <w:tr>
        <w:trPr/>
        <w:tc>
          <w:tcPr>
            <w:tcW w:w="60" w:type="dxa"/>
            <w:tcBorders/>
            <w:shd w:fill="auto" w:val="clear"/>
            <w:vAlign w:val="center"/>
          </w:tcPr>
          <w:p>
            <w:pPr>
              <w:pStyle w:val="TableContents"/>
              <w:spacing w:before="0" w:after="283"/>
              <w:rPr/>
            </w:pPr>
            <w:r>
              <w:rPr/>
              <w:t> </w:t>
            </w:r>
          </w:p>
        </w:tc>
        <w:tc>
          <w:tcPr>
            <w:tcW w:w="389" w:type="dxa"/>
            <w:tcBorders/>
            <w:shd w:fill="auto" w:val="clear"/>
            <w:vAlign w:val="center"/>
          </w:tcPr>
          <w:p>
            <w:pPr>
              <w:pStyle w:val="TableContents"/>
              <w:spacing w:before="0" w:after="0"/>
              <w:ind w:left="0" w:right="144" w:hanging="0"/>
              <w:jc w:val="left"/>
              <w:rPr/>
            </w:pPr>
            <w:r>
              <w:rPr>
                <w:rFonts w:ascii="Times New Roman;Times;serif" w:hAnsi="Times New Roman;Times;serif"/>
                <w:sz w:val="20"/>
              </w:rPr>
              <w:t>(</w:t>
            </w:r>
            <w:r>
              <w:rPr>
                <w:rStyle w:val="Emphasis"/>
                <w:rFonts w:ascii="Times New Roman;Times;serif" w:hAnsi="Times New Roman;Times;serif"/>
                <w:sz w:val="20"/>
              </w:rPr>
              <w:t>1</w:t>
            </w:r>
            <w:r>
              <w:rPr>
                <w:rFonts w:ascii="Times New Roman;Times;serif" w:hAnsi="Times New Roman;Times;serif"/>
                <w:sz w:val="20"/>
              </w:rPr>
              <w:t>)</w:t>
            </w:r>
          </w:p>
        </w:tc>
        <w:tc>
          <w:tcPr>
            <w:tcW w:w="7484" w:type="dxa"/>
            <w:tcBorders/>
            <w:shd w:fill="auto" w:val="clear"/>
            <w:vAlign w:val="center"/>
          </w:tcPr>
          <w:p>
            <w:pPr>
              <w:pStyle w:val="TableContents"/>
              <w:spacing w:before="0" w:after="0"/>
              <w:ind w:left="0" w:right="144" w:hanging="0"/>
              <w:jc w:val="left"/>
              <w:rPr>
                <w:rFonts w:ascii="Times New Roman;Times;serif" w:hAnsi="Times New Roman;Times;serif"/>
                <w:sz w:val="20"/>
              </w:rPr>
            </w:pPr>
            <w:r>
              <w:rPr>
                <w:rFonts w:ascii="Times New Roman;Times;serif" w:hAnsi="Times New Roman;Times;serif"/>
                <w:sz w:val="20"/>
              </w:rPr>
              <w:t>Other consists primarily of deferred financing costs related to the Company's credit facility</w:t>
            </w:r>
          </w:p>
        </w:tc>
      </w:tr>
    </w:tbl>
    <w:p>
      <w:pPr>
        <w:pStyle w:val="TextBody"/>
        <w:ind w:left="144" w:right="144" w:hanging="0"/>
        <w:rPr/>
      </w:pPr>
      <w:r>
        <w:rPr/>
        <w:t xml:space="preserve">  </w:t>
      </w:r>
    </w:p>
    <w:p>
      <w:pPr>
        <w:pStyle w:val="TextBody"/>
        <w:spacing w:before="0" w:after="0"/>
        <w:ind w:left="0" w:right="0" w:hanging="0"/>
        <w:jc w:val="left"/>
        <w:rPr/>
      </w:pPr>
      <w:r>
        <w:rPr/>
        <w:t> </w:t>
      </w:r>
    </w:p>
    <w:p>
      <w:pPr>
        <w:pStyle w:val="TextBody"/>
        <w:spacing w:before="0" w:after="0"/>
        <w:ind w:left="0" w:right="0" w:hanging="0"/>
        <w:jc w:val="center"/>
        <w:rPr/>
      </w:pPr>
      <w:r>
        <w:rPr>
          <w:rStyle w:val="Emphasis"/>
          <w:rFonts w:ascii="Times New Roman" w:hAnsi="Times New Roman"/>
          <w:sz w:val="20"/>
        </w:rPr>
        <w:t>10</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hanging="0"/>
        <w:jc w:val="left"/>
        <w:rPr/>
      </w:pPr>
      <w:r>
        <w:rPr>
          <w:rStyle w:val="Emphasis"/>
          <w:rFonts w:ascii="Times New Roman;Times;serif" w:hAnsi="Times New Roman;Times;serif"/>
          <w:b/>
          <w:sz w:val="20"/>
        </w:rPr>
        <w:t>5.</w:t>
      </w:r>
      <w:r>
        <w:rPr>
          <w:rFonts w:ascii="Times New Roman;Times;serif" w:hAnsi="Times New Roman;Times;serif"/>
          <w:b/>
          <w:sz w:val="20"/>
        </w:rPr>
        <w:t xml:space="preserve"> Accrued Expenses</w:t>
      </w:r>
    </w:p>
    <w:p>
      <w:pPr>
        <w:pStyle w:val="TextBody"/>
        <w:spacing w:before="0" w:after="0"/>
        <w:ind w:left="144" w:right="144" w:hanging="0"/>
        <w:jc w:val="left"/>
        <w:rPr/>
      </w:pPr>
      <w:r>
        <w:rPr/>
        <w:t> </w:t>
      </w:r>
    </w:p>
    <w:p>
      <w:pPr>
        <w:pStyle w:val="TextBody"/>
        <w:spacing w:before="0" w:after="0"/>
        <w:ind w:left="0" w:right="0" w:firstLine="720"/>
        <w:jc w:val="left"/>
        <w:rPr>
          <w:rFonts w:ascii="Times New Roman;Times;serif" w:hAnsi="Times New Roman;Times;serif"/>
          <w:sz w:val="20"/>
        </w:rPr>
      </w:pPr>
      <w:r>
        <w:rPr>
          <w:rFonts w:ascii="Times New Roman;Times;serif" w:hAnsi="Times New Roman;Times;serif"/>
          <w:sz w:val="20"/>
        </w:rPr>
        <w:t>Accrued expenses consist of the following (in thousands):</w:t>
      </w:r>
    </w:p>
    <w:p>
      <w:pPr>
        <w:pStyle w:val="TextBody"/>
        <w:spacing w:before="0" w:after="0"/>
        <w:ind w:left="144" w:right="144" w:hanging="0"/>
        <w:jc w:val="left"/>
        <w:rPr/>
      </w:pPr>
      <w:r>
        <w:rPr/>
        <w:t> </w:t>
      </w:r>
    </w:p>
    <w:tbl>
      <w:tblPr>
        <w:tblW w:w="6593" w:type="dxa"/>
        <w:jc w:val="left"/>
        <w:tblInd w:w="0" w:type="dxa"/>
        <w:tblCellMar>
          <w:top w:w="0" w:type="dxa"/>
          <w:left w:w="0" w:type="dxa"/>
          <w:bottom w:w="0" w:type="dxa"/>
          <w:right w:w="0" w:type="dxa"/>
        </w:tblCellMar>
      </w:tblPr>
      <w:tblGrid>
        <w:gridCol w:w="3710"/>
        <w:gridCol w:w="60"/>
        <w:gridCol w:w="125"/>
        <w:gridCol w:w="590"/>
        <w:gridCol w:w="60"/>
        <w:gridCol w:w="60"/>
        <w:gridCol w:w="176"/>
        <w:gridCol w:w="833"/>
        <w:gridCol w:w="60"/>
        <w:gridCol w:w="60"/>
        <w:gridCol w:w="139"/>
        <w:gridCol w:w="660"/>
        <w:gridCol w:w="60"/>
      </w:tblGrid>
      <w:tr>
        <w:trPr/>
        <w:tc>
          <w:tcPr>
            <w:tcW w:w="371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15"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sz w:val="20"/>
              </w:rPr>
              <w:t>July 31,</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09"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sz w:val="20"/>
              </w:rPr>
              <w:t>January 30,</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99"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sz w:val="20"/>
              </w:rPr>
              <w:t>August 1,</w:t>
            </w:r>
          </w:p>
        </w:tc>
        <w:tc>
          <w:tcPr>
            <w:tcW w:w="60" w:type="dxa"/>
            <w:tcBorders/>
            <w:shd w:fill="FFFFFF" w:val="clear"/>
            <w:vAlign w:val="center"/>
          </w:tcPr>
          <w:p>
            <w:pPr>
              <w:pStyle w:val="TableContents"/>
              <w:spacing w:before="0" w:after="283"/>
              <w:rPr/>
            </w:pPr>
            <w:r>
              <w:rPr/>
              <w:t> </w:t>
            </w:r>
          </w:p>
        </w:tc>
      </w:tr>
      <w:tr>
        <w:trPr/>
        <w:tc>
          <w:tcPr>
            <w:tcW w:w="371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1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sz w:val="20"/>
              </w:rPr>
              <w:t>2021</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09"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sz w:val="20"/>
              </w:rPr>
              <w:t>2021</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99"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sz w:val="20"/>
              </w:rPr>
              <w:t>2020</w:t>
            </w:r>
          </w:p>
        </w:tc>
        <w:tc>
          <w:tcPr>
            <w:tcW w:w="60" w:type="dxa"/>
            <w:tcBorders/>
            <w:shd w:fill="FFFFFF" w:val="clear"/>
            <w:vAlign w:val="center"/>
          </w:tcPr>
          <w:p>
            <w:pPr>
              <w:pStyle w:val="TableContents"/>
              <w:spacing w:before="0" w:after="283"/>
              <w:rPr/>
            </w:pPr>
            <w:r>
              <w:rPr/>
              <w:t> </w:t>
            </w:r>
          </w:p>
        </w:tc>
      </w:tr>
      <w:tr>
        <w:trPr/>
        <w:tc>
          <w:tcPr>
            <w:tcW w:w="3710" w:type="dxa"/>
            <w:tcBorders/>
            <w:shd w:fill="CCEE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Accrued wages, bonuses and related expenses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14,893</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6"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833"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13,185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9"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60"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13,411</w:t>
            </w:r>
          </w:p>
        </w:tc>
        <w:tc>
          <w:tcPr>
            <w:tcW w:w="60" w:type="dxa"/>
            <w:tcBorders/>
            <w:shd w:fill="CCEEFF" w:val="clear"/>
            <w:vAlign w:val="center"/>
          </w:tcPr>
          <w:p>
            <w:pPr>
              <w:pStyle w:val="TableContents"/>
              <w:spacing w:before="0" w:after="283"/>
              <w:rPr/>
            </w:pPr>
            <w:r>
              <w:rPr/>
              <w:t> </w:t>
            </w:r>
          </w:p>
        </w:tc>
      </w:tr>
      <w:tr>
        <w:trPr/>
        <w:tc>
          <w:tcPr>
            <w:tcW w:w="3710" w:type="dxa"/>
            <w:tcBorders/>
            <w:shd w:fill="FFFF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Sales and value added taxes payable</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590"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3,186</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76" w:type="dxa"/>
            <w:tcBorders/>
            <w:shd w:fill="FFFFFF" w:val="clear"/>
            <w:vAlign w:val="center"/>
          </w:tcPr>
          <w:p>
            <w:pPr>
              <w:pStyle w:val="TableContents"/>
              <w:spacing w:before="0" w:after="283"/>
              <w:rPr/>
            </w:pPr>
            <w:r>
              <w:rPr/>
              <w:t> </w:t>
            </w:r>
          </w:p>
        </w:tc>
        <w:tc>
          <w:tcPr>
            <w:tcW w:w="833"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2,048</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9" w:type="dxa"/>
            <w:tcBorders/>
            <w:shd w:fill="FFFFFF" w:val="clear"/>
            <w:vAlign w:val="center"/>
          </w:tcPr>
          <w:p>
            <w:pPr>
              <w:pStyle w:val="TableContents"/>
              <w:spacing w:before="0" w:after="283"/>
              <w:rPr/>
            </w:pPr>
            <w:r>
              <w:rPr/>
              <w:t> </w:t>
            </w:r>
          </w:p>
        </w:tc>
        <w:tc>
          <w:tcPr>
            <w:tcW w:w="660"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2,287</w:t>
            </w:r>
          </w:p>
        </w:tc>
        <w:tc>
          <w:tcPr>
            <w:tcW w:w="60" w:type="dxa"/>
            <w:tcBorders/>
            <w:shd w:fill="FFFFFF" w:val="clear"/>
            <w:vAlign w:val="center"/>
          </w:tcPr>
          <w:p>
            <w:pPr>
              <w:pStyle w:val="TableContents"/>
              <w:spacing w:before="0" w:after="283"/>
              <w:rPr/>
            </w:pPr>
            <w:r>
              <w:rPr/>
              <w:t> </w:t>
            </w:r>
          </w:p>
        </w:tc>
      </w:tr>
      <w:tr>
        <w:trPr/>
        <w:tc>
          <w:tcPr>
            <w:tcW w:w="3710" w:type="dxa"/>
            <w:tcBorders/>
            <w:shd w:fill="CCEEFF" w:val="clear"/>
            <w:vAlign w:val="center"/>
          </w:tcPr>
          <w:p>
            <w:pPr>
              <w:pStyle w:val="TableContents"/>
              <w:spacing w:lineRule="auto" w:line="288" w:before="0" w:after="0"/>
              <w:rPr>
                <w:rFonts w:ascii="Times New Roman;Times;serif" w:hAnsi="Times New Roman;Times;serif"/>
                <w:sz w:val="20"/>
              </w:rPr>
            </w:pPr>
            <w:r>
              <w:rPr>
                <w:rFonts w:ascii="Times New Roman;Times;serif" w:hAnsi="Times New Roman;Times;serif"/>
                <w:sz w:val="20"/>
              </w:rPr>
              <w:t>Accrued rent and related expenses (1)</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590"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1,111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6" w:type="dxa"/>
            <w:tcBorders/>
            <w:shd w:fill="CCEEFF" w:val="clear"/>
            <w:vAlign w:val="center"/>
          </w:tcPr>
          <w:p>
            <w:pPr>
              <w:pStyle w:val="TableContents"/>
              <w:spacing w:before="0" w:after="283"/>
              <w:rPr/>
            </w:pPr>
            <w:r>
              <w:rPr/>
              <w:t> </w:t>
            </w:r>
          </w:p>
        </w:tc>
        <w:tc>
          <w:tcPr>
            <w:tcW w:w="833"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1,993</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9" w:type="dxa"/>
            <w:tcBorders/>
            <w:shd w:fill="CCEEFF" w:val="clear"/>
            <w:vAlign w:val="center"/>
          </w:tcPr>
          <w:p>
            <w:pPr>
              <w:pStyle w:val="TableContents"/>
              <w:spacing w:before="0" w:after="283"/>
              <w:rPr/>
            </w:pPr>
            <w:r>
              <w:rPr/>
              <w:t> </w:t>
            </w:r>
          </w:p>
        </w:tc>
        <w:tc>
          <w:tcPr>
            <w:tcW w:w="660"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114</w:t>
            </w:r>
          </w:p>
        </w:tc>
        <w:tc>
          <w:tcPr>
            <w:tcW w:w="60" w:type="dxa"/>
            <w:tcBorders/>
            <w:shd w:fill="CCEEFF" w:val="clear"/>
            <w:vAlign w:val="center"/>
          </w:tcPr>
          <w:p>
            <w:pPr>
              <w:pStyle w:val="TableContents"/>
              <w:spacing w:before="0" w:after="283"/>
              <w:rPr/>
            </w:pPr>
            <w:r>
              <w:rPr/>
              <w:t> </w:t>
            </w:r>
          </w:p>
        </w:tc>
      </w:tr>
      <w:tr>
        <w:trPr/>
        <w:tc>
          <w:tcPr>
            <w:tcW w:w="3710" w:type="dxa"/>
            <w:tcBorders/>
            <w:shd w:fill="FFFF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Current income taxes payable</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590" w:type="dxa"/>
            <w:tcBorders>
              <w:bottom w:val="single" w:sz="2" w:space="0" w:color="000000"/>
            </w:tcBorders>
            <w:shd w:fill="FFFF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1,782</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76"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833" w:type="dxa"/>
            <w:tcBorders>
              <w:bottom w:val="single" w:sz="2" w:space="0" w:color="000000"/>
            </w:tcBorders>
            <w:shd w:fill="FFFF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325</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39"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660" w:type="dxa"/>
            <w:tcBorders>
              <w:bottom w:val="single" w:sz="2" w:space="0" w:color="000000"/>
            </w:tcBorders>
            <w:shd w:fill="FFFF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99</w:t>
            </w:r>
          </w:p>
        </w:tc>
        <w:tc>
          <w:tcPr>
            <w:tcW w:w="60" w:type="dxa"/>
            <w:tcBorders/>
            <w:shd w:fill="FFFFFF" w:val="clear"/>
            <w:vAlign w:val="center"/>
          </w:tcPr>
          <w:p>
            <w:pPr>
              <w:pStyle w:val="TableContents"/>
              <w:spacing w:before="0" w:after="283"/>
              <w:rPr/>
            </w:pPr>
            <w:r>
              <w:rPr/>
              <w:t> </w:t>
            </w:r>
          </w:p>
        </w:tc>
      </w:tr>
      <w:tr>
        <w:trPr/>
        <w:tc>
          <w:tcPr>
            <w:tcW w:w="3710" w:type="dxa"/>
            <w:tcBorders/>
            <w:shd w:fill="CCEEFF" w:val="clear"/>
            <w:vAlign w:val="center"/>
          </w:tcPr>
          <w:p>
            <w:pPr>
              <w:pStyle w:val="TableContents"/>
              <w:spacing w:before="0" w:after="0"/>
              <w:ind w:left="180" w:right="0" w:hanging="0"/>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20,972</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76"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833"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17,551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39"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66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15,911</w:t>
            </w:r>
          </w:p>
        </w:tc>
        <w:tc>
          <w:tcPr>
            <w:tcW w:w="60" w:type="dxa"/>
            <w:tcBorders/>
            <w:shd w:fill="CCEEFF" w:val="clear"/>
            <w:vAlign w:val="center"/>
          </w:tcPr>
          <w:p>
            <w:pPr>
              <w:pStyle w:val="TableContents"/>
              <w:spacing w:before="0" w:after="283"/>
              <w:rPr/>
            </w:pPr>
            <w:r>
              <w:rPr/>
              <w:t> </w:t>
            </w:r>
          </w:p>
        </w:tc>
      </w:tr>
    </w:tbl>
    <w:p>
      <w:pPr>
        <w:pStyle w:val="TextBody"/>
        <w:spacing w:before="0" w:after="0"/>
        <w:ind w:left="144" w:right="144" w:hanging="0"/>
        <w:jc w:val="left"/>
        <w:rPr/>
      </w:pPr>
      <w:r>
        <w:rPr/>
        <w:t> </w:t>
      </w:r>
    </w:p>
    <w:tbl>
      <w:tblPr>
        <w:tblW w:w="8518" w:type="dxa"/>
        <w:jc w:val="left"/>
        <w:tblInd w:w="0" w:type="dxa"/>
        <w:tblCellMar>
          <w:top w:w="0" w:type="dxa"/>
          <w:left w:w="0" w:type="dxa"/>
          <w:bottom w:w="0" w:type="dxa"/>
          <w:right w:w="0" w:type="dxa"/>
        </w:tblCellMar>
      </w:tblPr>
      <w:tblGrid>
        <w:gridCol w:w="60"/>
        <w:gridCol w:w="389"/>
        <w:gridCol w:w="8069"/>
      </w:tblGrid>
      <w:tr>
        <w:trPr/>
        <w:tc>
          <w:tcPr>
            <w:tcW w:w="60" w:type="dxa"/>
            <w:tcBorders/>
            <w:shd w:fill="auto" w:val="clear"/>
            <w:vAlign w:val="center"/>
          </w:tcPr>
          <w:p>
            <w:pPr>
              <w:pStyle w:val="TableContents"/>
              <w:spacing w:before="0" w:after="283"/>
              <w:rPr/>
            </w:pPr>
            <w:r>
              <w:rPr/>
              <w:t> </w:t>
            </w:r>
          </w:p>
        </w:tc>
        <w:tc>
          <w:tcPr>
            <w:tcW w:w="389" w:type="dxa"/>
            <w:tcBorders/>
            <w:shd w:fill="auto" w:val="clear"/>
            <w:vAlign w:val="center"/>
          </w:tcPr>
          <w:p>
            <w:pPr>
              <w:pStyle w:val="TableContents"/>
              <w:spacing w:before="0" w:after="0"/>
              <w:ind w:left="0" w:right="144" w:hanging="0"/>
              <w:jc w:val="left"/>
              <w:rPr/>
            </w:pPr>
            <w:r>
              <w:rPr>
                <w:rFonts w:ascii="Times New Roman;Times;serif" w:hAnsi="Times New Roman;Times;serif"/>
                <w:sz w:val="20"/>
              </w:rPr>
              <w:t>(</w:t>
            </w:r>
            <w:r>
              <w:rPr>
                <w:rStyle w:val="Emphasis"/>
                <w:rFonts w:ascii="Times New Roman;Times;serif" w:hAnsi="Times New Roman;Times;serif"/>
                <w:sz w:val="20"/>
              </w:rPr>
              <w:t>1</w:t>
            </w:r>
            <w:r>
              <w:rPr>
                <w:rFonts w:ascii="Times New Roman;Times;serif" w:hAnsi="Times New Roman;Times;serif"/>
                <w:sz w:val="20"/>
              </w:rPr>
              <w:t>)</w:t>
            </w:r>
          </w:p>
        </w:tc>
        <w:tc>
          <w:tcPr>
            <w:tcW w:w="8069" w:type="dxa"/>
            <w:tcBorders/>
            <w:shd w:fill="auto" w:val="clear"/>
            <w:vAlign w:val="center"/>
          </w:tcPr>
          <w:p>
            <w:pPr>
              <w:pStyle w:val="TableContents"/>
              <w:spacing w:before="0" w:after="0"/>
              <w:ind w:left="0" w:right="144" w:hanging="0"/>
              <w:jc w:val="left"/>
              <w:rPr>
                <w:rFonts w:ascii="Times New Roman;Times;serif" w:hAnsi="Times New Roman;Times;serif"/>
                <w:sz w:val="20"/>
              </w:rPr>
            </w:pPr>
            <w:r>
              <w:rPr>
                <w:rFonts w:ascii="Times New Roman;Times;serif" w:hAnsi="Times New Roman;Times;serif"/>
                <w:sz w:val="20"/>
              </w:rPr>
              <w:t>Accrued rent and related expenses consist of accrued costs associated with non-lease components.</w:t>
            </w:r>
          </w:p>
        </w:tc>
      </w:tr>
    </w:tbl>
    <w:p>
      <w:pPr>
        <w:pStyle w:val="TextBody"/>
        <w:ind w:left="0" w:right="0" w:hanging="0"/>
        <w:rPr/>
      </w:pPr>
      <w:r>
        <w:rPr/>
        <w:t xml:space="preserve">  </w:t>
      </w:r>
    </w:p>
    <w:p>
      <w:pPr>
        <w:pStyle w:val="TextBody"/>
        <w:spacing w:before="0" w:after="0"/>
        <w:ind w:left="0" w:right="0" w:hanging="0"/>
        <w:jc w:val="left"/>
        <w:rPr/>
      </w:pPr>
      <w:r>
        <w:rPr>
          <w:rStyle w:val="Emphasis"/>
          <w:rFonts w:ascii="Times New Roman;Times;serif" w:hAnsi="Times New Roman;Times;serif"/>
          <w:b/>
          <w:sz w:val="20"/>
        </w:rPr>
        <w:t>6.</w:t>
      </w:r>
      <w:r>
        <w:rPr>
          <w:rFonts w:ascii="Times New Roman;Times;serif" w:hAnsi="Times New Roman;Times;serif"/>
          <w:b/>
          <w:sz w:val="20"/>
        </w:rPr>
        <w:t xml:space="preserve"> Stock-based Compensation </w:t>
      </w:r>
    </w:p>
    <w:p>
      <w:pPr>
        <w:pStyle w:val="TextBody"/>
        <w:spacing w:before="0" w:after="0"/>
        <w:ind w:left="144" w:right="144" w:hanging="0"/>
        <w:jc w:val="left"/>
        <w:rPr/>
      </w:pPr>
      <w:r>
        <w:rPr/>
        <w:t> </w:t>
      </w:r>
    </w:p>
    <w:p>
      <w:pPr>
        <w:pStyle w:val="TextBody"/>
        <w:spacing w:before="0" w:after="0"/>
        <w:ind w:left="0" w:right="0" w:firstLine="720"/>
        <w:jc w:val="left"/>
        <w:rPr/>
      </w:pPr>
      <w:r>
        <w:rPr>
          <w:rFonts w:ascii="Times New Roman;Times;serif" w:hAnsi="Times New Roman;Times;serif"/>
          <w:sz w:val="20"/>
        </w:rPr>
        <w:t xml:space="preserve">On </w:t>
      </w:r>
      <w:r>
        <w:rPr>
          <w:rStyle w:val="Emphasis"/>
          <w:rFonts w:ascii="Times New Roman;Times;serif" w:hAnsi="Times New Roman;Times;serif"/>
          <w:sz w:val="20"/>
        </w:rPr>
        <w:t>April 14,</w:t>
      </w:r>
      <w:r>
        <w:rPr>
          <w:rFonts w:ascii="Times New Roman;Times;serif" w:hAnsi="Times New Roman;Times;serif"/>
          <w:sz w:val="20"/>
        </w:rPr>
        <w:t xml:space="preserve"> </w:t>
      </w:r>
      <w:r>
        <w:rPr>
          <w:rStyle w:val="Emphasis"/>
          <w:rFonts w:ascii="Times New Roman;Times;serif" w:hAnsi="Times New Roman;Times;serif"/>
          <w:sz w:val="20"/>
        </w:rPr>
        <w:t>2020,</w:t>
      </w:r>
      <w:r>
        <w:rPr>
          <w:rFonts w:ascii="Times New Roman;Times;serif" w:hAnsi="Times New Roman;Times;serif"/>
          <w:sz w:val="20"/>
        </w:rPr>
        <w:t xml:space="preserve"> the Board of Directors (the “Board”) of Build-A-Bear Workshop, Inc. (the “Company”) adopted, subject to stockholder approval, the Build-A-Bear Workshop, Inc. </w:t>
      </w:r>
      <w:r>
        <w:rPr>
          <w:rStyle w:val="Emphasis"/>
          <w:rFonts w:ascii="Times New Roman;Times;serif" w:hAnsi="Times New Roman;Times;serif"/>
          <w:sz w:val="20"/>
        </w:rPr>
        <w:t>2020</w:t>
      </w:r>
      <w:r>
        <w:rPr>
          <w:rFonts w:ascii="Times New Roman;Times;serif" w:hAnsi="Times New Roman;Times;serif"/>
          <w:sz w:val="20"/>
        </w:rPr>
        <w:t xml:space="preserve"> Omnibus Incentive Plan (the </w:t>
      </w:r>
      <w:r>
        <w:rPr>
          <w:rStyle w:val="Emphasis"/>
          <w:rFonts w:ascii="Times New Roman;Times;serif" w:hAnsi="Times New Roman;Times;serif"/>
          <w:sz w:val="20"/>
        </w:rPr>
        <w:t>“2020</w:t>
      </w:r>
      <w:r>
        <w:rPr>
          <w:rFonts w:ascii="Times New Roman;Times;serif" w:hAnsi="Times New Roman;Times;serif"/>
          <w:sz w:val="20"/>
        </w:rPr>
        <w:t xml:space="preserve"> Incentive Plan”). On </w:t>
      </w:r>
      <w:r>
        <w:rPr>
          <w:rStyle w:val="Emphasis"/>
          <w:rFonts w:ascii="Times New Roman;Times;serif" w:hAnsi="Times New Roman;Times;serif"/>
          <w:sz w:val="20"/>
        </w:rPr>
        <w:t xml:space="preserve">June 11, 2020, </w:t>
      </w:r>
      <w:r>
        <w:rPr>
          <w:rFonts w:ascii="Times New Roman;Times;serif" w:hAnsi="Times New Roman;Times;serif"/>
          <w:sz w:val="20"/>
        </w:rPr>
        <w:t xml:space="preserve">at the Company’s </w:t>
      </w:r>
      <w:r>
        <w:rPr>
          <w:rStyle w:val="Emphasis"/>
          <w:rFonts w:ascii="Times New Roman;Times;serif" w:hAnsi="Times New Roman;Times;serif"/>
          <w:sz w:val="20"/>
        </w:rPr>
        <w:t>2020</w:t>
      </w:r>
      <w:r>
        <w:rPr>
          <w:rFonts w:ascii="Times New Roman;Times;serif" w:hAnsi="Times New Roman;Times;serif"/>
          <w:sz w:val="20"/>
        </w:rPr>
        <w:t xml:space="preserve"> Annual Meeting of Stockholders (the “Annual Meeting”), the Company’s stockholders approved the </w:t>
      </w:r>
      <w:r>
        <w:rPr>
          <w:rStyle w:val="Emphasis"/>
          <w:rFonts w:ascii="Times New Roman;Times;serif" w:hAnsi="Times New Roman;Times;serif"/>
          <w:sz w:val="20"/>
        </w:rPr>
        <w:t>2020</w:t>
      </w:r>
      <w:r>
        <w:rPr>
          <w:rFonts w:ascii="Times New Roman;Times;serif" w:hAnsi="Times New Roman;Times;serif"/>
          <w:sz w:val="20"/>
        </w:rPr>
        <w:t xml:space="preserve"> Incentive Plan. The </w:t>
      </w:r>
      <w:r>
        <w:rPr>
          <w:rStyle w:val="Emphasis"/>
          <w:rFonts w:ascii="Times New Roman;Times;serif" w:hAnsi="Times New Roman;Times;serif"/>
          <w:sz w:val="20"/>
        </w:rPr>
        <w:t>2020</w:t>
      </w:r>
      <w:r>
        <w:rPr>
          <w:rFonts w:ascii="Times New Roman;Times;serif" w:hAnsi="Times New Roman;Times;serif"/>
          <w:sz w:val="20"/>
        </w:rPr>
        <w:t xml:space="preserve"> Incentive Plan, which is administered by the Compensation and Development Committee of the Board (the "Compensation Committee", permits the grant of stock options (including both incentive and non-qualified stock options), stock appreciation rights, other stock-based awards, including restricted stock and restricted stock units, cash-based awards, and performance awards pursuant to the terms of the </w:t>
      </w:r>
      <w:r>
        <w:rPr>
          <w:rStyle w:val="Emphasis"/>
          <w:rFonts w:ascii="Times New Roman;Times;serif" w:hAnsi="Times New Roman;Times;serif"/>
          <w:sz w:val="20"/>
        </w:rPr>
        <w:t>2020</w:t>
      </w:r>
      <w:r>
        <w:rPr>
          <w:rFonts w:ascii="Times New Roman;Times;serif" w:hAnsi="Times New Roman;Times;serif"/>
          <w:sz w:val="20"/>
        </w:rPr>
        <w:t xml:space="preserve"> Incentive Plan. The </w:t>
      </w:r>
      <w:r>
        <w:rPr>
          <w:rStyle w:val="Emphasis"/>
          <w:rFonts w:ascii="Times New Roman;Times;serif" w:hAnsi="Times New Roman;Times;serif"/>
          <w:sz w:val="20"/>
        </w:rPr>
        <w:t>2020</w:t>
      </w:r>
      <w:r>
        <w:rPr>
          <w:rFonts w:ascii="Times New Roman;Times;serif" w:hAnsi="Times New Roman;Times;serif"/>
          <w:sz w:val="20"/>
        </w:rPr>
        <w:t xml:space="preserve"> Incentive Plan will terminate on </w:t>
      </w:r>
      <w:r>
        <w:rPr>
          <w:rStyle w:val="Emphasis"/>
          <w:rFonts w:ascii="Times New Roman;Times;serif" w:hAnsi="Times New Roman;Times;serif"/>
          <w:sz w:val="20"/>
        </w:rPr>
        <w:t xml:space="preserve">April 14, 2030, </w:t>
      </w:r>
      <w:r>
        <w:rPr>
          <w:rFonts w:ascii="Times New Roman;Times;serif" w:hAnsi="Times New Roman;Times;serif"/>
          <w:sz w:val="20"/>
        </w:rPr>
        <w:t xml:space="preserve">unless terminated earlier by the Board. The number of shares of the Company’s common stock authorized for issuance under the </w:t>
      </w:r>
      <w:r>
        <w:rPr>
          <w:rStyle w:val="Emphasis"/>
          <w:rFonts w:ascii="Times New Roman;Times;serif" w:hAnsi="Times New Roman;Times;serif"/>
          <w:sz w:val="20"/>
        </w:rPr>
        <w:t>2020</w:t>
      </w:r>
      <w:r>
        <w:rPr>
          <w:rFonts w:ascii="Times New Roman;Times;serif" w:hAnsi="Times New Roman;Times;serif"/>
          <w:sz w:val="20"/>
        </w:rPr>
        <w:t xml:space="preserve"> Incentive Plan is 1,000,000, plus shares of stock that remained available for issuance under the Build-A-Bear Workshop, Inc. </w:t>
      </w:r>
      <w:r>
        <w:rPr>
          <w:rStyle w:val="Emphasis"/>
          <w:rFonts w:ascii="Times New Roman;Times;serif" w:hAnsi="Times New Roman;Times;serif"/>
          <w:sz w:val="20"/>
        </w:rPr>
        <w:t>2017</w:t>
      </w:r>
      <w:r>
        <w:rPr>
          <w:rFonts w:ascii="Times New Roman;Times;serif" w:hAnsi="Times New Roman;Times;serif"/>
          <w:sz w:val="20"/>
        </w:rPr>
        <w:t xml:space="preserve"> Omnibus Incentive Plan (the </w:t>
      </w:r>
      <w:r>
        <w:rPr>
          <w:rStyle w:val="Emphasis"/>
          <w:rFonts w:ascii="Times New Roman;Times;serif" w:hAnsi="Times New Roman;Times;serif"/>
          <w:sz w:val="20"/>
        </w:rPr>
        <w:t>“2017</w:t>
      </w:r>
      <w:r>
        <w:rPr>
          <w:rFonts w:ascii="Times New Roman;Times;serif" w:hAnsi="Times New Roman;Times;serif"/>
          <w:sz w:val="20"/>
        </w:rPr>
        <w:t xml:space="preserve"> Incentive Plan”) at the time the </w:t>
      </w:r>
      <w:r>
        <w:rPr>
          <w:rStyle w:val="Emphasis"/>
          <w:rFonts w:ascii="Times New Roman;Times;serif" w:hAnsi="Times New Roman;Times;serif"/>
          <w:sz w:val="20"/>
        </w:rPr>
        <w:t>2020</w:t>
      </w:r>
      <w:r>
        <w:rPr>
          <w:rFonts w:ascii="Times New Roman;Times;serif" w:hAnsi="Times New Roman;Times;serif"/>
          <w:sz w:val="20"/>
        </w:rPr>
        <w:t xml:space="preserve"> Incentive Plan was approved by the Company’s stockholders, and shares that are subject to outstanding awards made under the </w:t>
      </w:r>
      <w:r>
        <w:rPr>
          <w:rStyle w:val="Emphasis"/>
          <w:rFonts w:ascii="Times New Roman;Times;serif" w:hAnsi="Times New Roman;Times;serif"/>
          <w:sz w:val="20"/>
        </w:rPr>
        <w:t>2017</w:t>
      </w:r>
      <w:r>
        <w:rPr>
          <w:rFonts w:ascii="Times New Roman;Times;serif" w:hAnsi="Times New Roman;Times;serif"/>
          <w:sz w:val="20"/>
        </w:rPr>
        <w:t xml:space="preserve"> Incentive Plan that on or after </w:t>
      </w:r>
      <w:r>
        <w:rPr>
          <w:rStyle w:val="Emphasis"/>
          <w:rFonts w:ascii="Times New Roman;Times;serif" w:hAnsi="Times New Roman;Times;serif"/>
          <w:sz w:val="20"/>
        </w:rPr>
        <w:t xml:space="preserve">April 14, 2020 may </w:t>
      </w:r>
      <w:r>
        <w:rPr>
          <w:rFonts w:ascii="Times New Roman;Times;serif" w:hAnsi="Times New Roman;Times;serif"/>
          <w:sz w:val="20"/>
        </w:rPr>
        <w:t>be forfeited, expire or be settled for cash.</w:t>
      </w:r>
    </w:p>
    <w:p>
      <w:pPr>
        <w:pStyle w:val="TextBody"/>
        <w:spacing w:before="0" w:after="0"/>
        <w:ind w:left="144" w:right="294" w:firstLine="540"/>
        <w:jc w:val="left"/>
        <w:rPr/>
      </w:pPr>
      <w:r>
        <w:rPr/>
        <w:t> </w:t>
      </w:r>
    </w:p>
    <w:p>
      <w:pPr>
        <w:pStyle w:val="TextBody"/>
        <w:spacing w:before="0" w:after="0"/>
        <w:ind w:left="0" w:right="0" w:firstLine="720"/>
        <w:jc w:val="left"/>
        <w:rPr/>
      </w:pPr>
      <w:r>
        <w:rPr>
          <w:rFonts w:ascii="Times New Roman;Times;serif" w:hAnsi="Times New Roman;Times;serif"/>
          <w:sz w:val="20"/>
        </w:rPr>
        <w:t xml:space="preserve">For the </w:t>
      </w:r>
      <w:r>
        <w:rPr>
          <w:rStyle w:val="Emphasis"/>
          <w:rFonts w:ascii="Times New Roman;Times;serif" w:hAnsi="Times New Roman;Times;serif"/>
          <w:sz w:val="20"/>
        </w:rPr>
        <w:t>thirteen</w:t>
      </w:r>
      <w:r>
        <w:rPr>
          <w:rFonts w:ascii="Times New Roman;Times;serif" w:hAnsi="Times New Roman;Times;serif"/>
          <w:sz w:val="20"/>
        </w:rPr>
        <w:t xml:space="preserve"> weeks ended </w:t>
      </w:r>
      <w:r>
        <w:rPr>
          <w:rStyle w:val="Emphasis"/>
          <w:rFonts w:ascii="Times New Roman;Times;serif" w:hAnsi="Times New Roman;Times;serif"/>
          <w:sz w:val="20"/>
        </w:rPr>
        <w:t xml:space="preserve">July 31, 2021 </w:t>
      </w:r>
      <w:r>
        <w:rPr>
          <w:rFonts w:ascii="Times New Roman;Times;serif" w:hAnsi="Times New Roman;Times;serif"/>
          <w:sz w:val="20"/>
        </w:rPr>
        <w:t xml:space="preserve">and </w:t>
      </w:r>
      <w:r>
        <w:rPr>
          <w:rStyle w:val="Emphasis"/>
          <w:rFonts w:ascii="Times New Roman;Times;serif" w:hAnsi="Times New Roman;Times;serif"/>
          <w:sz w:val="20"/>
        </w:rPr>
        <w:t>August 1, 2020</w:t>
      </w:r>
      <w:r>
        <w:rPr>
          <w:rFonts w:ascii="Times New Roman;Times;serif" w:hAnsi="Times New Roman;Times;serif"/>
          <w:sz w:val="20"/>
        </w:rPr>
        <w:t xml:space="preserve">, Selling, general and administrative expense included stock-based compensation expense of $0.8 million and $0.5 million, respectively. For the </w:t>
      </w:r>
      <w:r>
        <w:rPr>
          <w:rStyle w:val="Emphasis"/>
          <w:rFonts w:ascii="Times New Roman;Times;serif" w:hAnsi="Times New Roman;Times;serif"/>
          <w:sz w:val="20"/>
        </w:rPr>
        <w:t>twenty-six</w:t>
      </w:r>
      <w:r>
        <w:rPr>
          <w:rFonts w:ascii="Times New Roman;Times;serif" w:hAnsi="Times New Roman;Times;serif"/>
          <w:sz w:val="20"/>
        </w:rPr>
        <w:t xml:space="preserve"> weeks ended </w:t>
      </w:r>
      <w:r>
        <w:rPr>
          <w:rStyle w:val="Emphasis"/>
          <w:rFonts w:ascii="Times New Roman;Times;serif" w:hAnsi="Times New Roman;Times;serif"/>
          <w:sz w:val="20"/>
        </w:rPr>
        <w:t xml:space="preserve">July 31, 2021 </w:t>
      </w:r>
      <w:r>
        <w:rPr>
          <w:rFonts w:ascii="Times New Roman;Times;serif" w:hAnsi="Times New Roman;Times;serif"/>
          <w:sz w:val="20"/>
        </w:rPr>
        <w:t xml:space="preserve">and </w:t>
      </w:r>
      <w:r>
        <w:rPr>
          <w:rStyle w:val="Emphasis"/>
          <w:rFonts w:ascii="Times New Roman;Times;serif" w:hAnsi="Times New Roman;Times;serif"/>
          <w:sz w:val="20"/>
        </w:rPr>
        <w:t>August 1, 2020</w:t>
      </w:r>
      <w:r>
        <w:rPr>
          <w:rFonts w:ascii="Times New Roman;Times;serif" w:hAnsi="Times New Roman;Times;serif"/>
          <w:sz w:val="20"/>
        </w:rPr>
        <w:t xml:space="preserve">, Selling, general and administrative expense included stock-based compensation expense of $1.4 million and $0.7 million, respectively. As of </w:t>
      </w:r>
      <w:r>
        <w:rPr>
          <w:rStyle w:val="Emphasis"/>
          <w:rFonts w:ascii="Times New Roman;Times;serif" w:hAnsi="Times New Roman;Times;serif"/>
          <w:sz w:val="20"/>
        </w:rPr>
        <w:t>July 31, 2021</w:t>
      </w:r>
      <w:r>
        <w:rPr>
          <w:rFonts w:ascii="Times New Roman;Times;serif" w:hAnsi="Times New Roman;Times;serif"/>
          <w:sz w:val="20"/>
        </w:rPr>
        <w:t>, there was $3.5 million of total unrecognized compensation expense related to unvested restricted stock and option awards which is expected to be recognized over a weighted-average period of 1.6 years.</w:t>
      </w:r>
    </w:p>
    <w:p>
      <w:pPr>
        <w:pStyle w:val="TextBody"/>
        <w:spacing w:before="0" w:after="0"/>
        <w:ind w:left="0" w:right="0" w:firstLine="720"/>
        <w:jc w:val="left"/>
        <w:rPr/>
      </w:pPr>
      <w:r>
        <w:rPr/>
        <w:t> </w:t>
      </w:r>
    </w:p>
    <w:p>
      <w:pPr>
        <w:pStyle w:val="TextBody"/>
        <w:spacing w:before="0" w:after="0"/>
        <w:ind w:left="0" w:right="0" w:firstLine="720"/>
        <w:jc w:val="left"/>
        <w:rPr/>
      </w:pPr>
      <w:r>
        <w:rPr>
          <w:rFonts w:ascii="Times New Roman;Times;serif" w:hAnsi="Times New Roman;Times;serif"/>
          <w:sz w:val="20"/>
        </w:rPr>
        <w:t xml:space="preserve">The following table is a summary of the balances and activity for stock options for the </w:t>
      </w:r>
      <w:r>
        <w:rPr>
          <w:rStyle w:val="Emphasis"/>
          <w:rFonts w:ascii="Times New Roman;Times;serif" w:hAnsi="Times New Roman;Times;serif"/>
          <w:sz w:val="20"/>
        </w:rPr>
        <w:t>twenty-six</w:t>
      </w:r>
      <w:r>
        <w:rPr>
          <w:rFonts w:ascii="Times New Roman;Times;serif" w:hAnsi="Times New Roman;Times;serif"/>
          <w:sz w:val="20"/>
        </w:rPr>
        <w:t xml:space="preserve"> weeks ended </w:t>
      </w:r>
      <w:r>
        <w:rPr>
          <w:rStyle w:val="Emphasis"/>
          <w:rFonts w:ascii="Times New Roman;Times;serif" w:hAnsi="Times New Roman;Times;serif"/>
          <w:sz w:val="20"/>
        </w:rPr>
        <w:t>July 31, 2021</w:t>
      </w:r>
      <w:r>
        <w:rPr>
          <w:rFonts w:ascii="Times New Roman;Times;serif" w:hAnsi="Times New Roman;Times;serif"/>
          <w:sz w:val="20"/>
        </w:rPr>
        <w:t>:</w:t>
      </w:r>
    </w:p>
    <w:p>
      <w:pPr>
        <w:pStyle w:val="TextBody"/>
        <w:spacing w:before="0" w:after="0"/>
        <w:ind w:left="144" w:right="144" w:hanging="0"/>
        <w:jc w:val="left"/>
        <w:rPr/>
      </w:pPr>
      <w:r>
        <w:rPr/>
        <w:t> </w:t>
      </w:r>
    </w:p>
    <w:tbl>
      <w:tblPr>
        <w:tblW w:w="6529" w:type="dxa"/>
        <w:jc w:val="left"/>
        <w:tblInd w:w="0" w:type="dxa"/>
        <w:tblCellMar>
          <w:top w:w="0" w:type="dxa"/>
          <w:left w:w="0" w:type="dxa"/>
          <w:bottom w:w="0" w:type="dxa"/>
          <w:right w:w="0" w:type="dxa"/>
        </w:tblCellMar>
      </w:tblPr>
      <w:tblGrid>
        <w:gridCol w:w="2525"/>
        <w:gridCol w:w="60"/>
        <w:gridCol w:w="60"/>
        <w:gridCol w:w="695"/>
        <w:gridCol w:w="80"/>
        <w:gridCol w:w="60"/>
        <w:gridCol w:w="572"/>
        <w:gridCol w:w="2222"/>
        <w:gridCol w:w="255"/>
      </w:tblGrid>
      <w:tr>
        <w:trPr/>
        <w:tc>
          <w:tcPr>
            <w:tcW w:w="252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3689"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sz w:val="20"/>
              </w:rPr>
              <w:t>Options</w:t>
            </w:r>
          </w:p>
        </w:tc>
        <w:tc>
          <w:tcPr>
            <w:tcW w:w="255" w:type="dxa"/>
            <w:tcBorders/>
            <w:shd w:fill="FFFFFF" w:val="clear"/>
            <w:vAlign w:val="center"/>
          </w:tcPr>
          <w:p>
            <w:pPr>
              <w:pStyle w:val="TableContents"/>
              <w:spacing w:before="0" w:after="283"/>
              <w:rPr/>
            </w:pPr>
            <w:r>
              <w:rPr/>
              <w:t> </w:t>
            </w:r>
          </w:p>
        </w:tc>
      </w:tr>
      <w:tr>
        <w:trPr/>
        <w:tc>
          <w:tcPr>
            <w:tcW w:w="252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5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sz w:val="20"/>
              </w:rPr>
              <w:t>Shares</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794" w:type="dxa"/>
            <w:gridSpan w:val="2"/>
            <w:tcBorders>
              <w:bottom w:val="single" w:sz="2" w:space="0" w:color="000000"/>
            </w:tcBorders>
            <w:shd w:fill="FFFFFF" w:val="clear"/>
            <w:tcMar>
              <w:bottom w:w="28" w:type="dxa"/>
            </w:tcMar>
            <w:vAlign w:val="center"/>
          </w:tcPr>
          <w:p>
            <w:pPr>
              <w:pStyle w:val="TableContents"/>
              <w:spacing w:before="0" w:after="283"/>
              <w:jc w:val="center"/>
              <w:rPr/>
            </w:pPr>
            <w:r>
              <w:rPr>
                <w:rStyle w:val="Emphasis"/>
                <w:rFonts w:ascii="Times New Roman;Times;serif" w:hAnsi="Times New Roman;Times;serif"/>
                <w:b/>
                <w:sz w:val="20"/>
              </w:rPr>
              <w:t>Weighted Average Exercise Price</w:t>
            </w:r>
          </w:p>
        </w:tc>
        <w:tc>
          <w:tcPr>
            <w:tcW w:w="255" w:type="dxa"/>
            <w:tcBorders/>
            <w:shd w:fill="FFFFFF" w:val="clear"/>
            <w:vAlign w:val="center"/>
          </w:tcPr>
          <w:p>
            <w:pPr>
              <w:pStyle w:val="TableContents"/>
              <w:spacing w:before="0" w:after="283"/>
              <w:rPr/>
            </w:pPr>
            <w:r>
              <w:rPr/>
              <w:t> </w:t>
            </w:r>
          </w:p>
        </w:tc>
      </w:tr>
      <w:tr>
        <w:trPr/>
        <w:tc>
          <w:tcPr>
            <w:tcW w:w="2525" w:type="dxa"/>
            <w:tcBorders/>
            <w:shd w:fill="CCEE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Outstanding, January 30, 2021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695"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805,701</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572" w:type="dxa"/>
            <w:tcBorders/>
            <w:shd w:fill="CCEE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2222"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9.96</w:t>
            </w:r>
          </w:p>
        </w:tc>
        <w:tc>
          <w:tcPr>
            <w:tcW w:w="255" w:type="dxa"/>
            <w:tcBorders/>
            <w:shd w:fill="CCEEFF" w:val="clear"/>
            <w:vAlign w:val="center"/>
          </w:tcPr>
          <w:p>
            <w:pPr>
              <w:pStyle w:val="TableContents"/>
              <w:spacing w:before="0" w:after="283"/>
              <w:ind w:left="0" w:right="0" w:firstLine="180"/>
              <w:rPr/>
            </w:pPr>
            <w:r>
              <w:rPr/>
              <w:t> </w:t>
            </w:r>
          </w:p>
        </w:tc>
      </w:tr>
      <w:tr>
        <w:trPr/>
        <w:tc>
          <w:tcPr>
            <w:tcW w:w="2525" w:type="dxa"/>
            <w:tcBorders/>
            <w:shd w:fill="FFFFFF" w:val="clear"/>
            <w:vAlign w:val="center"/>
          </w:tcPr>
          <w:p>
            <w:pPr>
              <w:pStyle w:val="TableContents"/>
              <w:spacing w:before="0" w:after="0"/>
              <w:ind w:left="0" w:right="0" w:firstLine="180"/>
              <w:rPr>
                <w:rFonts w:ascii="Times New Roman;Times;serif" w:hAnsi="Times New Roman;Times;serif"/>
                <w:sz w:val="20"/>
              </w:rPr>
            </w:pPr>
            <w:r>
              <w:rPr>
                <w:rFonts w:ascii="Times New Roman;Times;serif" w:hAnsi="Times New Roman;Times;serif"/>
                <w:sz w:val="20"/>
              </w:rPr>
              <w:t>Granted</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95"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572" w:type="dxa"/>
            <w:tcBorders/>
            <w:shd w:fill="FFFFFF" w:val="clear"/>
            <w:vAlign w:val="center"/>
          </w:tcPr>
          <w:p>
            <w:pPr>
              <w:pStyle w:val="TableContents"/>
              <w:spacing w:before="0" w:after="283"/>
              <w:rPr/>
            </w:pPr>
            <w:r>
              <w:rPr/>
              <w:t> </w:t>
            </w:r>
          </w:p>
        </w:tc>
        <w:tc>
          <w:tcPr>
            <w:tcW w:w="2222"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255" w:type="dxa"/>
            <w:tcBorders/>
            <w:shd w:fill="FFFFFF" w:val="clear"/>
            <w:vAlign w:val="center"/>
          </w:tcPr>
          <w:p>
            <w:pPr>
              <w:pStyle w:val="TableContents"/>
              <w:spacing w:before="0" w:after="283"/>
              <w:ind w:left="0" w:right="0" w:firstLine="180"/>
              <w:rPr/>
            </w:pPr>
            <w:r>
              <w:rPr/>
              <w:t> </w:t>
            </w:r>
          </w:p>
        </w:tc>
      </w:tr>
      <w:tr>
        <w:trPr/>
        <w:tc>
          <w:tcPr>
            <w:tcW w:w="2525" w:type="dxa"/>
            <w:tcBorders/>
            <w:shd w:fill="CCEEFF" w:val="clear"/>
            <w:vAlign w:val="center"/>
          </w:tcPr>
          <w:p>
            <w:pPr>
              <w:pStyle w:val="TableContents"/>
              <w:spacing w:before="0" w:after="0"/>
              <w:ind w:left="0" w:right="0" w:firstLine="180"/>
              <w:rPr>
                <w:rFonts w:ascii="Times New Roman;Times;serif" w:hAnsi="Times New Roman;Times;serif"/>
                <w:sz w:val="20"/>
              </w:rPr>
            </w:pPr>
            <w:r>
              <w:rPr>
                <w:rFonts w:ascii="Times New Roman;Times;serif" w:hAnsi="Times New Roman;Times;serif"/>
                <w:sz w:val="20"/>
              </w:rPr>
              <w:t>Exercised</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95"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(48,092</w:t>
            </w:r>
          </w:p>
        </w:tc>
        <w:tc>
          <w:tcPr>
            <w:tcW w:w="80"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spacing w:before="0" w:after="283"/>
              <w:rPr/>
            </w:pPr>
            <w:r>
              <w:rPr/>
              <w:t> </w:t>
            </w:r>
          </w:p>
        </w:tc>
        <w:tc>
          <w:tcPr>
            <w:tcW w:w="572" w:type="dxa"/>
            <w:tcBorders/>
            <w:shd w:fill="CCEEFF" w:val="clear"/>
            <w:vAlign w:val="center"/>
          </w:tcPr>
          <w:p>
            <w:pPr>
              <w:pStyle w:val="TableContents"/>
              <w:spacing w:before="0" w:after="283"/>
              <w:rPr/>
            </w:pPr>
            <w:r>
              <w:rPr/>
              <w:t> </w:t>
            </w:r>
          </w:p>
        </w:tc>
        <w:tc>
          <w:tcPr>
            <w:tcW w:w="2222"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6.21</w:t>
            </w:r>
          </w:p>
        </w:tc>
        <w:tc>
          <w:tcPr>
            <w:tcW w:w="255" w:type="dxa"/>
            <w:tcBorders/>
            <w:shd w:fill="CCEEFF" w:val="clear"/>
            <w:vAlign w:val="center"/>
          </w:tcPr>
          <w:p>
            <w:pPr>
              <w:pStyle w:val="TableContents"/>
              <w:spacing w:before="0" w:after="283"/>
              <w:ind w:left="0" w:right="0" w:firstLine="180"/>
              <w:rPr/>
            </w:pPr>
            <w:r>
              <w:rPr/>
              <w:t> </w:t>
            </w:r>
          </w:p>
        </w:tc>
      </w:tr>
      <w:tr>
        <w:trPr/>
        <w:tc>
          <w:tcPr>
            <w:tcW w:w="2525" w:type="dxa"/>
            <w:tcBorders/>
            <w:shd w:fill="FFFFFF" w:val="clear"/>
            <w:vAlign w:val="center"/>
          </w:tcPr>
          <w:p>
            <w:pPr>
              <w:pStyle w:val="TableContents"/>
              <w:spacing w:before="0" w:after="0"/>
              <w:ind w:left="0" w:right="0" w:firstLine="180"/>
              <w:rPr>
                <w:rFonts w:ascii="Times New Roman;Times;serif" w:hAnsi="Times New Roman;Times;serif"/>
                <w:sz w:val="20"/>
              </w:rPr>
            </w:pPr>
            <w:r>
              <w:rPr>
                <w:rFonts w:ascii="Times New Roman;Times;serif" w:hAnsi="Times New Roman;Times;serif"/>
                <w:sz w:val="20"/>
              </w:rPr>
              <w:t>Forfeited</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95"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572" w:type="dxa"/>
            <w:tcBorders/>
            <w:shd w:fill="FFFFFF" w:val="clear"/>
            <w:vAlign w:val="center"/>
          </w:tcPr>
          <w:p>
            <w:pPr>
              <w:pStyle w:val="TableContents"/>
              <w:spacing w:before="0" w:after="283"/>
              <w:rPr/>
            </w:pPr>
            <w:r>
              <w:rPr/>
              <w:t> </w:t>
            </w:r>
          </w:p>
        </w:tc>
        <w:tc>
          <w:tcPr>
            <w:tcW w:w="2222"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255" w:type="dxa"/>
            <w:tcBorders/>
            <w:shd w:fill="FFFFFF" w:val="clear"/>
            <w:vAlign w:val="center"/>
          </w:tcPr>
          <w:p>
            <w:pPr>
              <w:pStyle w:val="TableContents"/>
              <w:spacing w:before="0" w:after="283"/>
              <w:ind w:left="0" w:right="0" w:firstLine="180"/>
              <w:rPr/>
            </w:pPr>
            <w:r>
              <w:rPr/>
              <w:t> </w:t>
            </w:r>
          </w:p>
        </w:tc>
      </w:tr>
      <w:tr>
        <w:trPr/>
        <w:tc>
          <w:tcPr>
            <w:tcW w:w="2525" w:type="dxa"/>
            <w:tcBorders/>
            <w:shd w:fill="CCEEFF" w:val="clear"/>
            <w:vAlign w:val="center"/>
          </w:tcPr>
          <w:p>
            <w:pPr>
              <w:pStyle w:val="TableContents"/>
              <w:spacing w:before="0" w:after="0"/>
              <w:ind w:left="0" w:right="0" w:firstLine="180"/>
              <w:rPr>
                <w:rFonts w:ascii="Times New Roman;Times;serif" w:hAnsi="Times New Roman;Times;serif"/>
                <w:sz w:val="20"/>
              </w:rPr>
            </w:pPr>
            <w:r>
              <w:rPr>
                <w:rFonts w:ascii="Times New Roman;Times;serif" w:hAnsi="Times New Roman;Times;serif"/>
                <w:sz w:val="20"/>
              </w:rPr>
              <w:t>Canceled or expired</w:t>
            </w:r>
          </w:p>
        </w:tc>
        <w:tc>
          <w:tcPr>
            <w:tcW w:w="60" w:type="dxa"/>
            <w:tcBorders/>
            <w:shd w:fill="CCEEFF" w:val="clear"/>
            <w:vAlign w:val="center"/>
          </w:tcPr>
          <w:p>
            <w:pPr>
              <w:pStyle w:val="TableContents"/>
              <w:spacing w:before="0" w:after="283"/>
              <w:ind w:left="0" w:right="0" w:hanging="0"/>
              <w:rPr/>
            </w:pPr>
            <w:r>
              <w:rPr/>
              <w:t> </w:t>
            </w:r>
          </w:p>
        </w:tc>
        <w:tc>
          <w:tcPr>
            <w:tcW w:w="6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95" w:type="dxa"/>
            <w:tcBorders>
              <w:bottom w:val="single" w:sz="2"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(26,711</w:t>
            </w:r>
          </w:p>
        </w:tc>
        <w:tc>
          <w:tcPr>
            <w:tcW w:w="80"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spacing w:before="0" w:after="283"/>
              <w:ind w:left="0" w:right="0" w:hanging="0"/>
              <w:rPr/>
            </w:pPr>
            <w:r>
              <w:rPr/>
              <w:t> </w:t>
            </w:r>
          </w:p>
        </w:tc>
        <w:tc>
          <w:tcPr>
            <w:tcW w:w="572"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2222" w:type="dxa"/>
            <w:tcBorders>
              <w:bottom w:val="single" w:sz="2"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8.13</w:t>
            </w:r>
          </w:p>
        </w:tc>
        <w:tc>
          <w:tcPr>
            <w:tcW w:w="255" w:type="dxa"/>
            <w:tcBorders/>
            <w:shd w:fill="CCEEFF" w:val="clear"/>
            <w:vAlign w:val="center"/>
          </w:tcPr>
          <w:p>
            <w:pPr>
              <w:pStyle w:val="TableContents"/>
              <w:spacing w:before="0" w:after="283"/>
              <w:ind w:left="0" w:right="0" w:hanging="0"/>
              <w:rPr/>
            </w:pPr>
            <w:r>
              <w:rPr/>
              <w:t> </w:t>
            </w:r>
          </w:p>
        </w:tc>
      </w:tr>
      <w:tr>
        <w:trPr/>
        <w:tc>
          <w:tcPr>
            <w:tcW w:w="2525" w:type="dxa"/>
            <w:tcBorders/>
            <w:shd w:fill="FFFF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Outstanding, July 31, 2021</w:t>
            </w:r>
          </w:p>
        </w:tc>
        <w:tc>
          <w:tcPr>
            <w:tcW w:w="60" w:type="dxa"/>
            <w:tcBorders/>
            <w:shd w:fill="FFFFFF" w:val="clear"/>
            <w:vAlign w:val="center"/>
          </w:tcPr>
          <w:p>
            <w:pPr>
              <w:pStyle w:val="TableContents"/>
              <w:spacing w:before="0" w:after="0"/>
              <w:ind w:left="0" w:right="0" w:hanging="0"/>
              <w:rPr/>
            </w:pPr>
            <w:r>
              <w:rPr/>
              <w:t> </w:t>
            </w:r>
          </w:p>
        </w:tc>
        <w:tc>
          <w:tcPr>
            <w:tcW w:w="60" w:type="dxa"/>
            <w:tcBorders>
              <w:bottom w:val="double" w:sz="6" w:space="0" w:color="000000"/>
            </w:tcBorders>
            <w:shd w:fill="FFFFFF" w:val="clear"/>
            <w:tcMar>
              <w:bottom w:w="28" w:type="dxa"/>
            </w:tcMar>
            <w:vAlign w:val="center"/>
          </w:tcPr>
          <w:p>
            <w:pPr>
              <w:pStyle w:val="TableContents"/>
              <w:spacing w:before="0" w:after="0"/>
              <w:ind w:left="0" w:right="0" w:hanging="0"/>
              <w:rPr/>
            </w:pPr>
            <w:r>
              <w:rPr/>
              <w:t> </w:t>
            </w:r>
          </w:p>
        </w:tc>
        <w:tc>
          <w:tcPr>
            <w:tcW w:w="695" w:type="dxa"/>
            <w:tcBorders>
              <w:bottom w:val="double" w:sz="6" w:space="0" w:color="000000"/>
            </w:tcBorders>
            <w:shd w:fill="FFFF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730,898</w:t>
            </w:r>
          </w:p>
        </w:tc>
        <w:tc>
          <w:tcPr>
            <w:tcW w:w="80" w:type="dxa"/>
            <w:tcBorders/>
            <w:shd w:fill="FFFFFF" w:val="clear"/>
            <w:vAlign w:val="center"/>
          </w:tcPr>
          <w:p>
            <w:pPr>
              <w:pStyle w:val="TableContents"/>
              <w:spacing w:before="0" w:after="0"/>
              <w:ind w:left="0" w:right="0" w:hanging="0"/>
              <w:rPr/>
            </w:pPr>
            <w:r>
              <w:rPr/>
              <w:t> </w:t>
            </w:r>
          </w:p>
        </w:tc>
        <w:tc>
          <w:tcPr>
            <w:tcW w:w="60" w:type="dxa"/>
            <w:tcBorders/>
            <w:shd w:fill="FFFFFF" w:val="clear"/>
            <w:vAlign w:val="center"/>
          </w:tcPr>
          <w:p>
            <w:pPr>
              <w:pStyle w:val="TableContents"/>
              <w:spacing w:before="0" w:after="0"/>
              <w:ind w:left="0" w:right="0" w:hanging="0"/>
              <w:rPr/>
            </w:pPr>
            <w:r>
              <w:rPr/>
              <w:t> </w:t>
            </w:r>
          </w:p>
        </w:tc>
        <w:tc>
          <w:tcPr>
            <w:tcW w:w="572" w:type="dxa"/>
            <w:tcBorders>
              <w:bottom w:val="double" w:sz="6" w:space="0" w:color="000000"/>
            </w:tcBorders>
            <w:shd w:fill="FFFF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2222" w:type="dxa"/>
            <w:tcBorders>
              <w:bottom w:val="double" w:sz="6" w:space="0" w:color="000000"/>
            </w:tcBorders>
            <w:shd w:fill="FFFF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10.28</w:t>
            </w:r>
          </w:p>
        </w:tc>
        <w:tc>
          <w:tcPr>
            <w:tcW w:w="255" w:type="dxa"/>
            <w:tcBorders/>
            <w:shd w:fill="FFFFFF" w:val="clear"/>
            <w:vAlign w:val="center"/>
          </w:tcPr>
          <w:p>
            <w:pPr>
              <w:pStyle w:val="TableContents"/>
              <w:spacing w:before="0" w:after="0"/>
              <w:rPr/>
            </w:pPr>
            <w:r>
              <w:rPr/>
              <w:t> </w:t>
            </w:r>
          </w:p>
        </w:tc>
      </w:tr>
    </w:tbl>
    <w:p>
      <w:pPr>
        <w:pStyle w:val="TextBody"/>
        <w:spacing w:before="0" w:after="0"/>
        <w:ind w:left="144" w:right="144" w:hanging="0"/>
        <w:jc w:val="left"/>
        <w:rPr/>
      </w:pPr>
      <w:r>
        <w:rPr/>
        <w:t> </w:t>
      </w:r>
    </w:p>
    <w:p>
      <w:pPr>
        <w:pStyle w:val="TextBody"/>
        <w:spacing w:before="0" w:after="0"/>
        <w:jc w:val="center"/>
        <w:rPr/>
      </w:pPr>
      <w:r>
        <w:rPr>
          <w:rStyle w:val="Emphasis"/>
          <w:rFonts w:ascii="Times New Roman" w:hAnsi="Times New Roman"/>
          <w:sz w:val="20"/>
        </w:rPr>
        <w:t>11</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firstLine="720"/>
        <w:jc w:val="left"/>
        <w:rPr/>
      </w:pPr>
      <w:r>
        <w:rPr>
          <w:rFonts w:ascii="Times New Roman;Times;serif" w:hAnsi="Times New Roman;Times;serif"/>
          <w:sz w:val="20"/>
        </w:rPr>
        <w:t xml:space="preserve">The following table is a summary of the balances and activity related to time-based and performance-based restricted stock for the </w:t>
      </w:r>
      <w:r>
        <w:rPr>
          <w:rStyle w:val="Emphasis"/>
          <w:rFonts w:ascii="Times New Roman;Times;serif" w:hAnsi="Times New Roman;Times;serif"/>
          <w:sz w:val="20"/>
        </w:rPr>
        <w:t>twenty-six</w:t>
      </w:r>
      <w:r>
        <w:rPr>
          <w:rFonts w:ascii="Times New Roman;Times;serif" w:hAnsi="Times New Roman;Times;serif"/>
          <w:sz w:val="20"/>
        </w:rPr>
        <w:t xml:space="preserve"> weeks ended </w:t>
      </w:r>
      <w:r>
        <w:rPr>
          <w:rStyle w:val="Emphasis"/>
          <w:rFonts w:ascii="Times New Roman;Times;serif" w:hAnsi="Times New Roman;Times;serif"/>
          <w:sz w:val="20"/>
        </w:rPr>
        <w:t>July 31, 2021</w:t>
      </w:r>
      <w:r>
        <w:rPr>
          <w:rFonts w:ascii="Times New Roman;Times;serif" w:hAnsi="Times New Roman;Times;serif"/>
          <w:sz w:val="20"/>
        </w:rPr>
        <w:t>:</w:t>
      </w:r>
    </w:p>
    <w:p>
      <w:pPr>
        <w:pStyle w:val="TextBody"/>
        <w:spacing w:before="0" w:after="0"/>
        <w:ind w:left="144" w:right="144" w:hanging="0"/>
        <w:jc w:val="left"/>
        <w:rPr/>
      </w:pPr>
      <w:r>
        <w:rPr/>
        <w:t> </w:t>
      </w:r>
    </w:p>
    <w:tbl>
      <w:tblPr>
        <w:tblW w:w="10205" w:type="dxa"/>
        <w:jc w:val="left"/>
        <w:tblInd w:w="0" w:type="dxa"/>
        <w:tblCellMar>
          <w:top w:w="0" w:type="dxa"/>
          <w:left w:w="0" w:type="dxa"/>
          <w:bottom w:w="0" w:type="dxa"/>
          <w:right w:w="0" w:type="dxa"/>
        </w:tblCellMar>
      </w:tblPr>
      <w:tblGrid>
        <w:gridCol w:w="1955"/>
        <w:gridCol w:w="60"/>
        <w:gridCol w:w="83"/>
        <w:gridCol w:w="1055"/>
        <w:gridCol w:w="111"/>
        <w:gridCol w:w="83"/>
        <w:gridCol w:w="605"/>
        <w:gridCol w:w="1841"/>
        <w:gridCol w:w="60"/>
        <w:gridCol w:w="60"/>
        <w:gridCol w:w="106"/>
        <w:gridCol w:w="1246"/>
        <w:gridCol w:w="142"/>
        <w:gridCol w:w="106"/>
        <w:gridCol w:w="625"/>
        <w:gridCol w:w="1821"/>
        <w:gridCol w:w="246"/>
      </w:tblGrid>
      <w:tr>
        <w:trPr/>
        <w:tc>
          <w:tcPr>
            <w:tcW w:w="19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3778"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sz w:val="20"/>
              </w:rPr>
              <w:t>Time-Based Restricted Stock</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4046"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sz w:val="20"/>
              </w:rPr>
              <w:t>Performance-Based Restricted Stock</w:t>
            </w:r>
          </w:p>
        </w:tc>
        <w:tc>
          <w:tcPr>
            <w:tcW w:w="246" w:type="dxa"/>
            <w:tcBorders/>
            <w:shd w:fill="FFFFFF" w:val="clear"/>
            <w:vAlign w:val="center"/>
          </w:tcPr>
          <w:p>
            <w:pPr>
              <w:pStyle w:val="TableContents"/>
              <w:spacing w:before="0" w:after="283"/>
              <w:rPr/>
            </w:pPr>
            <w:r>
              <w:rPr/>
              <w:t> </w:t>
            </w:r>
          </w:p>
        </w:tc>
      </w:tr>
      <w:tr>
        <w:trPr/>
        <w:tc>
          <w:tcPr>
            <w:tcW w:w="195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38"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sz w:val="20"/>
              </w:rPr>
              <w:t>Shares</w:t>
            </w:r>
          </w:p>
        </w:tc>
        <w:tc>
          <w:tcPr>
            <w:tcW w:w="111" w:type="dxa"/>
            <w:tcBorders/>
            <w:shd w:fill="FFFFFF" w:val="clear"/>
            <w:vAlign w:val="center"/>
          </w:tcPr>
          <w:p>
            <w:pPr>
              <w:pStyle w:val="TableContents"/>
              <w:spacing w:before="0" w:after="283"/>
              <w:rPr/>
            </w:pPr>
            <w:r>
              <w:rPr/>
              <w:t> </w:t>
            </w:r>
          </w:p>
        </w:tc>
        <w:tc>
          <w:tcPr>
            <w:tcW w:w="83" w:type="dxa"/>
            <w:tcBorders/>
            <w:shd w:fill="FFFFFF" w:val="clear"/>
            <w:vAlign w:val="center"/>
          </w:tcPr>
          <w:p>
            <w:pPr>
              <w:pStyle w:val="TableContents"/>
              <w:spacing w:before="0" w:after="283"/>
              <w:ind w:left="0" w:right="0" w:hanging="0"/>
              <w:rPr/>
            </w:pPr>
            <w:r>
              <w:rPr/>
              <w:t> </w:t>
            </w:r>
          </w:p>
        </w:tc>
        <w:tc>
          <w:tcPr>
            <w:tcW w:w="2446" w:type="dxa"/>
            <w:gridSpan w:val="2"/>
            <w:tcBorders>
              <w:bottom w:val="single" w:sz="2" w:space="0" w:color="000000"/>
            </w:tcBorders>
            <w:shd w:fill="FFFFFF" w:val="clear"/>
            <w:tcMar>
              <w:bottom w:w="28" w:type="dxa"/>
            </w:tcMar>
            <w:vAlign w:val="center"/>
          </w:tcPr>
          <w:p>
            <w:pPr>
              <w:pStyle w:val="TableContents"/>
              <w:spacing w:before="0" w:after="283"/>
              <w:jc w:val="center"/>
              <w:rPr/>
            </w:pPr>
            <w:r>
              <w:rPr>
                <w:rStyle w:val="Emphasis"/>
                <w:rFonts w:ascii="Times New Roman;Times;serif" w:hAnsi="Times New Roman;Times;serif"/>
                <w:b/>
                <w:sz w:val="20"/>
              </w:rPr>
              <w:t>Weighted Average Grant Date Fair Value</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352"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sz w:val="20"/>
              </w:rPr>
              <w:t>Shares</w:t>
            </w:r>
          </w:p>
        </w:tc>
        <w:tc>
          <w:tcPr>
            <w:tcW w:w="142" w:type="dxa"/>
            <w:tcBorders/>
            <w:shd w:fill="FFFFFF" w:val="clear"/>
            <w:vAlign w:val="center"/>
          </w:tcPr>
          <w:p>
            <w:pPr>
              <w:pStyle w:val="TableContents"/>
              <w:spacing w:before="0" w:after="283"/>
              <w:rPr/>
            </w:pPr>
            <w:r>
              <w:rPr/>
              <w:t> </w:t>
            </w:r>
          </w:p>
        </w:tc>
        <w:tc>
          <w:tcPr>
            <w:tcW w:w="106" w:type="dxa"/>
            <w:tcBorders/>
            <w:shd w:fill="FFFFFF" w:val="clear"/>
            <w:vAlign w:val="center"/>
          </w:tcPr>
          <w:p>
            <w:pPr>
              <w:pStyle w:val="TableContents"/>
              <w:spacing w:before="0" w:after="283"/>
              <w:ind w:left="0" w:right="0" w:hanging="0"/>
              <w:rPr/>
            </w:pPr>
            <w:r>
              <w:rPr/>
              <w:t> </w:t>
            </w:r>
          </w:p>
        </w:tc>
        <w:tc>
          <w:tcPr>
            <w:tcW w:w="2446" w:type="dxa"/>
            <w:gridSpan w:val="2"/>
            <w:tcBorders>
              <w:bottom w:val="single" w:sz="2" w:space="0" w:color="000000"/>
            </w:tcBorders>
            <w:shd w:fill="FFFFFF" w:val="clear"/>
            <w:tcMar>
              <w:bottom w:w="28" w:type="dxa"/>
            </w:tcMar>
            <w:vAlign w:val="center"/>
          </w:tcPr>
          <w:p>
            <w:pPr>
              <w:pStyle w:val="TableContents"/>
              <w:spacing w:before="0" w:after="283"/>
              <w:jc w:val="center"/>
              <w:rPr/>
            </w:pPr>
            <w:r>
              <w:rPr>
                <w:rStyle w:val="Emphasis"/>
                <w:rFonts w:ascii="Times New Roman;Times;serif" w:hAnsi="Times New Roman;Times;serif"/>
                <w:b/>
                <w:sz w:val="20"/>
              </w:rPr>
              <w:t>Weighted Average Grant Date Fair Value</w:t>
            </w:r>
          </w:p>
        </w:tc>
        <w:tc>
          <w:tcPr>
            <w:tcW w:w="246" w:type="dxa"/>
            <w:tcBorders/>
            <w:shd w:fill="FFFFFF" w:val="clear"/>
            <w:vAlign w:val="center"/>
          </w:tcPr>
          <w:p>
            <w:pPr>
              <w:pStyle w:val="TableContents"/>
              <w:spacing w:before="0" w:after="283"/>
              <w:rPr/>
            </w:pPr>
            <w:r>
              <w:rPr/>
              <w:t> </w:t>
            </w:r>
          </w:p>
        </w:tc>
      </w:tr>
      <w:tr>
        <w:trPr/>
        <w:tc>
          <w:tcPr>
            <w:tcW w:w="1955" w:type="dxa"/>
            <w:tcBorders/>
            <w:shd w:fill="CCEE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Outstanding, January 30, 2021</w:t>
            </w:r>
          </w:p>
        </w:tc>
        <w:tc>
          <w:tcPr>
            <w:tcW w:w="60" w:type="dxa"/>
            <w:tcBorders/>
            <w:shd w:fill="CCEEFF" w:val="clear"/>
            <w:vAlign w:val="center"/>
          </w:tcPr>
          <w:p>
            <w:pPr>
              <w:pStyle w:val="TableContents"/>
              <w:spacing w:before="0" w:after="283"/>
              <w:rPr/>
            </w:pPr>
            <w:r>
              <w:rPr/>
              <w:t> </w:t>
            </w:r>
          </w:p>
        </w:tc>
        <w:tc>
          <w:tcPr>
            <w:tcW w:w="83" w:type="dxa"/>
            <w:tcBorders/>
            <w:shd w:fill="CCEEFF" w:val="clear"/>
            <w:vAlign w:val="center"/>
          </w:tcPr>
          <w:p>
            <w:pPr>
              <w:pStyle w:val="TableContents"/>
              <w:spacing w:before="0" w:after="283"/>
              <w:ind w:left="0" w:right="0" w:hanging="0"/>
              <w:rPr/>
            </w:pPr>
            <w:r>
              <w:rPr/>
              <w:t> </w:t>
            </w:r>
          </w:p>
        </w:tc>
        <w:tc>
          <w:tcPr>
            <w:tcW w:w="1055"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931,172</w:t>
            </w:r>
          </w:p>
        </w:tc>
        <w:tc>
          <w:tcPr>
            <w:tcW w:w="111" w:type="dxa"/>
            <w:tcBorders/>
            <w:shd w:fill="CCEEFF" w:val="clear"/>
            <w:vAlign w:val="center"/>
          </w:tcPr>
          <w:p>
            <w:pPr>
              <w:pStyle w:val="TableContents"/>
              <w:spacing w:before="0" w:after="283"/>
              <w:rPr/>
            </w:pPr>
            <w:r>
              <w:rPr/>
              <w:t> </w:t>
            </w:r>
          </w:p>
        </w:tc>
        <w:tc>
          <w:tcPr>
            <w:tcW w:w="83" w:type="dxa"/>
            <w:tcBorders/>
            <w:shd w:fill="CCEEFF" w:val="clear"/>
            <w:vAlign w:val="center"/>
          </w:tcPr>
          <w:p>
            <w:pPr>
              <w:pStyle w:val="TableContents"/>
              <w:spacing w:before="0" w:after="283"/>
              <w:ind w:left="0" w:right="0" w:hanging="0"/>
              <w:rPr/>
            </w:pPr>
            <w:r>
              <w:rPr/>
              <w:t> </w:t>
            </w:r>
          </w:p>
        </w:tc>
        <w:tc>
          <w:tcPr>
            <w:tcW w:w="605" w:type="dxa"/>
            <w:tcBorders/>
            <w:shd w:fill="CCEE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1841"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3.26</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6" w:type="dxa"/>
            <w:tcBorders/>
            <w:shd w:fill="CCEEFF" w:val="clear"/>
            <w:vAlign w:val="center"/>
          </w:tcPr>
          <w:p>
            <w:pPr>
              <w:pStyle w:val="TableContents"/>
              <w:spacing w:before="0" w:after="283"/>
              <w:ind w:left="0" w:right="0" w:hanging="0"/>
              <w:rPr/>
            </w:pPr>
            <w:r>
              <w:rPr/>
              <w:t> </w:t>
            </w:r>
          </w:p>
        </w:tc>
        <w:tc>
          <w:tcPr>
            <w:tcW w:w="1246"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336,441</w:t>
            </w:r>
          </w:p>
        </w:tc>
        <w:tc>
          <w:tcPr>
            <w:tcW w:w="142" w:type="dxa"/>
            <w:tcBorders/>
            <w:shd w:fill="CCEEFF" w:val="clear"/>
            <w:vAlign w:val="center"/>
          </w:tcPr>
          <w:p>
            <w:pPr>
              <w:pStyle w:val="TableContents"/>
              <w:spacing w:before="0" w:after="283"/>
              <w:rPr/>
            </w:pPr>
            <w:r>
              <w:rPr/>
              <w:t> </w:t>
            </w:r>
          </w:p>
        </w:tc>
        <w:tc>
          <w:tcPr>
            <w:tcW w:w="106" w:type="dxa"/>
            <w:tcBorders/>
            <w:shd w:fill="CCEEFF" w:val="clear"/>
            <w:vAlign w:val="center"/>
          </w:tcPr>
          <w:p>
            <w:pPr>
              <w:pStyle w:val="TableContents"/>
              <w:spacing w:before="0" w:after="283"/>
              <w:ind w:left="0" w:right="0" w:hanging="0"/>
              <w:rPr/>
            </w:pPr>
            <w:r>
              <w:rPr/>
              <w:t> </w:t>
            </w:r>
          </w:p>
        </w:tc>
        <w:tc>
          <w:tcPr>
            <w:tcW w:w="625" w:type="dxa"/>
            <w:tcBorders/>
            <w:shd w:fill="CCEE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1821"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5.03</w:t>
            </w:r>
          </w:p>
        </w:tc>
        <w:tc>
          <w:tcPr>
            <w:tcW w:w="246" w:type="dxa"/>
            <w:tcBorders/>
            <w:shd w:fill="CCEEFF" w:val="clear"/>
            <w:vAlign w:val="center"/>
          </w:tcPr>
          <w:p>
            <w:pPr>
              <w:pStyle w:val="TableContents"/>
              <w:spacing w:before="0" w:after="283"/>
              <w:ind w:left="0" w:right="0" w:firstLine="180"/>
              <w:rPr/>
            </w:pPr>
            <w:r>
              <w:rPr/>
              <w:t> </w:t>
            </w:r>
          </w:p>
        </w:tc>
      </w:tr>
      <w:tr>
        <w:trPr/>
        <w:tc>
          <w:tcPr>
            <w:tcW w:w="1955" w:type="dxa"/>
            <w:tcBorders/>
            <w:shd w:fill="FFFFFF" w:val="clear"/>
            <w:vAlign w:val="center"/>
          </w:tcPr>
          <w:p>
            <w:pPr>
              <w:pStyle w:val="TableContents"/>
              <w:spacing w:before="0" w:after="0"/>
              <w:ind w:left="0" w:right="0" w:firstLine="180"/>
              <w:rPr>
                <w:rFonts w:ascii="Times New Roman;Times;serif" w:hAnsi="Times New Roman;Times;serif"/>
                <w:sz w:val="20"/>
              </w:rPr>
            </w:pPr>
            <w:r>
              <w:rPr>
                <w:rFonts w:ascii="Times New Roman;Times;serif" w:hAnsi="Times New Roman;Times;serif"/>
                <w:sz w:val="20"/>
              </w:rPr>
              <w:t>Granted</w:t>
            </w:r>
          </w:p>
        </w:tc>
        <w:tc>
          <w:tcPr>
            <w:tcW w:w="60" w:type="dxa"/>
            <w:tcBorders/>
            <w:shd w:fill="FFFFFF" w:val="clear"/>
            <w:vAlign w:val="center"/>
          </w:tcPr>
          <w:p>
            <w:pPr>
              <w:pStyle w:val="TableContents"/>
              <w:spacing w:before="0" w:after="283"/>
              <w:rPr/>
            </w:pPr>
            <w:r>
              <w:rPr/>
              <w:t> </w:t>
            </w:r>
          </w:p>
        </w:tc>
        <w:tc>
          <w:tcPr>
            <w:tcW w:w="83" w:type="dxa"/>
            <w:tcBorders/>
            <w:shd w:fill="FFFFFF" w:val="clear"/>
            <w:vAlign w:val="center"/>
          </w:tcPr>
          <w:p>
            <w:pPr>
              <w:pStyle w:val="TableContents"/>
              <w:spacing w:before="0" w:after="283"/>
              <w:rPr/>
            </w:pPr>
            <w:r>
              <w:rPr/>
              <w:t> </w:t>
            </w:r>
          </w:p>
        </w:tc>
        <w:tc>
          <w:tcPr>
            <w:tcW w:w="1055"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143,755</w:t>
            </w:r>
          </w:p>
        </w:tc>
        <w:tc>
          <w:tcPr>
            <w:tcW w:w="111" w:type="dxa"/>
            <w:tcBorders/>
            <w:shd w:fill="FFFFFF" w:val="clear"/>
            <w:vAlign w:val="center"/>
          </w:tcPr>
          <w:p>
            <w:pPr>
              <w:pStyle w:val="TableContents"/>
              <w:spacing w:before="0" w:after="283"/>
              <w:rPr/>
            </w:pPr>
            <w:r>
              <w:rPr/>
              <w:t> </w:t>
            </w:r>
          </w:p>
        </w:tc>
        <w:tc>
          <w:tcPr>
            <w:tcW w:w="83" w:type="dxa"/>
            <w:tcBorders/>
            <w:shd w:fill="FFFFFF" w:val="clear"/>
            <w:vAlign w:val="center"/>
          </w:tcPr>
          <w:p>
            <w:pPr>
              <w:pStyle w:val="TableContents"/>
              <w:spacing w:before="0" w:after="283"/>
              <w:rPr/>
            </w:pPr>
            <w:r>
              <w:rPr/>
              <w:t> </w:t>
            </w:r>
          </w:p>
        </w:tc>
        <w:tc>
          <w:tcPr>
            <w:tcW w:w="605" w:type="dxa"/>
            <w:tcBorders/>
            <w:shd w:fill="FFFFFF" w:val="clear"/>
            <w:vAlign w:val="center"/>
          </w:tcPr>
          <w:p>
            <w:pPr>
              <w:pStyle w:val="TableContents"/>
              <w:spacing w:before="0" w:after="283"/>
              <w:rPr/>
            </w:pPr>
            <w:r>
              <w:rPr/>
              <w:t> </w:t>
            </w:r>
          </w:p>
        </w:tc>
        <w:tc>
          <w:tcPr>
            <w:tcW w:w="1841"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9.46</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06" w:type="dxa"/>
            <w:tcBorders/>
            <w:shd w:fill="FFFFFF" w:val="clear"/>
            <w:vAlign w:val="center"/>
          </w:tcPr>
          <w:p>
            <w:pPr>
              <w:pStyle w:val="TableContents"/>
              <w:spacing w:before="0" w:after="283"/>
              <w:rPr/>
            </w:pPr>
            <w:r>
              <w:rPr/>
              <w:t> </w:t>
            </w:r>
          </w:p>
        </w:tc>
        <w:tc>
          <w:tcPr>
            <w:tcW w:w="1246"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53,095</w:t>
            </w:r>
          </w:p>
        </w:tc>
        <w:tc>
          <w:tcPr>
            <w:tcW w:w="142" w:type="dxa"/>
            <w:tcBorders/>
            <w:shd w:fill="FFFFFF" w:val="clear"/>
            <w:vAlign w:val="center"/>
          </w:tcPr>
          <w:p>
            <w:pPr>
              <w:pStyle w:val="TableContents"/>
              <w:spacing w:before="0" w:after="283"/>
              <w:rPr/>
            </w:pPr>
            <w:r>
              <w:rPr/>
              <w:t> </w:t>
            </w:r>
          </w:p>
        </w:tc>
        <w:tc>
          <w:tcPr>
            <w:tcW w:w="106" w:type="dxa"/>
            <w:tcBorders/>
            <w:shd w:fill="FFFFFF" w:val="clear"/>
            <w:vAlign w:val="center"/>
          </w:tcPr>
          <w:p>
            <w:pPr>
              <w:pStyle w:val="TableContents"/>
              <w:spacing w:before="0" w:after="283"/>
              <w:rPr/>
            </w:pPr>
            <w:r>
              <w:rPr/>
              <w:t> </w:t>
            </w:r>
          </w:p>
        </w:tc>
        <w:tc>
          <w:tcPr>
            <w:tcW w:w="625" w:type="dxa"/>
            <w:tcBorders/>
            <w:shd w:fill="FFFFFF" w:val="clear"/>
            <w:vAlign w:val="center"/>
          </w:tcPr>
          <w:p>
            <w:pPr>
              <w:pStyle w:val="TableContents"/>
              <w:spacing w:before="0" w:after="283"/>
              <w:rPr/>
            </w:pPr>
            <w:r>
              <w:rPr/>
              <w:t> </w:t>
            </w:r>
          </w:p>
        </w:tc>
        <w:tc>
          <w:tcPr>
            <w:tcW w:w="1821"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8.24</w:t>
            </w:r>
          </w:p>
        </w:tc>
        <w:tc>
          <w:tcPr>
            <w:tcW w:w="246" w:type="dxa"/>
            <w:tcBorders/>
            <w:shd w:fill="FFFFFF" w:val="clear"/>
            <w:vAlign w:val="center"/>
          </w:tcPr>
          <w:p>
            <w:pPr>
              <w:pStyle w:val="TableContents"/>
              <w:spacing w:before="0" w:after="283"/>
              <w:ind w:left="0" w:right="0" w:firstLine="180"/>
              <w:rPr/>
            </w:pPr>
            <w:r>
              <w:rPr/>
              <w:t> </w:t>
            </w:r>
          </w:p>
        </w:tc>
      </w:tr>
      <w:tr>
        <w:trPr/>
        <w:tc>
          <w:tcPr>
            <w:tcW w:w="1955" w:type="dxa"/>
            <w:tcBorders/>
            <w:shd w:fill="CCEEFF" w:val="clear"/>
            <w:vAlign w:val="center"/>
          </w:tcPr>
          <w:p>
            <w:pPr>
              <w:pStyle w:val="TableContents"/>
              <w:spacing w:before="0" w:after="0"/>
              <w:ind w:left="0" w:right="0" w:firstLine="180"/>
              <w:rPr>
                <w:rFonts w:ascii="Times New Roman;Times;serif" w:hAnsi="Times New Roman;Times;serif"/>
                <w:sz w:val="20"/>
              </w:rPr>
            </w:pPr>
            <w:r>
              <w:rPr>
                <w:rFonts w:ascii="Times New Roman;Times;serif" w:hAnsi="Times New Roman;Times;serif"/>
                <w:sz w:val="20"/>
              </w:rPr>
              <w:t>Vested</w:t>
            </w:r>
          </w:p>
        </w:tc>
        <w:tc>
          <w:tcPr>
            <w:tcW w:w="60" w:type="dxa"/>
            <w:tcBorders/>
            <w:shd w:fill="CCEEFF" w:val="clear"/>
            <w:vAlign w:val="center"/>
          </w:tcPr>
          <w:p>
            <w:pPr>
              <w:pStyle w:val="TableContents"/>
              <w:spacing w:before="0" w:after="283"/>
              <w:rPr/>
            </w:pPr>
            <w:r>
              <w:rPr/>
              <w:t> </w:t>
            </w:r>
          </w:p>
        </w:tc>
        <w:tc>
          <w:tcPr>
            <w:tcW w:w="83"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(483,539</w:t>
            </w:r>
          </w:p>
        </w:tc>
        <w:tc>
          <w:tcPr>
            <w:tcW w:w="111"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83" w:type="dxa"/>
            <w:tcBorders/>
            <w:shd w:fill="CCEEFF" w:val="clear"/>
            <w:vAlign w:val="center"/>
          </w:tcPr>
          <w:p>
            <w:pPr>
              <w:pStyle w:val="TableContents"/>
              <w:spacing w:before="0" w:after="283"/>
              <w:rPr/>
            </w:pPr>
            <w:r>
              <w:rPr/>
              <w:t> </w:t>
            </w:r>
          </w:p>
        </w:tc>
        <w:tc>
          <w:tcPr>
            <w:tcW w:w="605" w:type="dxa"/>
            <w:tcBorders/>
            <w:shd w:fill="CCEEFF" w:val="clear"/>
            <w:vAlign w:val="center"/>
          </w:tcPr>
          <w:p>
            <w:pPr>
              <w:pStyle w:val="TableContents"/>
              <w:spacing w:before="0" w:after="283"/>
              <w:rPr/>
            </w:pPr>
            <w:r>
              <w:rPr/>
              <w:t> </w:t>
            </w:r>
          </w:p>
        </w:tc>
        <w:tc>
          <w:tcPr>
            <w:tcW w:w="1841"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3.23</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6" w:type="dxa"/>
            <w:tcBorders/>
            <w:shd w:fill="CCEEFF" w:val="clear"/>
            <w:vAlign w:val="center"/>
          </w:tcPr>
          <w:p>
            <w:pPr>
              <w:pStyle w:val="TableContents"/>
              <w:spacing w:before="0" w:after="283"/>
              <w:rPr/>
            </w:pPr>
            <w:r>
              <w:rPr/>
              <w:t> </w:t>
            </w:r>
          </w:p>
        </w:tc>
        <w:tc>
          <w:tcPr>
            <w:tcW w:w="1246"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(32,521</w:t>
            </w:r>
          </w:p>
        </w:tc>
        <w:tc>
          <w:tcPr>
            <w:tcW w:w="142"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106" w:type="dxa"/>
            <w:tcBorders/>
            <w:shd w:fill="CCEEFF" w:val="clear"/>
            <w:vAlign w:val="center"/>
          </w:tcPr>
          <w:p>
            <w:pPr>
              <w:pStyle w:val="TableContents"/>
              <w:spacing w:before="0" w:after="283"/>
              <w:rPr/>
            </w:pPr>
            <w:r>
              <w:rPr/>
              <w:t> </w:t>
            </w:r>
          </w:p>
        </w:tc>
        <w:tc>
          <w:tcPr>
            <w:tcW w:w="625" w:type="dxa"/>
            <w:tcBorders/>
            <w:shd w:fill="CCEEFF" w:val="clear"/>
            <w:vAlign w:val="center"/>
          </w:tcPr>
          <w:p>
            <w:pPr>
              <w:pStyle w:val="TableContents"/>
              <w:spacing w:before="0" w:after="283"/>
              <w:rPr/>
            </w:pPr>
            <w:r>
              <w:rPr/>
              <w:t> </w:t>
            </w:r>
          </w:p>
        </w:tc>
        <w:tc>
          <w:tcPr>
            <w:tcW w:w="1821"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8.60</w:t>
            </w:r>
          </w:p>
        </w:tc>
        <w:tc>
          <w:tcPr>
            <w:tcW w:w="246" w:type="dxa"/>
            <w:tcBorders/>
            <w:shd w:fill="CCEEFF" w:val="clear"/>
            <w:vAlign w:val="center"/>
          </w:tcPr>
          <w:p>
            <w:pPr>
              <w:pStyle w:val="TableContents"/>
              <w:spacing w:before="0" w:after="283"/>
              <w:ind w:left="0" w:right="0" w:firstLine="180"/>
              <w:rPr/>
            </w:pPr>
            <w:r>
              <w:rPr/>
              <w:t> </w:t>
            </w:r>
          </w:p>
        </w:tc>
      </w:tr>
      <w:tr>
        <w:trPr/>
        <w:tc>
          <w:tcPr>
            <w:tcW w:w="1955" w:type="dxa"/>
            <w:tcBorders/>
            <w:shd w:fill="FFFFFF" w:val="clear"/>
            <w:vAlign w:val="center"/>
          </w:tcPr>
          <w:p>
            <w:pPr>
              <w:pStyle w:val="TableContents"/>
              <w:spacing w:before="0" w:after="0"/>
              <w:ind w:left="0" w:right="0" w:firstLine="180"/>
              <w:rPr>
                <w:rFonts w:ascii="Times New Roman;Times;serif" w:hAnsi="Times New Roman;Times;serif"/>
                <w:sz w:val="20"/>
              </w:rPr>
            </w:pPr>
            <w:r>
              <w:rPr>
                <w:rFonts w:ascii="Times New Roman;Times;serif" w:hAnsi="Times New Roman;Times;serif"/>
                <w:sz w:val="20"/>
              </w:rPr>
              <w:t>Forfeited</w:t>
            </w:r>
          </w:p>
        </w:tc>
        <w:tc>
          <w:tcPr>
            <w:tcW w:w="60" w:type="dxa"/>
            <w:tcBorders/>
            <w:shd w:fill="FFFFFF" w:val="clear"/>
            <w:vAlign w:val="center"/>
          </w:tcPr>
          <w:p>
            <w:pPr>
              <w:pStyle w:val="TableContents"/>
              <w:spacing w:before="0" w:after="283"/>
              <w:rPr/>
            </w:pPr>
            <w:r>
              <w:rPr/>
              <w:t> </w:t>
            </w:r>
          </w:p>
        </w:tc>
        <w:tc>
          <w:tcPr>
            <w:tcW w:w="83" w:type="dxa"/>
            <w:tcBorders/>
            <w:shd w:fill="FFFFFF" w:val="clear"/>
            <w:vAlign w:val="center"/>
          </w:tcPr>
          <w:p>
            <w:pPr>
              <w:pStyle w:val="TableContents"/>
              <w:spacing w:before="0" w:after="283"/>
              <w:rPr/>
            </w:pPr>
            <w:r>
              <w:rPr/>
              <w:t> </w:t>
            </w:r>
          </w:p>
        </w:tc>
        <w:tc>
          <w:tcPr>
            <w:tcW w:w="1055"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(9,850</w:t>
            </w:r>
          </w:p>
        </w:tc>
        <w:tc>
          <w:tcPr>
            <w:tcW w:w="111"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83" w:type="dxa"/>
            <w:tcBorders/>
            <w:shd w:fill="FFFFFF" w:val="clear"/>
            <w:vAlign w:val="center"/>
          </w:tcPr>
          <w:p>
            <w:pPr>
              <w:pStyle w:val="TableContents"/>
              <w:spacing w:before="0" w:after="283"/>
              <w:rPr/>
            </w:pPr>
            <w:r>
              <w:rPr/>
              <w:t> </w:t>
            </w:r>
          </w:p>
        </w:tc>
        <w:tc>
          <w:tcPr>
            <w:tcW w:w="605" w:type="dxa"/>
            <w:tcBorders/>
            <w:shd w:fill="FFFFFF" w:val="clear"/>
            <w:vAlign w:val="center"/>
          </w:tcPr>
          <w:p>
            <w:pPr>
              <w:pStyle w:val="TableContents"/>
              <w:spacing w:before="0" w:after="283"/>
              <w:rPr/>
            </w:pPr>
            <w:r>
              <w:rPr/>
              <w:t> </w:t>
            </w:r>
          </w:p>
        </w:tc>
        <w:tc>
          <w:tcPr>
            <w:tcW w:w="1841"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6.35</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06" w:type="dxa"/>
            <w:tcBorders/>
            <w:shd w:fill="FFFFFF" w:val="clear"/>
            <w:vAlign w:val="center"/>
          </w:tcPr>
          <w:p>
            <w:pPr>
              <w:pStyle w:val="TableContents"/>
              <w:spacing w:before="0" w:after="283"/>
              <w:rPr/>
            </w:pPr>
            <w:r>
              <w:rPr/>
              <w:t> </w:t>
            </w:r>
          </w:p>
        </w:tc>
        <w:tc>
          <w:tcPr>
            <w:tcW w:w="1246" w:type="dxa"/>
            <w:tcBorders/>
            <w:shd w:fill="FFFFFF" w:val="clear"/>
            <w:vAlign w:val="center"/>
          </w:tcPr>
          <w:p>
            <w:pPr>
              <w:pStyle w:val="TableContents"/>
              <w:spacing w:before="0" w:after="283"/>
              <w:rPr>
                <w:sz w:val="4"/>
                <w:szCs w:val="4"/>
              </w:rPr>
            </w:pPr>
            <w:r>
              <w:rPr>
                <w:sz w:val="4"/>
                <w:szCs w:val="4"/>
              </w:rPr>
            </w:r>
          </w:p>
        </w:tc>
        <w:tc>
          <w:tcPr>
            <w:tcW w:w="142" w:type="dxa"/>
            <w:tcBorders/>
            <w:shd w:fill="FFFFFF" w:val="clear"/>
            <w:vAlign w:val="center"/>
          </w:tcPr>
          <w:p>
            <w:pPr>
              <w:pStyle w:val="TableContents"/>
              <w:spacing w:before="0" w:after="283"/>
              <w:rPr/>
            </w:pPr>
            <w:r>
              <w:rPr/>
              <w:t> </w:t>
            </w:r>
          </w:p>
        </w:tc>
        <w:tc>
          <w:tcPr>
            <w:tcW w:w="106" w:type="dxa"/>
            <w:tcBorders/>
            <w:shd w:fill="FFFFFF" w:val="clear"/>
            <w:vAlign w:val="center"/>
          </w:tcPr>
          <w:p>
            <w:pPr>
              <w:pStyle w:val="TableContents"/>
              <w:spacing w:before="0" w:after="283"/>
              <w:rPr/>
            </w:pPr>
            <w:r>
              <w:rPr/>
              <w:t> </w:t>
            </w:r>
          </w:p>
        </w:tc>
        <w:tc>
          <w:tcPr>
            <w:tcW w:w="625" w:type="dxa"/>
            <w:tcBorders/>
            <w:shd w:fill="FFFFFF" w:val="clear"/>
            <w:vAlign w:val="center"/>
          </w:tcPr>
          <w:p>
            <w:pPr>
              <w:pStyle w:val="TableContents"/>
              <w:spacing w:before="0" w:after="283"/>
              <w:rPr/>
            </w:pPr>
            <w:r>
              <w:rPr/>
              <w:t> </w:t>
            </w:r>
          </w:p>
        </w:tc>
        <w:tc>
          <w:tcPr>
            <w:tcW w:w="1821" w:type="dxa"/>
            <w:tcBorders/>
            <w:shd w:fill="FFFFFF" w:val="clear"/>
            <w:vAlign w:val="center"/>
          </w:tcPr>
          <w:p>
            <w:pPr>
              <w:pStyle w:val="TableContents"/>
              <w:spacing w:before="0" w:after="283"/>
              <w:rPr>
                <w:sz w:val="4"/>
                <w:szCs w:val="4"/>
              </w:rPr>
            </w:pPr>
            <w:r>
              <w:rPr>
                <w:sz w:val="4"/>
                <w:szCs w:val="4"/>
              </w:rPr>
            </w:r>
          </w:p>
        </w:tc>
        <w:tc>
          <w:tcPr>
            <w:tcW w:w="246" w:type="dxa"/>
            <w:tcBorders/>
            <w:shd w:fill="FFFFFF" w:val="clear"/>
            <w:vAlign w:val="center"/>
          </w:tcPr>
          <w:p>
            <w:pPr>
              <w:pStyle w:val="TableContents"/>
              <w:spacing w:before="0" w:after="283"/>
              <w:ind w:left="0" w:right="0" w:firstLine="180"/>
              <w:rPr/>
            </w:pPr>
            <w:r>
              <w:rPr/>
              <w:t> </w:t>
            </w:r>
          </w:p>
        </w:tc>
      </w:tr>
      <w:tr>
        <w:trPr/>
        <w:tc>
          <w:tcPr>
            <w:tcW w:w="1955" w:type="dxa"/>
            <w:tcBorders/>
            <w:shd w:fill="CCEEFF" w:val="clear"/>
            <w:vAlign w:val="center"/>
          </w:tcPr>
          <w:p>
            <w:pPr>
              <w:pStyle w:val="TableContents"/>
              <w:spacing w:before="0" w:after="0"/>
              <w:ind w:left="0" w:right="0" w:firstLine="180"/>
              <w:rPr>
                <w:rFonts w:ascii="Times New Roman;Times;serif" w:hAnsi="Times New Roman;Times;serif"/>
                <w:sz w:val="20"/>
              </w:rPr>
            </w:pPr>
            <w:r>
              <w:rPr>
                <w:rFonts w:ascii="Times New Roman;Times;serif" w:hAnsi="Times New Roman;Times;serif"/>
                <w:sz w:val="20"/>
              </w:rPr>
              <w:t>Canceled or expired</w:t>
            </w:r>
          </w:p>
        </w:tc>
        <w:tc>
          <w:tcPr>
            <w:tcW w:w="60" w:type="dxa"/>
            <w:tcBorders/>
            <w:shd w:fill="CCEEFF" w:val="clear"/>
            <w:vAlign w:val="center"/>
          </w:tcPr>
          <w:p>
            <w:pPr>
              <w:pStyle w:val="TableContents"/>
              <w:spacing w:before="0" w:after="283"/>
              <w:ind w:left="0" w:right="0" w:hanging="0"/>
              <w:rPr/>
            </w:pPr>
            <w:r>
              <w:rPr/>
              <w:t> </w:t>
            </w:r>
          </w:p>
        </w:tc>
        <w:tc>
          <w:tcPr>
            <w:tcW w:w="83"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55" w:type="dxa"/>
            <w:tcBorders>
              <w:bottom w:val="single" w:sz="2"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w:t>
            </w:r>
          </w:p>
        </w:tc>
        <w:tc>
          <w:tcPr>
            <w:tcW w:w="111" w:type="dxa"/>
            <w:tcBorders/>
            <w:shd w:fill="CCEEFF" w:val="clear"/>
            <w:vAlign w:val="center"/>
          </w:tcPr>
          <w:p>
            <w:pPr>
              <w:pStyle w:val="TableContents"/>
              <w:spacing w:before="0" w:after="283"/>
              <w:rPr/>
            </w:pPr>
            <w:r>
              <w:rPr/>
              <w:t> </w:t>
            </w:r>
          </w:p>
        </w:tc>
        <w:tc>
          <w:tcPr>
            <w:tcW w:w="83" w:type="dxa"/>
            <w:tcBorders/>
            <w:shd w:fill="CCEEFF" w:val="clear"/>
            <w:vAlign w:val="center"/>
          </w:tcPr>
          <w:p>
            <w:pPr>
              <w:pStyle w:val="TableContents"/>
              <w:spacing w:before="0" w:after="283"/>
              <w:ind w:left="0" w:right="0" w:hanging="0"/>
              <w:rPr/>
            </w:pPr>
            <w:r>
              <w:rPr/>
              <w:t> </w:t>
            </w:r>
          </w:p>
        </w:tc>
        <w:tc>
          <w:tcPr>
            <w:tcW w:w="605"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841" w:type="dxa"/>
            <w:tcBorders>
              <w:bottom w:val="single" w:sz="2"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0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46" w:type="dxa"/>
            <w:tcBorders>
              <w:bottom w:val="single" w:sz="2"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(50,735</w:t>
            </w:r>
          </w:p>
        </w:tc>
        <w:tc>
          <w:tcPr>
            <w:tcW w:w="142"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106" w:type="dxa"/>
            <w:tcBorders/>
            <w:shd w:fill="CCEEFF" w:val="clear"/>
            <w:vAlign w:val="center"/>
          </w:tcPr>
          <w:p>
            <w:pPr>
              <w:pStyle w:val="TableContents"/>
              <w:spacing w:before="0" w:after="283"/>
              <w:ind w:left="0" w:right="0" w:hanging="0"/>
              <w:rPr/>
            </w:pPr>
            <w:r>
              <w:rPr/>
              <w:t> </w:t>
            </w:r>
          </w:p>
        </w:tc>
        <w:tc>
          <w:tcPr>
            <w:tcW w:w="625"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821" w:type="dxa"/>
            <w:tcBorders>
              <w:bottom w:val="single" w:sz="2"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8.60</w:t>
            </w:r>
          </w:p>
        </w:tc>
        <w:tc>
          <w:tcPr>
            <w:tcW w:w="246" w:type="dxa"/>
            <w:tcBorders/>
            <w:shd w:fill="CCEEFF" w:val="clear"/>
            <w:vAlign w:val="center"/>
          </w:tcPr>
          <w:p>
            <w:pPr>
              <w:pStyle w:val="TableContents"/>
              <w:spacing w:before="0" w:after="283"/>
              <w:ind w:left="0" w:right="0" w:hanging="0"/>
              <w:rPr/>
            </w:pPr>
            <w:r>
              <w:rPr/>
              <w:t> </w:t>
            </w:r>
          </w:p>
        </w:tc>
      </w:tr>
      <w:tr>
        <w:trPr/>
        <w:tc>
          <w:tcPr>
            <w:tcW w:w="1955" w:type="dxa"/>
            <w:tcBorders/>
            <w:shd w:fill="FFFF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Outstanding, July 31, 2021</w:t>
            </w:r>
          </w:p>
        </w:tc>
        <w:tc>
          <w:tcPr>
            <w:tcW w:w="60" w:type="dxa"/>
            <w:tcBorders/>
            <w:shd w:fill="FFFFFF" w:val="clear"/>
            <w:vAlign w:val="center"/>
          </w:tcPr>
          <w:p>
            <w:pPr>
              <w:pStyle w:val="TableContents"/>
              <w:spacing w:before="0" w:after="0"/>
              <w:rPr/>
            </w:pPr>
            <w:r>
              <w:rPr/>
              <w:t> </w:t>
            </w:r>
          </w:p>
        </w:tc>
        <w:tc>
          <w:tcPr>
            <w:tcW w:w="83" w:type="dxa"/>
            <w:tcBorders>
              <w:bottom w:val="double" w:sz="6" w:space="0" w:color="000000"/>
            </w:tcBorders>
            <w:shd w:fill="FFFFFF" w:val="clear"/>
            <w:tcMar>
              <w:bottom w:w="28" w:type="dxa"/>
            </w:tcMar>
            <w:vAlign w:val="center"/>
          </w:tcPr>
          <w:p>
            <w:pPr>
              <w:pStyle w:val="TableContents"/>
              <w:spacing w:before="0" w:after="283"/>
              <w:ind w:left="0" w:right="0" w:hanging="0"/>
              <w:rPr/>
            </w:pPr>
            <w:r>
              <w:rPr/>
              <w:t> </w:t>
            </w:r>
          </w:p>
        </w:tc>
        <w:tc>
          <w:tcPr>
            <w:tcW w:w="105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581,538</w:t>
            </w:r>
          </w:p>
        </w:tc>
        <w:tc>
          <w:tcPr>
            <w:tcW w:w="111" w:type="dxa"/>
            <w:tcBorders/>
            <w:shd w:fill="FFFFFF" w:val="clear"/>
            <w:vAlign w:val="center"/>
          </w:tcPr>
          <w:p>
            <w:pPr>
              <w:pStyle w:val="TableContents"/>
              <w:spacing w:before="0" w:after="0"/>
              <w:ind w:left="0" w:right="0" w:hanging="0"/>
              <w:rPr/>
            </w:pPr>
            <w:r>
              <w:rPr/>
              <w:t> </w:t>
            </w:r>
          </w:p>
        </w:tc>
        <w:tc>
          <w:tcPr>
            <w:tcW w:w="83" w:type="dxa"/>
            <w:tcBorders/>
            <w:shd w:fill="FFFFFF" w:val="clear"/>
            <w:vAlign w:val="center"/>
          </w:tcPr>
          <w:p>
            <w:pPr>
              <w:pStyle w:val="TableContents"/>
              <w:spacing w:before="0" w:after="0"/>
              <w:ind w:left="0" w:right="0" w:hanging="0"/>
              <w:rPr/>
            </w:pPr>
            <w:r>
              <w:rPr/>
              <w:t> </w:t>
            </w:r>
          </w:p>
        </w:tc>
        <w:tc>
          <w:tcPr>
            <w:tcW w:w="605" w:type="dxa"/>
            <w:tcBorders>
              <w:bottom w:val="double" w:sz="6" w:space="0" w:color="000000"/>
            </w:tcBorders>
            <w:shd w:fill="FFFF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841" w:type="dxa"/>
            <w:tcBorders>
              <w:bottom w:val="double" w:sz="6" w:space="0" w:color="000000"/>
            </w:tcBorders>
            <w:shd w:fill="FFFF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4.77</w:t>
            </w:r>
          </w:p>
        </w:tc>
        <w:tc>
          <w:tcPr>
            <w:tcW w:w="60" w:type="dxa"/>
            <w:tcBorders/>
            <w:shd w:fill="FFFFFF" w:val="clear"/>
            <w:vAlign w:val="center"/>
          </w:tcPr>
          <w:p>
            <w:pPr>
              <w:pStyle w:val="TableContents"/>
              <w:spacing w:before="0" w:after="0"/>
              <w:ind w:left="0" w:right="0" w:hanging="0"/>
              <w:rPr/>
            </w:pPr>
            <w:r>
              <w:rPr/>
              <w:t> </w:t>
            </w:r>
          </w:p>
        </w:tc>
        <w:tc>
          <w:tcPr>
            <w:tcW w:w="60" w:type="dxa"/>
            <w:tcBorders/>
            <w:shd w:fill="FFFFFF" w:val="clear"/>
            <w:vAlign w:val="center"/>
          </w:tcPr>
          <w:p>
            <w:pPr>
              <w:pStyle w:val="TableContents"/>
              <w:spacing w:before="0" w:after="0"/>
              <w:ind w:left="0" w:right="0" w:hanging="0"/>
              <w:rPr/>
            </w:pPr>
            <w:r>
              <w:rPr/>
              <w:t> </w:t>
            </w:r>
          </w:p>
        </w:tc>
        <w:tc>
          <w:tcPr>
            <w:tcW w:w="106" w:type="dxa"/>
            <w:tcBorders>
              <w:bottom w:val="double" w:sz="6" w:space="0" w:color="000000"/>
            </w:tcBorders>
            <w:shd w:fill="FFFFFF" w:val="clear"/>
            <w:tcMar>
              <w:bottom w:w="28" w:type="dxa"/>
            </w:tcMar>
            <w:vAlign w:val="center"/>
          </w:tcPr>
          <w:p>
            <w:pPr>
              <w:pStyle w:val="TableContents"/>
              <w:spacing w:before="0" w:after="0"/>
              <w:ind w:left="0" w:right="0" w:hanging="0"/>
              <w:rPr/>
            </w:pPr>
            <w:r>
              <w:rPr/>
              <w:t> </w:t>
            </w:r>
          </w:p>
        </w:tc>
        <w:tc>
          <w:tcPr>
            <w:tcW w:w="1246" w:type="dxa"/>
            <w:tcBorders>
              <w:bottom w:val="double" w:sz="6" w:space="0" w:color="000000"/>
            </w:tcBorders>
            <w:shd w:fill="FFFF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306,280</w:t>
            </w:r>
          </w:p>
        </w:tc>
        <w:tc>
          <w:tcPr>
            <w:tcW w:w="142" w:type="dxa"/>
            <w:tcBorders/>
            <w:shd w:fill="FFFFFF" w:val="clear"/>
            <w:vAlign w:val="center"/>
          </w:tcPr>
          <w:p>
            <w:pPr>
              <w:pStyle w:val="TableContents"/>
              <w:spacing w:before="0" w:after="0"/>
              <w:ind w:left="0" w:right="0" w:hanging="0"/>
              <w:rPr/>
            </w:pPr>
            <w:r>
              <w:rPr/>
              <w:t> </w:t>
            </w:r>
          </w:p>
        </w:tc>
        <w:tc>
          <w:tcPr>
            <w:tcW w:w="106" w:type="dxa"/>
            <w:tcBorders/>
            <w:shd w:fill="FFFFFF" w:val="clear"/>
            <w:vAlign w:val="center"/>
          </w:tcPr>
          <w:p>
            <w:pPr>
              <w:pStyle w:val="TableContents"/>
              <w:spacing w:before="0" w:after="0"/>
              <w:ind w:left="0" w:right="0" w:hanging="0"/>
              <w:rPr/>
            </w:pPr>
            <w:r>
              <w:rPr/>
              <w:t> </w:t>
            </w:r>
          </w:p>
        </w:tc>
        <w:tc>
          <w:tcPr>
            <w:tcW w:w="625" w:type="dxa"/>
            <w:tcBorders>
              <w:bottom w:val="double" w:sz="6" w:space="0" w:color="000000"/>
            </w:tcBorders>
            <w:shd w:fill="FFFF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821" w:type="dxa"/>
            <w:tcBorders>
              <w:bottom w:val="double" w:sz="6" w:space="0" w:color="000000"/>
            </w:tcBorders>
            <w:shd w:fill="FFFF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3.56</w:t>
            </w:r>
          </w:p>
        </w:tc>
        <w:tc>
          <w:tcPr>
            <w:tcW w:w="246" w:type="dxa"/>
            <w:tcBorders/>
            <w:shd w:fill="FFFFFF" w:val="clear"/>
            <w:vAlign w:val="center"/>
          </w:tcPr>
          <w:p>
            <w:pPr>
              <w:pStyle w:val="TableContents"/>
              <w:spacing w:before="0" w:after="0"/>
              <w:rPr/>
            </w:pPr>
            <w:r>
              <w:rPr/>
              <w:t> </w:t>
            </w:r>
          </w:p>
        </w:tc>
      </w:tr>
    </w:tbl>
    <w:p>
      <w:pPr>
        <w:pStyle w:val="TextBody"/>
        <w:spacing w:before="0" w:after="0"/>
        <w:ind w:left="0" w:right="0" w:hanging="0"/>
        <w:jc w:val="left"/>
        <w:rPr/>
      </w:pPr>
      <w:r>
        <w:rPr/>
        <w:t> </w:t>
      </w:r>
    </w:p>
    <w:p>
      <w:pPr>
        <w:pStyle w:val="TextBody"/>
        <w:spacing w:before="0" w:after="0"/>
        <w:ind w:left="0" w:right="0" w:firstLine="720"/>
        <w:jc w:val="left"/>
        <w:rPr/>
      </w:pPr>
      <w:r>
        <w:rPr>
          <w:rFonts w:ascii="Times New Roman;Times;serif" w:hAnsi="Times New Roman;Times;serif"/>
          <w:sz w:val="20"/>
        </w:rPr>
        <w:t xml:space="preserve">The total fair value of shares vested during the </w:t>
      </w:r>
      <w:r>
        <w:rPr>
          <w:rStyle w:val="Emphasis"/>
          <w:rFonts w:ascii="Times New Roman;Times;serif" w:hAnsi="Times New Roman;Times;serif"/>
          <w:sz w:val="20"/>
        </w:rPr>
        <w:t>twenty-six</w:t>
      </w:r>
      <w:r>
        <w:rPr>
          <w:rFonts w:ascii="Times New Roman;Times;serif" w:hAnsi="Times New Roman;Times;serif"/>
          <w:sz w:val="20"/>
        </w:rPr>
        <w:t xml:space="preserve"> weeks ended </w:t>
      </w:r>
      <w:r>
        <w:rPr>
          <w:rStyle w:val="Emphasis"/>
          <w:rFonts w:ascii="Times New Roman;Times;serif" w:hAnsi="Times New Roman;Times;serif"/>
          <w:sz w:val="20"/>
        </w:rPr>
        <w:t>July 31, 2021</w:t>
      </w:r>
      <w:r>
        <w:rPr>
          <w:rFonts w:ascii="Times New Roman;Times;serif" w:hAnsi="Times New Roman;Times;serif"/>
          <w:sz w:val="20"/>
        </w:rPr>
        <w:t xml:space="preserve"> and </w:t>
      </w:r>
      <w:r>
        <w:rPr>
          <w:rStyle w:val="Emphasis"/>
          <w:rFonts w:ascii="Times New Roman;Times;serif" w:hAnsi="Times New Roman;Times;serif"/>
          <w:sz w:val="20"/>
        </w:rPr>
        <w:t>August 1, 2020</w:t>
      </w:r>
      <w:r>
        <w:rPr>
          <w:rFonts w:ascii="Times New Roman;Times;serif" w:hAnsi="Times New Roman;Times;serif"/>
          <w:sz w:val="20"/>
        </w:rPr>
        <w:t> was $1.8 million and $2.3 million, respectively.</w:t>
      </w:r>
    </w:p>
    <w:p>
      <w:pPr>
        <w:pStyle w:val="TextBody"/>
        <w:spacing w:before="0" w:after="0"/>
        <w:ind w:left="0" w:right="0" w:firstLine="720"/>
        <w:jc w:val="left"/>
        <w:rPr/>
      </w:pPr>
      <w:r>
        <w:rPr/>
        <w:t> </w:t>
      </w:r>
    </w:p>
    <w:p>
      <w:pPr>
        <w:pStyle w:val="TextBody"/>
        <w:spacing w:before="0" w:after="0"/>
        <w:ind w:left="0" w:right="0" w:firstLine="720"/>
        <w:jc w:val="left"/>
        <w:rPr/>
      </w:pPr>
      <w:r>
        <w:rPr>
          <w:rFonts w:ascii="Times New Roman;Times;serif" w:hAnsi="Times New Roman;Times;serif"/>
          <w:sz w:val="20"/>
        </w:rPr>
        <w:t xml:space="preserve">The outstanding performance shares as of </w:t>
      </w:r>
      <w:r>
        <w:rPr>
          <w:rStyle w:val="Emphasis"/>
          <w:rFonts w:ascii="Times New Roman;Times;serif" w:hAnsi="Times New Roman;Times;serif"/>
          <w:sz w:val="20"/>
        </w:rPr>
        <w:t>July 31, 2021</w:t>
      </w:r>
      <w:r>
        <w:rPr>
          <w:rFonts w:ascii="Times New Roman;Times;serif" w:hAnsi="Times New Roman;Times;serif"/>
          <w:sz w:val="20"/>
        </w:rPr>
        <w:t> consist of the following:</w:t>
      </w:r>
    </w:p>
    <w:p>
      <w:pPr>
        <w:pStyle w:val="TextBody"/>
        <w:spacing w:before="0" w:after="0"/>
        <w:ind w:left="144" w:right="144" w:hanging="0"/>
        <w:jc w:val="left"/>
        <w:rPr/>
      </w:pPr>
      <w:r>
        <w:rPr/>
        <w:t> </w:t>
      </w:r>
    </w:p>
    <w:tbl>
      <w:tblPr>
        <w:tblW w:w="10205" w:type="dxa"/>
        <w:jc w:val="left"/>
        <w:tblInd w:w="0" w:type="dxa"/>
        <w:tblCellMar>
          <w:top w:w="0" w:type="dxa"/>
          <w:left w:w="0" w:type="dxa"/>
          <w:bottom w:w="0" w:type="dxa"/>
          <w:right w:w="0" w:type="dxa"/>
        </w:tblCellMar>
      </w:tblPr>
      <w:tblGrid>
        <w:gridCol w:w="8485"/>
        <w:gridCol w:w="60"/>
        <w:gridCol w:w="125"/>
        <w:gridCol w:w="1459"/>
        <w:gridCol w:w="76"/>
      </w:tblGrid>
      <w:tr>
        <w:trPr/>
        <w:tc>
          <w:tcPr>
            <w:tcW w:w="84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584" w:type="dxa"/>
            <w:gridSpan w:val="2"/>
            <w:tcBorders>
              <w:bottom w:val="single" w:sz="2" w:space="0" w:color="000000"/>
            </w:tcBorders>
            <w:shd w:fill="FFFFFF" w:val="clear"/>
            <w:tcMar>
              <w:bottom w:w="28" w:type="dxa"/>
            </w:tcMar>
            <w:vAlign w:val="center"/>
          </w:tcPr>
          <w:p>
            <w:pPr>
              <w:pStyle w:val="TableContents"/>
              <w:spacing w:before="0" w:after="283"/>
              <w:jc w:val="center"/>
              <w:rPr/>
            </w:pPr>
            <w:r>
              <w:rPr>
                <w:rStyle w:val="Emphasis"/>
                <w:rFonts w:ascii="Times New Roman;Times;serif" w:hAnsi="Times New Roman;Times;serif"/>
                <w:b/>
                <w:sz w:val="20"/>
              </w:rPr>
              <w:t>Performance Shares</w:t>
            </w:r>
          </w:p>
        </w:tc>
        <w:tc>
          <w:tcPr>
            <w:tcW w:w="76" w:type="dxa"/>
            <w:tcBorders/>
            <w:shd w:fill="FFFFFF" w:val="clear"/>
            <w:vAlign w:val="center"/>
          </w:tcPr>
          <w:p>
            <w:pPr>
              <w:pStyle w:val="TableContents"/>
              <w:spacing w:before="0" w:after="283"/>
              <w:rPr/>
            </w:pPr>
            <w:r>
              <w:rPr/>
              <w:t> </w:t>
            </w:r>
          </w:p>
        </w:tc>
      </w:tr>
      <w:tr>
        <w:trPr/>
        <w:tc>
          <w:tcPr>
            <w:tcW w:w="84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1459" w:type="dxa"/>
            <w:tcBorders/>
            <w:shd w:fill="FFFFFF" w:val="clear"/>
            <w:vAlign w:val="center"/>
          </w:tcPr>
          <w:p>
            <w:pPr>
              <w:pStyle w:val="TableContents"/>
              <w:spacing w:before="0" w:after="283"/>
              <w:rPr/>
            </w:pPr>
            <w:r>
              <w:rPr/>
              <w:t> </w:t>
            </w:r>
          </w:p>
        </w:tc>
        <w:tc>
          <w:tcPr>
            <w:tcW w:w="76" w:type="dxa"/>
            <w:tcBorders/>
            <w:shd w:fill="FFFFFF" w:val="clear"/>
            <w:vAlign w:val="center"/>
          </w:tcPr>
          <w:p>
            <w:pPr>
              <w:pStyle w:val="TableContents"/>
              <w:spacing w:before="0" w:after="283"/>
              <w:rPr/>
            </w:pPr>
            <w:r>
              <w:rPr/>
              <w:t> </w:t>
            </w:r>
          </w:p>
        </w:tc>
      </w:tr>
      <w:tr>
        <w:trPr/>
        <w:tc>
          <w:tcPr>
            <w:tcW w:w="8485" w:type="dxa"/>
            <w:tcBorders/>
            <w:shd w:fill="CCEE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Unearned shares subject to performance-based restrictions at target: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1459" w:type="dxa"/>
            <w:tcBorders/>
            <w:shd w:fill="CCEEFF" w:val="clear"/>
            <w:vAlign w:val="center"/>
          </w:tcPr>
          <w:p>
            <w:pPr>
              <w:pStyle w:val="TableContents"/>
              <w:spacing w:before="0" w:after="283"/>
              <w:jc w:val="left"/>
              <w:rPr/>
            </w:pPr>
            <w:r>
              <w:rPr/>
              <w:t> </w:t>
            </w:r>
          </w:p>
        </w:tc>
        <w:tc>
          <w:tcPr>
            <w:tcW w:w="76" w:type="dxa"/>
            <w:tcBorders/>
            <w:shd w:fill="CCEEFF" w:val="clear"/>
            <w:vAlign w:val="center"/>
          </w:tcPr>
          <w:p>
            <w:pPr>
              <w:pStyle w:val="TableContents"/>
              <w:spacing w:before="0" w:after="283"/>
              <w:rPr/>
            </w:pPr>
            <w:r>
              <w:rPr/>
              <w:t> </w:t>
            </w:r>
          </w:p>
        </w:tc>
      </w:tr>
      <w:tr>
        <w:trPr/>
        <w:tc>
          <w:tcPr>
            <w:tcW w:w="8485" w:type="dxa"/>
            <w:tcBorders/>
            <w:shd w:fill="FFFFFF" w:val="clear"/>
            <w:vAlign w:val="center"/>
          </w:tcPr>
          <w:p>
            <w:pPr>
              <w:pStyle w:val="TableContents"/>
              <w:spacing w:before="0" w:after="0"/>
              <w:ind w:left="180" w:right="0" w:hanging="0"/>
              <w:rPr>
                <w:rFonts w:ascii="Times New Roman;Times;serif" w:hAnsi="Times New Roman;Times;serif"/>
                <w:sz w:val="20"/>
              </w:rPr>
            </w:pPr>
            <w:r>
              <w:rPr>
                <w:rFonts w:ascii="Times New Roman;Times;serif" w:hAnsi="Times New Roman;Times;serif"/>
                <w:sz w:val="20"/>
              </w:rPr>
              <w:t>2019 - 2021 consolidated pre-tax income growth objectives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1459"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95,811</w:t>
            </w:r>
          </w:p>
        </w:tc>
        <w:tc>
          <w:tcPr>
            <w:tcW w:w="76" w:type="dxa"/>
            <w:tcBorders/>
            <w:shd w:fill="FFFFFF" w:val="clear"/>
            <w:vAlign w:val="center"/>
          </w:tcPr>
          <w:p>
            <w:pPr>
              <w:pStyle w:val="TableContents"/>
              <w:spacing w:before="0" w:after="283"/>
              <w:rPr/>
            </w:pPr>
            <w:r>
              <w:rPr/>
              <w:t> </w:t>
            </w:r>
          </w:p>
        </w:tc>
      </w:tr>
      <w:tr>
        <w:trPr/>
        <w:tc>
          <w:tcPr>
            <w:tcW w:w="8485" w:type="dxa"/>
            <w:tcBorders/>
            <w:shd w:fill="CCEE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2020 - 2022 consolidated liquidity and strategic performance objectives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1459"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89,168</w:t>
            </w:r>
          </w:p>
        </w:tc>
        <w:tc>
          <w:tcPr>
            <w:tcW w:w="76" w:type="dxa"/>
            <w:tcBorders/>
            <w:shd w:fill="CCEEFF" w:val="clear"/>
            <w:vAlign w:val="center"/>
          </w:tcPr>
          <w:p>
            <w:pPr>
              <w:pStyle w:val="TableContents"/>
              <w:spacing w:before="0" w:after="283"/>
              <w:rPr/>
            </w:pPr>
            <w:r>
              <w:rPr/>
              <w:t> </w:t>
            </w:r>
          </w:p>
        </w:tc>
      </w:tr>
      <w:tr>
        <w:trPr/>
        <w:tc>
          <w:tcPr>
            <w:tcW w:w="8485" w:type="dxa"/>
            <w:tcBorders/>
            <w:shd w:fill="FFFF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2020 - 2022 consolidated earnings before interest and taxes (EBIT) objectives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1459"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68,206</w:t>
            </w:r>
          </w:p>
        </w:tc>
        <w:tc>
          <w:tcPr>
            <w:tcW w:w="76" w:type="dxa"/>
            <w:tcBorders/>
            <w:shd w:fill="FFFFFF" w:val="clear"/>
            <w:vAlign w:val="center"/>
          </w:tcPr>
          <w:p>
            <w:pPr>
              <w:pStyle w:val="TableContents"/>
              <w:spacing w:before="0" w:after="283"/>
              <w:rPr/>
            </w:pPr>
            <w:r>
              <w:rPr/>
              <w:t> </w:t>
            </w:r>
          </w:p>
        </w:tc>
      </w:tr>
      <w:tr>
        <w:trPr/>
        <w:tc>
          <w:tcPr>
            <w:tcW w:w="8485" w:type="dxa"/>
            <w:tcBorders/>
            <w:shd w:fill="CCEEFF" w:val="clear"/>
            <w:vAlign w:val="center"/>
          </w:tcPr>
          <w:p>
            <w:pPr>
              <w:pStyle w:val="TableContents"/>
              <w:spacing w:before="0" w:after="0"/>
              <w:ind w:left="180" w:right="0" w:hanging="0"/>
              <w:rPr>
                <w:rFonts w:ascii="Times New Roman;Times;serif" w:hAnsi="Times New Roman;Times;serif"/>
                <w:sz w:val="20"/>
              </w:rPr>
            </w:pPr>
            <w:r>
              <w:rPr>
                <w:rFonts w:ascii="Times New Roman;Times;serif" w:hAnsi="Times New Roman;Times;serif"/>
                <w:sz w:val="20"/>
              </w:rPr>
              <w:t>2021 - 2023 consolidated, cumulative earnings before interest, taxes, depreciation and amortization (EBITDA) objectives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1459"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39,821</w:t>
            </w:r>
          </w:p>
        </w:tc>
        <w:tc>
          <w:tcPr>
            <w:tcW w:w="76" w:type="dxa"/>
            <w:tcBorders/>
            <w:shd w:fill="CCEEFF" w:val="clear"/>
            <w:vAlign w:val="center"/>
          </w:tcPr>
          <w:p>
            <w:pPr>
              <w:pStyle w:val="TableContents"/>
              <w:spacing w:before="0" w:after="283"/>
              <w:rPr/>
            </w:pPr>
            <w:r>
              <w:rPr/>
              <w:t> </w:t>
            </w:r>
          </w:p>
        </w:tc>
      </w:tr>
      <w:tr>
        <w:trPr/>
        <w:tc>
          <w:tcPr>
            <w:tcW w:w="8485" w:type="dxa"/>
            <w:tcBorders/>
            <w:shd w:fill="FFFFFF" w:val="clear"/>
            <w:vAlign w:val="center"/>
          </w:tcPr>
          <w:p>
            <w:pPr>
              <w:pStyle w:val="TableContents"/>
              <w:spacing w:before="0" w:after="0"/>
              <w:ind w:left="180" w:right="0" w:hanging="0"/>
              <w:rPr>
                <w:rFonts w:ascii="Times New Roman;Times;serif" w:hAnsi="Times New Roman;Times;serif"/>
                <w:sz w:val="20"/>
              </w:rPr>
            </w:pPr>
            <w:r>
              <w:rPr>
                <w:rFonts w:ascii="Times New Roman;Times;serif" w:hAnsi="Times New Roman;Times;serif"/>
                <w:sz w:val="20"/>
              </w:rPr>
              <w:t>2021 - 2023 consolidated revenue growth objectives</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459"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13,274</w:t>
            </w:r>
          </w:p>
        </w:tc>
        <w:tc>
          <w:tcPr>
            <w:tcW w:w="76" w:type="dxa"/>
            <w:tcBorders/>
            <w:shd w:fill="FFFFFF" w:val="clear"/>
            <w:vAlign w:val="center"/>
          </w:tcPr>
          <w:p>
            <w:pPr>
              <w:pStyle w:val="TableContents"/>
              <w:spacing w:before="0" w:after="283"/>
              <w:rPr/>
            </w:pPr>
            <w:r>
              <w:rPr/>
              <w:t> </w:t>
            </w:r>
          </w:p>
        </w:tc>
      </w:tr>
      <w:tr>
        <w:trPr/>
        <w:tc>
          <w:tcPr>
            <w:tcW w:w="8485" w:type="dxa"/>
            <w:tcBorders/>
            <w:shd w:fill="CCEEFF" w:val="clear"/>
            <w:vAlign w:val="center"/>
          </w:tcPr>
          <w:p>
            <w:pPr>
              <w:pStyle w:val="TableContents"/>
              <w:spacing w:before="0" w:after="0"/>
              <w:ind w:left="0" w:right="0" w:firstLine="360"/>
              <w:rPr>
                <w:rFonts w:ascii="Times New Roman;Times;serif" w:hAnsi="Times New Roman;Times;serif"/>
                <w:sz w:val="20"/>
              </w:rPr>
            </w:pPr>
            <w:r>
              <w:rPr>
                <w:rFonts w:ascii="Times New Roman;Times;serif" w:hAnsi="Times New Roman;Times;serif"/>
                <w:sz w:val="20"/>
              </w:rPr>
              <w:t>Performance shares outstanding, July 31, 2021</w:t>
            </w:r>
          </w:p>
        </w:tc>
        <w:tc>
          <w:tcPr>
            <w:tcW w:w="60" w:type="dxa"/>
            <w:tcBorders/>
            <w:shd w:fill="CCEEFF" w:val="clear"/>
            <w:vAlign w:val="center"/>
          </w:tcPr>
          <w:p>
            <w:pPr>
              <w:pStyle w:val="TableContents"/>
              <w:spacing w:before="0" w:after="283"/>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pPr>
            <w:r>
              <w:rPr/>
              <w:t> </w:t>
            </w:r>
          </w:p>
        </w:tc>
        <w:tc>
          <w:tcPr>
            <w:tcW w:w="1459"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306,280</w:t>
            </w:r>
          </w:p>
        </w:tc>
        <w:tc>
          <w:tcPr>
            <w:tcW w:w="76" w:type="dxa"/>
            <w:tcBorders/>
            <w:shd w:fill="CCEEFF" w:val="clear"/>
            <w:vAlign w:val="center"/>
          </w:tcPr>
          <w:p>
            <w:pPr>
              <w:pStyle w:val="TableContents"/>
              <w:spacing w:before="0" w:after="283"/>
              <w:rPr/>
            </w:pPr>
            <w:r>
              <w:rPr/>
              <w:t> </w:t>
            </w:r>
          </w:p>
        </w:tc>
      </w:tr>
    </w:tbl>
    <w:p>
      <w:pPr>
        <w:pStyle w:val="TextBody"/>
        <w:spacing w:before="0" w:after="0"/>
        <w:ind w:left="144" w:right="144" w:hanging="0"/>
        <w:jc w:val="left"/>
        <w:rPr/>
      </w:pPr>
      <w:r>
        <w:rPr/>
        <w:t> </w:t>
      </w:r>
    </w:p>
    <w:p>
      <w:pPr>
        <w:pStyle w:val="TextBody"/>
        <w:rPr/>
      </w:pPr>
      <w:r>
        <w:rPr/>
        <w:t xml:space="preserve">  </w:t>
      </w:r>
    </w:p>
    <w:p>
      <w:pPr>
        <w:pStyle w:val="TextBody"/>
        <w:spacing w:before="0" w:after="0"/>
        <w:ind w:left="0" w:right="0" w:hanging="0"/>
        <w:jc w:val="left"/>
        <w:rPr/>
      </w:pPr>
      <w:r>
        <w:rPr>
          <w:rStyle w:val="Emphasis"/>
          <w:rFonts w:ascii="Times New Roman;Times;serif" w:hAnsi="Times New Roman;Times;serif"/>
          <w:b/>
          <w:sz w:val="20"/>
        </w:rPr>
        <w:t>7.</w:t>
      </w:r>
      <w:r>
        <w:rPr>
          <w:rFonts w:ascii="Times New Roman;Times;serif" w:hAnsi="Times New Roman;Times;serif"/>
          <w:b/>
          <w:sz w:val="20"/>
        </w:rPr>
        <w:t xml:space="preserve"> Income Taxes</w:t>
      </w:r>
    </w:p>
    <w:p>
      <w:pPr>
        <w:pStyle w:val="TextBody"/>
        <w:spacing w:before="0" w:after="0"/>
        <w:ind w:left="144" w:right="144" w:hanging="0"/>
        <w:jc w:val="left"/>
        <w:rPr/>
      </w:pPr>
      <w:r>
        <w:rPr/>
        <w:t> </w:t>
      </w:r>
    </w:p>
    <w:p>
      <w:pPr>
        <w:pStyle w:val="TextBody"/>
        <w:spacing w:before="0" w:after="0"/>
        <w:ind w:left="0" w:right="0" w:firstLine="720"/>
        <w:jc w:val="left"/>
        <w:rPr/>
      </w:pPr>
      <w:r>
        <w:rPr>
          <w:rFonts w:ascii="Times New Roman;Times;serif" w:hAnsi="Times New Roman;Times;serif"/>
          <w:sz w:val="20"/>
        </w:rPr>
        <w:t xml:space="preserve">The Company's effective tax rate was 27.9% and 24.0% for the </w:t>
      </w:r>
      <w:r>
        <w:rPr>
          <w:rStyle w:val="Emphasis"/>
          <w:rFonts w:ascii="Times New Roman;Times;serif" w:hAnsi="Times New Roman;Times;serif"/>
          <w:sz w:val="20"/>
        </w:rPr>
        <w:t>thirteen</w:t>
      </w:r>
      <w:r>
        <w:rPr>
          <w:rFonts w:ascii="Times New Roman;Times;serif" w:hAnsi="Times New Roman;Times;serif"/>
          <w:sz w:val="20"/>
        </w:rPr>
        <w:t xml:space="preserve"> and </w:t>
      </w:r>
      <w:r>
        <w:rPr>
          <w:rStyle w:val="Emphasis"/>
          <w:rFonts w:ascii="Times New Roman;Times;serif" w:hAnsi="Times New Roman;Times;serif"/>
          <w:sz w:val="20"/>
        </w:rPr>
        <w:t>twenty-six</w:t>
      </w:r>
      <w:r>
        <w:rPr>
          <w:rFonts w:ascii="Times New Roman;Times;serif" w:hAnsi="Times New Roman;Times;serif"/>
          <w:sz w:val="20"/>
        </w:rPr>
        <w:t xml:space="preserve"> weeks ended </w:t>
      </w:r>
      <w:r>
        <w:rPr>
          <w:rStyle w:val="Emphasis"/>
          <w:rFonts w:ascii="Times New Roman;Times;serif" w:hAnsi="Times New Roman;Times;serif"/>
          <w:sz w:val="20"/>
        </w:rPr>
        <w:t>July 31, 2021</w:t>
      </w:r>
      <w:r>
        <w:rPr>
          <w:rFonts w:ascii="Times New Roman;Times;serif" w:hAnsi="Times New Roman;Times;serif"/>
          <w:sz w:val="20"/>
        </w:rPr>
        <w:t xml:space="preserve"> compared to 0.5% and (7.6)% for the </w:t>
      </w:r>
      <w:r>
        <w:rPr>
          <w:rStyle w:val="Emphasis"/>
          <w:rFonts w:ascii="Times New Roman;Times;serif" w:hAnsi="Times New Roman;Times;serif"/>
          <w:sz w:val="20"/>
        </w:rPr>
        <w:t>thirteen</w:t>
      </w:r>
      <w:r>
        <w:rPr>
          <w:rFonts w:ascii="Times New Roman;Times;serif" w:hAnsi="Times New Roman;Times;serif"/>
          <w:sz w:val="20"/>
        </w:rPr>
        <w:t xml:space="preserve"> and </w:t>
      </w:r>
      <w:r>
        <w:rPr>
          <w:rStyle w:val="Emphasis"/>
          <w:rFonts w:ascii="Times New Roman;Times;serif" w:hAnsi="Times New Roman;Times;serif"/>
          <w:sz w:val="20"/>
        </w:rPr>
        <w:t>twenty-six</w:t>
      </w:r>
      <w:r>
        <w:rPr>
          <w:rFonts w:ascii="Times New Roman;Times;serif" w:hAnsi="Times New Roman;Times;serif"/>
          <w:sz w:val="20"/>
        </w:rPr>
        <w:t xml:space="preserve"> weeks ended </w:t>
      </w:r>
      <w:r>
        <w:rPr>
          <w:rStyle w:val="Emphasis"/>
          <w:rFonts w:ascii="Times New Roman;Times;serif" w:hAnsi="Times New Roman;Times;serif"/>
          <w:sz w:val="20"/>
        </w:rPr>
        <w:t>August 1, 2020</w:t>
      </w:r>
      <w:r>
        <w:rPr>
          <w:rFonts w:ascii="Times New Roman;Times;serif" w:hAnsi="Times New Roman;Times;serif"/>
          <w:sz w:val="20"/>
        </w:rPr>
        <w:t xml:space="preserve">. The </w:t>
      </w:r>
      <w:r>
        <w:rPr>
          <w:rStyle w:val="Emphasis"/>
          <w:rFonts w:ascii="Times New Roman;Times;serif" w:hAnsi="Times New Roman;Times;serif"/>
          <w:sz w:val="20"/>
        </w:rPr>
        <w:t>2021</w:t>
      </w:r>
      <w:r>
        <w:rPr>
          <w:rFonts w:ascii="Times New Roman;Times;serif" w:hAnsi="Times New Roman;Times;serif"/>
          <w:sz w:val="20"/>
        </w:rPr>
        <w:t xml:space="preserve"> effective tax rate differed from the statutory rate of 21% primarily due to state income tax expense partially offset by the tax impact of equity awards vesting. While the Company is still in a full valuation allowance globally, it recorded tax expense on the pretax income earned in the </w:t>
      </w:r>
      <w:r>
        <w:rPr>
          <w:rStyle w:val="Emphasis"/>
          <w:rFonts w:ascii="Times New Roman;Times;serif" w:hAnsi="Times New Roman;Times;serif"/>
          <w:sz w:val="20"/>
        </w:rPr>
        <w:t>first</w:t>
      </w:r>
      <w:r>
        <w:rPr>
          <w:rFonts w:ascii="Times New Roman;Times;serif" w:hAnsi="Times New Roman;Times;serif"/>
          <w:sz w:val="20"/>
        </w:rPr>
        <w:t xml:space="preserve"> half of fiscal </w:t>
      </w:r>
      <w:r>
        <w:rPr>
          <w:rStyle w:val="Emphasis"/>
          <w:rFonts w:ascii="Times New Roman;Times;serif" w:hAnsi="Times New Roman;Times;serif"/>
          <w:sz w:val="20"/>
        </w:rPr>
        <w:t>2021</w:t>
      </w:r>
      <w:r>
        <w:rPr>
          <w:rFonts w:ascii="Times New Roman;Times;serif" w:hAnsi="Times New Roman;Times;serif"/>
          <w:sz w:val="20"/>
        </w:rPr>
        <w:t xml:space="preserve"> based on its projected current tax expense. The </w:t>
      </w:r>
      <w:r>
        <w:rPr>
          <w:rStyle w:val="Emphasis"/>
          <w:rFonts w:ascii="Times New Roman;Times;serif" w:hAnsi="Times New Roman;Times;serif"/>
          <w:sz w:val="20"/>
        </w:rPr>
        <w:t>first</w:t>
      </w:r>
      <w:r>
        <w:rPr>
          <w:rFonts w:ascii="Times New Roman;Times;serif" w:hAnsi="Times New Roman;Times;serif"/>
          <w:sz w:val="20"/>
        </w:rPr>
        <w:t xml:space="preserve"> half of fiscal </w:t>
      </w:r>
      <w:r>
        <w:rPr>
          <w:rStyle w:val="Emphasis"/>
          <w:rFonts w:ascii="Times New Roman;Times;serif" w:hAnsi="Times New Roman;Times;serif"/>
          <w:sz w:val="20"/>
        </w:rPr>
        <w:t>2020</w:t>
      </w:r>
      <w:r>
        <w:rPr>
          <w:rFonts w:ascii="Times New Roman;Times;serif" w:hAnsi="Times New Roman;Times;serif"/>
          <w:sz w:val="20"/>
        </w:rPr>
        <w:t xml:space="preserve"> was impacted by a $3.3 million valuation allowance recorded on the beginning balance of the net deferred tax assets in certain jurisdictions, offset by $0.8 million of benefit recognized as a result of the Coronavirus Aid, Relief, and Economic Security (“CARES”) Act. In addition, </w:t>
      </w:r>
      <w:r>
        <w:rPr>
          <w:rStyle w:val="Emphasis"/>
          <w:rFonts w:ascii="Times New Roman;Times;serif" w:hAnsi="Times New Roman;Times;serif"/>
          <w:sz w:val="20"/>
        </w:rPr>
        <w:t>no</w:t>
      </w:r>
      <w:r>
        <w:rPr>
          <w:rFonts w:ascii="Times New Roman;Times;serif" w:hAnsi="Times New Roman;Times;serif"/>
          <w:sz w:val="20"/>
        </w:rPr>
        <w:t xml:space="preserve"> tax benefit was recorded on the </w:t>
      </w:r>
      <w:r>
        <w:rPr>
          <w:rStyle w:val="Emphasis"/>
          <w:rFonts w:ascii="Times New Roman;Times;serif" w:hAnsi="Times New Roman;Times;serif"/>
          <w:sz w:val="20"/>
        </w:rPr>
        <w:t>first</w:t>
      </w:r>
      <w:r>
        <w:rPr>
          <w:rFonts w:ascii="Times New Roman;Times;serif" w:hAnsi="Times New Roman;Times;serif"/>
          <w:sz w:val="20"/>
        </w:rPr>
        <w:t xml:space="preserve"> half pretax loss as a full valuation allowance was recorded globally.</w:t>
      </w:r>
    </w:p>
    <w:p>
      <w:pPr>
        <w:pStyle w:val="TextBody"/>
        <w:rPr/>
      </w:pPr>
      <w:r>
        <w:rPr/>
        <w:t xml:space="preserve">  </w:t>
      </w:r>
    </w:p>
    <w:p>
      <w:pPr>
        <w:pStyle w:val="TextBody"/>
        <w:spacing w:before="0" w:after="0"/>
        <w:ind w:left="0" w:right="0" w:hanging="0"/>
        <w:jc w:val="left"/>
        <w:rPr/>
      </w:pPr>
      <w:r>
        <w:rPr/>
        <w:t> </w:t>
      </w:r>
    </w:p>
    <w:p>
      <w:pPr>
        <w:pStyle w:val="TextBody"/>
        <w:spacing w:before="0" w:after="0"/>
        <w:ind w:left="0" w:right="0" w:hanging="0"/>
        <w:jc w:val="center"/>
        <w:rPr/>
      </w:pPr>
      <w:r>
        <w:rPr>
          <w:rStyle w:val="Emphasis"/>
          <w:rFonts w:ascii="Times New Roman" w:hAnsi="Times New Roman"/>
          <w:sz w:val="20"/>
        </w:rPr>
        <w:t>12</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hanging="0"/>
        <w:jc w:val="left"/>
        <w:rPr/>
      </w:pPr>
      <w:r>
        <w:rPr>
          <w:rStyle w:val="Emphasis"/>
          <w:rFonts w:ascii="Times New Roman;Times;serif" w:hAnsi="Times New Roman;Times;serif"/>
          <w:b/>
          <w:sz w:val="20"/>
        </w:rPr>
        <w:t>8.</w:t>
      </w:r>
      <w:r>
        <w:rPr>
          <w:rFonts w:ascii="Times New Roman;Times;serif" w:hAnsi="Times New Roman;Times;serif"/>
          <w:b/>
          <w:sz w:val="20"/>
        </w:rPr>
        <w:t xml:space="preserve"> Stockholders’ Equity </w:t>
      </w:r>
    </w:p>
    <w:p>
      <w:pPr>
        <w:pStyle w:val="TextBody"/>
        <w:spacing w:before="0" w:after="0"/>
        <w:ind w:left="144" w:right="144" w:hanging="0"/>
        <w:jc w:val="left"/>
        <w:rPr/>
      </w:pPr>
      <w:r>
        <w:rPr/>
        <w:t> </w:t>
      </w:r>
    </w:p>
    <w:p>
      <w:pPr>
        <w:pStyle w:val="TextBody"/>
        <w:spacing w:before="0" w:after="0"/>
        <w:ind w:left="0" w:right="0" w:firstLine="720"/>
        <w:jc w:val="left"/>
        <w:rPr/>
      </w:pPr>
      <w:r>
        <w:rPr>
          <w:rFonts w:ascii="Times New Roman;Times;serif" w:hAnsi="Times New Roman;Times;serif"/>
          <w:sz w:val="20"/>
        </w:rPr>
        <w:t xml:space="preserve">The following table sets forth the changes in stockholders’ equity (in thousands) for the </w:t>
      </w:r>
      <w:r>
        <w:rPr>
          <w:rStyle w:val="Emphasis"/>
          <w:rFonts w:ascii="Times New Roman;Times;serif" w:hAnsi="Times New Roman;Times;serif"/>
          <w:sz w:val="20"/>
        </w:rPr>
        <w:t>thirteen</w:t>
      </w:r>
      <w:r>
        <w:rPr>
          <w:rFonts w:ascii="Times New Roman;Times;serif" w:hAnsi="Times New Roman;Times;serif"/>
          <w:sz w:val="20"/>
        </w:rPr>
        <w:t xml:space="preserve"> weeks ended </w:t>
      </w:r>
      <w:r>
        <w:rPr>
          <w:rStyle w:val="Emphasis"/>
          <w:rFonts w:ascii="Times New Roman;Times;serif" w:hAnsi="Times New Roman;Times;serif"/>
          <w:sz w:val="20"/>
        </w:rPr>
        <w:t xml:space="preserve"> July 31, 2021 </w:t>
      </w:r>
      <w:r>
        <w:rPr>
          <w:rFonts w:ascii="Times New Roman;Times;serif" w:hAnsi="Times New Roman;Times;serif"/>
          <w:sz w:val="20"/>
        </w:rPr>
        <w:t xml:space="preserve">and </w:t>
      </w:r>
      <w:r>
        <w:rPr>
          <w:rStyle w:val="Emphasis"/>
          <w:rFonts w:ascii="Times New Roman;Times;serif" w:hAnsi="Times New Roman;Times;serif"/>
          <w:sz w:val="20"/>
        </w:rPr>
        <w:t>August 1, 2020</w:t>
      </w:r>
      <w:r>
        <w:rPr>
          <w:rFonts w:ascii="Times New Roman;Times;serif" w:hAnsi="Times New Roman;Times;serif"/>
          <w:sz w:val="20"/>
        </w:rPr>
        <w:t xml:space="preserve"> (in thousands):</w:t>
      </w:r>
    </w:p>
    <w:p>
      <w:pPr>
        <w:pStyle w:val="TextBody"/>
        <w:spacing w:before="0" w:after="0"/>
        <w:ind w:left="0" w:right="0" w:hanging="0"/>
        <w:jc w:val="left"/>
        <w:rPr/>
      </w:pPr>
      <w:r>
        <w:rPr/>
        <w:t> </w:t>
      </w:r>
    </w:p>
    <w:tbl>
      <w:tblPr>
        <w:tblW w:w="10505" w:type="dxa"/>
        <w:jc w:val="left"/>
        <w:tblInd w:w="0" w:type="dxa"/>
        <w:tblCellMar>
          <w:top w:w="0" w:type="dxa"/>
          <w:left w:w="0" w:type="dxa"/>
          <w:bottom w:w="0" w:type="dxa"/>
          <w:right w:w="0" w:type="dxa"/>
        </w:tblCellMar>
      </w:tblPr>
      <w:tblGrid>
        <w:gridCol w:w="1430"/>
        <w:gridCol w:w="60"/>
        <w:gridCol w:w="209"/>
        <w:gridCol w:w="561"/>
        <w:gridCol w:w="80"/>
        <w:gridCol w:w="60"/>
        <w:gridCol w:w="125"/>
        <w:gridCol w:w="590"/>
        <w:gridCol w:w="60"/>
        <w:gridCol w:w="60"/>
        <w:gridCol w:w="125"/>
        <w:gridCol w:w="650"/>
        <w:gridCol w:w="80"/>
        <w:gridCol w:w="60"/>
        <w:gridCol w:w="134"/>
        <w:gridCol w:w="636"/>
        <w:gridCol w:w="60"/>
        <w:gridCol w:w="60"/>
        <w:gridCol w:w="125"/>
        <w:gridCol w:w="590"/>
        <w:gridCol w:w="80"/>
        <w:gridCol w:w="60"/>
        <w:gridCol w:w="209"/>
        <w:gridCol w:w="561"/>
        <w:gridCol w:w="60"/>
        <w:gridCol w:w="60"/>
        <w:gridCol w:w="125"/>
        <w:gridCol w:w="590"/>
        <w:gridCol w:w="80"/>
        <w:gridCol w:w="60"/>
        <w:gridCol w:w="125"/>
        <w:gridCol w:w="650"/>
        <w:gridCol w:w="80"/>
        <w:gridCol w:w="60"/>
        <w:gridCol w:w="125"/>
        <w:gridCol w:w="650"/>
        <w:gridCol w:w="80"/>
        <w:gridCol w:w="60"/>
        <w:gridCol w:w="125"/>
        <w:gridCol w:w="650"/>
        <w:gridCol w:w="260"/>
      </w:tblGrid>
      <w:tr>
        <w:trPr/>
        <w:tc>
          <w:tcPr>
            <w:tcW w:w="143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4265" w:type="dxa"/>
            <w:gridSpan w:val="18"/>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sz w:val="20"/>
              </w:rPr>
              <w:t>For the thirteen weeks ended July 31, 2021</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4350" w:type="dxa"/>
            <w:gridSpan w:val="18"/>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sz w:val="20"/>
              </w:rPr>
              <w:t>For the thirteen weeks ended August 1, 2020</w:t>
            </w:r>
          </w:p>
        </w:tc>
        <w:tc>
          <w:tcPr>
            <w:tcW w:w="260" w:type="dxa"/>
            <w:tcBorders/>
            <w:shd w:fill="FFFFFF" w:val="clear"/>
            <w:vAlign w:val="center"/>
          </w:tcPr>
          <w:p>
            <w:pPr>
              <w:pStyle w:val="TableContents"/>
              <w:spacing w:before="0" w:after="283"/>
              <w:rPr/>
            </w:pPr>
            <w:r>
              <w:rPr/>
              <w:t> </w:t>
            </w:r>
          </w:p>
        </w:tc>
      </w:tr>
      <w:tr>
        <w:trPr/>
        <w:tc>
          <w:tcPr>
            <w:tcW w:w="143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09" w:type="dxa"/>
            <w:tcBorders/>
            <w:shd w:fill="FFFFFF" w:val="clear"/>
            <w:vAlign w:val="center"/>
          </w:tcPr>
          <w:p>
            <w:pPr>
              <w:pStyle w:val="TableContents"/>
              <w:spacing w:before="0" w:after="283"/>
              <w:rPr/>
            </w:pPr>
            <w:r>
              <w:rPr/>
              <w:t> </w:t>
            </w:r>
          </w:p>
        </w:tc>
        <w:tc>
          <w:tcPr>
            <w:tcW w:w="561"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59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50"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4" w:type="dxa"/>
            <w:tcBorders/>
            <w:shd w:fill="FFFFFF" w:val="clear"/>
            <w:vAlign w:val="center"/>
          </w:tcPr>
          <w:p>
            <w:pPr>
              <w:pStyle w:val="TableContents"/>
              <w:spacing w:before="0" w:after="283"/>
              <w:rPr/>
            </w:pPr>
            <w:r>
              <w:rPr/>
              <w:t> </w:t>
            </w:r>
          </w:p>
        </w:tc>
        <w:tc>
          <w:tcPr>
            <w:tcW w:w="636"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590"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09" w:type="dxa"/>
            <w:tcBorders/>
            <w:shd w:fill="FFFFFF" w:val="clear"/>
            <w:vAlign w:val="center"/>
          </w:tcPr>
          <w:p>
            <w:pPr>
              <w:pStyle w:val="TableContents"/>
              <w:spacing w:before="0" w:after="283"/>
              <w:rPr/>
            </w:pPr>
            <w:r>
              <w:rPr/>
              <w:t> </w:t>
            </w:r>
          </w:p>
        </w:tc>
        <w:tc>
          <w:tcPr>
            <w:tcW w:w="561"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590"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50"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50"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50" w:type="dxa"/>
            <w:tcBorders/>
            <w:shd w:fill="FFFFFF" w:val="clear"/>
            <w:vAlign w:val="center"/>
          </w:tcPr>
          <w:p>
            <w:pPr>
              <w:pStyle w:val="TableContents"/>
              <w:spacing w:before="0" w:after="283"/>
              <w:rPr/>
            </w:pPr>
            <w:r>
              <w:rPr/>
              <w:t> </w:t>
            </w:r>
          </w:p>
        </w:tc>
        <w:tc>
          <w:tcPr>
            <w:tcW w:w="260" w:type="dxa"/>
            <w:tcBorders/>
            <w:shd w:fill="FFFFFF" w:val="clear"/>
            <w:vAlign w:val="center"/>
          </w:tcPr>
          <w:p>
            <w:pPr>
              <w:pStyle w:val="TableContents"/>
              <w:spacing w:before="0" w:after="283"/>
              <w:rPr/>
            </w:pPr>
            <w:r>
              <w:rPr/>
              <w:t> </w:t>
            </w:r>
          </w:p>
        </w:tc>
      </w:tr>
      <w:tr>
        <w:trPr/>
        <w:tc>
          <w:tcPr>
            <w:tcW w:w="143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70"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sz w:val="20"/>
              </w:rPr>
              <w:t>Common</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590" w:type="dxa"/>
            <w:tcBorders/>
            <w:shd w:fill="FFFFFF" w:val="clear"/>
            <w:vAlign w:val="center"/>
          </w:tcPr>
          <w:p>
            <w:pPr>
              <w:pStyle w:val="TableContents"/>
              <w:spacing w:before="0" w:after="283"/>
              <w:jc w:val="center"/>
              <w:rPr/>
            </w:pPr>
            <w:r>
              <w:rPr>
                <w:rStyle w:val="Emphasis"/>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50" w:type="dxa"/>
            <w:tcBorders/>
            <w:shd w:fill="FFFFFF" w:val="clear"/>
            <w:vAlign w:val="center"/>
          </w:tcPr>
          <w:p>
            <w:pPr>
              <w:pStyle w:val="TableContents"/>
              <w:spacing w:before="0" w:after="283"/>
              <w:jc w:val="center"/>
              <w:rPr/>
            </w:pPr>
            <w:r>
              <w:rPr>
                <w:rStyle w:val="Emphasis"/>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70"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sz w:val="20"/>
              </w:rPr>
              <w:t>Retained</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590" w:type="dxa"/>
            <w:tcBorders/>
            <w:shd w:fill="FFFFFF" w:val="clear"/>
            <w:vAlign w:val="center"/>
          </w:tcPr>
          <w:p>
            <w:pPr>
              <w:pStyle w:val="TableContents"/>
              <w:spacing w:before="0" w:after="283"/>
              <w:jc w:val="center"/>
              <w:rPr/>
            </w:pPr>
            <w:r>
              <w:rPr>
                <w:rStyle w:val="Emphasis"/>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70"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sz w:val="20"/>
              </w:rPr>
              <w:t>Common</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590" w:type="dxa"/>
            <w:tcBorders/>
            <w:shd w:fill="FFFFFF" w:val="clear"/>
            <w:vAlign w:val="center"/>
          </w:tcPr>
          <w:p>
            <w:pPr>
              <w:pStyle w:val="TableContents"/>
              <w:spacing w:before="0" w:after="283"/>
              <w:jc w:val="center"/>
              <w:rPr/>
            </w:pPr>
            <w:r>
              <w:rPr>
                <w:rStyle w:val="Emphasis"/>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50" w:type="dxa"/>
            <w:tcBorders/>
            <w:shd w:fill="FFFFFF" w:val="clear"/>
            <w:vAlign w:val="center"/>
          </w:tcPr>
          <w:p>
            <w:pPr>
              <w:pStyle w:val="TableContents"/>
              <w:spacing w:before="0" w:after="283"/>
              <w:jc w:val="center"/>
              <w:rPr/>
            </w:pPr>
            <w:r>
              <w:rPr>
                <w:rStyle w:val="Emphasis"/>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75"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sz w:val="20"/>
              </w:rPr>
              <w:t>Retained</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50" w:type="dxa"/>
            <w:tcBorders/>
            <w:shd w:fill="FFFFFF" w:val="clear"/>
            <w:vAlign w:val="center"/>
          </w:tcPr>
          <w:p>
            <w:pPr>
              <w:pStyle w:val="TableContents"/>
              <w:spacing w:before="0" w:after="283"/>
              <w:jc w:val="center"/>
              <w:rPr/>
            </w:pPr>
            <w:r>
              <w:rPr>
                <w:rStyle w:val="Emphasis"/>
              </w:rPr>
              <w:t> </w:t>
            </w:r>
          </w:p>
        </w:tc>
        <w:tc>
          <w:tcPr>
            <w:tcW w:w="260" w:type="dxa"/>
            <w:tcBorders/>
            <w:shd w:fill="FFFFFF" w:val="clear"/>
            <w:vAlign w:val="center"/>
          </w:tcPr>
          <w:p>
            <w:pPr>
              <w:pStyle w:val="TableContents"/>
              <w:spacing w:before="0" w:after="283"/>
              <w:rPr/>
            </w:pPr>
            <w:r>
              <w:rPr/>
              <w:t> </w:t>
            </w:r>
          </w:p>
        </w:tc>
      </w:tr>
      <w:tr>
        <w:trPr/>
        <w:tc>
          <w:tcPr>
            <w:tcW w:w="143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7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sz w:val="20"/>
              </w:rPr>
              <w:t>stock</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1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sz w:val="20"/>
              </w:rPr>
              <w:t>APIC (1)</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7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sz w:val="20"/>
              </w:rPr>
              <w:t>AOCI (2)</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7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sz w:val="20"/>
              </w:rPr>
              <w:t>earnings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1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sz w:val="20"/>
              </w:rPr>
              <w:t>Total</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7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sz w:val="20"/>
              </w:rPr>
              <w:t>stock</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1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sz w:val="20"/>
              </w:rPr>
              <w:t>APIC (1)</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7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sz w:val="20"/>
              </w:rPr>
              <w:t>AOCI (2)</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7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sz w:val="20"/>
              </w:rPr>
              <w:t>earnings</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7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sz w:val="20"/>
              </w:rPr>
              <w:t>Total</w:t>
            </w:r>
          </w:p>
        </w:tc>
        <w:tc>
          <w:tcPr>
            <w:tcW w:w="260" w:type="dxa"/>
            <w:tcBorders/>
            <w:shd w:fill="FFFFFF" w:val="clear"/>
            <w:vAlign w:val="center"/>
          </w:tcPr>
          <w:p>
            <w:pPr>
              <w:pStyle w:val="TableContents"/>
              <w:spacing w:before="0" w:after="283"/>
              <w:rPr/>
            </w:pPr>
            <w:r>
              <w:rPr/>
              <w:t> </w:t>
            </w:r>
          </w:p>
        </w:tc>
      </w:tr>
      <w:tr>
        <w:trPr/>
        <w:tc>
          <w:tcPr>
            <w:tcW w:w="1430" w:type="dxa"/>
            <w:tcBorders/>
            <w:shd w:fill="CCEE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Balance, beginning</w:t>
            </w:r>
          </w:p>
        </w:tc>
        <w:tc>
          <w:tcPr>
            <w:tcW w:w="60" w:type="dxa"/>
            <w:tcBorders/>
            <w:shd w:fill="CCEEFF" w:val="clear"/>
            <w:vAlign w:val="center"/>
          </w:tcPr>
          <w:p>
            <w:pPr>
              <w:pStyle w:val="TableContents"/>
              <w:spacing w:before="0" w:after="283"/>
              <w:ind w:left="0" w:right="0" w:hanging="0"/>
              <w:rPr/>
            </w:pPr>
            <w:r>
              <w:rPr/>
              <w:t> </w:t>
            </w:r>
          </w:p>
        </w:tc>
        <w:tc>
          <w:tcPr>
            <w:tcW w:w="209" w:type="dxa"/>
            <w:tcBorders/>
            <w:shd w:fill="CCEE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561"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163</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73,024</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(12,532</w:t>
            </w:r>
          </w:p>
        </w:tc>
        <w:tc>
          <w:tcPr>
            <w:tcW w:w="80"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spacing w:before="0" w:after="283"/>
              <w:ind w:left="0" w:right="0" w:hanging="0"/>
              <w:rPr/>
            </w:pPr>
            <w:r>
              <w:rPr/>
              <w:t> </w:t>
            </w:r>
          </w:p>
        </w:tc>
        <w:tc>
          <w:tcPr>
            <w:tcW w:w="134" w:type="dxa"/>
            <w:tcBorders/>
            <w:shd w:fill="CCEE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636"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17,322</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77,977</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09" w:type="dxa"/>
            <w:tcBorders/>
            <w:shd w:fill="CCEE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561"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155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71,491</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(11,909</w:t>
            </w:r>
          </w:p>
        </w:tc>
        <w:tc>
          <w:tcPr>
            <w:tcW w:w="80"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8,720</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68,457</w:t>
            </w:r>
          </w:p>
        </w:tc>
        <w:tc>
          <w:tcPr>
            <w:tcW w:w="260" w:type="dxa"/>
            <w:tcBorders/>
            <w:shd w:fill="CCEEFF" w:val="clear"/>
            <w:vAlign w:val="center"/>
          </w:tcPr>
          <w:p>
            <w:pPr>
              <w:pStyle w:val="TableContents"/>
              <w:spacing w:before="0" w:after="283"/>
              <w:ind w:left="0" w:right="0" w:firstLine="180"/>
              <w:rPr/>
            </w:pPr>
            <w:r>
              <w:rPr/>
              <w:t> </w:t>
            </w:r>
          </w:p>
        </w:tc>
      </w:tr>
      <w:tr>
        <w:trPr/>
        <w:tc>
          <w:tcPr>
            <w:tcW w:w="1430" w:type="dxa"/>
            <w:tcBorders/>
            <w:shd w:fill="FFFFFF" w:val="clear"/>
            <w:vAlign w:val="center"/>
          </w:tcPr>
          <w:p>
            <w:pPr>
              <w:pStyle w:val="TableContents"/>
              <w:spacing w:before="0" w:after="0"/>
              <w:ind w:left="0" w:right="0" w:firstLine="180"/>
              <w:rPr>
                <w:rFonts w:ascii="Times New Roman;Times;serif" w:hAnsi="Times New Roman;Times;serif"/>
                <w:sz w:val="20"/>
              </w:rPr>
            </w:pPr>
            <w:r>
              <w:rPr>
                <w:rFonts w:ascii="Times New Roman;Times;serif" w:hAnsi="Times New Roman;Times;serif"/>
                <w:sz w:val="20"/>
              </w:rPr>
              <w:t>Issuance of restricted/performance stock</w:t>
            </w:r>
          </w:p>
        </w:tc>
        <w:tc>
          <w:tcPr>
            <w:tcW w:w="60" w:type="dxa"/>
            <w:tcBorders/>
            <w:shd w:fill="FFFFFF" w:val="clear"/>
            <w:vAlign w:val="center"/>
          </w:tcPr>
          <w:p>
            <w:pPr>
              <w:pStyle w:val="TableContents"/>
              <w:spacing w:before="0" w:after="283"/>
              <w:rPr/>
            </w:pPr>
            <w:r>
              <w:rPr/>
              <w:t> </w:t>
            </w:r>
          </w:p>
        </w:tc>
        <w:tc>
          <w:tcPr>
            <w:tcW w:w="209" w:type="dxa"/>
            <w:tcBorders/>
            <w:shd w:fill="FFFFFF" w:val="clear"/>
            <w:vAlign w:val="center"/>
          </w:tcPr>
          <w:p>
            <w:pPr>
              <w:pStyle w:val="TableContents"/>
              <w:spacing w:before="0" w:after="283"/>
              <w:rPr/>
            </w:pPr>
            <w:r>
              <w:rPr/>
              <w:t> </w:t>
            </w:r>
          </w:p>
        </w:tc>
        <w:tc>
          <w:tcPr>
            <w:tcW w:w="561" w:type="dxa"/>
            <w:tcBorders/>
            <w:shd w:fill="FFFFFF" w:val="clear"/>
            <w:vAlign w:val="center"/>
          </w:tcPr>
          <w:p>
            <w:pPr>
              <w:pStyle w:val="TableContents"/>
              <w:spacing w:before="0" w:after="283"/>
              <w:rPr>
                <w:sz w:val="4"/>
                <w:szCs w:val="4"/>
              </w:rPr>
            </w:pPr>
            <w:r>
              <w:rPr>
                <w:sz w:val="4"/>
                <w:szCs w:val="4"/>
              </w:rPr>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590" w:type="dxa"/>
            <w:tcBorders/>
            <w:shd w:fill="FFFFFF" w:val="clear"/>
            <w:vAlign w:val="center"/>
          </w:tcPr>
          <w:p>
            <w:pPr>
              <w:pStyle w:val="TableContents"/>
              <w:spacing w:before="0" w:after="283"/>
              <w:rPr>
                <w:sz w:val="4"/>
                <w:szCs w:val="4"/>
              </w:rPr>
            </w:pPr>
            <w:r>
              <w:rPr>
                <w:sz w:val="4"/>
                <w:szCs w:val="4"/>
              </w:rPr>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50" w:type="dxa"/>
            <w:tcBorders/>
            <w:shd w:fill="FFFFFF" w:val="clear"/>
            <w:vAlign w:val="center"/>
          </w:tcPr>
          <w:p>
            <w:pPr>
              <w:pStyle w:val="TableContents"/>
              <w:spacing w:before="0" w:after="283"/>
              <w:rPr>
                <w:sz w:val="4"/>
                <w:szCs w:val="4"/>
              </w:rPr>
            </w:pPr>
            <w:r>
              <w:rPr>
                <w:sz w:val="4"/>
                <w:szCs w:val="4"/>
              </w:rPr>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4" w:type="dxa"/>
            <w:tcBorders/>
            <w:shd w:fill="FFFFFF" w:val="clear"/>
            <w:vAlign w:val="center"/>
          </w:tcPr>
          <w:p>
            <w:pPr>
              <w:pStyle w:val="TableContents"/>
              <w:spacing w:before="0" w:after="283"/>
              <w:rPr/>
            </w:pPr>
            <w:r>
              <w:rPr/>
              <w:t> </w:t>
            </w:r>
          </w:p>
        </w:tc>
        <w:tc>
          <w:tcPr>
            <w:tcW w:w="636" w:type="dxa"/>
            <w:tcBorders/>
            <w:shd w:fill="FFFFFF" w:val="clear"/>
            <w:vAlign w:val="center"/>
          </w:tcPr>
          <w:p>
            <w:pPr>
              <w:pStyle w:val="TableContents"/>
              <w:spacing w:before="0" w:after="283"/>
              <w:rPr>
                <w:sz w:val="4"/>
                <w:szCs w:val="4"/>
              </w:rPr>
            </w:pPr>
            <w:r>
              <w:rPr>
                <w:sz w:val="4"/>
                <w:szCs w:val="4"/>
              </w:rPr>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590"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09" w:type="dxa"/>
            <w:tcBorders/>
            <w:shd w:fill="FFFFFF" w:val="clear"/>
            <w:vAlign w:val="center"/>
          </w:tcPr>
          <w:p>
            <w:pPr>
              <w:pStyle w:val="TableContents"/>
              <w:spacing w:before="0" w:after="283"/>
              <w:rPr/>
            </w:pPr>
            <w:r>
              <w:rPr/>
              <w:t> </w:t>
            </w:r>
          </w:p>
        </w:tc>
        <w:tc>
          <w:tcPr>
            <w:tcW w:w="561"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590"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w:t>
            </w:r>
          </w:p>
        </w:tc>
        <w:tc>
          <w:tcPr>
            <w:tcW w:w="8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50" w:type="dxa"/>
            <w:tcBorders/>
            <w:shd w:fill="FFFFFF" w:val="clear"/>
            <w:vAlign w:val="center"/>
          </w:tcPr>
          <w:p>
            <w:pPr>
              <w:pStyle w:val="TableContents"/>
              <w:spacing w:before="0" w:after="283"/>
              <w:rPr>
                <w:sz w:val="4"/>
                <w:szCs w:val="4"/>
              </w:rPr>
            </w:pPr>
            <w:r>
              <w:rPr>
                <w:sz w:val="4"/>
                <w:szCs w:val="4"/>
              </w:rPr>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50" w:type="dxa"/>
            <w:tcBorders/>
            <w:shd w:fill="FFFFFF" w:val="clear"/>
            <w:vAlign w:val="center"/>
          </w:tcPr>
          <w:p>
            <w:pPr>
              <w:pStyle w:val="TableContents"/>
              <w:spacing w:before="0" w:after="283"/>
              <w:rPr>
                <w:sz w:val="4"/>
                <w:szCs w:val="4"/>
              </w:rPr>
            </w:pPr>
            <w:r>
              <w:rPr>
                <w:sz w:val="4"/>
                <w:szCs w:val="4"/>
              </w:rPr>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50"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w:t>
            </w:r>
          </w:p>
        </w:tc>
        <w:tc>
          <w:tcPr>
            <w:tcW w:w="260" w:type="dxa"/>
            <w:tcBorders/>
            <w:shd w:fill="FFFFFF" w:val="clear"/>
            <w:vAlign w:val="center"/>
          </w:tcPr>
          <w:p>
            <w:pPr>
              <w:pStyle w:val="TableContents"/>
              <w:spacing w:before="0" w:after="283"/>
              <w:ind w:left="0" w:right="0" w:firstLine="180"/>
              <w:rPr/>
            </w:pPr>
            <w:r>
              <w:rPr/>
              <w:t> </w:t>
            </w:r>
          </w:p>
        </w:tc>
      </w:tr>
      <w:tr>
        <w:trPr/>
        <w:tc>
          <w:tcPr>
            <w:tcW w:w="1430" w:type="dxa"/>
            <w:tcBorders/>
            <w:shd w:fill="CCEEFF" w:val="clear"/>
            <w:vAlign w:val="center"/>
          </w:tcPr>
          <w:p>
            <w:pPr>
              <w:pStyle w:val="TableContents"/>
              <w:spacing w:before="0" w:after="0"/>
              <w:ind w:left="0" w:right="0" w:firstLine="180"/>
              <w:rPr>
                <w:rFonts w:ascii="Times New Roman;Times;serif" w:hAnsi="Times New Roman;Times;serif"/>
                <w:sz w:val="20"/>
              </w:rPr>
            </w:pPr>
            <w:r>
              <w:rPr>
                <w:rFonts w:ascii="Times New Roman;Times;serif" w:hAnsi="Times New Roman;Times;serif"/>
                <w:sz w:val="20"/>
              </w:rPr>
              <w:t>Stock-based compensation</w:t>
            </w:r>
          </w:p>
        </w:tc>
        <w:tc>
          <w:tcPr>
            <w:tcW w:w="60" w:type="dxa"/>
            <w:tcBorders/>
            <w:shd w:fill="CCEEFF" w:val="clear"/>
            <w:vAlign w:val="center"/>
          </w:tcPr>
          <w:p>
            <w:pPr>
              <w:pStyle w:val="TableContents"/>
              <w:spacing w:before="0" w:after="283"/>
              <w:rPr/>
            </w:pPr>
            <w:r>
              <w:rPr/>
              <w:t> </w:t>
            </w:r>
          </w:p>
        </w:tc>
        <w:tc>
          <w:tcPr>
            <w:tcW w:w="209" w:type="dxa"/>
            <w:tcBorders/>
            <w:shd w:fill="CCEEFF" w:val="clear"/>
            <w:vAlign w:val="center"/>
          </w:tcPr>
          <w:p>
            <w:pPr>
              <w:pStyle w:val="TableContents"/>
              <w:spacing w:before="0" w:after="283"/>
              <w:rPr/>
            </w:pPr>
            <w:r>
              <w:rPr/>
              <w:t> </w:t>
            </w:r>
          </w:p>
        </w:tc>
        <w:tc>
          <w:tcPr>
            <w:tcW w:w="561" w:type="dxa"/>
            <w:tcBorders/>
            <w:shd w:fill="CCEEFF" w:val="clear"/>
            <w:vAlign w:val="center"/>
          </w:tcPr>
          <w:p>
            <w:pPr>
              <w:pStyle w:val="TableContents"/>
              <w:spacing w:before="0" w:after="283"/>
              <w:rPr>
                <w:sz w:val="4"/>
                <w:szCs w:val="4"/>
              </w:rPr>
            </w:pPr>
            <w:r>
              <w:rPr>
                <w:sz w:val="4"/>
                <w:szCs w:val="4"/>
              </w:rPr>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590"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370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50" w:type="dxa"/>
            <w:tcBorders/>
            <w:shd w:fill="CCEEFF" w:val="clear"/>
            <w:vAlign w:val="center"/>
          </w:tcPr>
          <w:p>
            <w:pPr>
              <w:pStyle w:val="TableContents"/>
              <w:spacing w:before="0" w:after="283"/>
              <w:rPr>
                <w:sz w:val="4"/>
                <w:szCs w:val="4"/>
              </w:rPr>
            </w:pPr>
            <w:r>
              <w:rPr>
                <w:sz w:val="4"/>
                <w:szCs w:val="4"/>
              </w:rPr>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4" w:type="dxa"/>
            <w:tcBorders/>
            <w:shd w:fill="CCEEFF" w:val="clear"/>
            <w:vAlign w:val="center"/>
          </w:tcPr>
          <w:p>
            <w:pPr>
              <w:pStyle w:val="TableContents"/>
              <w:spacing w:before="0" w:after="283"/>
              <w:rPr/>
            </w:pPr>
            <w:r>
              <w:rPr/>
              <w:t> </w:t>
            </w:r>
          </w:p>
        </w:tc>
        <w:tc>
          <w:tcPr>
            <w:tcW w:w="636"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590"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370</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09" w:type="dxa"/>
            <w:tcBorders/>
            <w:shd w:fill="CCEEFF" w:val="clear"/>
            <w:vAlign w:val="center"/>
          </w:tcPr>
          <w:p>
            <w:pPr>
              <w:pStyle w:val="TableContents"/>
              <w:spacing w:before="0" w:after="283"/>
              <w:rPr/>
            </w:pPr>
            <w:r>
              <w:rPr/>
              <w:t> </w:t>
            </w:r>
          </w:p>
        </w:tc>
        <w:tc>
          <w:tcPr>
            <w:tcW w:w="561"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590"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417</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50" w:type="dxa"/>
            <w:tcBorders/>
            <w:shd w:fill="CCEEFF" w:val="clear"/>
            <w:vAlign w:val="center"/>
          </w:tcPr>
          <w:p>
            <w:pPr>
              <w:pStyle w:val="TableContents"/>
              <w:spacing w:before="0" w:after="283"/>
              <w:rPr>
                <w:sz w:val="4"/>
                <w:szCs w:val="4"/>
              </w:rPr>
            </w:pPr>
            <w:r>
              <w:rPr>
                <w:sz w:val="4"/>
                <w:szCs w:val="4"/>
              </w:rPr>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50" w:type="dxa"/>
            <w:tcBorders/>
            <w:shd w:fill="CCEEFF" w:val="clear"/>
            <w:vAlign w:val="center"/>
          </w:tcPr>
          <w:p>
            <w:pPr>
              <w:pStyle w:val="TableContents"/>
              <w:spacing w:before="0" w:after="283"/>
              <w:rPr>
                <w:sz w:val="4"/>
                <w:szCs w:val="4"/>
              </w:rPr>
            </w:pPr>
            <w:r>
              <w:rPr>
                <w:sz w:val="4"/>
                <w:szCs w:val="4"/>
              </w:rPr>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50"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417</w:t>
            </w:r>
          </w:p>
        </w:tc>
        <w:tc>
          <w:tcPr>
            <w:tcW w:w="260" w:type="dxa"/>
            <w:tcBorders/>
            <w:shd w:fill="CCEEFF" w:val="clear"/>
            <w:vAlign w:val="center"/>
          </w:tcPr>
          <w:p>
            <w:pPr>
              <w:pStyle w:val="TableContents"/>
              <w:spacing w:before="0" w:after="283"/>
              <w:ind w:left="0" w:right="0" w:firstLine="180"/>
              <w:rPr/>
            </w:pPr>
            <w:r>
              <w:rPr/>
              <w:t> </w:t>
            </w:r>
          </w:p>
        </w:tc>
      </w:tr>
      <w:tr>
        <w:trPr/>
        <w:tc>
          <w:tcPr>
            <w:tcW w:w="1430" w:type="dxa"/>
            <w:tcBorders/>
            <w:shd w:fill="FFFFFF" w:val="clear"/>
            <w:vAlign w:val="center"/>
          </w:tcPr>
          <w:p>
            <w:pPr>
              <w:pStyle w:val="TableContents"/>
              <w:spacing w:before="0" w:after="0"/>
              <w:ind w:left="0" w:right="0" w:firstLine="180"/>
              <w:rPr>
                <w:rFonts w:ascii="Times New Roman;Times;serif" w:hAnsi="Times New Roman;Times;serif"/>
                <w:sz w:val="20"/>
              </w:rPr>
            </w:pPr>
            <w:r>
              <w:rPr>
                <w:rFonts w:ascii="Times New Roman;Times;serif" w:hAnsi="Times New Roman;Times;serif"/>
                <w:sz w:val="20"/>
              </w:rPr>
              <w:t>Shares withheld in lieu of tax withholdings</w:t>
            </w:r>
          </w:p>
        </w:tc>
        <w:tc>
          <w:tcPr>
            <w:tcW w:w="60" w:type="dxa"/>
            <w:tcBorders/>
            <w:shd w:fill="FFFFFF" w:val="clear"/>
            <w:vAlign w:val="center"/>
          </w:tcPr>
          <w:p>
            <w:pPr>
              <w:pStyle w:val="TableContents"/>
              <w:spacing w:before="0" w:after="283"/>
              <w:rPr/>
            </w:pPr>
            <w:r>
              <w:rPr/>
              <w:t> </w:t>
            </w:r>
          </w:p>
        </w:tc>
        <w:tc>
          <w:tcPr>
            <w:tcW w:w="209" w:type="dxa"/>
            <w:tcBorders/>
            <w:shd w:fill="FFFFFF" w:val="clear"/>
            <w:vAlign w:val="center"/>
          </w:tcPr>
          <w:p>
            <w:pPr>
              <w:pStyle w:val="TableContents"/>
              <w:spacing w:before="0" w:after="283"/>
              <w:rPr/>
            </w:pPr>
            <w:r>
              <w:rPr/>
              <w:t> </w:t>
            </w:r>
          </w:p>
        </w:tc>
        <w:tc>
          <w:tcPr>
            <w:tcW w:w="561" w:type="dxa"/>
            <w:tcBorders/>
            <w:shd w:fill="FFFFFF" w:val="clear"/>
            <w:vAlign w:val="center"/>
          </w:tcPr>
          <w:p>
            <w:pPr>
              <w:pStyle w:val="TableContents"/>
              <w:spacing w:before="0" w:after="283"/>
              <w:rPr>
                <w:sz w:val="4"/>
                <w:szCs w:val="4"/>
              </w:rPr>
            </w:pPr>
            <w:r>
              <w:rPr>
                <w:sz w:val="4"/>
                <w:szCs w:val="4"/>
              </w:rPr>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590" w:type="dxa"/>
            <w:tcBorders/>
            <w:shd w:fill="FFFFFF" w:val="clear"/>
            <w:vAlign w:val="center"/>
          </w:tcPr>
          <w:p>
            <w:pPr>
              <w:pStyle w:val="TableContents"/>
              <w:spacing w:before="0" w:after="283"/>
              <w:rPr>
                <w:sz w:val="4"/>
                <w:szCs w:val="4"/>
              </w:rPr>
            </w:pPr>
            <w:r>
              <w:rPr>
                <w:sz w:val="4"/>
                <w:szCs w:val="4"/>
              </w:rPr>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50" w:type="dxa"/>
            <w:tcBorders/>
            <w:shd w:fill="FFFFFF" w:val="clear"/>
            <w:vAlign w:val="center"/>
          </w:tcPr>
          <w:p>
            <w:pPr>
              <w:pStyle w:val="TableContents"/>
              <w:spacing w:before="0" w:after="283"/>
              <w:rPr>
                <w:sz w:val="4"/>
                <w:szCs w:val="4"/>
              </w:rPr>
            </w:pPr>
            <w:r>
              <w:rPr>
                <w:sz w:val="4"/>
                <w:szCs w:val="4"/>
              </w:rPr>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4" w:type="dxa"/>
            <w:tcBorders/>
            <w:shd w:fill="FFFFFF" w:val="clear"/>
            <w:vAlign w:val="center"/>
          </w:tcPr>
          <w:p>
            <w:pPr>
              <w:pStyle w:val="TableContents"/>
              <w:spacing w:before="0" w:after="283"/>
              <w:rPr/>
            </w:pPr>
            <w:r>
              <w:rPr/>
              <w:t> </w:t>
            </w:r>
          </w:p>
        </w:tc>
        <w:tc>
          <w:tcPr>
            <w:tcW w:w="636" w:type="dxa"/>
            <w:tcBorders/>
            <w:shd w:fill="FFFFFF" w:val="clear"/>
            <w:vAlign w:val="center"/>
          </w:tcPr>
          <w:p>
            <w:pPr>
              <w:pStyle w:val="TableContents"/>
              <w:spacing w:before="0" w:after="283"/>
              <w:rPr>
                <w:sz w:val="4"/>
                <w:szCs w:val="4"/>
              </w:rPr>
            </w:pPr>
            <w:r>
              <w:rPr>
                <w:sz w:val="4"/>
                <w:szCs w:val="4"/>
              </w:rPr>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590"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09" w:type="dxa"/>
            <w:tcBorders/>
            <w:shd w:fill="FFFFFF" w:val="clear"/>
            <w:vAlign w:val="center"/>
          </w:tcPr>
          <w:p>
            <w:pPr>
              <w:pStyle w:val="TableContents"/>
              <w:spacing w:before="0" w:after="283"/>
              <w:rPr/>
            </w:pPr>
            <w:r>
              <w:rPr/>
              <w:t> </w:t>
            </w:r>
          </w:p>
        </w:tc>
        <w:tc>
          <w:tcPr>
            <w:tcW w:w="561" w:type="dxa"/>
            <w:tcBorders/>
            <w:shd w:fill="FFFFFF" w:val="clear"/>
            <w:vAlign w:val="center"/>
          </w:tcPr>
          <w:p>
            <w:pPr>
              <w:pStyle w:val="TableContents"/>
              <w:spacing w:before="0" w:after="283"/>
              <w:rPr>
                <w:sz w:val="4"/>
                <w:szCs w:val="4"/>
              </w:rPr>
            </w:pPr>
            <w:r>
              <w:rPr>
                <w:sz w:val="4"/>
                <w:szCs w:val="4"/>
              </w:rPr>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590" w:type="dxa"/>
            <w:tcBorders/>
            <w:shd w:fill="FFFFFF" w:val="clear"/>
            <w:vAlign w:val="center"/>
          </w:tcPr>
          <w:p>
            <w:pPr>
              <w:pStyle w:val="TableContents"/>
              <w:spacing w:before="0" w:after="283"/>
              <w:rPr>
                <w:sz w:val="4"/>
                <w:szCs w:val="4"/>
              </w:rPr>
            </w:pPr>
            <w:r>
              <w:rPr>
                <w:sz w:val="4"/>
                <w:szCs w:val="4"/>
              </w:rPr>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50" w:type="dxa"/>
            <w:tcBorders/>
            <w:shd w:fill="FFFFFF" w:val="clear"/>
            <w:vAlign w:val="center"/>
          </w:tcPr>
          <w:p>
            <w:pPr>
              <w:pStyle w:val="TableContents"/>
              <w:spacing w:before="0" w:after="283"/>
              <w:rPr>
                <w:sz w:val="4"/>
                <w:szCs w:val="4"/>
              </w:rPr>
            </w:pPr>
            <w:r>
              <w:rPr>
                <w:sz w:val="4"/>
                <w:szCs w:val="4"/>
              </w:rPr>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50" w:type="dxa"/>
            <w:tcBorders/>
            <w:shd w:fill="FFFFFF" w:val="clear"/>
            <w:vAlign w:val="center"/>
          </w:tcPr>
          <w:p>
            <w:pPr>
              <w:pStyle w:val="TableContents"/>
              <w:spacing w:before="0" w:after="283"/>
              <w:rPr>
                <w:sz w:val="4"/>
                <w:szCs w:val="4"/>
              </w:rPr>
            </w:pPr>
            <w:r>
              <w:rPr>
                <w:sz w:val="4"/>
                <w:szCs w:val="4"/>
              </w:rPr>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50"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260" w:type="dxa"/>
            <w:tcBorders/>
            <w:shd w:fill="FFFFFF" w:val="clear"/>
            <w:vAlign w:val="center"/>
          </w:tcPr>
          <w:p>
            <w:pPr>
              <w:pStyle w:val="TableContents"/>
              <w:spacing w:before="0" w:after="283"/>
              <w:rPr/>
            </w:pPr>
            <w:r>
              <w:rPr/>
              <w:t> </w:t>
            </w:r>
          </w:p>
        </w:tc>
      </w:tr>
      <w:tr>
        <w:trPr/>
        <w:tc>
          <w:tcPr>
            <w:tcW w:w="1430" w:type="dxa"/>
            <w:tcBorders/>
            <w:shd w:fill="CCEEFF" w:val="clear"/>
            <w:vAlign w:val="center"/>
          </w:tcPr>
          <w:p>
            <w:pPr>
              <w:pStyle w:val="TableContents"/>
              <w:spacing w:before="0" w:after="0"/>
              <w:ind w:left="180" w:right="0" w:hanging="0"/>
              <w:rPr>
                <w:rFonts w:ascii="Times New Roman;Times;serif" w:hAnsi="Times New Roman;Times;serif"/>
                <w:sz w:val="20"/>
              </w:rPr>
            </w:pPr>
            <w:r>
              <w:rPr>
                <w:rFonts w:ascii="Times New Roman;Times;serif" w:hAnsi="Times New Roman;Times;serif"/>
                <w:sz w:val="20"/>
              </w:rPr>
              <w:t>Other</w:t>
            </w:r>
          </w:p>
        </w:tc>
        <w:tc>
          <w:tcPr>
            <w:tcW w:w="60" w:type="dxa"/>
            <w:tcBorders/>
            <w:shd w:fill="CCEEFF" w:val="clear"/>
            <w:vAlign w:val="center"/>
          </w:tcPr>
          <w:p>
            <w:pPr>
              <w:pStyle w:val="TableContents"/>
              <w:spacing w:before="0" w:after="283"/>
              <w:rPr/>
            </w:pPr>
            <w:r>
              <w:rPr/>
              <w:t> </w:t>
            </w:r>
          </w:p>
        </w:tc>
        <w:tc>
          <w:tcPr>
            <w:tcW w:w="209" w:type="dxa"/>
            <w:tcBorders/>
            <w:shd w:fill="CCEEFF" w:val="clear"/>
            <w:vAlign w:val="center"/>
          </w:tcPr>
          <w:p>
            <w:pPr>
              <w:pStyle w:val="TableContents"/>
              <w:spacing w:before="0" w:after="283"/>
              <w:rPr/>
            </w:pPr>
            <w:r>
              <w:rPr/>
              <w:t> </w:t>
            </w:r>
          </w:p>
        </w:tc>
        <w:tc>
          <w:tcPr>
            <w:tcW w:w="561"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w:t>
            </w:r>
          </w:p>
        </w:tc>
        <w:tc>
          <w:tcPr>
            <w:tcW w:w="80"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590"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50" w:type="dxa"/>
            <w:tcBorders/>
            <w:shd w:fill="CCEEFF" w:val="clear"/>
            <w:vAlign w:val="center"/>
          </w:tcPr>
          <w:p>
            <w:pPr>
              <w:pStyle w:val="TableContents"/>
              <w:spacing w:before="0" w:after="283"/>
              <w:rPr>
                <w:sz w:val="4"/>
                <w:szCs w:val="4"/>
              </w:rPr>
            </w:pPr>
            <w:r>
              <w:rPr>
                <w:sz w:val="4"/>
                <w:szCs w:val="4"/>
              </w:rPr>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4" w:type="dxa"/>
            <w:tcBorders/>
            <w:shd w:fill="CCEEFF" w:val="clear"/>
            <w:vAlign w:val="center"/>
          </w:tcPr>
          <w:p>
            <w:pPr>
              <w:pStyle w:val="TableContents"/>
              <w:spacing w:before="0" w:after="283"/>
              <w:rPr/>
            </w:pPr>
            <w:r>
              <w:rPr/>
              <w:t> </w:t>
            </w:r>
          </w:p>
        </w:tc>
        <w:tc>
          <w:tcPr>
            <w:tcW w:w="636"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590"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09" w:type="dxa"/>
            <w:tcBorders/>
            <w:shd w:fill="CCEEFF" w:val="clear"/>
            <w:vAlign w:val="center"/>
          </w:tcPr>
          <w:p>
            <w:pPr>
              <w:pStyle w:val="TableContents"/>
              <w:spacing w:before="0" w:after="283"/>
              <w:rPr/>
            </w:pPr>
            <w:r>
              <w:rPr/>
              <w:t> </w:t>
            </w:r>
          </w:p>
        </w:tc>
        <w:tc>
          <w:tcPr>
            <w:tcW w:w="561"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590"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w:t>
            </w:r>
          </w:p>
        </w:tc>
        <w:tc>
          <w:tcPr>
            <w:tcW w:w="80"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50"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w:t>
            </w:r>
          </w:p>
        </w:tc>
        <w:tc>
          <w:tcPr>
            <w:tcW w:w="80"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50"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50"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w:t>
            </w:r>
          </w:p>
        </w:tc>
        <w:tc>
          <w:tcPr>
            <w:tcW w:w="260" w:type="dxa"/>
            <w:tcBorders/>
            <w:shd w:fill="CCEEFF" w:val="clear"/>
            <w:vAlign w:val="center"/>
          </w:tcPr>
          <w:p>
            <w:pPr>
              <w:pStyle w:val="TableContents"/>
              <w:spacing w:before="0" w:after="283"/>
              <w:ind w:left="0" w:right="0" w:firstLine="180"/>
              <w:rPr>
                <w:rFonts w:ascii="Times New Roman;Times;serif" w:hAnsi="Times New Roman;Times;serif"/>
                <w:sz w:val="20"/>
              </w:rPr>
            </w:pPr>
            <w:r>
              <w:rPr>
                <w:rFonts w:ascii="Times New Roman;Times;serif" w:hAnsi="Times New Roman;Times;serif"/>
                <w:sz w:val="20"/>
              </w:rPr>
              <w:t>)</w:t>
            </w:r>
          </w:p>
        </w:tc>
      </w:tr>
      <w:tr>
        <w:trPr/>
        <w:tc>
          <w:tcPr>
            <w:tcW w:w="1430" w:type="dxa"/>
            <w:tcBorders/>
            <w:shd w:fill="FFFFFF" w:val="clear"/>
            <w:vAlign w:val="center"/>
          </w:tcPr>
          <w:p>
            <w:pPr>
              <w:pStyle w:val="TableContents"/>
              <w:spacing w:before="0" w:after="0"/>
              <w:ind w:left="0" w:right="0" w:firstLine="180"/>
              <w:rPr>
                <w:rFonts w:ascii="Times New Roman;Times;serif" w:hAnsi="Times New Roman;Times;serif"/>
                <w:sz w:val="20"/>
              </w:rPr>
            </w:pPr>
            <w:r>
              <w:rPr>
                <w:rFonts w:ascii="Times New Roman;Times;serif" w:hAnsi="Times New Roman;Times;serif"/>
                <w:sz w:val="20"/>
              </w:rPr>
              <w:t>Other comprehensive income (loss)</w:t>
            </w:r>
          </w:p>
        </w:tc>
        <w:tc>
          <w:tcPr>
            <w:tcW w:w="60" w:type="dxa"/>
            <w:tcBorders/>
            <w:shd w:fill="FFFFFF" w:val="clear"/>
            <w:vAlign w:val="center"/>
          </w:tcPr>
          <w:p>
            <w:pPr>
              <w:pStyle w:val="TableContents"/>
              <w:spacing w:before="0" w:after="283"/>
              <w:rPr/>
            </w:pPr>
            <w:r>
              <w:rPr/>
              <w:t> </w:t>
            </w:r>
          </w:p>
        </w:tc>
        <w:tc>
          <w:tcPr>
            <w:tcW w:w="209" w:type="dxa"/>
            <w:tcBorders/>
            <w:shd w:fill="FFFFFF" w:val="clear"/>
            <w:vAlign w:val="center"/>
          </w:tcPr>
          <w:p>
            <w:pPr>
              <w:pStyle w:val="TableContents"/>
              <w:spacing w:before="0" w:after="283"/>
              <w:rPr/>
            </w:pPr>
            <w:r>
              <w:rPr/>
              <w:t> </w:t>
            </w:r>
          </w:p>
        </w:tc>
        <w:tc>
          <w:tcPr>
            <w:tcW w:w="561" w:type="dxa"/>
            <w:tcBorders/>
            <w:shd w:fill="FFFFFF" w:val="clear"/>
            <w:vAlign w:val="center"/>
          </w:tcPr>
          <w:p>
            <w:pPr>
              <w:pStyle w:val="TableContents"/>
              <w:spacing w:before="0" w:after="283"/>
              <w:rPr>
                <w:sz w:val="4"/>
                <w:szCs w:val="4"/>
              </w:rPr>
            </w:pPr>
            <w:r>
              <w:rPr>
                <w:sz w:val="4"/>
                <w:szCs w:val="4"/>
              </w:rPr>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590" w:type="dxa"/>
            <w:tcBorders/>
            <w:shd w:fill="FFFFFF" w:val="clear"/>
            <w:vAlign w:val="center"/>
          </w:tcPr>
          <w:p>
            <w:pPr>
              <w:pStyle w:val="TableContents"/>
              <w:spacing w:before="0" w:after="283"/>
              <w:rPr>
                <w:sz w:val="4"/>
                <w:szCs w:val="4"/>
              </w:rPr>
            </w:pPr>
            <w:r>
              <w:rPr>
                <w:sz w:val="4"/>
                <w:szCs w:val="4"/>
              </w:rPr>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50"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(47</w:t>
            </w:r>
          </w:p>
        </w:tc>
        <w:tc>
          <w:tcPr>
            <w:tcW w:w="8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spacing w:before="0" w:after="283"/>
              <w:rPr/>
            </w:pPr>
            <w:r>
              <w:rPr/>
              <w:t> </w:t>
            </w:r>
          </w:p>
        </w:tc>
        <w:tc>
          <w:tcPr>
            <w:tcW w:w="134" w:type="dxa"/>
            <w:tcBorders/>
            <w:shd w:fill="FFFFFF" w:val="clear"/>
            <w:vAlign w:val="center"/>
          </w:tcPr>
          <w:p>
            <w:pPr>
              <w:pStyle w:val="TableContents"/>
              <w:spacing w:before="0" w:after="283"/>
              <w:rPr/>
            </w:pPr>
            <w:r>
              <w:rPr/>
              <w:t> </w:t>
            </w:r>
          </w:p>
        </w:tc>
        <w:tc>
          <w:tcPr>
            <w:tcW w:w="636" w:type="dxa"/>
            <w:tcBorders/>
            <w:shd w:fill="FFFFFF" w:val="clear"/>
            <w:vAlign w:val="center"/>
          </w:tcPr>
          <w:p>
            <w:pPr>
              <w:pStyle w:val="TableContents"/>
              <w:spacing w:before="0" w:after="283"/>
              <w:rPr>
                <w:sz w:val="4"/>
                <w:szCs w:val="4"/>
              </w:rPr>
            </w:pPr>
            <w:r>
              <w:rPr>
                <w:sz w:val="4"/>
                <w:szCs w:val="4"/>
              </w:rPr>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590"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(47</w:t>
            </w:r>
          </w:p>
        </w:tc>
        <w:tc>
          <w:tcPr>
            <w:tcW w:w="8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spacing w:before="0" w:after="283"/>
              <w:rPr/>
            </w:pPr>
            <w:r>
              <w:rPr/>
              <w:t> </w:t>
            </w:r>
          </w:p>
        </w:tc>
        <w:tc>
          <w:tcPr>
            <w:tcW w:w="209" w:type="dxa"/>
            <w:tcBorders/>
            <w:shd w:fill="FFFFFF" w:val="clear"/>
            <w:vAlign w:val="center"/>
          </w:tcPr>
          <w:p>
            <w:pPr>
              <w:pStyle w:val="TableContents"/>
              <w:spacing w:before="0" w:after="283"/>
              <w:rPr/>
            </w:pPr>
            <w:r>
              <w:rPr/>
              <w:t> </w:t>
            </w:r>
          </w:p>
        </w:tc>
        <w:tc>
          <w:tcPr>
            <w:tcW w:w="561" w:type="dxa"/>
            <w:tcBorders/>
            <w:shd w:fill="FFFFFF" w:val="clear"/>
            <w:vAlign w:val="center"/>
          </w:tcPr>
          <w:p>
            <w:pPr>
              <w:pStyle w:val="TableContents"/>
              <w:spacing w:before="0" w:after="283"/>
              <w:rPr>
                <w:sz w:val="4"/>
                <w:szCs w:val="4"/>
              </w:rPr>
            </w:pPr>
            <w:r>
              <w:rPr>
                <w:sz w:val="4"/>
                <w:szCs w:val="4"/>
              </w:rPr>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590" w:type="dxa"/>
            <w:tcBorders/>
            <w:shd w:fill="FFFFFF" w:val="clear"/>
            <w:vAlign w:val="center"/>
          </w:tcPr>
          <w:p>
            <w:pPr>
              <w:pStyle w:val="TableContents"/>
              <w:spacing w:before="0" w:after="283"/>
              <w:rPr>
                <w:sz w:val="4"/>
                <w:szCs w:val="4"/>
              </w:rPr>
            </w:pPr>
            <w:r>
              <w:rPr>
                <w:sz w:val="4"/>
                <w:szCs w:val="4"/>
              </w:rPr>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50"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(429</w:t>
            </w:r>
          </w:p>
        </w:tc>
        <w:tc>
          <w:tcPr>
            <w:tcW w:w="8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50" w:type="dxa"/>
            <w:tcBorders/>
            <w:shd w:fill="FFFFFF" w:val="clear"/>
            <w:vAlign w:val="center"/>
          </w:tcPr>
          <w:p>
            <w:pPr>
              <w:pStyle w:val="TableContents"/>
              <w:spacing w:before="0" w:after="283"/>
              <w:rPr>
                <w:sz w:val="4"/>
                <w:szCs w:val="4"/>
              </w:rPr>
            </w:pPr>
            <w:r>
              <w:rPr>
                <w:sz w:val="4"/>
                <w:szCs w:val="4"/>
              </w:rPr>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50"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(429</w:t>
            </w:r>
          </w:p>
        </w:tc>
        <w:tc>
          <w:tcPr>
            <w:tcW w:w="260" w:type="dxa"/>
            <w:tcBorders/>
            <w:shd w:fill="FFFFFF" w:val="clear"/>
            <w:vAlign w:val="center"/>
          </w:tcPr>
          <w:p>
            <w:pPr>
              <w:pStyle w:val="TableContents"/>
              <w:spacing w:before="0" w:after="283"/>
              <w:ind w:left="0" w:right="0" w:firstLine="180"/>
              <w:rPr>
                <w:rFonts w:ascii="Times New Roman;Times;serif" w:hAnsi="Times New Roman;Times;serif"/>
                <w:sz w:val="20"/>
              </w:rPr>
            </w:pPr>
            <w:r>
              <w:rPr>
                <w:rFonts w:ascii="Times New Roman;Times;serif" w:hAnsi="Times New Roman;Times;serif"/>
                <w:sz w:val="20"/>
              </w:rPr>
              <w:t>)</w:t>
            </w:r>
          </w:p>
        </w:tc>
      </w:tr>
      <w:tr>
        <w:trPr/>
        <w:tc>
          <w:tcPr>
            <w:tcW w:w="1430" w:type="dxa"/>
            <w:tcBorders/>
            <w:shd w:fill="CCEEFF" w:val="clear"/>
            <w:vAlign w:val="center"/>
          </w:tcPr>
          <w:p>
            <w:pPr>
              <w:pStyle w:val="TableContents"/>
              <w:spacing w:before="0" w:after="0"/>
              <w:ind w:left="0" w:right="0" w:firstLine="180"/>
              <w:rPr>
                <w:rFonts w:ascii="Times New Roman;Times;serif" w:hAnsi="Times New Roman;Times;serif"/>
                <w:sz w:val="20"/>
              </w:rPr>
            </w:pPr>
            <w:r>
              <w:rPr>
                <w:rFonts w:ascii="Times New Roman;Times;serif" w:hAnsi="Times New Roman;Times;serif"/>
                <w:sz w:val="20"/>
              </w:rPr>
              <w:t>Net income (loss)</w:t>
            </w:r>
          </w:p>
        </w:tc>
        <w:tc>
          <w:tcPr>
            <w:tcW w:w="60" w:type="dxa"/>
            <w:tcBorders/>
            <w:shd w:fill="CCEEFF" w:val="clear"/>
            <w:vAlign w:val="center"/>
          </w:tcPr>
          <w:p>
            <w:pPr>
              <w:pStyle w:val="TableContents"/>
              <w:spacing w:before="0" w:after="283"/>
              <w:ind w:left="0" w:right="0" w:hanging="0"/>
              <w:rPr/>
            </w:pPr>
            <w:r>
              <w:rPr/>
              <w:t> </w:t>
            </w:r>
          </w:p>
        </w:tc>
        <w:tc>
          <w:tcPr>
            <w:tcW w:w="209"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561" w:type="dxa"/>
            <w:tcBorders>
              <w:bottom w:val="single" w:sz="2" w:space="0" w:color="000000"/>
            </w:tcBorders>
            <w:shd w:fill="CCEEFF" w:val="clear"/>
            <w:tcMar>
              <w:bottom w:w="28" w:type="dxa"/>
            </w:tcMar>
            <w:vAlign w:val="center"/>
          </w:tcPr>
          <w:p>
            <w:pPr>
              <w:pStyle w:val="TableContents"/>
              <w:spacing w:before="0" w:after="283"/>
              <w:ind w:left="0" w:right="0" w:hanging="0"/>
              <w:rPr>
                <w:sz w:val="4"/>
                <w:szCs w:val="4"/>
              </w:rPr>
            </w:pPr>
            <w:r>
              <w:rPr>
                <w:sz w:val="4"/>
                <w:szCs w:val="4"/>
              </w:rPr>
            </w:r>
          </w:p>
        </w:tc>
        <w:tc>
          <w:tcPr>
            <w:tcW w:w="80" w:type="dxa"/>
            <w:tcBorders/>
            <w:shd w:fill="CCEEFF" w:val="clear"/>
            <w:vAlign w:val="center"/>
          </w:tcPr>
          <w:p>
            <w:pPr>
              <w:pStyle w:val="TableContents"/>
              <w:spacing w:before="0" w:after="0"/>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590" w:type="dxa"/>
            <w:tcBorders>
              <w:bottom w:val="single" w:sz="2"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50" w:type="dxa"/>
            <w:tcBorders>
              <w:bottom w:val="single" w:sz="2"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34"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36" w:type="dxa"/>
            <w:tcBorders>
              <w:bottom w:val="single" w:sz="2"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6,835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590" w:type="dxa"/>
            <w:tcBorders>
              <w:bottom w:val="single" w:sz="2"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6,835</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09"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561" w:type="dxa"/>
            <w:tcBorders>
              <w:bottom w:val="single" w:sz="2"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590" w:type="dxa"/>
            <w:tcBorders>
              <w:bottom w:val="single" w:sz="2"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50" w:type="dxa"/>
            <w:tcBorders>
              <w:bottom w:val="single" w:sz="2"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50" w:type="dxa"/>
            <w:tcBorders>
              <w:bottom w:val="single" w:sz="2"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(13,909</w:t>
            </w:r>
          </w:p>
        </w:tc>
        <w:tc>
          <w:tcPr>
            <w:tcW w:w="80"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50" w:type="dxa"/>
            <w:tcBorders>
              <w:bottom w:val="single" w:sz="2"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(13,909</w:t>
            </w:r>
          </w:p>
        </w:tc>
        <w:tc>
          <w:tcPr>
            <w:tcW w:w="260"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r>
      <w:tr>
        <w:trPr/>
        <w:tc>
          <w:tcPr>
            <w:tcW w:w="1430" w:type="dxa"/>
            <w:tcBorders/>
            <w:shd w:fill="FFFF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Balance, ending</w:t>
            </w:r>
          </w:p>
        </w:tc>
        <w:tc>
          <w:tcPr>
            <w:tcW w:w="60" w:type="dxa"/>
            <w:tcBorders/>
            <w:shd w:fill="FFFFFF" w:val="clear"/>
            <w:vAlign w:val="center"/>
          </w:tcPr>
          <w:p>
            <w:pPr>
              <w:pStyle w:val="TableContents"/>
              <w:spacing w:before="0" w:after="283"/>
              <w:ind w:left="0" w:right="0" w:hanging="0"/>
              <w:rPr/>
            </w:pPr>
            <w:r>
              <w:rPr/>
              <w:t> </w:t>
            </w:r>
          </w:p>
        </w:tc>
        <w:tc>
          <w:tcPr>
            <w:tcW w:w="209"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561"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160</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73,397</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(12,579</w:t>
            </w:r>
          </w:p>
        </w:tc>
        <w:tc>
          <w:tcPr>
            <w:tcW w:w="8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spacing w:before="0" w:after="283"/>
              <w:ind w:left="0" w:right="0" w:hanging="0"/>
              <w:rPr/>
            </w:pPr>
            <w:r>
              <w:rPr/>
              <w:t> </w:t>
            </w:r>
          </w:p>
        </w:tc>
        <w:tc>
          <w:tcPr>
            <w:tcW w:w="134"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636"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24,157</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85,135</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09"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561"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156</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71,906</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(12,339</w:t>
            </w:r>
          </w:p>
        </w:tc>
        <w:tc>
          <w:tcPr>
            <w:tcW w:w="8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(5,188</w:t>
            </w:r>
          </w:p>
        </w:tc>
        <w:tc>
          <w:tcPr>
            <w:tcW w:w="8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54,535</w:t>
            </w:r>
          </w:p>
        </w:tc>
        <w:tc>
          <w:tcPr>
            <w:tcW w:w="260" w:type="dxa"/>
            <w:tcBorders/>
            <w:shd w:fill="FFFFFF" w:val="clear"/>
            <w:vAlign w:val="center"/>
          </w:tcPr>
          <w:p>
            <w:pPr>
              <w:pStyle w:val="TableContents"/>
              <w:spacing w:before="0" w:after="283"/>
              <w:rPr/>
            </w:pPr>
            <w:r>
              <w:rPr/>
              <w:t> </w:t>
            </w:r>
          </w:p>
        </w:tc>
      </w:tr>
    </w:tbl>
    <w:p>
      <w:pPr>
        <w:pStyle w:val="TextBody"/>
        <w:spacing w:before="0" w:after="0"/>
        <w:ind w:left="144" w:right="144" w:hanging="0"/>
        <w:jc w:val="left"/>
        <w:rPr/>
      </w:pPr>
      <w:r>
        <w:rPr/>
        <w:t> </w:t>
      </w:r>
    </w:p>
    <w:p>
      <w:pPr>
        <w:pStyle w:val="TextBody"/>
        <w:spacing w:before="0" w:after="0"/>
        <w:ind w:left="0" w:right="0" w:hanging="0"/>
        <w:jc w:val="left"/>
        <w:rPr/>
      </w:pPr>
      <w:r>
        <w:rPr>
          <w:rFonts w:ascii="Times New Roman;Times;serif" w:hAnsi="Times New Roman;Times;serif"/>
          <w:sz w:val="20"/>
        </w:rPr>
        <w:t>(</w:t>
      </w:r>
      <w:r>
        <w:rPr>
          <w:rStyle w:val="Emphasis"/>
          <w:rFonts w:ascii="Times New Roman;Times;serif" w:hAnsi="Times New Roman;Times;serif"/>
          <w:sz w:val="20"/>
        </w:rPr>
        <w:t>1</w:t>
      </w:r>
      <w:r>
        <w:rPr>
          <w:rFonts w:ascii="Times New Roman;Times;serif" w:hAnsi="Times New Roman;Times;serif"/>
          <w:sz w:val="20"/>
        </w:rPr>
        <w:t>) - Additional paid-in capital (“APIC”)</w:t>
      </w:r>
    </w:p>
    <w:p>
      <w:pPr>
        <w:pStyle w:val="TextBody"/>
        <w:spacing w:before="0" w:after="0"/>
        <w:ind w:left="0" w:right="0" w:hanging="0"/>
        <w:jc w:val="left"/>
        <w:rPr/>
      </w:pPr>
      <w:r>
        <w:rPr>
          <w:rFonts w:ascii="Times New Roman;Times;serif" w:hAnsi="Times New Roman;Times;serif"/>
          <w:sz w:val="20"/>
        </w:rPr>
        <w:t>(</w:t>
      </w:r>
      <w:r>
        <w:rPr>
          <w:rStyle w:val="Emphasis"/>
          <w:rFonts w:ascii="Times New Roman;Times;serif" w:hAnsi="Times New Roman;Times;serif"/>
          <w:sz w:val="20"/>
        </w:rPr>
        <w:t>2</w:t>
      </w:r>
      <w:r>
        <w:rPr>
          <w:rFonts w:ascii="Times New Roman;Times;serif" w:hAnsi="Times New Roman;Times;serif"/>
          <w:sz w:val="20"/>
        </w:rPr>
        <w:t>) - Accumulated other comprehensive income (loss) (“AOCI”)</w:t>
      </w:r>
    </w:p>
    <w:p>
      <w:pPr>
        <w:pStyle w:val="TextBody"/>
        <w:spacing w:before="0" w:after="0"/>
        <w:ind w:left="0" w:right="0" w:hanging="0"/>
        <w:jc w:val="left"/>
        <w:rPr/>
      </w:pPr>
      <w:r>
        <w:rPr/>
        <w:t> </w:t>
      </w:r>
    </w:p>
    <w:tbl>
      <w:tblPr>
        <w:tblW w:w="10270" w:type="dxa"/>
        <w:jc w:val="left"/>
        <w:tblInd w:w="0" w:type="dxa"/>
        <w:tblCellMar>
          <w:top w:w="0" w:type="dxa"/>
          <w:left w:w="0" w:type="dxa"/>
          <w:bottom w:w="0" w:type="dxa"/>
          <w:right w:w="0" w:type="dxa"/>
        </w:tblCellMar>
      </w:tblPr>
      <w:tblGrid>
        <w:gridCol w:w="1280"/>
        <w:gridCol w:w="60"/>
        <w:gridCol w:w="209"/>
        <w:gridCol w:w="561"/>
        <w:gridCol w:w="80"/>
        <w:gridCol w:w="60"/>
        <w:gridCol w:w="125"/>
        <w:gridCol w:w="590"/>
        <w:gridCol w:w="80"/>
        <w:gridCol w:w="60"/>
        <w:gridCol w:w="125"/>
        <w:gridCol w:w="650"/>
        <w:gridCol w:w="80"/>
        <w:gridCol w:w="60"/>
        <w:gridCol w:w="139"/>
        <w:gridCol w:w="661"/>
        <w:gridCol w:w="60"/>
        <w:gridCol w:w="60"/>
        <w:gridCol w:w="125"/>
        <w:gridCol w:w="590"/>
        <w:gridCol w:w="80"/>
        <w:gridCol w:w="60"/>
        <w:gridCol w:w="209"/>
        <w:gridCol w:w="561"/>
        <w:gridCol w:w="80"/>
        <w:gridCol w:w="60"/>
        <w:gridCol w:w="125"/>
        <w:gridCol w:w="590"/>
        <w:gridCol w:w="80"/>
        <w:gridCol w:w="60"/>
        <w:gridCol w:w="125"/>
        <w:gridCol w:w="650"/>
        <w:gridCol w:w="80"/>
        <w:gridCol w:w="60"/>
        <w:gridCol w:w="129"/>
        <w:gridCol w:w="671"/>
        <w:gridCol w:w="80"/>
        <w:gridCol w:w="60"/>
        <w:gridCol w:w="125"/>
        <w:gridCol w:w="650"/>
        <w:gridCol w:w="80"/>
      </w:tblGrid>
      <w:tr>
        <w:trPr/>
        <w:tc>
          <w:tcPr>
            <w:tcW w:w="12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4315" w:type="dxa"/>
            <w:gridSpan w:val="18"/>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For the twenty-six weeks ended July 31, 2021</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4395" w:type="dxa"/>
            <w:gridSpan w:val="18"/>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For the twenty-six weeks ended August 1, 2020</w:t>
            </w:r>
          </w:p>
        </w:tc>
        <w:tc>
          <w:tcPr>
            <w:tcW w:w="80" w:type="dxa"/>
            <w:tcBorders/>
            <w:shd w:fill="FFFFFF" w:val="clear"/>
            <w:vAlign w:val="center"/>
          </w:tcPr>
          <w:p>
            <w:pPr>
              <w:pStyle w:val="TableContents"/>
              <w:spacing w:before="0" w:after="283"/>
              <w:rPr/>
            </w:pPr>
            <w:r>
              <w:rPr/>
              <w:t> </w:t>
            </w:r>
          </w:p>
        </w:tc>
      </w:tr>
      <w:tr>
        <w:trPr/>
        <w:tc>
          <w:tcPr>
            <w:tcW w:w="12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09" w:type="dxa"/>
            <w:tcBorders/>
            <w:shd w:fill="FFFFFF" w:val="clear"/>
            <w:vAlign w:val="center"/>
          </w:tcPr>
          <w:p>
            <w:pPr>
              <w:pStyle w:val="TableContents"/>
              <w:spacing w:before="0" w:after="283"/>
              <w:rPr/>
            </w:pPr>
            <w:r>
              <w:rPr/>
              <w:t> </w:t>
            </w:r>
          </w:p>
        </w:tc>
        <w:tc>
          <w:tcPr>
            <w:tcW w:w="561"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590"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50"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9" w:type="dxa"/>
            <w:tcBorders/>
            <w:shd w:fill="FFFFFF" w:val="clear"/>
            <w:vAlign w:val="center"/>
          </w:tcPr>
          <w:p>
            <w:pPr>
              <w:pStyle w:val="TableContents"/>
              <w:spacing w:before="0" w:after="283"/>
              <w:rPr/>
            </w:pPr>
            <w:r>
              <w:rPr/>
              <w:t> </w:t>
            </w:r>
          </w:p>
        </w:tc>
        <w:tc>
          <w:tcPr>
            <w:tcW w:w="661"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590"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09" w:type="dxa"/>
            <w:tcBorders/>
            <w:shd w:fill="FFFFFF" w:val="clear"/>
            <w:vAlign w:val="center"/>
          </w:tcPr>
          <w:p>
            <w:pPr>
              <w:pStyle w:val="TableContents"/>
              <w:spacing w:before="0" w:after="283"/>
              <w:rPr/>
            </w:pPr>
            <w:r>
              <w:rPr/>
              <w:t> </w:t>
            </w:r>
          </w:p>
        </w:tc>
        <w:tc>
          <w:tcPr>
            <w:tcW w:w="561"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590"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50"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9" w:type="dxa"/>
            <w:tcBorders/>
            <w:shd w:fill="FFFFFF" w:val="clear"/>
            <w:vAlign w:val="center"/>
          </w:tcPr>
          <w:p>
            <w:pPr>
              <w:pStyle w:val="TableContents"/>
              <w:spacing w:before="0" w:after="283"/>
              <w:rPr/>
            </w:pPr>
            <w:r>
              <w:rPr/>
              <w:t> </w:t>
            </w:r>
          </w:p>
        </w:tc>
        <w:tc>
          <w:tcPr>
            <w:tcW w:w="671"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50"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r>
      <w:tr>
        <w:trPr/>
        <w:tc>
          <w:tcPr>
            <w:tcW w:w="12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70"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Common</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590" w:type="dxa"/>
            <w:tcBorders/>
            <w:shd w:fill="FFFFFF" w:val="clear"/>
            <w:vAlign w:val="center"/>
          </w:tcPr>
          <w:p>
            <w:pPr>
              <w:pStyle w:val="TableContents"/>
              <w:spacing w:before="0" w:after="283"/>
              <w:jc w:val="center"/>
              <w:rPr/>
            </w:pPr>
            <w:r>
              <w:rPr>
                <w:rStyle w:val="Emphasis"/>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50" w:type="dxa"/>
            <w:tcBorders/>
            <w:shd w:fill="FFFFFF" w:val="clear"/>
            <w:vAlign w:val="center"/>
          </w:tcPr>
          <w:p>
            <w:pPr>
              <w:pStyle w:val="TableContents"/>
              <w:spacing w:before="0" w:after="283"/>
              <w:jc w:val="center"/>
              <w:rPr/>
            </w:pPr>
            <w:r>
              <w:rPr>
                <w:rStyle w:val="Emphasis"/>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00"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Retained</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590" w:type="dxa"/>
            <w:tcBorders/>
            <w:shd w:fill="FFFFFF" w:val="clear"/>
            <w:vAlign w:val="center"/>
          </w:tcPr>
          <w:p>
            <w:pPr>
              <w:pStyle w:val="TableContents"/>
              <w:spacing w:before="0" w:after="283"/>
              <w:jc w:val="center"/>
              <w:rPr/>
            </w:pPr>
            <w:r>
              <w:rPr>
                <w:rStyle w:val="Emphasis"/>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70"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Common</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590" w:type="dxa"/>
            <w:tcBorders/>
            <w:shd w:fill="FFFFFF" w:val="clear"/>
            <w:vAlign w:val="center"/>
          </w:tcPr>
          <w:p>
            <w:pPr>
              <w:pStyle w:val="TableContents"/>
              <w:spacing w:before="0" w:after="283"/>
              <w:jc w:val="center"/>
              <w:rPr/>
            </w:pPr>
            <w:r>
              <w:rPr>
                <w:rStyle w:val="Emphasis"/>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50" w:type="dxa"/>
            <w:tcBorders/>
            <w:shd w:fill="FFFFFF" w:val="clear"/>
            <w:vAlign w:val="center"/>
          </w:tcPr>
          <w:p>
            <w:pPr>
              <w:pStyle w:val="TableContents"/>
              <w:spacing w:before="0" w:after="283"/>
              <w:jc w:val="center"/>
              <w:rPr/>
            </w:pPr>
            <w:r>
              <w:rPr>
                <w:rStyle w:val="Emphasis"/>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00"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Retained</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50" w:type="dxa"/>
            <w:tcBorders/>
            <w:shd w:fill="FFFFFF" w:val="clear"/>
            <w:vAlign w:val="center"/>
          </w:tcPr>
          <w:p>
            <w:pPr>
              <w:pStyle w:val="TableContents"/>
              <w:spacing w:before="0" w:after="283"/>
              <w:jc w:val="center"/>
              <w:rPr/>
            </w:pPr>
            <w:r>
              <w:rPr>
                <w:rStyle w:val="Emphasis"/>
              </w:rPr>
              <w:t> </w:t>
            </w:r>
          </w:p>
        </w:tc>
        <w:tc>
          <w:tcPr>
            <w:tcW w:w="80" w:type="dxa"/>
            <w:tcBorders/>
            <w:shd w:fill="FFFFFF" w:val="clear"/>
            <w:vAlign w:val="center"/>
          </w:tcPr>
          <w:p>
            <w:pPr>
              <w:pStyle w:val="TableContents"/>
              <w:spacing w:before="0" w:after="283"/>
              <w:rPr/>
            </w:pPr>
            <w:r>
              <w:rPr/>
              <w:t> </w:t>
            </w:r>
          </w:p>
        </w:tc>
      </w:tr>
      <w:tr>
        <w:trPr/>
        <w:tc>
          <w:tcPr>
            <w:tcW w:w="12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7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stock</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1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APIC (1)</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7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AOCI (2)</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0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earnings/(deficit)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1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Total</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7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stock</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1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APIC (1)</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7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AOCI (2)</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0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earnings/(deficit)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7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Total</w:t>
            </w:r>
          </w:p>
        </w:tc>
        <w:tc>
          <w:tcPr>
            <w:tcW w:w="80" w:type="dxa"/>
            <w:tcBorders/>
            <w:shd w:fill="FFFFFF" w:val="clear"/>
            <w:vAlign w:val="center"/>
          </w:tcPr>
          <w:p>
            <w:pPr>
              <w:pStyle w:val="TableContents"/>
              <w:spacing w:before="0" w:after="283"/>
              <w:rPr/>
            </w:pPr>
            <w:r>
              <w:rPr/>
              <w:t> </w:t>
            </w:r>
          </w:p>
        </w:tc>
      </w:tr>
      <w:tr>
        <w:trPr/>
        <w:tc>
          <w:tcPr>
            <w:tcW w:w="128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Balance, beginning</w:t>
            </w:r>
          </w:p>
        </w:tc>
        <w:tc>
          <w:tcPr>
            <w:tcW w:w="60" w:type="dxa"/>
            <w:tcBorders/>
            <w:shd w:fill="CCEEFF" w:val="clear"/>
            <w:vAlign w:val="center"/>
          </w:tcPr>
          <w:p>
            <w:pPr>
              <w:pStyle w:val="TableContents"/>
              <w:spacing w:before="0" w:after="283"/>
              <w:ind w:left="0" w:right="0" w:hanging="0"/>
              <w:rPr/>
            </w:pPr>
            <w:r>
              <w:rPr/>
              <w:t> </w:t>
            </w:r>
          </w:p>
        </w:tc>
        <w:tc>
          <w:tcPr>
            <w:tcW w:w="209"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61"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159</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72,822</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(12,615</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ind w:left="0" w:right="0" w:hanging="0"/>
              <w:rPr/>
            </w:pPr>
            <w:r>
              <w:rPr/>
              <w:t> </w:t>
            </w:r>
          </w:p>
        </w:tc>
        <w:tc>
          <w:tcPr>
            <w:tcW w:w="139"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61"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6,942</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67,308</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09"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61"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152</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70,633</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(12,079</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ind w:left="0" w:right="0" w:hanging="0"/>
              <w:rPr/>
            </w:pPr>
            <w:r>
              <w:rPr/>
              <w:t> </w:t>
            </w:r>
          </w:p>
        </w:tc>
        <w:tc>
          <w:tcPr>
            <w:tcW w:w="129"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71"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29,925</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88,631</w:t>
            </w:r>
          </w:p>
        </w:tc>
        <w:tc>
          <w:tcPr>
            <w:tcW w:w="80" w:type="dxa"/>
            <w:tcBorders/>
            <w:shd w:fill="CCEEFF" w:val="clear"/>
            <w:vAlign w:val="center"/>
          </w:tcPr>
          <w:p>
            <w:pPr>
              <w:pStyle w:val="TableContents"/>
              <w:spacing w:before="0" w:after="283"/>
              <w:rPr/>
            </w:pPr>
            <w:r>
              <w:rPr/>
              <w:t> </w:t>
            </w:r>
          </w:p>
        </w:tc>
      </w:tr>
      <w:tr>
        <w:trPr/>
        <w:tc>
          <w:tcPr>
            <w:tcW w:w="1280"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Issuance of restricted/performance stock</w:t>
            </w:r>
          </w:p>
        </w:tc>
        <w:tc>
          <w:tcPr>
            <w:tcW w:w="60" w:type="dxa"/>
            <w:tcBorders/>
            <w:shd w:fill="FFFFFF" w:val="clear"/>
            <w:vAlign w:val="center"/>
          </w:tcPr>
          <w:p>
            <w:pPr>
              <w:pStyle w:val="TableContents"/>
              <w:spacing w:before="0" w:after="283"/>
              <w:rPr/>
            </w:pPr>
            <w:r>
              <w:rPr/>
              <w:t> </w:t>
            </w:r>
          </w:p>
        </w:tc>
        <w:tc>
          <w:tcPr>
            <w:tcW w:w="209" w:type="dxa"/>
            <w:tcBorders/>
            <w:shd w:fill="FFFFFF" w:val="clear"/>
            <w:vAlign w:val="center"/>
          </w:tcPr>
          <w:p>
            <w:pPr>
              <w:pStyle w:val="TableContents"/>
              <w:spacing w:before="0" w:after="283"/>
              <w:ind w:left="0" w:right="0" w:hanging="0"/>
              <w:rPr/>
            </w:pPr>
            <w:r>
              <w:rPr/>
              <w:t> </w:t>
            </w:r>
          </w:p>
        </w:tc>
        <w:tc>
          <w:tcPr>
            <w:tcW w:w="561"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574</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50" w:type="dxa"/>
            <w:tcBorders/>
            <w:shd w:fill="FFFFFF" w:val="clear"/>
            <w:vAlign w:val="center"/>
          </w:tcPr>
          <w:p>
            <w:pPr>
              <w:pStyle w:val="TableContents"/>
              <w:spacing w:before="0" w:after="283"/>
              <w:rPr>
                <w:sz w:val="4"/>
                <w:szCs w:val="4"/>
              </w:rPr>
            </w:pPr>
            <w:r>
              <w:rPr>
                <w:sz w:val="4"/>
                <w:szCs w:val="4"/>
              </w:rPr>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9" w:type="dxa"/>
            <w:tcBorders/>
            <w:shd w:fill="FFFFFF" w:val="clear"/>
            <w:vAlign w:val="center"/>
          </w:tcPr>
          <w:p>
            <w:pPr>
              <w:pStyle w:val="TableContents"/>
              <w:spacing w:before="0" w:after="283"/>
              <w:rPr/>
            </w:pPr>
            <w:r>
              <w:rPr/>
              <w:t> </w:t>
            </w:r>
          </w:p>
        </w:tc>
        <w:tc>
          <w:tcPr>
            <w:tcW w:w="661" w:type="dxa"/>
            <w:tcBorders/>
            <w:shd w:fill="FFFFFF" w:val="clear"/>
            <w:vAlign w:val="center"/>
          </w:tcPr>
          <w:p>
            <w:pPr>
              <w:pStyle w:val="TableContents"/>
              <w:spacing w:before="0" w:after="283"/>
              <w:rPr>
                <w:sz w:val="4"/>
                <w:szCs w:val="4"/>
              </w:rPr>
            </w:pPr>
            <w:r>
              <w:rPr>
                <w:sz w:val="4"/>
                <w:szCs w:val="4"/>
              </w:rPr>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579</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09" w:type="dxa"/>
            <w:tcBorders/>
            <w:shd w:fill="FFFFFF" w:val="clear"/>
            <w:vAlign w:val="center"/>
          </w:tcPr>
          <w:p>
            <w:pPr>
              <w:pStyle w:val="TableContents"/>
              <w:spacing w:before="0" w:after="283"/>
              <w:ind w:left="0" w:right="0" w:hanging="0"/>
              <w:rPr/>
            </w:pPr>
            <w:r>
              <w:rPr/>
              <w:t> </w:t>
            </w:r>
          </w:p>
        </w:tc>
        <w:tc>
          <w:tcPr>
            <w:tcW w:w="561"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495</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50" w:type="dxa"/>
            <w:tcBorders/>
            <w:shd w:fill="FFFFFF" w:val="clear"/>
            <w:vAlign w:val="center"/>
          </w:tcPr>
          <w:p>
            <w:pPr>
              <w:pStyle w:val="TableContents"/>
              <w:spacing w:before="0" w:after="283"/>
              <w:rPr>
                <w:sz w:val="4"/>
                <w:szCs w:val="4"/>
              </w:rPr>
            </w:pPr>
            <w:r>
              <w:rPr>
                <w:sz w:val="4"/>
                <w:szCs w:val="4"/>
              </w:rPr>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9" w:type="dxa"/>
            <w:tcBorders/>
            <w:shd w:fill="FFFFFF" w:val="clear"/>
            <w:vAlign w:val="center"/>
          </w:tcPr>
          <w:p>
            <w:pPr>
              <w:pStyle w:val="TableContents"/>
              <w:spacing w:before="0" w:after="283"/>
              <w:rPr/>
            </w:pPr>
            <w:r>
              <w:rPr/>
              <w:t> </w:t>
            </w:r>
          </w:p>
        </w:tc>
        <w:tc>
          <w:tcPr>
            <w:tcW w:w="671" w:type="dxa"/>
            <w:tcBorders/>
            <w:shd w:fill="FFFFFF" w:val="clear"/>
            <w:vAlign w:val="center"/>
          </w:tcPr>
          <w:p>
            <w:pPr>
              <w:pStyle w:val="TableContents"/>
              <w:spacing w:before="0" w:after="283"/>
              <w:rPr>
                <w:sz w:val="4"/>
                <w:szCs w:val="4"/>
              </w:rPr>
            </w:pPr>
            <w:r>
              <w:rPr>
                <w:sz w:val="4"/>
                <w:szCs w:val="4"/>
              </w:rPr>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499</w:t>
            </w:r>
          </w:p>
        </w:tc>
        <w:tc>
          <w:tcPr>
            <w:tcW w:w="80" w:type="dxa"/>
            <w:tcBorders/>
            <w:shd w:fill="FFFFFF" w:val="clear"/>
            <w:vAlign w:val="center"/>
          </w:tcPr>
          <w:p>
            <w:pPr>
              <w:pStyle w:val="TableContents"/>
              <w:spacing w:before="0" w:after="283"/>
              <w:rPr/>
            </w:pPr>
            <w:r>
              <w:rPr/>
              <w:t> </w:t>
            </w:r>
          </w:p>
        </w:tc>
      </w:tr>
      <w:tr>
        <w:trPr/>
        <w:tc>
          <w:tcPr>
            <w:tcW w:w="1280"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Stock-based compensation</w:t>
            </w:r>
          </w:p>
        </w:tc>
        <w:tc>
          <w:tcPr>
            <w:tcW w:w="60" w:type="dxa"/>
            <w:tcBorders/>
            <w:shd w:fill="CCEEFF" w:val="clear"/>
            <w:vAlign w:val="center"/>
          </w:tcPr>
          <w:p>
            <w:pPr>
              <w:pStyle w:val="TableContents"/>
              <w:spacing w:before="0" w:after="283"/>
              <w:rPr/>
            </w:pPr>
            <w:r>
              <w:rPr/>
              <w:t> </w:t>
            </w:r>
          </w:p>
        </w:tc>
        <w:tc>
          <w:tcPr>
            <w:tcW w:w="209" w:type="dxa"/>
            <w:tcBorders/>
            <w:shd w:fill="CCEEFF" w:val="clear"/>
            <w:vAlign w:val="center"/>
          </w:tcPr>
          <w:p>
            <w:pPr>
              <w:pStyle w:val="TableContents"/>
              <w:spacing w:before="0" w:after="283"/>
              <w:rPr/>
            </w:pPr>
            <w:r>
              <w:rPr/>
              <w:t> </w:t>
            </w:r>
          </w:p>
        </w:tc>
        <w:tc>
          <w:tcPr>
            <w:tcW w:w="561" w:type="dxa"/>
            <w:tcBorders/>
            <w:shd w:fill="CCEEFF" w:val="clear"/>
            <w:vAlign w:val="center"/>
          </w:tcPr>
          <w:p>
            <w:pPr>
              <w:pStyle w:val="TableContents"/>
              <w:spacing w:before="0" w:after="283"/>
              <w:rPr>
                <w:sz w:val="4"/>
                <w:szCs w:val="4"/>
              </w:rPr>
            </w:pPr>
            <w:r>
              <w:rPr>
                <w:sz w:val="4"/>
                <w:szCs w:val="4"/>
              </w:rPr>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921</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50" w:type="dxa"/>
            <w:tcBorders/>
            <w:shd w:fill="CCEEFF" w:val="clear"/>
            <w:vAlign w:val="center"/>
          </w:tcPr>
          <w:p>
            <w:pPr>
              <w:pStyle w:val="TableContents"/>
              <w:spacing w:before="0" w:after="283"/>
              <w:rPr>
                <w:sz w:val="4"/>
                <w:szCs w:val="4"/>
              </w:rPr>
            </w:pPr>
            <w:r>
              <w:rPr>
                <w:sz w:val="4"/>
                <w:szCs w:val="4"/>
              </w:rPr>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9" w:type="dxa"/>
            <w:tcBorders/>
            <w:shd w:fill="CCEEFF" w:val="clear"/>
            <w:vAlign w:val="center"/>
          </w:tcPr>
          <w:p>
            <w:pPr>
              <w:pStyle w:val="TableContents"/>
              <w:spacing w:before="0" w:after="283"/>
              <w:rPr/>
            </w:pPr>
            <w:r>
              <w:rPr/>
              <w:t> </w:t>
            </w:r>
          </w:p>
        </w:tc>
        <w:tc>
          <w:tcPr>
            <w:tcW w:w="661"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921</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09" w:type="dxa"/>
            <w:tcBorders/>
            <w:shd w:fill="CCEEFF" w:val="clear"/>
            <w:vAlign w:val="center"/>
          </w:tcPr>
          <w:p>
            <w:pPr>
              <w:pStyle w:val="TableContents"/>
              <w:spacing w:before="0" w:after="283"/>
              <w:rPr/>
            </w:pPr>
            <w:r>
              <w:rPr/>
              <w:t> </w:t>
            </w:r>
          </w:p>
        </w:tc>
        <w:tc>
          <w:tcPr>
            <w:tcW w:w="561" w:type="dxa"/>
            <w:tcBorders/>
            <w:shd w:fill="CCEEFF" w:val="clear"/>
            <w:vAlign w:val="center"/>
          </w:tcPr>
          <w:p>
            <w:pPr>
              <w:pStyle w:val="TableContents"/>
              <w:spacing w:before="0" w:after="283"/>
              <w:rPr>
                <w:sz w:val="4"/>
                <w:szCs w:val="4"/>
              </w:rPr>
            </w:pPr>
            <w:r>
              <w:rPr>
                <w:sz w:val="4"/>
                <w:szCs w:val="4"/>
              </w:rPr>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892</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50" w:type="dxa"/>
            <w:tcBorders/>
            <w:shd w:fill="CCEEFF" w:val="clear"/>
            <w:vAlign w:val="center"/>
          </w:tcPr>
          <w:p>
            <w:pPr>
              <w:pStyle w:val="TableContents"/>
              <w:spacing w:before="0" w:after="283"/>
              <w:rPr>
                <w:sz w:val="4"/>
                <w:szCs w:val="4"/>
              </w:rPr>
            </w:pPr>
            <w:r>
              <w:rPr>
                <w:sz w:val="4"/>
                <w:szCs w:val="4"/>
              </w:rPr>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9" w:type="dxa"/>
            <w:tcBorders/>
            <w:shd w:fill="CCEEFF" w:val="clear"/>
            <w:vAlign w:val="center"/>
          </w:tcPr>
          <w:p>
            <w:pPr>
              <w:pStyle w:val="TableContents"/>
              <w:spacing w:before="0" w:after="283"/>
              <w:rPr/>
            </w:pPr>
            <w:r>
              <w:rPr/>
              <w:t> </w:t>
            </w:r>
          </w:p>
        </w:tc>
        <w:tc>
          <w:tcPr>
            <w:tcW w:w="671" w:type="dxa"/>
            <w:tcBorders/>
            <w:shd w:fill="CCEEFF" w:val="clear"/>
            <w:vAlign w:val="center"/>
          </w:tcPr>
          <w:p>
            <w:pPr>
              <w:pStyle w:val="TableContents"/>
              <w:spacing w:before="0" w:after="283"/>
              <w:rPr>
                <w:sz w:val="4"/>
                <w:szCs w:val="4"/>
              </w:rPr>
            </w:pPr>
            <w:r>
              <w:rPr>
                <w:sz w:val="4"/>
                <w:szCs w:val="4"/>
              </w:rPr>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892</w:t>
            </w:r>
          </w:p>
        </w:tc>
        <w:tc>
          <w:tcPr>
            <w:tcW w:w="80" w:type="dxa"/>
            <w:tcBorders/>
            <w:shd w:fill="CCEEFF" w:val="clear"/>
            <w:vAlign w:val="center"/>
          </w:tcPr>
          <w:p>
            <w:pPr>
              <w:pStyle w:val="TableContents"/>
              <w:spacing w:before="0" w:after="283"/>
              <w:rPr/>
            </w:pPr>
            <w:r>
              <w:rPr/>
              <w:t> </w:t>
            </w:r>
          </w:p>
        </w:tc>
      </w:tr>
      <w:tr>
        <w:trPr/>
        <w:tc>
          <w:tcPr>
            <w:tcW w:w="1280" w:type="dxa"/>
            <w:tcBorders/>
            <w:shd w:fill="FFFFFF" w:val="clear"/>
            <w:vAlign w:val="center"/>
          </w:tcPr>
          <w:p>
            <w:pPr>
              <w:pStyle w:val="TableContents"/>
              <w:spacing w:before="0" w:after="0"/>
              <w:ind w:left="0" w:right="0" w:firstLine="180"/>
              <w:rPr>
                <w:rFonts w:ascii="Times New Roman" w:hAnsi="Times New Roman"/>
                <w:sz w:val="20"/>
              </w:rPr>
            </w:pPr>
            <w:r>
              <w:rPr>
                <w:rFonts w:ascii="Times New Roman" w:hAnsi="Times New Roman"/>
                <w:sz w:val="20"/>
              </w:rPr>
              <w:t>Shares withheld in lieu of tax withholdings</w:t>
            </w:r>
          </w:p>
        </w:tc>
        <w:tc>
          <w:tcPr>
            <w:tcW w:w="60" w:type="dxa"/>
            <w:tcBorders/>
            <w:shd w:fill="FFFFFF" w:val="clear"/>
            <w:vAlign w:val="center"/>
          </w:tcPr>
          <w:p>
            <w:pPr>
              <w:pStyle w:val="TableContents"/>
              <w:spacing w:before="0" w:after="283"/>
              <w:rPr/>
            </w:pPr>
            <w:r>
              <w:rPr/>
              <w:t> </w:t>
            </w:r>
          </w:p>
        </w:tc>
        <w:tc>
          <w:tcPr>
            <w:tcW w:w="209" w:type="dxa"/>
            <w:tcBorders/>
            <w:shd w:fill="FFFFFF" w:val="clear"/>
            <w:vAlign w:val="center"/>
          </w:tcPr>
          <w:p>
            <w:pPr>
              <w:pStyle w:val="TableContents"/>
              <w:spacing w:before="0" w:after="283"/>
              <w:rPr/>
            </w:pPr>
            <w:r>
              <w:rPr/>
              <w:t> </w:t>
            </w:r>
          </w:p>
        </w:tc>
        <w:tc>
          <w:tcPr>
            <w:tcW w:w="561"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(1</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590"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(922</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50" w:type="dxa"/>
            <w:tcBorders/>
            <w:shd w:fill="FFFFFF" w:val="clear"/>
            <w:vAlign w:val="center"/>
          </w:tcPr>
          <w:p>
            <w:pPr>
              <w:pStyle w:val="TableContents"/>
              <w:spacing w:before="0" w:after="283"/>
              <w:rPr>
                <w:sz w:val="4"/>
                <w:szCs w:val="4"/>
              </w:rPr>
            </w:pPr>
            <w:r>
              <w:rPr>
                <w:sz w:val="4"/>
                <w:szCs w:val="4"/>
              </w:rPr>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9" w:type="dxa"/>
            <w:tcBorders/>
            <w:shd w:fill="FFFFFF" w:val="clear"/>
            <w:vAlign w:val="center"/>
          </w:tcPr>
          <w:p>
            <w:pPr>
              <w:pStyle w:val="TableContents"/>
              <w:spacing w:before="0" w:after="283"/>
              <w:rPr/>
            </w:pPr>
            <w:r>
              <w:rPr/>
              <w:t> </w:t>
            </w:r>
          </w:p>
        </w:tc>
        <w:tc>
          <w:tcPr>
            <w:tcW w:w="661" w:type="dxa"/>
            <w:tcBorders/>
            <w:shd w:fill="FFFFFF" w:val="clear"/>
            <w:vAlign w:val="center"/>
          </w:tcPr>
          <w:p>
            <w:pPr>
              <w:pStyle w:val="TableContents"/>
              <w:spacing w:before="0" w:after="283"/>
              <w:rPr>
                <w:sz w:val="4"/>
                <w:szCs w:val="4"/>
              </w:rPr>
            </w:pPr>
            <w:r>
              <w:rPr>
                <w:sz w:val="4"/>
                <w:szCs w:val="4"/>
              </w:rPr>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590"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(923</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209" w:type="dxa"/>
            <w:tcBorders/>
            <w:shd w:fill="FFFFFF" w:val="clear"/>
            <w:vAlign w:val="center"/>
          </w:tcPr>
          <w:p>
            <w:pPr>
              <w:pStyle w:val="TableContents"/>
              <w:spacing w:before="0" w:after="283"/>
              <w:rPr/>
            </w:pPr>
            <w:r>
              <w:rPr/>
              <w:t> </w:t>
            </w:r>
          </w:p>
        </w:tc>
        <w:tc>
          <w:tcPr>
            <w:tcW w:w="561"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(1</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590"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(114</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50" w:type="dxa"/>
            <w:tcBorders/>
            <w:shd w:fill="FFFFFF" w:val="clear"/>
            <w:vAlign w:val="center"/>
          </w:tcPr>
          <w:p>
            <w:pPr>
              <w:pStyle w:val="TableContents"/>
              <w:spacing w:before="0" w:after="283"/>
              <w:rPr>
                <w:sz w:val="4"/>
                <w:szCs w:val="4"/>
              </w:rPr>
            </w:pPr>
            <w:r>
              <w:rPr>
                <w:sz w:val="4"/>
                <w:szCs w:val="4"/>
              </w:rPr>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9" w:type="dxa"/>
            <w:tcBorders/>
            <w:shd w:fill="FFFFFF" w:val="clear"/>
            <w:vAlign w:val="center"/>
          </w:tcPr>
          <w:p>
            <w:pPr>
              <w:pStyle w:val="TableContents"/>
              <w:spacing w:before="0" w:after="283"/>
              <w:rPr/>
            </w:pPr>
            <w:r>
              <w:rPr/>
              <w:t> </w:t>
            </w:r>
          </w:p>
        </w:tc>
        <w:tc>
          <w:tcPr>
            <w:tcW w:w="671" w:type="dxa"/>
            <w:tcBorders/>
            <w:shd w:fill="FFFFFF" w:val="clear"/>
            <w:vAlign w:val="center"/>
          </w:tcPr>
          <w:p>
            <w:pPr>
              <w:pStyle w:val="TableContents"/>
              <w:spacing w:before="0" w:after="283"/>
              <w:rPr>
                <w:sz w:val="4"/>
                <w:szCs w:val="4"/>
              </w:rPr>
            </w:pPr>
            <w:r>
              <w:rPr>
                <w:sz w:val="4"/>
                <w:szCs w:val="4"/>
              </w:rPr>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50" w:type="dxa"/>
            <w:tcBorders/>
            <w:shd w:fill="FFFFFF" w:val="clear"/>
            <w:vAlign w:val="center"/>
          </w:tcPr>
          <w:p>
            <w:pPr>
              <w:pStyle w:val="TableContents"/>
              <w:spacing w:before="0" w:after="283"/>
              <w:jc w:val="right"/>
              <w:rPr>
                <w:rFonts w:ascii="Times New Roman" w:hAnsi="Times New Roman"/>
                <w:sz w:val="20"/>
              </w:rPr>
            </w:pPr>
            <w:r>
              <w:rPr>
                <w:rFonts w:ascii="Times New Roman" w:hAnsi="Times New Roman"/>
                <w:sz w:val="20"/>
              </w:rPr>
              <w:t>(115.00</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1280" w:type="dxa"/>
            <w:tcBorders/>
            <w:shd w:fill="CCEEFF" w:val="clear"/>
            <w:vAlign w:val="center"/>
          </w:tcPr>
          <w:p>
            <w:pPr>
              <w:pStyle w:val="TableContents"/>
              <w:spacing w:before="0" w:after="0"/>
              <w:ind w:left="180" w:right="0" w:hanging="0"/>
              <w:rPr>
                <w:rFonts w:ascii="Times New Roman" w:hAnsi="Times New Roman"/>
                <w:sz w:val="20"/>
              </w:rPr>
            </w:pPr>
            <w:r>
              <w:rPr>
                <w:rFonts w:ascii="Times New Roman" w:hAnsi="Times New Roman"/>
                <w:sz w:val="20"/>
              </w:rPr>
              <w:t>Other</w:t>
            </w:r>
          </w:p>
        </w:tc>
        <w:tc>
          <w:tcPr>
            <w:tcW w:w="60" w:type="dxa"/>
            <w:tcBorders/>
            <w:shd w:fill="CCEEFF" w:val="clear"/>
            <w:vAlign w:val="center"/>
          </w:tcPr>
          <w:p>
            <w:pPr>
              <w:pStyle w:val="TableContents"/>
              <w:spacing w:before="0" w:after="283"/>
              <w:rPr/>
            </w:pPr>
            <w:r>
              <w:rPr/>
              <w:t> </w:t>
            </w:r>
          </w:p>
        </w:tc>
        <w:tc>
          <w:tcPr>
            <w:tcW w:w="209" w:type="dxa"/>
            <w:tcBorders/>
            <w:shd w:fill="CCEEFF" w:val="clear"/>
            <w:vAlign w:val="center"/>
          </w:tcPr>
          <w:p>
            <w:pPr>
              <w:pStyle w:val="TableContents"/>
              <w:spacing w:before="0" w:after="283"/>
              <w:rPr/>
            </w:pPr>
            <w:r>
              <w:rPr/>
              <w:t> </w:t>
            </w:r>
          </w:p>
        </w:tc>
        <w:tc>
          <w:tcPr>
            <w:tcW w:w="561"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(3</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590"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2</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50" w:type="dxa"/>
            <w:tcBorders/>
            <w:shd w:fill="CCEEFF" w:val="clear"/>
            <w:vAlign w:val="center"/>
          </w:tcPr>
          <w:p>
            <w:pPr>
              <w:pStyle w:val="TableContents"/>
              <w:spacing w:before="0" w:after="283"/>
              <w:rPr>
                <w:sz w:val="4"/>
                <w:szCs w:val="4"/>
              </w:rPr>
            </w:pPr>
            <w:r>
              <w:rPr>
                <w:sz w:val="4"/>
                <w:szCs w:val="4"/>
              </w:rPr>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9" w:type="dxa"/>
            <w:tcBorders/>
            <w:shd w:fill="CCEEFF" w:val="clear"/>
            <w:vAlign w:val="center"/>
          </w:tcPr>
          <w:p>
            <w:pPr>
              <w:pStyle w:val="TableContents"/>
              <w:spacing w:before="0" w:after="283"/>
              <w:rPr/>
            </w:pPr>
            <w:r>
              <w:rPr/>
              <w:t> </w:t>
            </w:r>
          </w:p>
        </w:tc>
        <w:tc>
          <w:tcPr>
            <w:tcW w:w="661"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590"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(1</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209" w:type="dxa"/>
            <w:tcBorders/>
            <w:shd w:fill="CCEEFF" w:val="clear"/>
            <w:vAlign w:val="center"/>
          </w:tcPr>
          <w:p>
            <w:pPr>
              <w:pStyle w:val="TableContents"/>
              <w:spacing w:before="0" w:after="283"/>
              <w:rPr/>
            </w:pPr>
            <w:r>
              <w:rPr/>
              <w:t> </w:t>
            </w:r>
          </w:p>
        </w:tc>
        <w:tc>
          <w:tcPr>
            <w:tcW w:w="561"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1</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590" w:type="dxa"/>
            <w:tcBorders/>
            <w:shd w:fill="CCEEFF" w:val="clear"/>
            <w:vAlign w:val="center"/>
          </w:tcPr>
          <w:p>
            <w:pPr>
              <w:pStyle w:val="TableContents"/>
              <w:spacing w:before="0" w:after="283"/>
              <w:rPr>
                <w:sz w:val="4"/>
                <w:szCs w:val="4"/>
              </w:rPr>
            </w:pPr>
            <w:r>
              <w:rPr>
                <w:sz w:val="4"/>
                <w:szCs w:val="4"/>
              </w:rPr>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50"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(1</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29" w:type="dxa"/>
            <w:tcBorders/>
            <w:shd w:fill="CCEEFF" w:val="clear"/>
            <w:vAlign w:val="center"/>
          </w:tcPr>
          <w:p>
            <w:pPr>
              <w:pStyle w:val="TableContents"/>
              <w:spacing w:before="0" w:after="283"/>
              <w:rPr/>
            </w:pPr>
            <w:r>
              <w:rPr/>
              <w:t> </w:t>
            </w:r>
          </w:p>
        </w:tc>
        <w:tc>
          <w:tcPr>
            <w:tcW w:w="671" w:type="dxa"/>
            <w:tcBorders/>
            <w:shd w:fill="CCEEFF" w:val="clear"/>
            <w:vAlign w:val="center"/>
          </w:tcPr>
          <w:p>
            <w:pPr>
              <w:pStyle w:val="TableContents"/>
              <w:spacing w:before="0" w:after="283"/>
              <w:rPr>
                <w:sz w:val="4"/>
                <w:szCs w:val="4"/>
              </w:rPr>
            </w:pPr>
            <w:r>
              <w:rPr>
                <w:sz w:val="4"/>
                <w:szCs w:val="4"/>
              </w:rPr>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50" w:type="dxa"/>
            <w:tcBorders/>
            <w:shd w:fill="CCEEFF" w:val="clear"/>
            <w:vAlign w:val="center"/>
          </w:tcPr>
          <w:p>
            <w:pPr>
              <w:pStyle w:val="TableContents"/>
              <w:spacing w:before="0" w:after="283"/>
              <w:jc w:val="right"/>
              <w:rPr>
                <w:rFonts w:ascii="Times New Roman" w:hAnsi="Times New Roman"/>
                <w:sz w:val="20"/>
              </w:rPr>
            </w:pPr>
            <w:r>
              <w:rPr>
                <w:rFonts w:ascii="Times New Roman" w:hAnsi="Times New Roman"/>
                <w:sz w:val="20"/>
              </w:rPr>
              <w:t>0</w:t>
            </w:r>
          </w:p>
        </w:tc>
        <w:tc>
          <w:tcPr>
            <w:tcW w:w="80" w:type="dxa"/>
            <w:tcBorders/>
            <w:shd w:fill="CCEEFF" w:val="clear"/>
            <w:vAlign w:val="center"/>
          </w:tcPr>
          <w:p>
            <w:pPr>
              <w:pStyle w:val="TableContents"/>
              <w:spacing w:before="0" w:after="283"/>
              <w:rPr/>
            </w:pPr>
            <w:r>
              <w:rPr/>
              <w:t> </w:t>
            </w:r>
          </w:p>
        </w:tc>
      </w:tr>
      <w:tr>
        <w:trPr/>
        <w:tc>
          <w:tcPr>
            <w:tcW w:w="1280"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Other comprehensive income (loss)</w:t>
            </w:r>
          </w:p>
        </w:tc>
        <w:tc>
          <w:tcPr>
            <w:tcW w:w="60" w:type="dxa"/>
            <w:tcBorders/>
            <w:shd w:fill="FFFFFF" w:val="clear"/>
            <w:vAlign w:val="center"/>
          </w:tcPr>
          <w:p>
            <w:pPr>
              <w:pStyle w:val="TableContents"/>
              <w:spacing w:before="0" w:after="283"/>
              <w:rPr/>
            </w:pPr>
            <w:r>
              <w:rPr/>
              <w:t> </w:t>
            </w:r>
          </w:p>
        </w:tc>
        <w:tc>
          <w:tcPr>
            <w:tcW w:w="209" w:type="dxa"/>
            <w:tcBorders/>
            <w:shd w:fill="FFFFFF" w:val="clear"/>
            <w:vAlign w:val="center"/>
          </w:tcPr>
          <w:p>
            <w:pPr>
              <w:pStyle w:val="TableContents"/>
              <w:spacing w:before="0" w:after="283"/>
              <w:rPr/>
            </w:pPr>
            <w:r>
              <w:rPr/>
              <w:t> </w:t>
            </w:r>
          </w:p>
        </w:tc>
        <w:tc>
          <w:tcPr>
            <w:tcW w:w="561" w:type="dxa"/>
            <w:tcBorders/>
            <w:shd w:fill="FFFFFF" w:val="clear"/>
            <w:vAlign w:val="center"/>
          </w:tcPr>
          <w:p>
            <w:pPr>
              <w:pStyle w:val="TableContents"/>
              <w:spacing w:before="0" w:after="283"/>
              <w:rPr>
                <w:sz w:val="4"/>
                <w:szCs w:val="4"/>
              </w:rPr>
            </w:pPr>
            <w:r>
              <w:rPr>
                <w:sz w:val="4"/>
                <w:szCs w:val="4"/>
              </w:rPr>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590" w:type="dxa"/>
            <w:tcBorders/>
            <w:shd w:fill="FFFFFF" w:val="clear"/>
            <w:vAlign w:val="center"/>
          </w:tcPr>
          <w:p>
            <w:pPr>
              <w:pStyle w:val="TableContents"/>
              <w:spacing w:before="0" w:after="283"/>
              <w:rPr>
                <w:sz w:val="4"/>
                <w:szCs w:val="4"/>
              </w:rPr>
            </w:pPr>
            <w:r>
              <w:rPr>
                <w:sz w:val="4"/>
                <w:szCs w:val="4"/>
              </w:rPr>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36</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9" w:type="dxa"/>
            <w:tcBorders/>
            <w:shd w:fill="FFFFFF" w:val="clear"/>
            <w:vAlign w:val="center"/>
          </w:tcPr>
          <w:p>
            <w:pPr>
              <w:pStyle w:val="TableContents"/>
              <w:spacing w:before="0" w:after="283"/>
              <w:rPr/>
            </w:pPr>
            <w:r>
              <w:rPr/>
              <w:t> </w:t>
            </w:r>
          </w:p>
        </w:tc>
        <w:tc>
          <w:tcPr>
            <w:tcW w:w="661" w:type="dxa"/>
            <w:tcBorders/>
            <w:shd w:fill="FFFFFF" w:val="clear"/>
            <w:vAlign w:val="center"/>
          </w:tcPr>
          <w:p>
            <w:pPr>
              <w:pStyle w:val="TableContents"/>
              <w:spacing w:before="0" w:after="283"/>
              <w:rPr>
                <w:sz w:val="4"/>
                <w:szCs w:val="4"/>
              </w:rPr>
            </w:pPr>
            <w:r>
              <w:rPr>
                <w:sz w:val="4"/>
                <w:szCs w:val="4"/>
              </w:rPr>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36</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09" w:type="dxa"/>
            <w:tcBorders/>
            <w:shd w:fill="FFFFFF" w:val="clear"/>
            <w:vAlign w:val="center"/>
          </w:tcPr>
          <w:p>
            <w:pPr>
              <w:pStyle w:val="TableContents"/>
              <w:spacing w:before="0" w:after="283"/>
              <w:rPr/>
            </w:pPr>
            <w:r>
              <w:rPr/>
              <w:t> </w:t>
            </w:r>
          </w:p>
        </w:tc>
        <w:tc>
          <w:tcPr>
            <w:tcW w:w="561" w:type="dxa"/>
            <w:tcBorders/>
            <w:shd w:fill="FFFFFF" w:val="clear"/>
            <w:vAlign w:val="center"/>
          </w:tcPr>
          <w:p>
            <w:pPr>
              <w:pStyle w:val="TableContents"/>
              <w:spacing w:before="0" w:after="283"/>
              <w:rPr>
                <w:sz w:val="4"/>
                <w:szCs w:val="4"/>
              </w:rPr>
            </w:pPr>
            <w:r>
              <w:rPr>
                <w:sz w:val="4"/>
                <w:szCs w:val="4"/>
              </w:rPr>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590" w:type="dxa"/>
            <w:tcBorders/>
            <w:shd w:fill="FFFFFF" w:val="clear"/>
            <w:vAlign w:val="center"/>
          </w:tcPr>
          <w:p>
            <w:pPr>
              <w:pStyle w:val="TableContents"/>
              <w:spacing w:before="0" w:after="283"/>
              <w:rPr>
                <w:sz w:val="4"/>
                <w:szCs w:val="4"/>
              </w:rPr>
            </w:pPr>
            <w:r>
              <w:rPr>
                <w:sz w:val="4"/>
                <w:szCs w:val="4"/>
              </w:rPr>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(259</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29" w:type="dxa"/>
            <w:tcBorders/>
            <w:shd w:fill="FFFFFF" w:val="clear"/>
            <w:vAlign w:val="center"/>
          </w:tcPr>
          <w:p>
            <w:pPr>
              <w:pStyle w:val="TableContents"/>
              <w:spacing w:before="0" w:after="283"/>
              <w:rPr/>
            </w:pPr>
            <w:r>
              <w:rPr/>
              <w:t> </w:t>
            </w:r>
          </w:p>
        </w:tc>
        <w:tc>
          <w:tcPr>
            <w:tcW w:w="671" w:type="dxa"/>
            <w:tcBorders/>
            <w:shd w:fill="FFFFFF" w:val="clear"/>
            <w:vAlign w:val="center"/>
          </w:tcPr>
          <w:p>
            <w:pPr>
              <w:pStyle w:val="TableContents"/>
              <w:spacing w:before="0" w:after="283"/>
              <w:rPr>
                <w:sz w:val="4"/>
                <w:szCs w:val="4"/>
              </w:rPr>
            </w:pPr>
            <w:r>
              <w:rPr>
                <w:sz w:val="4"/>
                <w:szCs w:val="4"/>
              </w:rPr>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(259</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1280"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CCEEFF" w:val="clear"/>
            <w:vAlign w:val="center"/>
          </w:tcPr>
          <w:p>
            <w:pPr>
              <w:pStyle w:val="TableContents"/>
              <w:spacing w:before="0" w:after="283"/>
              <w:rPr/>
            </w:pPr>
            <w:r>
              <w:rPr/>
              <w:t> </w:t>
            </w:r>
          </w:p>
        </w:tc>
        <w:tc>
          <w:tcPr>
            <w:tcW w:w="209" w:type="dxa"/>
            <w:tcBorders>
              <w:bottom w:val="single" w:sz="2" w:space="0" w:color="000000"/>
            </w:tcBorders>
            <w:shd w:fill="CCEEFF" w:val="clear"/>
            <w:tcMar>
              <w:bottom w:w="28" w:type="dxa"/>
            </w:tcMar>
            <w:vAlign w:val="center"/>
          </w:tcPr>
          <w:p>
            <w:pPr>
              <w:pStyle w:val="TableContents"/>
              <w:spacing w:before="0" w:after="283"/>
              <w:rPr/>
            </w:pPr>
            <w:r>
              <w:rPr/>
              <w:t> </w:t>
            </w:r>
          </w:p>
        </w:tc>
        <w:tc>
          <w:tcPr>
            <w:tcW w:w="561" w:type="dxa"/>
            <w:tcBorders>
              <w:bottom w:val="single" w:sz="2"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rPr/>
            </w:pPr>
            <w:r>
              <w:rPr/>
              <w:t> </w:t>
            </w:r>
          </w:p>
        </w:tc>
        <w:tc>
          <w:tcPr>
            <w:tcW w:w="590" w:type="dxa"/>
            <w:tcBorders>
              <w:bottom w:val="single" w:sz="2"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rPr/>
            </w:pPr>
            <w:r>
              <w:rPr/>
              <w:t> </w:t>
            </w:r>
          </w:p>
        </w:tc>
        <w:tc>
          <w:tcPr>
            <w:tcW w:w="650" w:type="dxa"/>
            <w:tcBorders>
              <w:bottom w:val="single" w:sz="2"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9"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61"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17,215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9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17,215</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09" w:type="dxa"/>
            <w:tcBorders>
              <w:bottom w:val="single" w:sz="2" w:space="0" w:color="000000"/>
            </w:tcBorders>
            <w:shd w:fill="CCEEFF" w:val="clear"/>
            <w:tcMar>
              <w:bottom w:w="28" w:type="dxa"/>
            </w:tcMar>
            <w:vAlign w:val="center"/>
          </w:tcPr>
          <w:p>
            <w:pPr>
              <w:pStyle w:val="TableContents"/>
              <w:spacing w:before="0" w:after="283"/>
              <w:rPr/>
            </w:pPr>
            <w:r>
              <w:rPr/>
              <w:t> </w:t>
            </w:r>
          </w:p>
        </w:tc>
        <w:tc>
          <w:tcPr>
            <w:tcW w:w="561" w:type="dxa"/>
            <w:tcBorders>
              <w:bottom w:val="single" w:sz="2"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rPr/>
            </w:pPr>
            <w:r>
              <w:rPr/>
              <w:t> </w:t>
            </w:r>
          </w:p>
        </w:tc>
        <w:tc>
          <w:tcPr>
            <w:tcW w:w="590" w:type="dxa"/>
            <w:tcBorders>
              <w:bottom w:val="single" w:sz="2"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rPr/>
            </w:pPr>
            <w:r>
              <w:rPr/>
              <w:t> </w:t>
            </w:r>
          </w:p>
        </w:tc>
        <w:tc>
          <w:tcPr>
            <w:tcW w:w="650" w:type="dxa"/>
            <w:tcBorders>
              <w:bottom w:val="single" w:sz="2"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9"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71"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(35,113</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5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(35,113</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1280"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Balance, ending</w:t>
            </w:r>
          </w:p>
        </w:tc>
        <w:tc>
          <w:tcPr>
            <w:tcW w:w="60" w:type="dxa"/>
            <w:tcBorders/>
            <w:shd w:fill="FFFFFF" w:val="clear"/>
            <w:vAlign w:val="center"/>
          </w:tcPr>
          <w:p>
            <w:pPr>
              <w:pStyle w:val="TableContents"/>
              <w:spacing w:before="0" w:after="283"/>
              <w:ind w:left="0" w:right="0" w:hanging="0"/>
              <w:rPr/>
            </w:pPr>
            <w:r>
              <w:rPr/>
              <w:t> </w:t>
            </w:r>
          </w:p>
        </w:tc>
        <w:tc>
          <w:tcPr>
            <w:tcW w:w="209"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61"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160</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73,397</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5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(12,579</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ind w:left="0" w:right="0" w:hanging="0"/>
              <w:rPr/>
            </w:pPr>
            <w:r>
              <w:rPr/>
              <w:t> </w:t>
            </w:r>
          </w:p>
        </w:tc>
        <w:tc>
          <w:tcPr>
            <w:tcW w:w="139"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61"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24,157</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85,135</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09"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61"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156</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71,906</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5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(12,339</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ind w:left="0" w:right="0" w:hanging="0"/>
              <w:rPr/>
            </w:pPr>
            <w:r>
              <w:rPr/>
              <w:t> </w:t>
            </w:r>
          </w:p>
        </w:tc>
        <w:tc>
          <w:tcPr>
            <w:tcW w:w="129"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71"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(5,188</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5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54,535</w:t>
            </w:r>
          </w:p>
        </w:tc>
        <w:tc>
          <w:tcPr>
            <w:tcW w:w="80" w:type="dxa"/>
            <w:tcBorders/>
            <w:shd w:fill="FFFFFF" w:val="clear"/>
            <w:vAlign w:val="center"/>
          </w:tcPr>
          <w:p>
            <w:pPr>
              <w:pStyle w:val="TableContents"/>
              <w:spacing w:before="0" w:after="283"/>
              <w:rPr/>
            </w:pPr>
            <w:r>
              <w:rPr/>
              <w:t> </w:t>
            </w:r>
          </w:p>
        </w:tc>
      </w:tr>
    </w:tbl>
    <w:p>
      <w:pPr>
        <w:pStyle w:val="TextBody"/>
        <w:spacing w:before="0" w:after="0"/>
        <w:ind w:left="0" w:right="0" w:hanging="0"/>
        <w:jc w:val="left"/>
        <w:rPr/>
      </w:pPr>
      <w:r>
        <w:rPr/>
        <w:t> </w:t>
      </w:r>
    </w:p>
    <w:p>
      <w:pPr>
        <w:pStyle w:val="TextBody"/>
        <w:spacing w:before="0" w:after="0"/>
        <w:ind w:left="0" w:right="0" w:hanging="0"/>
        <w:jc w:val="left"/>
        <w:rPr/>
      </w:pPr>
      <w:r>
        <w:rPr>
          <w:rFonts w:ascii="Times New Roman;Times;serif" w:hAnsi="Times New Roman;Times;serif"/>
          <w:sz w:val="20"/>
        </w:rPr>
        <w:t>(</w:t>
      </w:r>
      <w:r>
        <w:rPr>
          <w:rStyle w:val="Emphasis"/>
          <w:rFonts w:ascii="Times New Roman;Times;serif" w:hAnsi="Times New Roman;Times;serif"/>
          <w:sz w:val="20"/>
        </w:rPr>
        <w:t>1</w:t>
      </w:r>
      <w:r>
        <w:rPr>
          <w:rFonts w:ascii="Times New Roman;Times;serif" w:hAnsi="Times New Roman;Times;serif"/>
          <w:sz w:val="20"/>
        </w:rPr>
        <w:t>) - Additional paid-in capital (“APIC”)</w:t>
      </w:r>
    </w:p>
    <w:p>
      <w:pPr>
        <w:pStyle w:val="TextBody"/>
        <w:spacing w:before="0" w:after="0"/>
        <w:ind w:left="0" w:right="0" w:hanging="0"/>
        <w:jc w:val="left"/>
        <w:rPr/>
      </w:pPr>
      <w:r>
        <w:rPr>
          <w:rFonts w:ascii="Times New Roman;Times;serif" w:hAnsi="Times New Roman;Times;serif"/>
          <w:sz w:val="20"/>
        </w:rPr>
        <w:t>(</w:t>
      </w:r>
      <w:r>
        <w:rPr>
          <w:rStyle w:val="Emphasis"/>
          <w:rFonts w:ascii="Times New Roman;Times;serif" w:hAnsi="Times New Roman;Times;serif"/>
          <w:sz w:val="20"/>
        </w:rPr>
        <w:t>2</w:t>
      </w:r>
      <w:r>
        <w:rPr>
          <w:rFonts w:ascii="Times New Roman;Times;serif" w:hAnsi="Times New Roman;Times;serif"/>
          <w:sz w:val="20"/>
        </w:rPr>
        <w:t>) - Accumulated other comprehensive income (loss) (“AOCI”)</w:t>
      </w:r>
    </w:p>
    <w:p>
      <w:pPr>
        <w:pStyle w:val="TextBody"/>
        <w:spacing w:before="0" w:after="0"/>
        <w:ind w:left="0" w:right="0" w:hanging="0"/>
        <w:jc w:val="left"/>
        <w:rPr/>
      </w:pPr>
      <w:r>
        <w:rPr/>
        <w:t> </w:t>
      </w:r>
    </w:p>
    <w:p>
      <w:pPr>
        <w:pStyle w:val="TextBody"/>
        <w:spacing w:before="0" w:after="0"/>
        <w:ind w:left="0" w:right="0" w:hanging="0"/>
        <w:jc w:val="center"/>
        <w:rPr/>
      </w:pPr>
      <w:r>
        <w:rPr>
          <w:rStyle w:val="Emphasis"/>
          <w:rFonts w:ascii="Times New Roman" w:hAnsi="Times New Roman"/>
          <w:sz w:val="20"/>
        </w:rPr>
        <w:t>13</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rPr/>
      </w:pPr>
      <w:r>
        <w:rPr/>
        <w:t xml:space="preserve">  </w:t>
      </w:r>
    </w:p>
    <w:p>
      <w:pPr>
        <w:pStyle w:val="TextBody"/>
        <w:rPr/>
      </w:pPr>
      <w:r>
        <w:rPr/>
        <w:t xml:space="preserve">  </w:t>
      </w:r>
    </w:p>
    <w:p>
      <w:pPr>
        <w:pStyle w:val="TextBody"/>
        <w:spacing w:before="0" w:after="0"/>
        <w:ind w:left="0" w:right="0" w:hanging="0"/>
        <w:jc w:val="left"/>
        <w:rPr/>
      </w:pPr>
      <w:r>
        <w:rPr>
          <w:rStyle w:val="Emphasis"/>
          <w:rFonts w:ascii="Times New Roman;Times;serif" w:hAnsi="Times New Roman;Times;serif"/>
          <w:b/>
          <w:sz w:val="20"/>
        </w:rPr>
        <w:t>9.</w:t>
      </w:r>
      <w:r>
        <w:rPr>
          <w:rFonts w:ascii="Times New Roman;Times;serif" w:hAnsi="Times New Roman;Times;serif"/>
          <w:b/>
          <w:sz w:val="20"/>
        </w:rPr>
        <w:t xml:space="preserve"> Income per Share </w:t>
      </w:r>
    </w:p>
    <w:p>
      <w:pPr>
        <w:pStyle w:val="TextBody"/>
        <w:spacing w:before="0" w:after="0"/>
        <w:ind w:left="144" w:right="144" w:hanging="0"/>
        <w:jc w:val="left"/>
        <w:rPr/>
      </w:pPr>
      <w:r>
        <w:rPr/>
        <w:t> </w:t>
      </w:r>
    </w:p>
    <w:p>
      <w:pPr>
        <w:pStyle w:val="TextBody"/>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sets forth the computation of basic and diluted net income/(loss) per share (in thousands, except share and per share data):</w:t>
      </w:r>
    </w:p>
    <w:p>
      <w:pPr>
        <w:pStyle w:val="TextBody"/>
        <w:spacing w:before="0" w:after="0"/>
        <w:ind w:left="144" w:right="144" w:hanging="0"/>
        <w:jc w:val="left"/>
        <w:rPr/>
      </w:pPr>
      <w:r>
        <w:rPr/>
        <w:t> </w:t>
      </w:r>
    </w:p>
    <w:tbl>
      <w:tblPr>
        <w:tblW w:w="10205" w:type="dxa"/>
        <w:jc w:val="left"/>
        <w:tblInd w:w="0" w:type="dxa"/>
        <w:tblCellMar>
          <w:top w:w="0" w:type="dxa"/>
          <w:left w:w="0" w:type="dxa"/>
          <w:bottom w:w="0" w:type="dxa"/>
          <w:right w:w="0" w:type="dxa"/>
        </w:tblCellMar>
      </w:tblPr>
      <w:tblGrid>
        <w:gridCol w:w="5385"/>
        <w:gridCol w:w="60"/>
        <w:gridCol w:w="125"/>
        <w:gridCol w:w="950"/>
        <w:gridCol w:w="60"/>
        <w:gridCol w:w="60"/>
        <w:gridCol w:w="125"/>
        <w:gridCol w:w="950"/>
        <w:gridCol w:w="80"/>
        <w:gridCol w:w="60"/>
        <w:gridCol w:w="125"/>
        <w:gridCol w:w="950"/>
        <w:gridCol w:w="60"/>
        <w:gridCol w:w="60"/>
        <w:gridCol w:w="125"/>
        <w:gridCol w:w="950"/>
        <w:gridCol w:w="80"/>
      </w:tblGrid>
      <w:tr>
        <w:trPr/>
        <w:tc>
          <w:tcPr>
            <w:tcW w:w="53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270"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Thirteen weeks ended</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270"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Twenty-six weeks ended</w:t>
            </w:r>
          </w:p>
        </w:tc>
        <w:tc>
          <w:tcPr>
            <w:tcW w:w="80" w:type="dxa"/>
            <w:tcBorders/>
            <w:shd w:fill="FFFFFF" w:val="clear"/>
            <w:vAlign w:val="center"/>
          </w:tcPr>
          <w:p>
            <w:pPr>
              <w:pStyle w:val="TableContents"/>
              <w:spacing w:before="0" w:after="283"/>
              <w:rPr/>
            </w:pPr>
            <w:r>
              <w:rPr/>
              <w:t> </w:t>
            </w:r>
          </w:p>
        </w:tc>
      </w:tr>
      <w:tr>
        <w:trPr/>
        <w:tc>
          <w:tcPr>
            <w:tcW w:w="53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75"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July 31,</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75"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August 1,</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75"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July 31,</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75" w:type="dxa"/>
            <w:gridSpan w:val="2"/>
            <w:tcBorders/>
            <w:shd w:fill="FFFFFF" w:val="cle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August 1,</w:t>
            </w:r>
          </w:p>
        </w:tc>
        <w:tc>
          <w:tcPr>
            <w:tcW w:w="80" w:type="dxa"/>
            <w:tcBorders/>
            <w:shd w:fill="FFFFFF" w:val="clear"/>
            <w:vAlign w:val="center"/>
          </w:tcPr>
          <w:p>
            <w:pPr>
              <w:pStyle w:val="TableContents"/>
              <w:spacing w:before="0" w:after="283"/>
              <w:rPr/>
            </w:pPr>
            <w:r>
              <w:rPr/>
              <w:t> </w:t>
            </w:r>
          </w:p>
        </w:tc>
      </w:tr>
      <w:tr>
        <w:trPr/>
        <w:tc>
          <w:tcPr>
            <w:tcW w:w="53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7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2021</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7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2020</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7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2021</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7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 w:hAnsi="Times New Roman"/>
                <w:b/>
                <w:caps w:val="false"/>
                <w:smallCaps w:val="false"/>
                <w:sz w:val="20"/>
              </w:rPr>
              <w:t>2020</w:t>
            </w:r>
          </w:p>
        </w:tc>
        <w:tc>
          <w:tcPr>
            <w:tcW w:w="80" w:type="dxa"/>
            <w:tcBorders/>
            <w:shd w:fill="FFFFFF" w:val="clear"/>
            <w:vAlign w:val="center"/>
          </w:tcPr>
          <w:p>
            <w:pPr>
              <w:pStyle w:val="TableContents"/>
              <w:spacing w:before="0" w:after="283"/>
              <w:rPr/>
            </w:pPr>
            <w:r>
              <w:rPr/>
              <w:t> </w:t>
            </w:r>
          </w:p>
        </w:tc>
      </w:tr>
      <w:tr>
        <w:trPr/>
        <w:tc>
          <w:tcPr>
            <w:tcW w:w="538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NUMERATOR:</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95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95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95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95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r>
      <w:tr>
        <w:trPr/>
        <w:tc>
          <w:tcPr>
            <w:tcW w:w="5385"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Net income (loss)</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5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6,835</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5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(13,909</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5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17,215</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5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(35,113</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538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95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95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95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950"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r>
      <w:tr>
        <w:trPr/>
        <w:tc>
          <w:tcPr>
            <w:tcW w:w="538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DENOMINATOR:</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95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950"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95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950"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r>
      <w:tr>
        <w:trPr/>
        <w:tc>
          <w:tcPr>
            <w:tcW w:w="5385"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Weighted average number of common shares outstanding - basic</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9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15,398,406</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9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14,999,786</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9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15,230,215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9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14,936,541</w:t>
            </w:r>
          </w:p>
        </w:tc>
        <w:tc>
          <w:tcPr>
            <w:tcW w:w="80" w:type="dxa"/>
            <w:tcBorders/>
            <w:shd w:fill="CCEEFF" w:val="clear"/>
            <w:vAlign w:val="center"/>
          </w:tcPr>
          <w:p>
            <w:pPr>
              <w:pStyle w:val="TableContents"/>
              <w:spacing w:before="0" w:after="283"/>
              <w:rPr/>
            </w:pPr>
            <w:r>
              <w:rPr/>
              <w:t> </w:t>
            </w:r>
          </w:p>
        </w:tc>
      </w:tr>
      <w:tr>
        <w:trPr/>
        <w:tc>
          <w:tcPr>
            <w:tcW w:w="5385" w:type="dxa"/>
            <w:tcBorders/>
            <w:shd w:fill="FFFFFF" w:val="clear"/>
            <w:vAlign w:val="center"/>
          </w:tcPr>
          <w:p>
            <w:pPr>
              <w:pStyle w:val="TableContents"/>
              <w:spacing w:before="0" w:after="0"/>
              <w:ind w:left="540" w:right="0" w:hanging="0"/>
              <w:rPr>
                <w:rFonts w:ascii="Times New Roman" w:hAnsi="Times New Roman"/>
                <w:caps w:val="false"/>
                <w:smallCaps w:val="false"/>
                <w:sz w:val="20"/>
              </w:rPr>
            </w:pPr>
            <w:r>
              <w:rPr>
                <w:rFonts w:ascii="Times New Roman" w:hAnsi="Times New Roman"/>
                <w:caps w:val="false"/>
                <w:smallCaps w:val="false"/>
                <w:sz w:val="20"/>
              </w:rPr>
              <w:t>Dilutive effect of share-based awards:</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95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713,181</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95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95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728,305</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95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spacing w:before="0" w:after="283"/>
              <w:rPr/>
            </w:pPr>
            <w:r>
              <w:rPr/>
              <w:t> </w:t>
            </w:r>
          </w:p>
        </w:tc>
      </w:tr>
      <w:tr>
        <w:trPr/>
        <w:tc>
          <w:tcPr>
            <w:tcW w:w="5385"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Weighted average number of common shares outstanding - dilutive</w:t>
            </w:r>
          </w:p>
        </w:tc>
        <w:tc>
          <w:tcPr>
            <w:tcW w:w="60" w:type="dxa"/>
            <w:tcBorders/>
            <w:shd w:fill="CCEEFF" w:val="clear"/>
            <w:vAlign w:val="center"/>
          </w:tcPr>
          <w:p>
            <w:pPr>
              <w:pStyle w:val="TableContents"/>
              <w:spacing w:before="0" w:after="283"/>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pPr>
            <w:r>
              <w:rPr/>
              <w:t> </w:t>
            </w:r>
          </w:p>
        </w:tc>
        <w:tc>
          <w:tcPr>
            <w:tcW w:w="95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16,111,587</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pPr>
            <w:r>
              <w:rPr/>
              <w:t> </w:t>
            </w:r>
          </w:p>
        </w:tc>
        <w:tc>
          <w:tcPr>
            <w:tcW w:w="95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14,999,786</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pPr>
            <w:r>
              <w:rPr/>
              <w:t> </w:t>
            </w:r>
          </w:p>
        </w:tc>
        <w:tc>
          <w:tcPr>
            <w:tcW w:w="95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15,958,520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pPr>
            <w:r>
              <w:rPr/>
              <w:t> </w:t>
            </w:r>
          </w:p>
        </w:tc>
        <w:tc>
          <w:tcPr>
            <w:tcW w:w="95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14,936,541</w:t>
            </w:r>
          </w:p>
        </w:tc>
        <w:tc>
          <w:tcPr>
            <w:tcW w:w="80" w:type="dxa"/>
            <w:tcBorders/>
            <w:shd w:fill="CCEEFF" w:val="clear"/>
            <w:vAlign w:val="center"/>
          </w:tcPr>
          <w:p>
            <w:pPr>
              <w:pStyle w:val="TableContents"/>
              <w:spacing w:before="0" w:after="283"/>
              <w:rPr/>
            </w:pPr>
            <w:r>
              <w:rPr/>
              <w:t> </w:t>
            </w:r>
          </w:p>
        </w:tc>
      </w:tr>
      <w:tr>
        <w:trPr/>
        <w:tc>
          <w:tcPr>
            <w:tcW w:w="53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95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950"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95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950"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r>
      <w:tr>
        <w:trPr/>
        <w:tc>
          <w:tcPr>
            <w:tcW w:w="538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Basic income (loss) per common share attributable to Build-A-Bear Workshop, Inc. stockholders</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0.44</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(0.93</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1.13</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(2.35</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538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Diluted income (loss) per common share attributable to Build-A-Bear Workshop, Inc. stockholders</w:t>
            </w:r>
          </w:p>
        </w:tc>
        <w:tc>
          <w:tcPr>
            <w:tcW w:w="60" w:type="dxa"/>
            <w:tcBorders/>
            <w:shd w:fill="FFFFFF" w:val="clear"/>
            <w:vAlign w:val="center"/>
          </w:tcPr>
          <w:p>
            <w:pPr>
              <w:pStyle w:val="TableContents"/>
              <w:spacing w:before="0" w:after="283"/>
              <w:ind w:left="0" w:right="0" w:hanging="0"/>
              <w:rPr/>
            </w:pPr>
            <w:r>
              <w:rPr/>
              <w:t> </w:t>
            </w:r>
          </w:p>
        </w:tc>
        <w:tc>
          <w:tcPr>
            <w:tcW w:w="125"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0.42</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(0.93</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ind w:left="0" w:right="0" w:hanging="0"/>
              <w:rPr/>
            </w:pPr>
            <w:r>
              <w:rPr/>
              <w:t> </w:t>
            </w:r>
          </w:p>
        </w:tc>
        <w:tc>
          <w:tcPr>
            <w:tcW w:w="125"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1.08</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(2.35</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bl>
    <w:p>
      <w:pPr>
        <w:pStyle w:val="TextBody"/>
        <w:spacing w:before="0" w:after="0"/>
        <w:ind w:left="0" w:right="0" w:hanging="0"/>
        <w:jc w:val="left"/>
        <w:rPr/>
      </w:pPr>
      <w:r>
        <w:rPr/>
        <w:t> </w:t>
      </w:r>
    </w:p>
    <w:p>
      <w:pPr>
        <w:pStyle w:val="TextBody"/>
        <w:spacing w:before="0" w:after="0"/>
        <w:ind w:left="0" w:right="0" w:firstLine="720"/>
        <w:jc w:val="left"/>
        <w:rPr/>
      </w:pPr>
      <w:r>
        <w:rPr>
          <w:rFonts w:ascii="Times New Roman;Times;serif" w:hAnsi="Times New Roman;Times;serif"/>
          <w:sz w:val="20"/>
        </w:rPr>
        <w:t xml:space="preserve">In calculating the diluted income per share for the </w:t>
      </w:r>
      <w:r>
        <w:rPr>
          <w:rStyle w:val="Emphasis"/>
          <w:rFonts w:ascii="Times New Roman;Times;serif" w:hAnsi="Times New Roman;Times;serif"/>
          <w:sz w:val="20"/>
        </w:rPr>
        <w:t>thirteen</w:t>
      </w:r>
      <w:r>
        <w:rPr>
          <w:rFonts w:ascii="Times New Roman;Times;serif" w:hAnsi="Times New Roman;Times;serif"/>
          <w:sz w:val="20"/>
        </w:rPr>
        <w:t xml:space="preserve"> and </w:t>
      </w:r>
      <w:r>
        <w:rPr>
          <w:rStyle w:val="Emphasis"/>
          <w:rFonts w:ascii="Times New Roman;Times;serif" w:hAnsi="Times New Roman;Times;serif"/>
          <w:sz w:val="20"/>
        </w:rPr>
        <w:t>twenty-six</w:t>
      </w:r>
      <w:r>
        <w:rPr>
          <w:rFonts w:ascii="Times New Roman;Times;serif" w:hAnsi="Times New Roman;Times;serif"/>
          <w:sz w:val="20"/>
        </w:rPr>
        <w:t xml:space="preserve"> weeks ended </w:t>
      </w:r>
      <w:r>
        <w:rPr>
          <w:rStyle w:val="Emphasis"/>
          <w:rFonts w:ascii="Times New Roman;Times;serif" w:hAnsi="Times New Roman;Times;serif"/>
          <w:sz w:val="20"/>
        </w:rPr>
        <w:t>July 31, 2021</w:t>
      </w:r>
      <w:r>
        <w:rPr>
          <w:rFonts w:ascii="Times New Roman;Times;serif" w:hAnsi="Times New Roman;Times;serif"/>
          <w:sz w:val="20"/>
        </w:rPr>
        <w:t xml:space="preserve">, options to purchase 63,877 and 246,534 shares of common stock, respectively, that were outstanding at the end of the period were </w:t>
      </w:r>
      <w:r>
        <w:rPr>
          <w:rStyle w:val="Emphasis"/>
          <w:rFonts w:ascii="Times New Roman;Times;serif" w:hAnsi="Times New Roman;Times;serif"/>
          <w:sz w:val="20"/>
        </w:rPr>
        <w:t>not</w:t>
      </w:r>
      <w:r>
        <w:rPr>
          <w:rFonts w:ascii="Times New Roman;Times;serif" w:hAnsi="Times New Roman;Times;serif"/>
          <w:sz w:val="20"/>
        </w:rPr>
        <w:t xml:space="preserve"> included in the computation of diluted income per share due to their anti-dilutive effect. For the </w:t>
      </w:r>
      <w:r>
        <w:rPr>
          <w:rStyle w:val="Emphasis"/>
          <w:rFonts w:ascii="Times New Roman;Times;serif" w:hAnsi="Times New Roman;Times;serif"/>
          <w:sz w:val="20"/>
        </w:rPr>
        <w:t>thirteen</w:t>
      </w:r>
      <w:r>
        <w:rPr>
          <w:rFonts w:ascii="Times New Roman;Times;serif" w:hAnsi="Times New Roman;Times;serif"/>
          <w:sz w:val="20"/>
        </w:rPr>
        <w:t xml:space="preserve"> and </w:t>
      </w:r>
      <w:r>
        <w:rPr>
          <w:rStyle w:val="Emphasis"/>
          <w:rFonts w:ascii="Times New Roman;Times;serif" w:hAnsi="Times New Roman;Times;serif"/>
          <w:sz w:val="20"/>
        </w:rPr>
        <w:t>twenty-six</w:t>
      </w:r>
      <w:r>
        <w:rPr>
          <w:rFonts w:ascii="Times New Roman;Times;serif" w:hAnsi="Times New Roman;Times;serif"/>
          <w:sz w:val="20"/>
        </w:rPr>
        <w:t xml:space="preserve"> weeks ended </w:t>
      </w:r>
      <w:r>
        <w:rPr>
          <w:rStyle w:val="Emphasis"/>
          <w:rFonts w:ascii="Times New Roman;Times;serif" w:hAnsi="Times New Roman;Times;serif"/>
          <w:sz w:val="20"/>
        </w:rPr>
        <w:t>August 1, 2020</w:t>
      </w:r>
      <w:r>
        <w:rPr>
          <w:rFonts w:ascii="Times New Roman;Times;serif" w:hAnsi="Times New Roman;Times;serif"/>
          <w:sz w:val="20"/>
        </w:rPr>
        <w:t xml:space="preserve">, options to purchase 833,353 and 862,846 shares of common stock, respectively, that were outstanding at the end of the period were </w:t>
      </w:r>
      <w:r>
        <w:rPr>
          <w:rStyle w:val="Emphasis"/>
          <w:rFonts w:ascii="Times New Roman;Times;serif" w:hAnsi="Times New Roman;Times;serif"/>
          <w:sz w:val="20"/>
        </w:rPr>
        <w:t>not</w:t>
      </w:r>
      <w:r>
        <w:rPr>
          <w:rFonts w:ascii="Times New Roman;Times;serif" w:hAnsi="Times New Roman;Times;serif"/>
          <w:sz w:val="20"/>
        </w:rPr>
        <w:t xml:space="preserve"> included in the computation of diluted income per share due to their anti-dilutive effect.</w:t>
      </w:r>
    </w:p>
    <w:p>
      <w:pPr>
        <w:pStyle w:val="TextBody"/>
        <w:ind w:left="144" w:right="144" w:hanging="0"/>
        <w:rPr/>
      </w:pPr>
      <w:r>
        <w:rPr/>
        <w:t xml:space="preserve">  </w:t>
      </w:r>
    </w:p>
    <w:p>
      <w:pPr>
        <w:pStyle w:val="TextBody"/>
        <w:spacing w:before="0" w:after="0"/>
        <w:ind w:left="0" w:right="0" w:hanging="0"/>
        <w:jc w:val="left"/>
        <w:rPr/>
      </w:pPr>
      <w:r>
        <w:rPr>
          <w:rStyle w:val="Emphasis"/>
          <w:rFonts w:ascii="Times New Roman;Times;serif" w:hAnsi="Times New Roman;Times;serif"/>
          <w:b/>
          <w:sz w:val="20"/>
        </w:rPr>
        <w:t>10.</w:t>
      </w:r>
      <w:r>
        <w:rPr>
          <w:rFonts w:ascii="Times New Roman;Times;serif" w:hAnsi="Times New Roman;Times;serif"/>
          <w:b/>
          <w:sz w:val="20"/>
        </w:rPr>
        <w:t xml:space="preserve"> Comprehensive Income (Loss) </w:t>
      </w:r>
    </w:p>
    <w:p>
      <w:pPr>
        <w:pStyle w:val="TextBody"/>
        <w:spacing w:before="0" w:after="0"/>
        <w:ind w:left="144" w:right="144" w:hanging="0"/>
        <w:jc w:val="left"/>
        <w:rPr/>
      </w:pPr>
      <w:r>
        <w:rPr/>
        <w:t> </w:t>
      </w:r>
    </w:p>
    <w:p>
      <w:pPr>
        <w:pStyle w:val="TextBody"/>
        <w:spacing w:before="0" w:after="0"/>
        <w:ind w:left="0" w:right="0" w:firstLine="720"/>
        <w:jc w:val="left"/>
        <w:rPr/>
      </w:pPr>
      <w:r>
        <w:rPr>
          <w:rFonts w:ascii="Times New Roman;Times;serif" w:hAnsi="Times New Roman;Times;serif"/>
          <w:sz w:val="20"/>
        </w:rPr>
        <w:t xml:space="preserve">The difference between comprehensive income or loss and net income or loss is the result of foreign currency translation adjustments on the balance sheets of subsidiaries whose functional currency is </w:t>
      </w:r>
      <w:r>
        <w:rPr>
          <w:rStyle w:val="Emphasis"/>
          <w:rFonts w:ascii="Times New Roman;Times;serif" w:hAnsi="Times New Roman;Times;serif"/>
          <w:sz w:val="20"/>
        </w:rPr>
        <w:t>not</w:t>
      </w:r>
      <w:r>
        <w:rPr>
          <w:rFonts w:ascii="Times New Roman;Times;serif" w:hAnsi="Times New Roman;Times;serif"/>
          <w:sz w:val="20"/>
        </w:rPr>
        <w:t xml:space="preserve"> the U.S. Dollar. The accumulated other comprehensive income (loss) balance at </w:t>
      </w:r>
      <w:r>
        <w:rPr>
          <w:rStyle w:val="Emphasis"/>
          <w:rFonts w:ascii="Times New Roman;Times;serif" w:hAnsi="Times New Roman;Times;serif"/>
          <w:sz w:val="20"/>
        </w:rPr>
        <w:t xml:space="preserve"> July 31, 2021 </w:t>
      </w:r>
      <w:r>
        <w:rPr>
          <w:rFonts w:ascii="Times New Roman;Times;serif" w:hAnsi="Times New Roman;Times;serif"/>
          <w:sz w:val="20"/>
        </w:rPr>
        <w:t xml:space="preserve">and </w:t>
      </w:r>
      <w:r>
        <w:rPr>
          <w:rStyle w:val="Emphasis"/>
          <w:rFonts w:ascii="Times New Roman;Times;serif" w:hAnsi="Times New Roman;Times;serif"/>
          <w:sz w:val="20"/>
        </w:rPr>
        <w:t>August 1, 2020</w:t>
      </w:r>
      <w:r>
        <w:rPr>
          <w:rFonts w:ascii="Times New Roman;Times;serif" w:hAnsi="Times New Roman;Times;serif"/>
          <w:sz w:val="20"/>
        </w:rPr>
        <w:t xml:space="preserve"> was comprised entirely of foreign currency translation. For the </w:t>
      </w:r>
      <w:r>
        <w:rPr>
          <w:rStyle w:val="Emphasis"/>
          <w:rFonts w:ascii="Times New Roman;Times;serif" w:hAnsi="Times New Roman;Times;serif"/>
          <w:sz w:val="20"/>
        </w:rPr>
        <w:t>thirteen</w:t>
      </w:r>
      <w:r>
        <w:rPr>
          <w:rFonts w:ascii="Times New Roman;Times;serif" w:hAnsi="Times New Roman;Times;serif"/>
          <w:sz w:val="20"/>
        </w:rPr>
        <w:t xml:space="preserve"> weeks ended </w:t>
      </w:r>
      <w:r>
        <w:rPr>
          <w:rStyle w:val="Emphasis"/>
          <w:rFonts w:ascii="Times New Roman;Times;serif" w:hAnsi="Times New Roman;Times;serif"/>
          <w:sz w:val="20"/>
        </w:rPr>
        <w:t xml:space="preserve">July 31, 2021 </w:t>
      </w:r>
      <w:r>
        <w:rPr>
          <w:rFonts w:ascii="Times New Roman;Times;serif" w:hAnsi="Times New Roman;Times;serif"/>
          <w:sz w:val="20"/>
        </w:rPr>
        <w:t xml:space="preserve">and </w:t>
      </w:r>
      <w:r>
        <w:rPr>
          <w:rStyle w:val="Emphasis"/>
          <w:rFonts w:ascii="Times New Roman;Times;serif" w:hAnsi="Times New Roman;Times;serif"/>
          <w:sz w:val="20"/>
        </w:rPr>
        <w:t>August 1, 2020</w:t>
      </w:r>
      <w:r>
        <w:rPr>
          <w:rFonts w:ascii="Times New Roman;Times;serif" w:hAnsi="Times New Roman;Times;serif"/>
          <w:sz w:val="20"/>
        </w:rPr>
        <w:t>, the Company had no reclassifications out of accumulated other comprehensive income (loss).</w:t>
      </w:r>
    </w:p>
    <w:p>
      <w:pPr>
        <w:pStyle w:val="TextBody"/>
        <w:ind w:left="144" w:right="144" w:hanging="0"/>
        <w:rPr/>
      </w:pPr>
      <w:r>
        <w:rPr/>
        <w:t xml:space="preserve">  </w:t>
      </w:r>
    </w:p>
    <w:p>
      <w:pPr>
        <w:pStyle w:val="TextBody"/>
        <w:spacing w:before="0" w:after="0"/>
        <w:ind w:left="0" w:right="0" w:hanging="0"/>
        <w:jc w:val="left"/>
        <w:rPr/>
      </w:pPr>
      <w:r>
        <w:rPr>
          <w:rStyle w:val="Emphasis"/>
          <w:rFonts w:ascii="Times New Roman;Times;serif" w:hAnsi="Times New Roman;Times;serif"/>
          <w:b/>
          <w:sz w:val="20"/>
        </w:rPr>
        <w:t>11.</w:t>
      </w:r>
      <w:r>
        <w:rPr>
          <w:rFonts w:ascii="Times New Roman;Times;serif" w:hAnsi="Times New Roman;Times;serif"/>
          <w:b/>
          <w:sz w:val="20"/>
        </w:rPr>
        <w:t xml:space="preserve"> Segment Information </w:t>
      </w:r>
    </w:p>
    <w:p>
      <w:pPr>
        <w:pStyle w:val="TextBody"/>
        <w:spacing w:before="0" w:after="0"/>
        <w:ind w:left="144" w:right="144" w:hanging="0"/>
        <w:jc w:val="left"/>
        <w:rPr/>
      </w:pPr>
      <w:r>
        <w:rPr/>
        <w:t> </w:t>
      </w:r>
    </w:p>
    <w:p>
      <w:pPr>
        <w:pStyle w:val="TextBody"/>
        <w:spacing w:before="0" w:after="0"/>
        <w:ind w:left="0" w:right="0" w:firstLine="720"/>
        <w:jc w:val="left"/>
        <w:rPr/>
      </w:pPr>
      <w:r>
        <w:rPr>
          <w:rFonts w:ascii="Times New Roman;Times;serif" w:hAnsi="Times New Roman;Times;serif"/>
          <w:sz w:val="20"/>
        </w:rPr>
        <w:t xml:space="preserve">The Company’s operations are conducted through three operating segments consisting of direct-to-consumer (“DTC”), commercial and international franchising. The DTC segment includes the operating activities of corporately-managed locations and other retail delivery operations in the United States (U.S.), Canada, Ireland and the United Kingdom (“U.K.”), including the Company’s e-commerce sites and temporary stores. The commercial segment includes the Company’s transactions with other businesses, mainly comprised of licensing the Company’s intellectual properties for </w:t>
      </w:r>
      <w:r>
        <w:rPr>
          <w:rStyle w:val="Emphasis"/>
          <w:rFonts w:ascii="Times New Roman;Times;serif" w:hAnsi="Times New Roman;Times;serif"/>
          <w:sz w:val="20"/>
        </w:rPr>
        <w:t>third</w:t>
      </w:r>
      <w:r>
        <w:rPr>
          <w:rFonts w:ascii="Times New Roman;Times;serif" w:hAnsi="Times New Roman;Times;serif"/>
          <w:sz w:val="20"/>
        </w:rPr>
        <w:t>-party use and wholesale activities. The international franchising segment includes the licensing activities of the Company’s franchise agreements with store locations in Asia, Australia, the Middle East, Africa, and South America. The operating segments have discrete sources of revenue, different capital structures and different cost structures. These operating segments represent the basis on which the Company’s chief operating decision maker regularly evaluates the business in assessing performance, determining the allocation of resources and the pursuit of future growth opportunities. Accordingly, the Company has determined that each of its operating segments represent a reportable segment. The three reportable segments follow the same accounting policies used for the Company’s consolidated financial statements.</w:t>
      </w:r>
    </w:p>
    <w:p>
      <w:pPr>
        <w:pStyle w:val="TextBody"/>
        <w:spacing w:before="0" w:after="0"/>
        <w:ind w:left="0" w:right="0" w:firstLine="720"/>
        <w:jc w:val="left"/>
        <w:rPr/>
      </w:pPr>
      <w:r>
        <w:rPr/>
        <w:t> </w:t>
      </w:r>
    </w:p>
    <w:p>
      <w:pPr>
        <w:pStyle w:val="TextBody"/>
        <w:spacing w:before="0" w:after="0"/>
        <w:jc w:val="center"/>
        <w:rPr/>
      </w:pPr>
      <w:r>
        <w:rPr>
          <w:rStyle w:val="Emphasis"/>
          <w:rFonts w:ascii="Times New Roman" w:hAnsi="Times New Roman"/>
          <w:sz w:val="20"/>
        </w:rPr>
        <w:t>14</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rPr/>
      </w:pPr>
      <w:r>
        <w:rPr/>
        <w:t xml:space="preserve">  </w:t>
      </w:r>
    </w:p>
    <w:p>
      <w:pPr>
        <w:pStyle w:val="TextBody"/>
        <w:spacing w:before="0" w:after="0"/>
        <w:ind w:left="0" w:right="0" w:firstLine="720"/>
        <w:jc w:val="left"/>
        <w:rPr>
          <w:rFonts w:ascii="Times New Roman;Times;serif" w:hAnsi="Times New Roman;Times;serif"/>
          <w:sz w:val="20"/>
        </w:rPr>
      </w:pPr>
      <w:r>
        <w:rPr>
          <w:rFonts w:ascii="Times New Roman;Times;serif" w:hAnsi="Times New Roman;Times;serif"/>
          <w:sz w:val="20"/>
        </w:rPr>
        <w:t>Following is a summary of the financial information for the Company’s reportable segments (in thousands):</w:t>
      </w:r>
    </w:p>
    <w:p>
      <w:pPr>
        <w:pStyle w:val="TextBody"/>
        <w:spacing w:before="0" w:after="0"/>
        <w:ind w:left="0" w:right="0" w:firstLine="720"/>
        <w:jc w:val="left"/>
        <w:rPr/>
      </w:pPr>
      <w:r>
        <w:rPr/>
        <w:t> </w:t>
      </w:r>
    </w:p>
    <w:p>
      <w:pPr>
        <w:pStyle w:val="TextBody"/>
        <w:spacing w:before="0" w:after="0"/>
        <w:ind w:left="144" w:right="144" w:firstLine="720"/>
        <w:jc w:val="left"/>
        <w:rPr/>
      </w:pPr>
      <w:r>
        <w:rPr/>
        <w:t> </w:t>
      </w:r>
    </w:p>
    <w:tbl>
      <w:tblPr>
        <w:tblW w:w="7855" w:type="dxa"/>
        <w:jc w:val="left"/>
        <w:tblInd w:w="0" w:type="dxa"/>
        <w:tblCellMar>
          <w:top w:w="0" w:type="dxa"/>
          <w:left w:w="0" w:type="dxa"/>
          <w:bottom w:w="0" w:type="dxa"/>
          <w:right w:w="0" w:type="dxa"/>
        </w:tblCellMar>
      </w:tblPr>
      <w:tblGrid>
        <w:gridCol w:w="3305"/>
        <w:gridCol w:w="60"/>
        <w:gridCol w:w="131"/>
        <w:gridCol w:w="729"/>
        <w:gridCol w:w="80"/>
        <w:gridCol w:w="60"/>
        <w:gridCol w:w="213"/>
        <w:gridCol w:w="827"/>
        <w:gridCol w:w="60"/>
        <w:gridCol w:w="60"/>
        <w:gridCol w:w="231"/>
        <w:gridCol w:w="899"/>
        <w:gridCol w:w="80"/>
        <w:gridCol w:w="60"/>
        <w:gridCol w:w="125"/>
        <w:gridCol w:w="695"/>
        <w:gridCol w:w="240"/>
      </w:tblGrid>
      <w:tr>
        <w:trPr/>
        <w:tc>
          <w:tcPr>
            <w:tcW w:w="330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60"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sz w:val="20"/>
              </w:rPr>
              <w:t>Direct-to-</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13" w:type="dxa"/>
            <w:tcBorders/>
            <w:shd w:fill="FFFFFF" w:val="clear"/>
            <w:vAlign w:val="center"/>
          </w:tcPr>
          <w:p>
            <w:pPr>
              <w:pStyle w:val="TableContents"/>
              <w:spacing w:before="0" w:after="283"/>
              <w:rPr/>
            </w:pPr>
            <w:r>
              <w:rPr/>
              <w:t> </w:t>
            </w:r>
          </w:p>
        </w:tc>
        <w:tc>
          <w:tcPr>
            <w:tcW w:w="827" w:type="dxa"/>
            <w:tcBorders/>
            <w:shd w:fill="FFFFFF" w:val="clear"/>
            <w:vAlign w:val="center"/>
          </w:tcPr>
          <w:p>
            <w:pPr>
              <w:pStyle w:val="TableContents"/>
              <w:spacing w:before="0" w:after="283"/>
              <w:jc w:val="center"/>
              <w:rPr/>
            </w:pPr>
            <w:r>
              <w:rPr>
                <w:rStyle w:val="Emphasis"/>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30"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sz w:val="20"/>
              </w:rPr>
              <w:t>International</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95" w:type="dxa"/>
            <w:tcBorders/>
            <w:shd w:fill="FFFFFF" w:val="clear"/>
            <w:vAlign w:val="center"/>
          </w:tcPr>
          <w:p>
            <w:pPr>
              <w:pStyle w:val="TableContents"/>
              <w:spacing w:before="0" w:after="283"/>
              <w:jc w:val="center"/>
              <w:rPr/>
            </w:pPr>
            <w:r>
              <w:rPr>
                <w:rStyle w:val="Emphasis"/>
              </w:rPr>
              <w:t> </w:t>
            </w:r>
          </w:p>
        </w:tc>
        <w:tc>
          <w:tcPr>
            <w:tcW w:w="240" w:type="dxa"/>
            <w:tcBorders/>
            <w:shd w:fill="FFFFFF" w:val="clear"/>
            <w:vAlign w:val="center"/>
          </w:tcPr>
          <w:p>
            <w:pPr>
              <w:pStyle w:val="TableContents"/>
              <w:spacing w:before="0" w:after="283"/>
              <w:rPr/>
            </w:pPr>
            <w:r>
              <w:rPr/>
              <w:t> </w:t>
            </w:r>
          </w:p>
        </w:tc>
      </w:tr>
      <w:tr>
        <w:trPr/>
        <w:tc>
          <w:tcPr>
            <w:tcW w:w="330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6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sz w:val="20"/>
              </w:rPr>
              <w:t>Consumer</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04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sz w:val="20"/>
              </w:rPr>
              <w:t>Commercial</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3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sz w:val="20"/>
              </w:rPr>
              <w:t>Franchising</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2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sz w:val="20"/>
              </w:rPr>
              <w:t>Total</w:t>
            </w:r>
          </w:p>
        </w:tc>
        <w:tc>
          <w:tcPr>
            <w:tcW w:w="240" w:type="dxa"/>
            <w:tcBorders/>
            <w:shd w:fill="FFFFFF" w:val="clear"/>
            <w:vAlign w:val="center"/>
          </w:tcPr>
          <w:p>
            <w:pPr>
              <w:pStyle w:val="TableContents"/>
              <w:spacing w:before="0" w:after="283"/>
              <w:rPr/>
            </w:pPr>
            <w:r>
              <w:rPr/>
              <w:t> </w:t>
            </w:r>
          </w:p>
        </w:tc>
      </w:tr>
      <w:tr>
        <w:trPr/>
        <w:tc>
          <w:tcPr>
            <w:tcW w:w="3305" w:type="dxa"/>
            <w:tcBorders/>
            <w:shd w:fill="CCEE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Thirteen weeks ended July 31, 2021</w:t>
            </w:r>
          </w:p>
        </w:tc>
        <w:tc>
          <w:tcPr>
            <w:tcW w:w="60" w:type="dxa"/>
            <w:tcBorders/>
            <w:shd w:fill="CCEEFF" w:val="clear"/>
            <w:vAlign w:val="center"/>
          </w:tcPr>
          <w:p>
            <w:pPr>
              <w:pStyle w:val="TableContents"/>
              <w:spacing w:before="0" w:after="283"/>
              <w:rPr/>
            </w:pPr>
            <w:r>
              <w:rPr/>
              <w:t> </w:t>
            </w:r>
          </w:p>
        </w:tc>
        <w:tc>
          <w:tcPr>
            <w:tcW w:w="131" w:type="dxa"/>
            <w:tcBorders/>
            <w:shd w:fill="CCEEFF" w:val="clear"/>
            <w:vAlign w:val="center"/>
          </w:tcPr>
          <w:p>
            <w:pPr>
              <w:pStyle w:val="TableContents"/>
              <w:spacing w:before="0" w:after="283"/>
              <w:rPr/>
            </w:pPr>
            <w:r>
              <w:rPr/>
              <w:t> </w:t>
            </w:r>
          </w:p>
        </w:tc>
        <w:tc>
          <w:tcPr>
            <w:tcW w:w="729"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13" w:type="dxa"/>
            <w:tcBorders/>
            <w:shd w:fill="CCEEFF" w:val="clear"/>
            <w:vAlign w:val="center"/>
          </w:tcPr>
          <w:p>
            <w:pPr>
              <w:pStyle w:val="TableContents"/>
              <w:spacing w:before="0" w:after="283"/>
              <w:rPr/>
            </w:pPr>
            <w:r>
              <w:rPr/>
              <w:t> </w:t>
            </w:r>
          </w:p>
        </w:tc>
        <w:tc>
          <w:tcPr>
            <w:tcW w:w="827"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1" w:type="dxa"/>
            <w:tcBorders/>
            <w:shd w:fill="CCEEFF" w:val="clear"/>
            <w:vAlign w:val="center"/>
          </w:tcPr>
          <w:p>
            <w:pPr>
              <w:pStyle w:val="TableContents"/>
              <w:spacing w:before="0" w:after="283"/>
              <w:rPr/>
            </w:pPr>
            <w:r>
              <w:rPr/>
              <w:t> </w:t>
            </w:r>
          </w:p>
        </w:tc>
        <w:tc>
          <w:tcPr>
            <w:tcW w:w="899"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95" w:type="dxa"/>
            <w:tcBorders/>
            <w:shd w:fill="CCEEFF" w:val="clear"/>
            <w:vAlign w:val="center"/>
          </w:tcPr>
          <w:p>
            <w:pPr>
              <w:pStyle w:val="TableContents"/>
              <w:spacing w:before="0" w:after="283"/>
              <w:rPr/>
            </w:pPr>
            <w:r>
              <w:rPr/>
              <w:t> </w:t>
            </w:r>
          </w:p>
        </w:tc>
        <w:tc>
          <w:tcPr>
            <w:tcW w:w="240" w:type="dxa"/>
            <w:tcBorders/>
            <w:shd w:fill="CCEEFF" w:val="clear"/>
            <w:vAlign w:val="center"/>
          </w:tcPr>
          <w:p>
            <w:pPr>
              <w:pStyle w:val="TableContents"/>
              <w:spacing w:before="0" w:after="283"/>
              <w:rPr/>
            </w:pPr>
            <w:r>
              <w:rPr/>
              <w:t> </w:t>
            </w:r>
          </w:p>
        </w:tc>
      </w:tr>
      <w:tr>
        <w:trPr/>
        <w:tc>
          <w:tcPr>
            <w:tcW w:w="3305" w:type="dxa"/>
            <w:tcBorders/>
            <w:shd w:fill="FFFFFF" w:val="clear"/>
            <w:vAlign w:val="center"/>
          </w:tcPr>
          <w:p>
            <w:pPr>
              <w:pStyle w:val="TableContents"/>
              <w:spacing w:before="0" w:after="0"/>
              <w:ind w:left="180" w:right="0" w:hanging="0"/>
              <w:rPr>
                <w:rFonts w:ascii="Times New Roman;Times;serif" w:hAnsi="Times New Roman;Times;serif"/>
                <w:sz w:val="20"/>
              </w:rPr>
            </w:pPr>
            <w:r>
              <w:rPr>
                <w:rFonts w:ascii="Times New Roman;Times;serif" w:hAnsi="Times New Roman;Times;serif"/>
                <w:sz w:val="20"/>
              </w:rPr>
              <w:t>Net sales to external customers</w:t>
            </w:r>
          </w:p>
        </w:tc>
        <w:tc>
          <w:tcPr>
            <w:tcW w:w="60" w:type="dxa"/>
            <w:tcBorders/>
            <w:shd w:fill="FFFFFF" w:val="clear"/>
            <w:vAlign w:val="center"/>
          </w:tcPr>
          <w:p>
            <w:pPr>
              <w:pStyle w:val="TableContents"/>
              <w:spacing w:before="0" w:after="283"/>
              <w:ind w:left="0" w:right="0" w:hanging="0"/>
              <w:rPr/>
            </w:pPr>
            <w:r>
              <w:rPr/>
              <w:t> </w:t>
            </w:r>
          </w:p>
        </w:tc>
        <w:tc>
          <w:tcPr>
            <w:tcW w:w="131" w:type="dxa"/>
            <w:tcBorders/>
            <w:shd w:fill="FFFF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729"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91,289</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13" w:type="dxa"/>
            <w:tcBorders/>
            <w:shd w:fill="FFFF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827"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2,946</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31" w:type="dxa"/>
            <w:tcBorders/>
            <w:shd w:fill="FFFF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899"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493</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shd w:fill="FFFF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94,728</w:t>
            </w:r>
          </w:p>
        </w:tc>
        <w:tc>
          <w:tcPr>
            <w:tcW w:w="240" w:type="dxa"/>
            <w:tcBorders/>
            <w:shd w:fill="FFFFFF" w:val="clear"/>
            <w:vAlign w:val="center"/>
          </w:tcPr>
          <w:p>
            <w:pPr>
              <w:pStyle w:val="TableContents"/>
              <w:spacing w:before="0" w:after="283"/>
              <w:rPr/>
            </w:pPr>
            <w:r>
              <w:rPr/>
              <w:t> </w:t>
            </w:r>
          </w:p>
        </w:tc>
      </w:tr>
      <w:tr>
        <w:trPr/>
        <w:tc>
          <w:tcPr>
            <w:tcW w:w="3305" w:type="dxa"/>
            <w:tcBorders/>
            <w:shd w:fill="CCEEFF" w:val="clear"/>
            <w:vAlign w:val="center"/>
          </w:tcPr>
          <w:p>
            <w:pPr>
              <w:pStyle w:val="TableContents"/>
              <w:spacing w:before="0" w:after="0"/>
              <w:ind w:left="180" w:right="0" w:hanging="0"/>
              <w:rPr>
                <w:rFonts w:ascii="Times New Roman;Times;serif" w:hAnsi="Times New Roman;Times;serif"/>
                <w:sz w:val="20"/>
              </w:rPr>
            </w:pPr>
            <w:r>
              <w:rPr>
                <w:rFonts w:ascii="Times New Roman;Times;serif" w:hAnsi="Times New Roman;Times;serif"/>
                <w:sz w:val="20"/>
              </w:rPr>
              <w:t>Income before income taxes</w:t>
            </w:r>
          </w:p>
        </w:tc>
        <w:tc>
          <w:tcPr>
            <w:tcW w:w="60" w:type="dxa"/>
            <w:tcBorders/>
            <w:shd w:fill="CCEEFF" w:val="clear"/>
            <w:vAlign w:val="center"/>
          </w:tcPr>
          <w:p>
            <w:pPr>
              <w:pStyle w:val="TableContents"/>
              <w:spacing w:before="0" w:after="283"/>
              <w:rPr/>
            </w:pPr>
            <w:r>
              <w:rPr/>
              <w:t> </w:t>
            </w:r>
          </w:p>
        </w:tc>
        <w:tc>
          <w:tcPr>
            <w:tcW w:w="131" w:type="dxa"/>
            <w:tcBorders/>
            <w:shd w:fill="CCEEFF" w:val="clear"/>
            <w:vAlign w:val="center"/>
          </w:tcPr>
          <w:p>
            <w:pPr>
              <w:pStyle w:val="TableContents"/>
              <w:spacing w:before="0" w:after="283"/>
              <w:ind w:left="0" w:right="0" w:hanging="0"/>
              <w:rPr/>
            </w:pPr>
            <w:r>
              <w:rPr/>
              <w:t> </w:t>
            </w:r>
          </w:p>
        </w:tc>
        <w:tc>
          <w:tcPr>
            <w:tcW w:w="729"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8,032</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13" w:type="dxa"/>
            <w:tcBorders/>
            <w:shd w:fill="CCEEFF" w:val="clear"/>
            <w:vAlign w:val="center"/>
          </w:tcPr>
          <w:p>
            <w:pPr>
              <w:pStyle w:val="TableContents"/>
              <w:spacing w:before="0" w:after="283"/>
              <w:ind w:left="0" w:right="0" w:hanging="0"/>
              <w:rPr/>
            </w:pPr>
            <w:r>
              <w:rPr/>
              <w:t> </w:t>
            </w:r>
          </w:p>
        </w:tc>
        <w:tc>
          <w:tcPr>
            <w:tcW w:w="827"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1,348</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1" w:type="dxa"/>
            <w:tcBorders/>
            <w:shd w:fill="CCEEFF" w:val="clear"/>
            <w:vAlign w:val="center"/>
          </w:tcPr>
          <w:p>
            <w:pPr>
              <w:pStyle w:val="TableContents"/>
              <w:spacing w:before="0" w:after="283"/>
              <w:ind w:left="0" w:right="0" w:hanging="0"/>
              <w:rPr/>
            </w:pPr>
            <w:r>
              <w:rPr/>
              <w:t> </w:t>
            </w:r>
          </w:p>
        </w:tc>
        <w:tc>
          <w:tcPr>
            <w:tcW w:w="899"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93</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95"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9,473</w:t>
            </w:r>
          </w:p>
        </w:tc>
        <w:tc>
          <w:tcPr>
            <w:tcW w:w="240" w:type="dxa"/>
            <w:tcBorders/>
            <w:shd w:fill="CCEEFF" w:val="clear"/>
            <w:vAlign w:val="center"/>
          </w:tcPr>
          <w:p>
            <w:pPr>
              <w:pStyle w:val="TableContents"/>
              <w:spacing w:before="0" w:after="283"/>
              <w:ind w:left="0" w:right="0" w:firstLine="180"/>
              <w:rPr/>
            </w:pPr>
            <w:r>
              <w:rPr/>
              <w:t> </w:t>
            </w:r>
          </w:p>
        </w:tc>
      </w:tr>
      <w:tr>
        <w:trPr/>
        <w:tc>
          <w:tcPr>
            <w:tcW w:w="3305" w:type="dxa"/>
            <w:tcBorders/>
            <w:shd w:fill="FFFFFF" w:val="clear"/>
            <w:vAlign w:val="center"/>
          </w:tcPr>
          <w:p>
            <w:pPr>
              <w:pStyle w:val="TableContents"/>
              <w:spacing w:before="0" w:after="0"/>
              <w:ind w:left="0" w:right="0" w:firstLine="180"/>
              <w:rPr>
                <w:rFonts w:ascii="Times New Roman;Times;serif" w:hAnsi="Times New Roman;Times;serif"/>
                <w:sz w:val="20"/>
              </w:rPr>
            </w:pPr>
            <w:r>
              <w:rPr>
                <w:rFonts w:ascii="Times New Roman;Times;serif" w:hAnsi="Times New Roman;Times;serif"/>
                <w:sz w:val="20"/>
              </w:rPr>
              <w:t>Capital expenditures</w:t>
            </w:r>
          </w:p>
        </w:tc>
        <w:tc>
          <w:tcPr>
            <w:tcW w:w="60" w:type="dxa"/>
            <w:tcBorders/>
            <w:shd w:fill="FFFFFF" w:val="clear"/>
            <w:vAlign w:val="center"/>
          </w:tcPr>
          <w:p>
            <w:pPr>
              <w:pStyle w:val="TableContents"/>
              <w:spacing w:before="0" w:after="283"/>
              <w:rPr/>
            </w:pPr>
            <w:r>
              <w:rPr/>
              <w:t> </w:t>
            </w:r>
          </w:p>
        </w:tc>
        <w:tc>
          <w:tcPr>
            <w:tcW w:w="131" w:type="dxa"/>
            <w:tcBorders/>
            <w:shd w:fill="FFFFFF" w:val="clear"/>
            <w:vAlign w:val="center"/>
          </w:tcPr>
          <w:p>
            <w:pPr>
              <w:pStyle w:val="TableContents"/>
              <w:spacing w:before="0" w:after="283"/>
              <w:ind w:left="0" w:right="0" w:hanging="0"/>
              <w:rPr/>
            </w:pPr>
            <w:r>
              <w:rPr/>
              <w:t> </w:t>
            </w:r>
          </w:p>
        </w:tc>
        <w:tc>
          <w:tcPr>
            <w:tcW w:w="729"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1,062</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13" w:type="dxa"/>
            <w:tcBorders/>
            <w:shd w:fill="FFFFFF" w:val="clear"/>
            <w:vAlign w:val="center"/>
          </w:tcPr>
          <w:p>
            <w:pPr>
              <w:pStyle w:val="TableContents"/>
              <w:spacing w:before="0" w:after="283"/>
              <w:ind w:left="0" w:right="0" w:hanging="0"/>
              <w:rPr/>
            </w:pPr>
            <w:r>
              <w:rPr/>
              <w:t> </w:t>
            </w:r>
          </w:p>
        </w:tc>
        <w:tc>
          <w:tcPr>
            <w:tcW w:w="827"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31" w:type="dxa"/>
            <w:tcBorders/>
            <w:shd w:fill="FFFFFF" w:val="clear"/>
            <w:vAlign w:val="center"/>
          </w:tcPr>
          <w:p>
            <w:pPr>
              <w:pStyle w:val="TableContents"/>
              <w:spacing w:before="0" w:after="283"/>
              <w:ind w:left="0" w:right="0" w:hanging="0"/>
              <w:rPr/>
            </w:pPr>
            <w:r>
              <w:rPr/>
              <w:t> </w:t>
            </w:r>
          </w:p>
        </w:tc>
        <w:tc>
          <w:tcPr>
            <w:tcW w:w="899"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95"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1,062</w:t>
            </w:r>
          </w:p>
        </w:tc>
        <w:tc>
          <w:tcPr>
            <w:tcW w:w="240" w:type="dxa"/>
            <w:tcBorders/>
            <w:shd w:fill="FFFFFF" w:val="clear"/>
            <w:vAlign w:val="center"/>
          </w:tcPr>
          <w:p>
            <w:pPr>
              <w:pStyle w:val="TableContents"/>
              <w:spacing w:before="0" w:after="283"/>
              <w:rPr/>
            </w:pPr>
            <w:r>
              <w:rPr/>
              <w:t> </w:t>
            </w:r>
          </w:p>
        </w:tc>
      </w:tr>
      <w:tr>
        <w:trPr/>
        <w:tc>
          <w:tcPr>
            <w:tcW w:w="3305" w:type="dxa"/>
            <w:tcBorders/>
            <w:shd w:fill="CCEEFF" w:val="clear"/>
            <w:vAlign w:val="center"/>
          </w:tcPr>
          <w:p>
            <w:pPr>
              <w:pStyle w:val="TableContents"/>
              <w:spacing w:before="0" w:after="0"/>
              <w:ind w:left="180" w:right="0" w:hanging="0"/>
              <w:rPr>
                <w:rFonts w:ascii="Times New Roman;Times;serif" w:hAnsi="Times New Roman;Times;serif"/>
                <w:sz w:val="20"/>
              </w:rPr>
            </w:pPr>
            <w:r>
              <w:rPr>
                <w:rFonts w:ascii="Times New Roman;Times;serif" w:hAnsi="Times New Roman;Times;serif"/>
                <w:sz w:val="20"/>
              </w:rPr>
              <w:t>Depreciation and amortization</w:t>
            </w:r>
          </w:p>
        </w:tc>
        <w:tc>
          <w:tcPr>
            <w:tcW w:w="60" w:type="dxa"/>
            <w:tcBorders/>
            <w:shd w:fill="CCEEFF" w:val="clear"/>
            <w:vAlign w:val="center"/>
          </w:tcPr>
          <w:p>
            <w:pPr>
              <w:pStyle w:val="TableContents"/>
              <w:spacing w:before="0" w:after="283"/>
              <w:rPr/>
            </w:pPr>
            <w:r>
              <w:rPr/>
              <w:t> </w:t>
            </w:r>
          </w:p>
        </w:tc>
        <w:tc>
          <w:tcPr>
            <w:tcW w:w="131" w:type="dxa"/>
            <w:tcBorders/>
            <w:shd w:fill="CCEEFF" w:val="clear"/>
            <w:vAlign w:val="center"/>
          </w:tcPr>
          <w:p>
            <w:pPr>
              <w:pStyle w:val="TableContents"/>
              <w:spacing w:before="0" w:after="283"/>
              <w:ind w:left="0" w:right="0" w:hanging="0"/>
              <w:rPr/>
            </w:pPr>
            <w:r>
              <w:rPr/>
              <w:t> </w:t>
            </w:r>
          </w:p>
        </w:tc>
        <w:tc>
          <w:tcPr>
            <w:tcW w:w="729"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2,986</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13" w:type="dxa"/>
            <w:tcBorders/>
            <w:shd w:fill="CCEEFF" w:val="clear"/>
            <w:vAlign w:val="center"/>
          </w:tcPr>
          <w:p>
            <w:pPr>
              <w:pStyle w:val="TableContents"/>
              <w:spacing w:before="0" w:after="283"/>
              <w:ind w:left="0" w:right="0" w:hanging="0"/>
              <w:rPr/>
            </w:pPr>
            <w:r>
              <w:rPr/>
              <w:t> </w:t>
            </w:r>
          </w:p>
        </w:tc>
        <w:tc>
          <w:tcPr>
            <w:tcW w:w="827"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1" w:type="dxa"/>
            <w:tcBorders/>
            <w:shd w:fill="CCEEFF" w:val="clear"/>
            <w:vAlign w:val="center"/>
          </w:tcPr>
          <w:p>
            <w:pPr>
              <w:pStyle w:val="TableContents"/>
              <w:spacing w:before="0" w:after="283"/>
              <w:ind w:left="0" w:right="0" w:hanging="0"/>
              <w:rPr/>
            </w:pPr>
            <w:r>
              <w:rPr/>
              <w:t> </w:t>
            </w:r>
          </w:p>
        </w:tc>
        <w:tc>
          <w:tcPr>
            <w:tcW w:w="899"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95"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2,993</w:t>
            </w:r>
          </w:p>
        </w:tc>
        <w:tc>
          <w:tcPr>
            <w:tcW w:w="240" w:type="dxa"/>
            <w:tcBorders/>
            <w:shd w:fill="CCEEFF" w:val="clear"/>
            <w:vAlign w:val="center"/>
          </w:tcPr>
          <w:p>
            <w:pPr>
              <w:pStyle w:val="TableContents"/>
              <w:spacing w:before="0" w:after="283"/>
              <w:rPr/>
            </w:pPr>
            <w:r>
              <w:rPr/>
              <w:t> </w:t>
            </w:r>
          </w:p>
        </w:tc>
      </w:tr>
      <w:tr>
        <w:trPr/>
        <w:tc>
          <w:tcPr>
            <w:tcW w:w="3305" w:type="dxa"/>
            <w:tcBorders/>
            <w:shd w:fill="FFFF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Thirteen weeks ended August 1, 2020</w:t>
            </w:r>
          </w:p>
        </w:tc>
        <w:tc>
          <w:tcPr>
            <w:tcW w:w="60" w:type="dxa"/>
            <w:tcBorders/>
            <w:shd w:fill="FFFFFF" w:val="clear"/>
            <w:vAlign w:val="center"/>
          </w:tcPr>
          <w:p>
            <w:pPr>
              <w:pStyle w:val="TableContents"/>
              <w:spacing w:before="0" w:after="283"/>
              <w:rPr/>
            </w:pPr>
            <w:r>
              <w:rPr/>
              <w:t> </w:t>
            </w:r>
          </w:p>
        </w:tc>
        <w:tc>
          <w:tcPr>
            <w:tcW w:w="131" w:type="dxa"/>
            <w:tcBorders/>
            <w:shd w:fill="FFFFFF" w:val="clear"/>
            <w:vAlign w:val="center"/>
          </w:tcPr>
          <w:p>
            <w:pPr>
              <w:pStyle w:val="TableContents"/>
              <w:spacing w:before="0" w:after="283"/>
              <w:rPr/>
            </w:pPr>
            <w:r>
              <w:rPr/>
              <w:t> </w:t>
            </w:r>
          </w:p>
        </w:tc>
        <w:tc>
          <w:tcPr>
            <w:tcW w:w="729"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13" w:type="dxa"/>
            <w:tcBorders/>
            <w:shd w:fill="FFFFFF" w:val="clear"/>
            <w:vAlign w:val="center"/>
          </w:tcPr>
          <w:p>
            <w:pPr>
              <w:pStyle w:val="TableContents"/>
              <w:spacing w:before="0" w:after="283"/>
              <w:rPr/>
            </w:pPr>
            <w:r>
              <w:rPr/>
              <w:t> </w:t>
            </w:r>
          </w:p>
        </w:tc>
        <w:tc>
          <w:tcPr>
            <w:tcW w:w="827"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31" w:type="dxa"/>
            <w:tcBorders/>
            <w:shd w:fill="FFFFFF" w:val="clear"/>
            <w:vAlign w:val="center"/>
          </w:tcPr>
          <w:p>
            <w:pPr>
              <w:pStyle w:val="TableContents"/>
              <w:spacing w:before="0" w:after="283"/>
              <w:rPr/>
            </w:pPr>
            <w:r>
              <w:rPr/>
              <w:t> </w:t>
            </w:r>
          </w:p>
        </w:tc>
        <w:tc>
          <w:tcPr>
            <w:tcW w:w="899"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95"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r>
      <w:tr>
        <w:trPr/>
        <w:tc>
          <w:tcPr>
            <w:tcW w:w="3305" w:type="dxa"/>
            <w:tcBorders/>
            <w:shd w:fill="CCEEFF" w:val="clear"/>
            <w:vAlign w:val="center"/>
          </w:tcPr>
          <w:p>
            <w:pPr>
              <w:pStyle w:val="TableContents"/>
              <w:spacing w:before="0" w:after="0"/>
              <w:ind w:left="180" w:right="0" w:hanging="0"/>
              <w:rPr>
                <w:rFonts w:ascii="Times New Roman;Times;serif" w:hAnsi="Times New Roman;Times;serif"/>
                <w:sz w:val="20"/>
              </w:rPr>
            </w:pPr>
            <w:r>
              <w:rPr>
                <w:rFonts w:ascii="Times New Roman;Times;serif" w:hAnsi="Times New Roman;Times;serif"/>
                <w:sz w:val="20"/>
              </w:rPr>
              <w:t>Net sales to external customers</w:t>
            </w:r>
          </w:p>
        </w:tc>
        <w:tc>
          <w:tcPr>
            <w:tcW w:w="60" w:type="dxa"/>
            <w:tcBorders/>
            <w:shd w:fill="CCEEFF" w:val="clear"/>
            <w:vAlign w:val="center"/>
          </w:tcPr>
          <w:p>
            <w:pPr>
              <w:pStyle w:val="TableContents"/>
              <w:spacing w:before="0" w:after="283"/>
              <w:ind w:left="0" w:right="0" w:hanging="0"/>
              <w:rPr/>
            </w:pPr>
            <w:r>
              <w:rPr/>
              <w:t> </w:t>
            </w:r>
          </w:p>
        </w:tc>
        <w:tc>
          <w:tcPr>
            <w:tcW w:w="131" w:type="dxa"/>
            <w:tcBorders/>
            <w:shd w:fill="CCEE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729"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39,339</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13" w:type="dxa"/>
            <w:tcBorders/>
            <w:shd w:fill="CCEE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827"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865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31" w:type="dxa"/>
            <w:tcBorders/>
            <w:shd w:fill="CCEE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899"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149</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40,353</w:t>
            </w:r>
          </w:p>
        </w:tc>
        <w:tc>
          <w:tcPr>
            <w:tcW w:w="240" w:type="dxa"/>
            <w:tcBorders/>
            <w:shd w:fill="CCEEFF" w:val="clear"/>
            <w:vAlign w:val="center"/>
          </w:tcPr>
          <w:p>
            <w:pPr>
              <w:pStyle w:val="TableContents"/>
              <w:spacing w:before="0" w:after="283"/>
              <w:rPr/>
            </w:pPr>
            <w:r>
              <w:rPr/>
              <w:t> </w:t>
            </w:r>
          </w:p>
        </w:tc>
      </w:tr>
      <w:tr>
        <w:trPr/>
        <w:tc>
          <w:tcPr>
            <w:tcW w:w="3305" w:type="dxa"/>
            <w:tcBorders/>
            <w:shd w:fill="FFFF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(Loss) Income before income taxes</w:t>
            </w:r>
          </w:p>
        </w:tc>
        <w:tc>
          <w:tcPr>
            <w:tcW w:w="60" w:type="dxa"/>
            <w:tcBorders/>
            <w:shd w:fill="FFFFFF" w:val="clear"/>
            <w:vAlign w:val="center"/>
          </w:tcPr>
          <w:p>
            <w:pPr>
              <w:pStyle w:val="TableContents"/>
              <w:spacing w:before="0" w:after="283"/>
              <w:rPr/>
            </w:pPr>
            <w:r>
              <w:rPr/>
              <w:t> </w:t>
            </w:r>
          </w:p>
        </w:tc>
        <w:tc>
          <w:tcPr>
            <w:tcW w:w="131" w:type="dxa"/>
            <w:tcBorders/>
            <w:shd w:fill="FFFFFF" w:val="clear"/>
            <w:vAlign w:val="center"/>
          </w:tcPr>
          <w:p>
            <w:pPr>
              <w:pStyle w:val="TableContents"/>
              <w:spacing w:before="0" w:after="283"/>
              <w:ind w:left="0" w:right="0" w:hanging="0"/>
              <w:rPr/>
            </w:pPr>
            <w:r>
              <w:rPr/>
              <w:t> </w:t>
            </w:r>
          </w:p>
        </w:tc>
        <w:tc>
          <w:tcPr>
            <w:tcW w:w="729"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(14,145</w:t>
            </w:r>
          </w:p>
        </w:tc>
        <w:tc>
          <w:tcPr>
            <w:tcW w:w="8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spacing w:before="0" w:after="283"/>
              <w:rPr/>
            </w:pPr>
            <w:r>
              <w:rPr/>
              <w:t> </w:t>
            </w:r>
          </w:p>
        </w:tc>
        <w:tc>
          <w:tcPr>
            <w:tcW w:w="213" w:type="dxa"/>
            <w:tcBorders/>
            <w:shd w:fill="FFFFFF" w:val="clear"/>
            <w:vAlign w:val="center"/>
          </w:tcPr>
          <w:p>
            <w:pPr>
              <w:pStyle w:val="TableContents"/>
              <w:spacing w:before="0" w:after="283"/>
              <w:ind w:left="0" w:right="0" w:hanging="0"/>
              <w:rPr/>
            </w:pPr>
            <w:r>
              <w:rPr/>
              <w:t> </w:t>
            </w:r>
          </w:p>
        </w:tc>
        <w:tc>
          <w:tcPr>
            <w:tcW w:w="827"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239</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31" w:type="dxa"/>
            <w:tcBorders/>
            <w:shd w:fill="FFFFFF" w:val="clear"/>
            <w:vAlign w:val="center"/>
          </w:tcPr>
          <w:p>
            <w:pPr>
              <w:pStyle w:val="TableContents"/>
              <w:spacing w:before="0" w:after="283"/>
              <w:ind w:left="0" w:right="0" w:hanging="0"/>
              <w:rPr/>
            </w:pPr>
            <w:r>
              <w:rPr/>
              <w:t> </w:t>
            </w:r>
          </w:p>
        </w:tc>
        <w:tc>
          <w:tcPr>
            <w:tcW w:w="899"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(77</w:t>
            </w:r>
          </w:p>
        </w:tc>
        <w:tc>
          <w:tcPr>
            <w:tcW w:w="8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95"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(13,983</w:t>
            </w:r>
          </w:p>
        </w:tc>
        <w:tc>
          <w:tcPr>
            <w:tcW w:w="24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r>
      <w:tr>
        <w:trPr/>
        <w:tc>
          <w:tcPr>
            <w:tcW w:w="3305" w:type="dxa"/>
            <w:tcBorders/>
            <w:shd w:fill="CCEEFF" w:val="clear"/>
            <w:vAlign w:val="center"/>
          </w:tcPr>
          <w:p>
            <w:pPr>
              <w:pStyle w:val="TableContents"/>
              <w:spacing w:before="0" w:after="0"/>
              <w:ind w:left="180" w:right="0" w:hanging="0"/>
              <w:rPr>
                <w:rFonts w:ascii="Times New Roman;Times;serif" w:hAnsi="Times New Roman;Times;serif"/>
                <w:sz w:val="20"/>
              </w:rPr>
            </w:pPr>
            <w:r>
              <w:rPr>
                <w:rFonts w:ascii="Times New Roman;Times;serif" w:hAnsi="Times New Roman;Times;serif"/>
                <w:sz w:val="20"/>
              </w:rPr>
              <w:t>Capital expenditures</w:t>
            </w:r>
          </w:p>
        </w:tc>
        <w:tc>
          <w:tcPr>
            <w:tcW w:w="60" w:type="dxa"/>
            <w:tcBorders/>
            <w:shd w:fill="CCEEFF" w:val="clear"/>
            <w:vAlign w:val="center"/>
          </w:tcPr>
          <w:p>
            <w:pPr>
              <w:pStyle w:val="TableContents"/>
              <w:spacing w:before="0" w:after="283"/>
              <w:rPr/>
            </w:pPr>
            <w:r>
              <w:rPr/>
              <w:t> </w:t>
            </w:r>
          </w:p>
        </w:tc>
        <w:tc>
          <w:tcPr>
            <w:tcW w:w="131" w:type="dxa"/>
            <w:tcBorders/>
            <w:shd w:fill="CCEEFF" w:val="clear"/>
            <w:vAlign w:val="center"/>
          </w:tcPr>
          <w:p>
            <w:pPr>
              <w:pStyle w:val="TableContents"/>
              <w:spacing w:before="0" w:after="283"/>
              <w:ind w:left="0" w:right="0" w:hanging="0"/>
              <w:rPr/>
            </w:pPr>
            <w:r>
              <w:rPr/>
              <w:t> </w:t>
            </w:r>
          </w:p>
        </w:tc>
        <w:tc>
          <w:tcPr>
            <w:tcW w:w="729"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529</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13" w:type="dxa"/>
            <w:tcBorders/>
            <w:shd w:fill="CCEEFF" w:val="clear"/>
            <w:vAlign w:val="center"/>
          </w:tcPr>
          <w:p>
            <w:pPr>
              <w:pStyle w:val="TableContents"/>
              <w:spacing w:before="0" w:after="283"/>
              <w:ind w:left="0" w:right="0" w:hanging="0"/>
              <w:rPr/>
            </w:pPr>
            <w:r>
              <w:rPr/>
              <w:t> </w:t>
            </w:r>
          </w:p>
        </w:tc>
        <w:tc>
          <w:tcPr>
            <w:tcW w:w="827"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1" w:type="dxa"/>
            <w:tcBorders/>
            <w:shd w:fill="CCEEFF" w:val="clear"/>
            <w:vAlign w:val="center"/>
          </w:tcPr>
          <w:p>
            <w:pPr>
              <w:pStyle w:val="TableContents"/>
              <w:spacing w:before="0" w:after="283"/>
              <w:ind w:left="0" w:right="0" w:hanging="0"/>
              <w:rPr/>
            </w:pPr>
            <w:r>
              <w:rPr/>
              <w:t> </w:t>
            </w:r>
          </w:p>
        </w:tc>
        <w:tc>
          <w:tcPr>
            <w:tcW w:w="899"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95"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529</w:t>
            </w:r>
          </w:p>
        </w:tc>
        <w:tc>
          <w:tcPr>
            <w:tcW w:w="240" w:type="dxa"/>
            <w:tcBorders/>
            <w:shd w:fill="CCEEFF" w:val="clear"/>
            <w:vAlign w:val="center"/>
          </w:tcPr>
          <w:p>
            <w:pPr>
              <w:pStyle w:val="TableContents"/>
              <w:spacing w:before="0" w:after="283"/>
              <w:rPr/>
            </w:pPr>
            <w:r>
              <w:rPr/>
              <w:t> </w:t>
            </w:r>
          </w:p>
        </w:tc>
      </w:tr>
      <w:tr>
        <w:trPr/>
        <w:tc>
          <w:tcPr>
            <w:tcW w:w="3305" w:type="dxa"/>
            <w:tcBorders/>
            <w:shd w:fill="FFFFFF" w:val="clear"/>
            <w:vAlign w:val="center"/>
          </w:tcPr>
          <w:p>
            <w:pPr>
              <w:pStyle w:val="TableContents"/>
              <w:spacing w:before="0" w:after="0"/>
              <w:ind w:left="180" w:right="0" w:hanging="0"/>
              <w:rPr>
                <w:rFonts w:ascii="Times New Roman;Times;serif" w:hAnsi="Times New Roman;Times;serif"/>
                <w:sz w:val="20"/>
              </w:rPr>
            </w:pPr>
            <w:r>
              <w:rPr>
                <w:rFonts w:ascii="Times New Roman;Times;serif" w:hAnsi="Times New Roman;Times;serif"/>
                <w:sz w:val="20"/>
              </w:rPr>
              <w:t>Depreciation and amortization</w:t>
            </w:r>
          </w:p>
        </w:tc>
        <w:tc>
          <w:tcPr>
            <w:tcW w:w="60" w:type="dxa"/>
            <w:tcBorders/>
            <w:shd w:fill="FFFFFF" w:val="clear"/>
            <w:vAlign w:val="center"/>
          </w:tcPr>
          <w:p>
            <w:pPr>
              <w:pStyle w:val="TableContents"/>
              <w:spacing w:before="0" w:after="283"/>
              <w:rPr/>
            </w:pPr>
            <w:r>
              <w:rPr/>
              <w:t> </w:t>
            </w:r>
          </w:p>
        </w:tc>
        <w:tc>
          <w:tcPr>
            <w:tcW w:w="131" w:type="dxa"/>
            <w:tcBorders/>
            <w:shd w:fill="FFFFFF" w:val="clear"/>
            <w:vAlign w:val="center"/>
          </w:tcPr>
          <w:p>
            <w:pPr>
              <w:pStyle w:val="TableContents"/>
              <w:spacing w:before="0" w:after="283"/>
              <w:ind w:left="0" w:right="0" w:hanging="0"/>
              <w:rPr/>
            </w:pPr>
            <w:r>
              <w:rPr/>
              <w:t> </w:t>
            </w:r>
          </w:p>
        </w:tc>
        <w:tc>
          <w:tcPr>
            <w:tcW w:w="729"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3,246</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13" w:type="dxa"/>
            <w:tcBorders/>
            <w:shd w:fill="FFFFFF" w:val="clear"/>
            <w:vAlign w:val="center"/>
          </w:tcPr>
          <w:p>
            <w:pPr>
              <w:pStyle w:val="TableContents"/>
              <w:spacing w:before="0" w:after="283"/>
              <w:ind w:left="0" w:right="0" w:hanging="0"/>
              <w:rPr/>
            </w:pPr>
            <w:r>
              <w:rPr/>
              <w:t> </w:t>
            </w:r>
          </w:p>
        </w:tc>
        <w:tc>
          <w:tcPr>
            <w:tcW w:w="827"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31" w:type="dxa"/>
            <w:tcBorders/>
            <w:shd w:fill="FFFFFF" w:val="clear"/>
            <w:vAlign w:val="center"/>
          </w:tcPr>
          <w:p>
            <w:pPr>
              <w:pStyle w:val="TableContents"/>
              <w:spacing w:before="0" w:after="283"/>
              <w:ind w:left="0" w:right="0" w:hanging="0"/>
              <w:rPr/>
            </w:pPr>
            <w:r>
              <w:rPr/>
              <w:t> </w:t>
            </w:r>
          </w:p>
        </w:tc>
        <w:tc>
          <w:tcPr>
            <w:tcW w:w="899"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95"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3,254</w:t>
            </w:r>
          </w:p>
        </w:tc>
        <w:tc>
          <w:tcPr>
            <w:tcW w:w="240" w:type="dxa"/>
            <w:tcBorders/>
            <w:shd w:fill="FFFFFF" w:val="clear"/>
            <w:vAlign w:val="center"/>
          </w:tcPr>
          <w:p>
            <w:pPr>
              <w:pStyle w:val="TableContents"/>
              <w:spacing w:before="0" w:after="283"/>
              <w:rPr/>
            </w:pPr>
            <w:r>
              <w:rPr/>
              <w:t> </w:t>
            </w:r>
          </w:p>
        </w:tc>
      </w:tr>
      <w:tr>
        <w:trPr/>
        <w:tc>
          <w:tcPr>
            <w:tcW w:w="330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1" w:type="dxa"/>
            <w:tcBorders/>
            <w:shd w:fill="CCEEFF" w:val="clear"/>
            <w:vAlign w:val="center"/>
          </w:tcPr>
          <w:p>
            <w:pPr>
              <w:pStyle w:val="TableContents"/>
              <w:spacing w:before="0" w:after="283"/>
              <w:rPr/>
            </w:pPr>
            <w:r>
              <w:rPr/>
              <w:t> </w:t>
            </w:r>
          </w:p>
        </w:tc>
        <w:tc>
          <w:tcPr>
            <w:tcW w:w="729"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13" w:type="dxa"/>
            <w:tcBorders/>
            <w:shd w:fill="CCEEFF" w:val="clear"/>
            <w:vAlign w:val="center"/>
          </w:tcPr>
          <w:p>
            <w:pPr>
              <w:pStyle w:val="TableContents"/>
              <w:spacing w:before="0" w:after="283"/>
              <w:rPr/>
            </w:pPr>
            <w:r>
              <w:rPr/>
              <w:t> </w:t>
            </w:r>
          </w:p>
        </w:tc>
        <w:tc>
          <w:tcPr>
            <w:tcW w:w="827"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1" w:type="dxa"/>
            <w:tcBorders/>
            <w:shd w:fill="CCEEFF" w:val="clear"/>
            <w:vAlign w:val="center"/>
          </w:tcPr>
          <w:p>
            <w:pPr>
              <w:pStyle w:val="TableContents"/>
              <w:spacing w:before="0" w:after="283"/>
              <w:rPr/>
            </w:pPr>
            <w:r>
              <w:rPr/>
              <w:t> </w:t>
            </w:r>
          </w:p>
        </w:tc>
        <w:tc>
          <w:tcPr>
            <w:tcW w:w="899"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95" w:type="dxa"/>
            <w:tcBorders/>
            <w:shd w:fill="CCEEFF" w:val="clear"/>
            <w:vAlign w:val="center"/>
          </w:tcPr>
          <w:p>
            <w:pPr>
              <w:pStyle w:val="TableContents"/>
              <w:spacing w:before="0" w:after="283"/>
              <w:jc w:val="right"/>
              <w:rPr/>
            </w:pPr>
            <w:r>
              <w:rPr/>
              <w:t> </w:t>
            </w:r>
          </w:p>
        </w:tc>
        <w:tc>
          <w:tcPr>
            <w:tcW w:w="240" w:type="dxa"/>
            <w:tcBorders/>
            <w:shd w:fill="CCEEFF" w:val="clear"/>
            <w:vAlign w:val="center"/>
          </w:tcPr>
          <w:p>
            <w:pPr>
              <w:pStyle w:val="TableContents"/>
              <w:spacing w:before="0" w:after="283"/>
              <w:rPr/>
            </w:pPr>
            <w:r>
              <w:rPr/>
              <w:t> </w:t>
            </w:r>
          </w:p>
        </w:tc>
      </w:tr>
      <w:tr>
        <w:trPr/>
        <w:tc>
          <w:tcPr>
            <w:tcW w:w="3305" w:type="dxa"/>
            <w:tcBorders/>
            <w:shd w:fill="FFFF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Twenty-six weeks ended July 31, 2021</w:t>
            </w:r>
          </w:p>
        </w:tc>
        <w:tc>
          <w:tcPr>
            <w:tcW w:w="60" w:type="dxa"/>
            <w:tcBorders/>
            <w:shd w:fill="FFFFFF" w:val="clear"/>
            <w:vAlign w:val="center"/>
          </w:tcPr>
          <w:p>
            <w:pPr>
              <w:pStyle w:val="TableContents"/>
              <w:spacing w:before="0" w:after="283"/>
              <w:rPr/>
            </w:pPr>
            <w:r>
              <w:rPr/>
              <w:t> </w:t>
            </w:r>
          </w:p>
        </w:tc>
        <w:tc>
          <w:tcPr>
            <w:tcW w:w="131" w:type="dxa"/>
            <w:tcBorders/>
            <w:shd w:fill="FFFFFF" w:val="clear"/>
            <w:vAlign w:val="center"/>
          </w:tcPr>
          <w:p>
            <w:pPr>
              <w:pStyle w:val="TableContents"/>
              <w:spacing w:before="0" w:after="283"/>
              <w:rPr/>
            </w:pPr>
            <w:r>
              <w:rPr/>
              <w:t> </w:t>
            </w:r>
          </w:p>
        </w:tc>
        <w:tc>
          <w:tcPr>
            <w:tcW w:w="729"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13" w:type="dxa"/>
            <w:tcBorders/>
            <w:shd w:fill="FFFFFF" w:val="clear"/>
            <w:vAlign w:val="center"/>
          </w:tcPr>
          <w:p>
            <w:pPr>
              <w:pStyle w:val="TableContents"/>
              <w:spacing w:before="0" w:after="283"/>
              <w:rPr/>
            </w:pPr>
            <w:r>
              <w:rPr/>
              <w:t> </w:t>
            </w:r>
          </w:p>
        </w:tc>
        <w:tc>
          <w:tcPr>
            <w:tcW w:w="827"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31" w:type="dxa"/>
            <w:tcBorders/>
            <w:shd w:fill="FFFFFF" w:val="clear"/>
            <w:vAlign w:val="center"/>
          </w:tcPr>
          <w:p>
            <w:pPr>
              <w:pStyle w:val="TableContents"/>
              <w:spacing w:before="0" w:after="283"/>
              <w:rPr/>
            </w:pPr>
            <w:r>
              <w:rPr/>
              <w:t> </w:t>
            </w:r>
          </w:p>
        </w:tc>
        <w:tc>
          <w:tcPr>
            <w:tcW w:w="899"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95"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r>
      <w:tr>
        <w:trPr/>
        <w:tc>
          <w:tcPr>
            <w:tcW w:w="3305" w:type="dxa"/>
            <w:tcBorders/>
            <w:shd w:fill="CCEEFF" w:val="clear"/>
            <w:vAlign w:val="center"/>
          </w:tcPr>
          <w:p>
            <w:pPr>
              <w:pStyle w:val="TableContents"/>
              <w:spacing w:before="0" w:after="0"/>
              <w:ind w:left="180" w:right="0" w:hanging="0"/>
              <w:rPr>
                <w:rFonts w:ascii="Times New Roman;Times;serif" w:hAnsi="Times New Roman;Times;serif"/>
                <w:sz w:val="20"/>
              </w:rPr>
            </w:pPr>
            <w:r>
              <w:rPr>
                <w:rFonts w:ascii="Times New Roman;Times;serif" w:hAnsi="Times New Roman;Times;serif"/>
                <w:sz w:val="20"/>
              </w:rPr>
              <w:t>Net sales to external customers</w:t>
            </w:r>
          </w:p>
        </w:tc>
        <w:tc>
          <w:tcPr>
            <w:tcW w:w="60" w:type="dxa"/>
            <w:tcBorders/>
            <w:shd w:fill="CCEEFF" w:val="clear"/>
            <w:vAlign w:val="center"/>
          </w:tcPr>
          <w:p>
            <w:pPr>
              <w:pStyle w:val="TableContents"/>
              <w:spacing w:before="0" w:after="283"/>
              <w:rPr/>
            </w:pPr>
            <w:r>
              <w:rPr/>
              <w:t> </w:t>
            </w:r>
          </w:p>
        </w:tc>
        <w:tc>
          <w:tcPr>
            <w:tcW w:w="131"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729"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180,501</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13"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827"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5,055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1"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899"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865</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186,421</w:t>
            </w:r>
          </w:p>
        </w:tc>
        <w:tc>
          <w:tcPr>
            <w:tcW w:w="240" w:type="dxa"/>
            <w:tcBorders/>
            <w:shd w:fill="CCEEFF" w:val="clear"/>
            <w:vAlign w:val="center"/>
          </w:tcPr>
          <w:p>
            <w:pPr>
              <w:pStyle w:val="TableContents"/>
              <w:spacing w:before="0" w:after="283"/>
              <w:rPr/>
            </w:pPr>
            <w:r>
              <w:rPr/>
              <w:t> </w:t>
            </w:r>
          </w:p>
        </w:tc>
      </w:tr>
      <w:tr>
        <w:trPr/>
        <w:tc>
          <w:tcPr>
            <w:tcW w:w="3305" w:type="dxa"/>
            <w:tcBorders/>
            <w:shd w:fill="FFFFFF" w:val="clear"/>
            <w:vAlign w:val="center"/>
          </w:tcPr>
          <w:p>
            <w:pPr>
              <w:pStyle w:val="TableContents"/>
              <w:spacing w:before="0" w:after="0"/>
              <w:ind w:left="180" w:right="0" w:hanging="0"/>
              <w:rPr>
                <w:rFonts w:ascii="Times New Roman;Times;serif" w:hAnsi="Times New Roman;Times;serif"/>
                <w:sz w:val="20"/>
              </w:rPr>
            </w:pPr>
            <w:r>
              <w:rPr>
                <w:rFonts w:ascii="Times New Roman;Times;serif" w:hAnsi="Times New Roman;Times;serif"/>
                <w:sz w:val="20"/>
              </w:rPr>
              <w:t>Income (loss) before income taxes</w:t>
            </w:r>
          </w:p>
        </w:tc>
        <w:tc>
          <w:tcPr>
            <w:tcW w:w="60" w:type="dxa"/>
            <w:tcBorders/>
            <w:shd w:fill="FFFFFF" w:val="clear"/>
            <w:vAlign w:val="center"/>
          </w:tcPr>
          <w:p>
            <w:pPr>
              <w:pStyle w:val="TableContents"/>
              <w:spacing w:before="0" w:after="283"/>
              <w:rPr/>
            </w:pPr>
            <w:r>
              <w:rPr/>
              <w:t> </w:t>
            </w:r>
          </w:p>
        </w:tc>
        <w:tc>
          <w:tcPr>
            <w:tcW w:w="131" w:type="dxa"/>
            <w:tcBorders/>
            <w:shd w:fill="FFFFFF" w:val="clear"/>
            <w:vAlign w:val="center"/>
          </w:tcPr>
          <w:p>
            <w:pPr>
              <w:pStyle w:val="TableContents"/>
              <w:spacing w:before="0" w:after="283"/>
              <w:rPr/>
            </w:pPr>
            <w:r>
              <w:rPr/>
              <w:t> </w:t>
            </w:r>
          </w:p>
        </w:tc>
        <w:tc>
          <w:tcPr>
            <w:tcW w:w="729"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20,513</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13" w:type="dxa"/>
            <w:tcBorders/>
            <w:shd w:fill="FFFFFF" w:val="clear"/>
            <w:vAlign w:val="center"/>
          </w:tcPr>
          <w:p>
            <w:pPr>
              <w:pStyle w:val="TableContents"/>
              <w:spacing w:before="0" w:after="283"/>
              <w:rPr/>
            </w:pPr>
            <w:r>
              <w:rPr/>
              <w:t> </w:t>
            </w:r>
          </w:p>
        </w:tc>
        <w:tc>
          <w:tcPr>
            <w:tcW w:w="827"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2,166</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31" w:type="dxa"/>
            <w:tcBorders/>
            <w:shd w:fill="FFFFFF" w:val="clear"/>
            <w:vAlign w:val="center"/>
          </w:tcPr>
          <w:p>
            <w:pPr>
              <w:pStyle w:val="TableContents"/>
              <w:spacing w:before="0" w:after="283"/>
              <w:rPr/>
            </w:pPr>
            <w:r>
              <w:rPr/>
              <w:t> </w:t>
            </w:r>
          </w:p>
        </w:tc>
        <w:tc>
          <w:tcPr>
            <w:tcW w:w="899"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(25</w:t>
            </w:r>
          </w:p>
        </w:tc>
        <w:tc>
          <w:tcPr>
            <w:tcW w:w="8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95"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22,654</w:t>
            </w:r>
          </w:p>
        </w:tc>
        <w:tc>
          <w:tcPr>
            <w:tcW w:w="240" w:type="dxa"/>
            <w:tcBorders/>
            <w:shd w:fill="FFFFFF" w:val="clear"/>
            <w:vAlign w:val="center"/>
          </w:tcPr>
          <w:p>
            <w:pPr>
              <w:pStyle w:val="TableContents"/>
              <w:spacing w:before="0" w:after="283"/>
              <w:rPr/>
            </w:pPr>
            <w:r>
              <w:rPr/>
              <w:t> </w:t>
            </w:r>
          </w:p>
        </w:tc>
      </w:tr>
      <w:tr>
        <w:trPr/>
        <w:tc>
          <w:tcPr>
            <w:tcW w:w="3305" w:type="dxa"/>
            <w:tcBorders/>
            <w:shd w:fill="CCEEFF" w:val="clear"/>
            <w:vAlign w:val="center"/>
          </w:tcPr>
          <w:p>
            <w:pPr>
              <w:pStyle w:val="TableContents"/>
              <w:spacing w:before="0" w:after="0"/>
              <w:ind w:left="180" w:right="0" w:hanging="0"/>
              <w:rPr>
                <w:rFonts w:ascii="Times New Roman;Times;serif" w:hAnsi="Times New Roman;Times;serif"/>
                <w:sz w:val="20"/>
              </w:rPr>
            </w:pPr>
            <w:r>
              <w:rPr>
                <w:rFonts w:ascii="Times New Roman;Times;serif" w:hAnsi="Times New Roman;Times;serif"/>
                <w:sz w:val="20"/>
              </w:rPr>
              <w:t>Capital expenditures</w:t>
            </w:r>
          </w:p>
        </w:tc>
        <w:tc>
          <w:tcPr>
            <w:tcW w:w="60" w:type="dxa"/>
            <w:tcBorders/>
            <w:shd w:fill="CCEEFF" w:val="clear"/>
            <w:vAlign w:val="center"/>
          </w:tcPr>
          <w:p>
            <w:pPr>
              <w:pStyle w:val="TableContents"/>
              <w:spacing w:before="0" w:after="283"/>
              <w:rPr/>
            </w:pPr>
            <w:r>
              <w:rPr/>
              <w:t> </w:t>
            </w:r>
          </w:p>
        </w:tc>
        <w:tc>
          <w:tcPr>
            <w:tcW w:w="131" w:type="dxa"/>
            <w:tcBorders/>
            <w:shd w:fill="CCEEFF" w:val="clear"/>
            <w:vAlign w:val="center"/>
          </w:tcPr>
          <w:p>
            <w:pPr>
              <w:pStyle w:val="TableContents"/>
              <w:spacing w:before="0" w:after="283"/>
              <w:rPr/>
            </w:pPr>
            <w:r>
              <w:rPr/>
              <w:t> </w:t>
            </w:r>
          </w:p>
        </w:tc>
        <w:tc>
          <w:tcPr>
            <w:tcW w:w="729"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1,553</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13" w:type="dxa"/>
            <w:tcBorders/>
            <w:shd w:fill="CCEEFF" w:val="clear"/>
            <w:vAlign w:val="center"/>
          </w:tcPr>
          <w:p>
            <w:pPr>
              <w:pStyle w:val="TableContents"/>
              <w:spacing w:before="0" w:after="283"/>
              <w:rPr/>
            </w:pPr>
            <w:r>
              <w:rPr/>
              <w:t> </w:t>
            </w:r>
          </w:p>
        </w:tc>
        <w:tc>
          <w:tcPr>
            <w:tcW w:w="827"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1" w:type="dxa"/>
            <w:tcBorders/>
            <w:shd w:fill="CCEEFF" w:val="clear"/>
            <w:vAlign w:val="center"/>
          </w:tcPr>
          <w:p>
            <w:pPr>
              <w:pStyle w:val="TableContents"/>
              <w:spacing w:before="0" w:after="283"/>
              <w:rPr/>
            </w:pPr>
            <w:r>
              <w:rPr/>
              <w:t> </w:t>
            </w:r>
          </w:p>
        </w:tc>
        <w:tc>
          <w:tcPr>
            <w:tcW w:w="899"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95"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1,553</w:t>
            </w:r>
          </w:p>
        </w:tc>
        <w:tc>
          <w:tcPr>
            <w:tcW w:w="240" w:type="dxa"/>
            <w:tcBorders/>
            <w:shd w:fill="CCEEFF" w:val="clear"/>
            <w:vAlign w:val="center"/>
          </w:tcPr>
          <w:p>
            <w:pPr>
              <w:pStyle w:val="TableContents"/>
              <w:spacing w:before="0" w:after="283"/>
              <w:rPr/>
            </w:pPr>
            <w:r>
              <w:rPr/>
              <w:t> </w:t>
            </w:r>
          </w:p>
        </w:tc>
      </w:tr>
      <w:tr>
        <w:trPr/>
        <w:tc>
          <w:tcPr>
            <w:tcW w:w="3305" w:type="dxa"/>
            <w:tcBorders/>
            <w:shd w:fill="FFFFFF" w:val="clear"/>
            <w:vAlign w:val="center"/>
          </w:tcPr>
          <w:p>
            <w:pPr>
              <w:pStyle w:val="TableContents"/>
              <w:spacing w:before="0" w:after="0"/>
              <w:ind w:left="180" w:right="0" w:hanging="0"/>
              <w:rPr>
                <w:rFonts w:ascii="Times New Roman;Times;serif" w:hAnsi="Times New Roman;Times;serif"/>
                <w:sz w:val="20"/>
              </w:rPr>
            </w:pPr>
            <w:r>
              <w:rPr>
                <w:rFonts w:ascii="Times New Roman;Times;serif" w:hAnsi="Times New Roman;Times;serif"/>
                <w:sz w:val="20"/>
              </w:rPr>
              <w:t>Depreciation and amortization</w:t>
            </w:r>
          </w:p>
        </w:tc>
        <w:tc>
          <w:tcPr>
            <w:tcW w:w="60" w:type="dxa"/>
            <w:tcBorders/>
            <w:shd w:fill="FFFFFF" w:val="clear"/>
            <w:vAlign w:val="center"/>
          </w:tcPr>
          <w:p>
            <w:pPr>
              <w:pStyle w:val="TableContents"/>
              <w:spacing w:before="0" w:after="283"/>
              <w:rPr/>
            </w:pPr>
            <w:r>
              <w:rPr/>
              <w:t> </w:t>
            </w:r>
          </w:p>
        </w:tc>
        <w:tc>
          <w:tcPr>
            <w:tcW w:w="131" w:type="dxa"/>
            <w:tcBorders/>
            <w:shd w:fill="FFFFFF" w:val="clear"/>
            <w:vAlign w:val="center"/>
          </w:tcPr>
          <w:p>
            <w:pPr>
              <w:pStyle w:val="TableContents"/>
              <w:spacing w:before="0" w:after="283"/>
              <w:rPr/>
            </w:pPr>
            <w:r>
              <w:rPr/>
              <w:t> </w:t>
            </w:r>
          </w:p>
        </w:tc>
        <w:tc>
          <w:tcPr>
            <w:tcW w:w="729"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6,108</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13" w:type="dxa"/>
            <w:tcBorders/>
            <w:shd w:fill="FFFFFF" w:val="clear"/>
            <w:vAlign w:val="center"/>
          </w:tcPr>
          <w:p>
            <w:pPr>
              <w:pStyle w:val="TableContents"/>
              <w:spacing w:before="0" w:after="283"/>
              <w:rPr/>
            </w:pPr>
            <w:r>
              <w:rPr/>
              <w:t> </w:t>
            </w:r>
          </w:p>
        </w:tc>
        <w:tc>
          <w:tcPr>
            <w:tcW w:w="827"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12</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31" w:type="dxa"/>
            <w:tcBorders/>
            <w:shd w:fill="FFFFFF" w:val="clear"/>
            <w:vAlign w:val="center"/>
          </w:tcPr>
          <w:p>
            <w:pPr>
              <w:pStyle w:val="TableContents"/>
              <w:spacing w:before="0" w:after="283"/>
              <w:rPr/>
            </w:pPr>
            <w:r>
              <w:rPr/>
              <w:t> </w:t>
            </w:r>
          </w:p>
        </w:tc>
        <w:tc>
          <w:tcPr>
            <w:tcW w:w="899"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95"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6,120</w:t>
            </w:r>
          </w:p>
        </w:tc>
        <w:tc>
          <w:tcPr>
            <w:tcW w:w="240" w:type="dxa"/>
            <w:tcBorders/>
            <w:shd w:fill="FFFFFF" w:val="clear"/>
            <w:vAlign w:val="center"/>
          </w:tcPr>
          <w:p>
            <w:pPr>
              <w:pStyle w:val="TableContents"/>
              <w:spacing w:before="0" w:after="283"/>
              <w:rPr/>
            </w:pPr>
            <w:r>
              <w:rPr/>
              <w:t> </w:t>
            </w:r>
          </w:p>
        </w:tc>
      </w:tr>
      <w:tr>
        <w:trPr/>
        <w:tc>
          <w:tcPr>
            <w:tcW w:w="3305" w:type="dxa"/>
            <w:tcBorders/>
            <w:shd w:fill="CCEE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Twenty-six weeks ended August 1, 2020</w:t>
            </w:r>
          </w:p>
        </w:tc>
        <w:tc>
          <w:tcPr>
            <w:tcW w:w="60" w:type="dxa"/>
            <w:tcBorders/>
            <w:shd w:fill="CCEEFF" w:val="clear"/>
            <w:vAlign w:val="center"/>
          </w:tcPr>
          <w:p>
            <w:pPr>
              <w:pStyle w:val="TableContents"/>
              <w:spacing w:before="0" w:after="283"/>
              <w:rPr/>
            </w:pPr>
            <w:r>
              <w:rPr/>
              <w:t> </w:t>
            </w:r>
          </w:p>
        </w:tc>
        <w:tc>
          <w:tcPr>
            <w:tcW w:w="131" w:type="dxa"/>
            <w:tcBorders/>
            <w:shd w:fill="CCEEFF" w:val="clear"/>
            <w:vAlign w:val="center"/>
          </w:tcPr>
          <w:p>
            <w:pPr>
              <w:pStyle w:val="TableContents"/>
              <w:spacing w:before="0" w:after="283"/>
              <w:rPr/>
            </w:pPr>
            <w:r>
              <w:rPr/>
              <w:t> </w:t>
            </w:r>
          </w:p>
        </w:tc>
        <w:tc>
          <w:tcPr>
            <w:tcW w:w="729"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13" w:type="dxa"/>
            <w:tcBorders/>
            <w:shd w:fill="CCEEFF" w:val="clear"/>
            <w:vAlign w:val="center"/>
          </w:tcPr>
          <w:p>
            <w:pPr>
              <w:pStyle w:val="TableContents"/>
              <w:spacing w:before="0" w:after="283"/>
              <w:rPr/>
            </w:pPr>
            <w:r>
              <w:rPr/>
              <w:t> </w:t>
            </w:r>
          </w:p>
        </w:tc>
        <w:tc>
          <w:tcPr>
            <w:tcW w:w="827"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1" w:type="dxa"/>
            <w:tcBorders/>
            <w:shd w:fill="CCEEFF" w:val="clear"/>
            <w:vAlign w:val="center"/>
          </w:tcPr>
          <w:p>
            <w:pPr>
              <w:pStyle w:val="TableContents"/>
              <w:spacing w:before="0" w:after="283"/>
              <w:rPr/>
            </w:pPr>
            <w:r>
              <w:rPr/>
              <w:t> </w:t>
            </w:r>
          </w:p>
        </w:tc>
        <w:tc>
          <w:tcPr>
            <w:tcW w:w="899"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95" w:type="dxa"/>
            <w:tcBorders/>
            <w:shd w:fill="CCEEFF" w:val="clear"/>
            <w:vAlign w:val="center"/>
          </w:tcPr>
          <w:p>
            <w:pPr>
              <w:pStyle w:val="TableContents"/>
              <w:spacing w:before="0" w:after="283"/>
              <w:rPr/>
            </w:pPr>
            <w:r>
              <w:rPr/>
              <w:t> </w:t>
            </w:r>
          </w:p>
        </w:tc>
        <w:tc>
          <w:tcPr>
            <w:tcW w:w="240" w:type="dxa"/>
            <w:tcBorders/>
            <w:shd w:fill="CCEEFF" w:val="clear"/>
            <w:vAlign w:val="center"/>
          </w:tcPr>
          <w:p>
            <w:pPr>
              <w:pStyle w:val="TableContents"/>
              <w:spacing w:before="0" w:after="283"/>
              <w:rPr/>
            </w:pPr>
            <w:r>
              <w:rPr/>
              <w:t> </w:t>
            </w:r>
          </w:p>
        </w:tc>
      </w:tr>
      <w:tr>
        <w:trPr/>
        <w:tc>
          <w:tcPr>
            <w:tcW w:w="3305" w:type="dxa"/>
            <w:tcBorders/>
            <w:shd w:fill="FFFFFF" w:val="clear"/>
            <w:vAlign w:val="center"/>
          </w:tcPr>
          <w:p>
            <w:pPr>
              <w:pStyle w:val="TableContents"/>
              <w:spacing w:before="0" w:after="0"/>
              <w:ind w:left="180" w:right="0" w:hanging="0"/>
              <w:rPr>
                <w:rFonts w:ascii="Times New Roman;Times;serif" w:hAnsi="Times New Roman;Times;serif"/>
                <w:sz w:val="20"/>
              </w:rPr>
            </w:pPr>
            <w:r>
              <w:rPr>
                <w:rFonts w:ascii="Times New Roman;Times;serif" w:hAnsi="Times New Roman;Times;serif"/>
                <w:sz w:val="20"/>
              </w:rPr>
              <w:t>Net sales to external customers</w:t>
            </w:r>
          </w:p>
        </w:tc>
        <w:tc>
          <w:tcPr>
            <w:tcW w:w="60" w:type="dxa"/>
            <w:tcBorders/>
            <w:shd w:fill="FFFFFF" w:val="clear"/>
            <w:vAlign w:val="center"/>
          </w:tcPr>
          <w:p>
            <w:pPr>
              <w:pStyle w:val="TableContents"/>
              <w:spacing w:before="0" w:after="283"/>
              <w:rPr/>
            </w:pPr>
            <w:r>
              <w:rPr/>
              <w:t> </w:t>
            </w:r>
          </w:p>
        </w:tc>
        <w:tc>
          <w:tcPr>
            <w:tcW w:w="131"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729"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84,986</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13"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827"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1,198</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31"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899"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793</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86,977</w:t>
            </w:r>
          </w:p>
        </w:tc>
        <w:tc>
          <w:tcPr>
            <w:tcW w:w="240" w:type="dxa"/>
            <w:tcBorders/>
            <w:shd w:fill="FFFFFF" w:val="clear"/>
            <w:vAlign w:val="center"/>
          </w:tcPr>
          <w:p>
            <w:pPr>
              <w:pStyle w:val="TableContents"/>
              <w:spacing w:before="0" w:after="283"/>
              <w:rPr/>
            </w:pPr>
            <w:r>
              <w:rPr/>
              <w:t> </w:t>
            </w:r>
          </w:p>
        </w:tc>
      </w:tr>
      <w:tr>
        <w:trPr/>
        <w:tc>
          <w:tcPr>
            <w:tcW w:w="3305" w:type="dxa"/>
            <w:tcBorders/>
            <w:shd w:fill="CCEEFF" w:val="clear"/>
            <w:vAlign w:val="center"/>
          </w:tcPr>
          <w:p>
            <w:pPr>
              <w:pStyle w:val="TableContents"/>
              <w:spacing w:before="0" w:after="0"/>
              <w:ind w:left="180" w:right="0" w:hanging="0"/>
              <w:rPr>
                <w:rFonts w:ascii="Times New Roman;Times;serif" w:hAnsi="Times New Roman;Times;serif"/>
                <w:sz w:val="20"/>
              </w:rPr>
            </w:pPr>
            <w:r>
              <w:rPr>
                <w:rFonts w:ascii="Times New Roman;Times;serif" w:hAnsi="Times New Roman;Times;serif"/>
                <w:sz w:val="20"/>
              </w:rPr>
              <w:t>(Loss) Income before income taxes</w:t>
            </w:r>
          </w:p>
        </w:tc>
        <w:tc>
          <w:tcPr>
            <w:tcW w:w="60" w:type="dxa"/>
            <w:tcBorders/>
            <w:shd w:fill="CCEEFF" w:val="clear"/>
            <w:vAlign w:val="center"/>
          </w:tcPr>
          <w:p>
            <w:pPr>
              <w:pStyle w:val="TableContents"/>
              <w:spacing w:before="0" w:after="283"/>
              <w:rPr/>
            </w:pPr>
            <w:r>
              <w:rPr/>
              <w:t> </w:t>
            </w:r>
          </w:p>
        </w:tc>
        <w:tc>
          <w:tcPr>
            <w:tcW w:w="131" w:type="dxa"/>
            <w:tcBorders/>
            <w:shd w:fill="CCEEFF" w:val="clear"/>
            <w:vAlign w:val="center"/>
          </w:tcPr>
          <w:p>
            <w:pPr>
              <w:pStyle w:val="TableContents"/>
              <w:spacing w:before="0" w:after="283"/>
              <w:rPr/>
            </w:pPr>
            <w:r>
              <w:rPr/>
              <w:t> </w:t>
            </w:r>
          </w:p>
        </w:tc>
        <w:tc>
          <w:tcPr>
            <w:tcW w:w="729"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(32,515</w:t>
            </w:r>
          </w:p>
        </w:tc>
        <w:tc>
          <w:tcPr>
            <w:tcW w:w="80"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spacing w:before="0" w:after="283"/>
              <w:rPr/>
            </w:pPr>
            <w:r>
              <w:rPr/>
              <w:t> </w:t>
            </w:r>
          </w:p>
        </w:tc>
        <w:tc>
          <w:tcPr>
            <w:tcW w:w="213" w:type="dxa"/>
            <w:tcBorders/>
            <w:shd w:fill="CCEEFF" w:val="clear"/>
            <w:vAlign w:val="center"/>
          </w:tcPr>
          <w:p>
            <w:pPr>
              <w:pStyle w:val="TableContents"/>
              <w:spacing w:before="0" w:after="283"/>
              <w:rPr/>
            </w:pPr>
            <w:r>
              <w:rPr/>
              <w:t> </w:t>
            </w:r>
          </w:p>
        </w:tc>
        <w:tc>
          <w:tcPr>
            <w:tcW w:w="827"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194</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1" w:type="dxa"/>
            <w:tcBorders/>
            <w:shd w:fill="CCEEFF" w:val="clear"/>
            <w:vAlign w:val="center"/>
          </w:tcPr>
          <w:p>
            <w:pPr>
              <w:pStyle w:val="TableContents"/>
              <w:spacing w:before="0" w:after="283"/>
              <w:rPr/>
            </w:pPr>
            <w:r>
              <w:rPr/>
              <w:t> </w:t>
            </w:r>
          </w:p>
        </w:tc>
        <w:tc>
          <w:tcPr>
            <w:tcW w:w="899"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(326</w:t>
            </w:r>
          </w:p>
        </w:tc>
        <w:tc>
          <w:tcPr>
            <w:tcW w:w="80"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95"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(32,647</w:t>
            </w:r>
          </w:p>
        </w:tc>
        <w:tc>
          <w:tcPr>
            <w:tcW w:w="240"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r>
      <w:tr>
        <w:trPr/>
        <w:tc>
          <w:tcPr>
            <w:tcW w:w="3305" w:type="dxa"/>
            <w:tcBorders/>
            <w:shd w:fill="FFFFFF" w:val="clear"/>
            <w:vAlign w:val="center"/>
          </w:tcPr>
          <w:p>
            <w:pPr>
              <w:pStyle w:val="TableContents"/>
              <w:spacing w:before="0" w:after="0"/>
              <w:ind w:left="180" w:right="0" w:hanging="0"/>
              <w:rPr>
                <w:rFonts w:ascii="Times New Roman;Times;serif" w:hAnsi="Times New Roman;Times;serif"/>
                <w:sz w:val="20"/>
              </w:rPr>
            </w:pPr>
            <w:r>
              <w:rPr>
                <w:rFonts w:ascii="Times New Roman;Times;serif" w:hAnsi="Times New Roman;Times;serif"/>
                <w:sz w:val="20"/>
              </w:rPr>
              <w:t>Capital expenditures</w:t>
            </w:r>
          </w:p>
        </w:tc>
        <w:tc>
          <w:tcPr>
            <w:tcW w:w="60" w:type="dxa"/>
            <w:tcBorders/>
            <w:shd w:fill="FFFFFF" w:val="clear"/>
            <w:vAlign w:val="center"/>
          </w:tcPr>
          <w:p>
            <w:pPr>
              <w:pStyle w:val="TableContents"/>
              <w:spacing w:before="0" w:after="283"/>
              <w:rPr/>
            </w:pPr>
            <w:r>
              <w:rPr/>
              <w:t> </w:t>
            </w:r>
          </w:p>
        </w:tc>
        <w:tc>
          <w:tcPr>
            <w:tcW w:w="131" w:type="dxa"/>
            <w:tcBorders/>
            <w:shd w:fill="FFFFFF" w:val="clear"/>
            <w:vAlign w:val="center"/>
          </w:tcPr>
          <w:p>
            <w:pPr>
              <w:pStyle w:val="TableContents"/>
              <w:spacing w:before="0" w:after="283"/>
              <w:rPr/>
            </w:pPr>
            <w:r>
              <w:rPr/>
              <w:t> </w:t>
            </w:r>
          </w:p>
        </w:tc>
        <w:tc>
          <w:tcPr>
            <w:tcW w:w="729"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3,378</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13" w:type="dxa"/>
            <w:tcBorders/>
            <w:shd w:fill="FFFFFF" w:val="clear"/>
            <w:vAlign w:val="center"/>
          </w:tcPr>
          <w:p>
            <w:pPr>
              <w:pStyle w:val="TableContents"/>
              <w:spacing w:before="0" w:after="283"/>
              <w:rPr/>
            </w:pPr>
            <w:r>
              <w:rPr/>
              <w:t> </w:t>
            </w:r>
          </w:p>
        </w:tc>
        <w:tc>
          <w:tcPr>
            <w:tcW w:w="827"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31" w:type="dxa"/>
            <w:tcBorders/>
            <w:shd w:fill="FFFFFF" w:val="clear"/>
            <w:vAlign w:val="center"/>
          </w:tcPr>
          <w:p>
            <w:pPr>
              <w:pStyle w:val="TableContents"/>
              <w:spacing w:before="0" w:after="283"/>
              <w:rPr/>
            </w:pPr>
            <w:r>
              <w:rPr/>
              <w:t> </w:t>
            </w:r>
          </w:p>
        </w:tc>
        <w:tc>
          <w:tcPr>
            <w:tcW w:w="899"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95"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3,378</w:t>
            </w:r>
          </w:p>
        </w:tc>
        <w:tc>
          <w:tcPr>
            <w:tcW w:w="240" w:type="dxa"/>
            <w:tcBorders/>
            <w:shd w:fill="FFFFFF" w:val="clear"/>
            <w:vAlign w:val="center"/>
          </w:tcPr>
          <w:p>
            <w:pPr>
              <w:pStyle w:val="TableContents"/>
              <w:spacing w:before="0" w:after="283"/>
              <w:rPr/>
            </w:pPr>
            <w:r>
              <w:rPr/>
              <w:t> </w:t>
            </w:r>
          </w:p>
        </w:tc>
      </w:tr>
      <w:tr>
        <w:trPr/>
        <w:tc>
          <w:tcPr>
            <w:tcW w:w="3305" w:type="dxa"/>
            <w:tcBorders/>
            <w:shd w:fill="CCEEFF" w:val="clear"/>
            <w:vAlign w:val="center"/>
          </w:tcPr>
          <w:p>
            <w:pPr>
              <w:pStyle w:val="TableContents"/>
              <w:spacing w:before="0" w:after="0"/>
              <w:ind w:left="180" w:right="0" w:hanging="0"/>
              <w:rPr>
                <w:rFonts w:ascii="Times New Roman;Times;serif" w:hAnsi="Times New Roman;Times;serif"/>
                <w:sz w:val="20"/>
              </w:rPr>
            </w:pPr>
            <w:r>
              <w:rPr>
                <w:rFonts w:ascii="Times New Roman;Times;serif" w:hAnsi="Times New Roman;Times;serif"/>
                <w:sz w:val="20"/>
              </w:rPr>
              <w:t>Depreciation and amortization</w:t>
            </w:r>
          </w:p>
        </w:tc>
        <w:tc>
          <w:tcPr>
            <w:tcW w:w="60" w:type="dxa"/>
            <w:tcBorders/>
            <w:shd w:fill="CCEEFF" w:val="clear"/>
            <w:vAlign w:val="center"/>
          </w:tcPr>
          <w:p>
            <w:pPr>
              <w:pStyle w:val="TableContents"/>
              <w:spacing w:before="0" w:after="283"/>
              <w:rPr/>
            </w:pPr>
            <w:r>
              <w:rPr/>
              <w:t> </w:t>
            </w:r>
          </w:p>
        </w:tc>
        <w:tc>
          <w:tcPr>
            <w:tcW w:w="131" w:type="dxa"/>
            <w:tcBorders/>
            <w:shd w:fill="CCEEFF" w:val="clear"/>
            <w:vAlign w:val="center"/>
          </w:tcPr>
          <w:p>
            <w:pPr>
              <w:pStyle w:val="TableContents"/>
              <w:spacing w:before="0" w:after="283"/>
              <w:rPr/>
            </w:pPr>
            <w:r>
              <w:rPr/>
              <w:t> </w:t>
            </w:r>
          </w:p>
        </w:tc>
        <w:tc>
          <w:tcPr>
            <w:tcW w:w="729"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6,696</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13" w:type="dxa"/>
            <w:tcBorders/>
            <w:shd w:fill="CCEEFF" w:val="clear"/>
            <w:vAlign w:val="center"/>
          </w:tcPr>
          <w:p>
            <w:pPr>
              <w:pStyle w:val="TableContents"/>
              <w:spacing w:before="0" w:after="283"/>
              <w:rPr/>
            </w:pPr>
            <w:r>
              <w:rPr/>
              <w:t> </w:t>
            </w:r>
          </w:p>
        </w:tc>
        <w:tc>
          <w:tcPr>
            <w:tcW w:w="827"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15.00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1" w:type="dxa"/>
            <w:tcBorders/>
            <w:shd w:fill="CCEEFF" w:val="clear"/>
            <w:vAlign w:val="center"/>
          </w:tcPr>
          <w:p>
            <w:pPr>
              <w:pStyle w:val="TableContents"/>
              <w:spacing w:before="0" w:after="283"/>
              <w:rPr/>
            </w:pPr>
            <w:r>
              <w:rPr/>
              <w:t> </w:t>
            </w:r>
          </w:p>
        </w:tc>
        <w:tc>
          <w:tcPr>
            <w:tcW w:w="899"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95"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6,711</w:t>
            </w:r>
          </w:p>
        </w:tc>
        <w:tc>
          <w:tcPr>
            <w:tcW w:w="240" w:type="dxa"/>
            <w:tcBorders/>
            <w:shd w:fill="CCEEFF" w:val="clear"/>
            <w:vAlign w:val="center"/>
          </w:tcPr>
          <w:p>
            <w:pPr>
              <w:pStyle w:val="TableContents"/>
              <w:spacing w:before="0" w:after="283"/>
              <w:rPr/>
            </w:pPr>
            <w:r>
              <w:rPr/>
              <w:t> </w:t>
            </w:r>
          </w:p>
        </w:tc>
      </w:tr>
      <w:tr>
        <w:trPr/>
        <w:tc>
          <w:tcPr>
            <w:tcW w:w="3305" w:type="dxa"/>
            <w:tcBorders/>
            <w:shd w:fill="FFFF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Assets as of:</w:t>
            </w:r>
          </w:p>
        </w:tc>
        <w:tc>
          <w:tcPr>
            <w:tcW w:w="60" w:type="dxa"/>
            <w:tcBorders/>
            <w:shd w:fill="FFFFFF" w:val="clear"/>
            <w:vAlign w:val="center"/>
          </w:tcPr>
          <w:p>
            <w:pPr>
              <w:pStyle w:val="TableContents"/>
              <w:spacing w:before="0" w:after="283"/>
              <w:rPr/>
            </w:pPr>
            <w:r>
              <w:rPr/>
              <w:t> </w:t>
            </w:r>
          </w:p>
        </w:tc>
        <w:tc>
          <w:tcPr>
            <w:tcW w:w="131" w:type="dxa"/>
            <w:tcBorders/>
            <w:shd w:fill="FFFFFF" w:val="clear"/>
            <w:vAlign w:val="center"/>
          </w:tcPr>
          <w:p>
            <w:pPr>
              <w:pStyle w:val="TableContents"/>
              <w:spacing w:before="0" w:after="283"/>
              <w:rPr/>
            </w:pPr>
            <w:r>
              <w:rPr/>
              <w:t> </w:t>
            </w:r>
          </w:p>
        </w:tc>
        <w:tc>
          <w:tcPr>
            <w:tcW w:w="729"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13" w:type="dxa"/>
            <w:tcBorders/>
            <w:shd w:fill="FFFFFF" w:val="clear"/>
            <w:vAlign w:val="center"/>
          </w:tcPr>
          <w:p>
            <w:pPr>
              <w:pStyle w:val="TableContents"/>
              <w:spacing w:before="0" w:after="283"/>
              <w:rPr/>
            </w:pPr>
            <w:r>
              <w:rPr/>
              <w:t> </w:t>
            </w:r>
          </w:p>
        </w:tc>
        <w:tc>
          <w:tcPr>
            <w:tcW w:w="827"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31" w:type="dxa"/>
            <w:tcBorders/>
            <w:shd w:fill="FFFFFF" w:val="clear"/>
            <w:vAlign w:val="center"/>
          </w:tcPr>
          <w:p>
            <w:pPr>
              <w:pStyle w:val="TableContents"/>
              <w:spacing w:before="0" w:after="283"/>
              <w:rPr/>
            </w:pPr>
            <w:r>
              <w:rPr/>
              <w:t> </w:t>
            </w:r>
          </w:p>
        </w:tc>
        <w:tc>
          <w:tcPr>
            <w:tcW w:w="899"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95"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rPr/>
            </w:pPr>
            <w:r>
              <w:rPr/>
              <w:t> </w:t>
            </w:r>
          </w:p>
        </w:tc>
      </w:tr>
      <w:tr>
        <w:trPr/>
        <w:tc>
          <w:tcPr>
            <w:tcW w:w="3305" w:type="dxa"/>
            <w:tcBorders/>
            <w:shd w:fill="CCEE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July 31, 2021</w:t>
            </w:r>
          </w:p>
        </w:tc>
        <w:tc>
          <w:tcPr>
            <w:tcW w:w="60" w:type="dxa"/>
            <w:tcBorders/>
            <w:shd w:fill="CCEEFF" w:val="clear"/>
            <w:vAlign w:val="center"/>
          </w:tcPr>
          <w:p>
            <w:pPr>
              <w:pStyle w:val="TableContents"/>
              <w:spacing w:before="0" w:after="283"/>
              <w:rPr/>
            </w:pPr>
            <w:r>
              <w:rPr/>
              <w:t> </w:t>
            </w:r>
          </w:p>
        </w:tc>
        <w:tc>
          <w:tcPr>
            <w:tcW w:w="131"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729"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247,833</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13"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827"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7,026</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1"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899"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9,416</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264,275</w:t>
            </w:r>
          </w:p>
        </w:tc>
        <w:tc>
          <w:tcPr>
            <w:tcW w:w="240" w:type="dxa"/>
            <w:tcBorders/>
            <w:shd w:fill="CCEEFF" w:val="clear"/>
            <w:vAlign w:val="center"/>
          </w:tcPr>
          <w:p>
            <w:pPr>
              <w:pStyle w:val="TableContents"/>
              <w:spacing w:before="0" w:after="283"/>
              <w:rPr/>
            </w:pPr>
            <w:r>
              <w:rPr/>
              <w:t> </w:t>
            </w:r>
          </w:p>
        </w:tc>
      </w:tr>
      <w:tr>
        <w:trPr/>
        <w:tc>
          <w:tcPr>
            <w:tcW w:w="3305" w:type="dxa"/>
            <w:tcBorders/>
            <w:shd w:fill="FFFF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August 1, 2020</w:t>
            </w:r>
          </w:p>
        </w:tc>
        <w:tc>
          <w:tcPr>
            <w:tcW w:w="60" w:type="dxa"/>
            <w:tcBorders/>
            <w:shd w:fill="FFFFFF" w:val="clear"/>
            <w:vAlign w:val="center"/>
          </w:tcPr>
          <w:p>
            <w:pPr>
              <w:pStyle w:val="TableContents"/>
              <w:spacing w:before="0" w:after="283"/>
              <w:rPr/>
            </w:pPr>
            <w:r>
              <w:rPr/>
              <w:t> </w:t>
            </w:r>
          </w:p>
        </w:tc>
        <w:tc>
          <w:tcPr>
            <w:tcW w:w="131" w:type="dxa"/>
            <w:tcBorders/>
            <w:shd w:fill="FFFFFF" w:val="clear"/>
            <w:vAlign w:val="center"/>
          </w:tcPr>
          <w:p>
            <w:pPr>
              <w:pStyle w:val="TableContents"/>
              <w:spacing w:before="0" w:after="283"/>
              <w:rPr/>
            </w:pPr>
            <w:r>
              <w:rPr/>
              <w:t> </w:t>
            </w:r>
          </w:p>
        </w:tc>
        <w:tc>
          <w:tcPr>
            <w:tcW w:w="729"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253,684</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13" w:type="dxa"/>
            <w:tcBorders/>
            <w:shd w:fill="FFFFFF" w:val="clear"/>
            <w:vAlign w:val="center"/>
          </w:tcPr>
          <w:p>
            <w:pPr>
              <w:pStyle w:val="TableContents"/>
              <w:spacing w:before="0" w:after="283"/>
              <w:rPr/>
            </w:pPr>
            <w:r>
              <w:rPr/>
              <w:t> </w:t>
            </w:r>
          </w:p>
        </w:tc>
        <w:tc>
          <w:tcPr>
            <w:tcW w:w="827"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6,852</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31" w:type="dxa"/>
            <w:tcBorders/>
            <w:shd w:fill="FFFFFF" w:val="clear"/>
            <w:vAlign w:val="center"/>
          </w:tcPr>
          <w:p>
            <w:pPr>
              <w:pStyle w:val="TableContents"/>
              <w:spacing w:before="0" w:after="283"/>
              <w:rPr/>
            </w:pPr>
            <w:r>
              <w:rPr/>
              <w:t> </w:t>
            </w:r>
          </w:p>
        </w:tc>
        <w:tc>
          <w:tcPr>
            <w:tcW w:w="899"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7,727</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95"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268,263</w:t>
            </w:r>
          </w:p>
        </w:tc>
        <w:tc>
          <w:tcPr>
            <w:tcW w:w="240" w:type="dxa"/>
            <w:tcBorders/>
            <w:shd w:fill="FFFFFF" w:val="clear"/>
            <w:vAlign w:val="center"/>
          </w:tcPr>
          <w:p>
            <w:pPr>
              <w:pStyle w:val="TableContents"/>
              <w:spacing w:before="0" w:after="283"/>
              <w:rPr/>
            </w:pPr>
            <w:r>
              <w:rPr/>
              <w:t> </w:t>
            </w:r>
          </w:p>
        </w:tc>
      </w:tr>
    </w:tbl>
    <w:p>
      <w:pPr>
        <w:pStyle w:val="TextBody"/>
        <w:spacing w:before="0" w:after="0"/>
        <w:ind w:left="0" w:right="0" w:hanging="0"/>
        <w:jc w:val="left"/>
        <w:rPr/>
      </w:pPr>
      <w:r>
        <w:rPr/>
        <w:t> </w:t>
      </w:r>
    </w:p>
    <w:p>
      <w:pPr>
        <w:pStyle w:val="TextBody"/>
        <w:spacing w:before="0" w:after="0"/>
        <w:ind w:left="0" w:right="0" w:firstLine="720"/>
        <w:jc w:val="left"/>
        <w:rPr/>
      </w:pPr>
      <w:r>
        <w:rPr>
          <w:rFonts w:ascii="Times New Roman;Times;serif" w:hAnsi="Times New Roman;Times;serif"/>
          <w:sz w:val="20"/>
        </w:rPr>
        <w:t xml:space="preserve">The Company’s reportable segments are primarily determined by the types of products and services that they offer. Each reportable segment </w:t>
      </w:r>
      <w:r>
        <w:rPr>
          <w:rStyle w:val="Emphasis"/>
          <w:rFonts w:ascii="Times New Roman;Times;serif" w:hAnsi="Times New Roman;Times;serif"/>
          <w:sz w:val="20"/>
        </w:rPr>
        <w:t xml:space="preserve">may </w:t>
      </w:r>
      <w:r>
        <w:rPr>
          <w:rFonts w:ascii="Times New Roman;Times;serif" w:hAnsi="Times New Roman;Times;serif"/>
          <w:sz w:val="20"/>
        </w:rPr>
        <w:t>operate in many geographic areas. Revenues are recognized in the geographic areas based on the location of the customer or franchisee. The following schedule is a summary of the Company’s sales to external customers and long-lived assets by geographic area (in thousands):</w:t>
      </w:r>
    </w:p>
    <w:p>
      <w:pPr>
        <w:pStyle w:val="TextBody"/>
        <w:spacing w:before="0" w:after="0"/>
        <w:ind w:left="0" w:right="0" w:firstLine="720"/>
        <w:jc w:val="left"/>
        <w:rPr/>
      </w:pPr>
      <w:r>
        <w:rPr/>
        <w:t> </w:t>
      </w:r>
    </w:p>
    <w:p>
      <w:pPr>
        <w:pStyle w:val="TextBody"/>
        <w:spacing w:before="0" w:after="0"/>
        <w:ind w:left="144" w:right="144" w:firstLine="720"/>
        <w:jc w:val="left"/>
        <w:rPr/>
      </w:pPr>
      <w:r>
        <w:rPr/>
        <w:t> </w:t>
      </w:r>
    </w:p>
    <w:tbl>
      <w:tblPr>
        <w:tblW w:w="7467" w:type="dxa"/>
        <w:jc w:val="left"/>
        <w:tblInd w:w="0" w:type="dxa"/>
        <w:tblCellMar>
          <w:top w:w="0" w:type="dxa"/>
          <w:left w:w="0" w:type="dxa"/>
          <w:bottom w:w="0" w:type="dxa"/>
          <w:right w:w="0" w:type="dxa"/>
        </w:tblCellMar>
      </w:tblPr>
      <w:tblGrid>
        <w:gridCol w:w="3320"/>
        <w:gridCol w:w="60"/>
        <w:gridCol w:w="151"/>
        <w:gridCol w:w="843"/>
        <w:gridCol w:w="60"/>
        <w:gridCol w:w="60"/>
        <w:gridCol w:w="158"/>
        <w:gridCol w:w="746"/>
        <w:gridCol w:w="60"/>
        <w:gridCol w:w="60"/>
        <w:gridCol w:w="203"/>
        <w:gridCol w:w="551"/>
        <w:gridCol w:w="60"/>
        <w:gridCol w:w="60"/>
        <w:gridCol w:w="125"/>
        <w:gridCol w:w="695"/>
        <w:gridCol w:w="255"/>
      </w:tblGrid>
      <w:tr>
        <w:trPr/>
        <w:tc>
          <w:tcPr>
            <w:tcW w:w="33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994" w:type="dxa"/>
            <w:gridSpan w:val="2"/>
            <w:tcBorders/>
            <w:shd w:fill="FFFFFF" w:val="clear"/>
            <w:vAlign w:val="center"/>
          </w:tcPr>
          <w:p>
            <w:pPr>
              <w:pStyle w:val="TableContents"/>
              <w:spacing w:before="0" w:after="0"/>
              <w:ind w:left="0" w:right="0" w:hanging="0"/>
              <w:jc w:val="center"/>
              <w:rPr/>
            </w:pPr>
            <w:r>
              <w:rPr>
                <w:rStyle w:val="Emphasis"/>
                <w:rFonts w:ascii="Times New Roman;Times;serif" w:hAnsi="Times New Roman;Times;serif"/>
                <w:b/>
                <w:sz w:val="20"/>
              </w:rPr>
              <w:t>North</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58" w:type="dxa"/>
            <w:tcBorders/>
            <w:shd w:fill="FFFFFF" w:val="clear"/>
            <w:vAlign w:val="center"/>
          </w:tcPr>
          <w:p>
            <w:pPr>
              <w:pStyle w:val="TableContents"/>
              <w:spacing w:before="0" w:after="283"/>
              <w:rPr/>
            </w:pPr>
            <w:r>
              <w:rPr/>
              <w:t> </w:t>
            </w:r>
          </w:p>
        </w:tc>
        <w:tc>
          <w:tcPr>
            <w:tcW w:w="746" w:type="dxa"/>
            <w:tcBorders/>
            <w:shd w:fill="FFFFFF" w:val="clear"/>
            <w:vAlign w:val="center"/>
          </w:tcPr>
          <w:p>
            <w:pPr>
              <w:pStyle w:val="TableContents"/>
              <w:spacing w:before="0" w:after="283"/>
              <w:jc w:val="center"/>
              <w:rPr/>
            </w:pPr>
            <w:r>
              <w:rPr>
                <w:rStyle w:val="Emphasis"/>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03" w:type="dxa"/>
            <w:tcBorders/>
            <w:shd w:fill="FFFFFF" w:val="clear"/>
            <w:vAlign w:val="center"/>
          </w:tcPr>
          <w:p>
            <w:pPr>
              <w:pStyle w:val="TableContents"/>
              <w:spacing w:before="0" w:after="283"/>
              <w:rPr/>
            </w:pPr>
            <w:r>
              <w:rPr/>
              <w:t> </w:t>
            </w:r>
          </w:p>
        </w:tc>
        <w:tc>
          <w:tcPr>
            <w:tcW w:w="551" w:type="dxa"/>
            <w:tcBorders/>
            <w:shd w:fill="FFFFFF" w:val="clear"/>
            <w:vAlign w:val="center"/>
          </w:tcPr>
          <w:p>
            <w:pPr>
              <w:pStyle w:val="TableContents"/>
              <w:spacing w:before="0" w:after="283"/>
              <w:jc w:val="center"/>
              <w:rPr/>
            </w:pPr>
            <w:r>
              <w:rPr>
                <w:rStyle w:val="Emphasis"/>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95" w:type="dxa"/>
            <w:tcBorders/>
            <w:shd w:fill="FFFFFF" w:val="clear"/>
            <w:vAlign w:val="center"/>
          </w:tcPr>
          <w:p>
            <w:pPr>
              <w:pStyle w:val="TableContents"/>
              <w:spacing w:before="0" w:after="283"/>
              <w:jc w:val="center"/>
              <w:rPr/>
            </w:pPr>
            <w:r>
              <w:rPr>
                <w:rStyle w:val="Emphasis"/>
              </w:rPr>
              <w:t> </w:t>
            </w:r>
          </w:p>
        </w:tc>
        <w:tc>
          <w:tcPr>
            <w:tcW w:w="255" w:type="dxa"/>
            <w:tcBorders/>
            <w:shd w:fill="FFFFFF" w:val="clear"/>
            <w:vAlign w:val="center"/>
          </w:tcPr>
          <w:p>
            <w:pPr>
              <w:pStyle w:val="TableContents"/>
              <w:spacing w:before="0" w:after="283"/>
              <w:rPr/>
            </w:pPr>
            <w:r>
              <w:rPr/>
              <w:t> </w:t>
            </w:r>
          </w:p>
        </w:tc>
      </w:tr>
      <w:tr>
        <w:trPr/>
        <w:tc>
          <w:tcPr>
            <w:tcW w:w="33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99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sz w:val="20"/>
              </w:rPr>
              <w:t>America (1)</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90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sz w:val="20"/>
              </w:rPr>
              <w:t>Europe (2)</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5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sz w:val="20"/>
              </w:rPr>
              <w:t>Other (3)</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2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pPr>
            <w:r>
              <w:rPr>
                <w:rStyle w:val="Emphasis"/>
                <w:rFonts w:ascii="Times New Roman;Times;serif" w:hAnsi="Times New Roman;Times;serif"/>
                <w:b/>
                <w:sz w:val="20"/>
              </w:rPr>
              <w:t>Total</w:t>
            </w:r>
          </w:p>
        </w:tc>
        <w:tc>
          <w:tcPr>
            <w:tcW w:w="255" w:type="dxa"/>
            <w:tcBorders/>
            <w:shd w:fill="FFFFFF" w:val="clear"/>
            <w:vAlign w:val="center"/>
          </w:tcPr>
          <w:p>
            <w:pPr>
              <w:pStyle w:val="TableContents"/>
              <w:spacing w:before="0" w:after="283"/>
              <w:rPr/>
            </w:pPr>
            <w:r>
              <w:rPr/>
              <w:t> </w:t>
            </w:r>
          </w:p>
        </w:tc>
      </w:tr>
      <w:tr>
        <w:trPr/>
        <w:tc>
          <w:tcPr>
            <w:tcW w:w="3320" w:type="dxa"/>
            <w:tcBorders/>
            <w:shd w:fill="CCEE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Thirteen weeks ended July 31, 2021</w:t>
            </w:r>
          </w:p>
        </w:tc>
        <w:tc>
          <w:tcPr>
            <w:tcW w:w="60" w:type="dxa"/>
            <w:tcBorders/>
            <w:shd w:fill="CCEEFF" w:val="clear"/>
            <w:vAlign w:val="center"/>
          </w:tcPr>
          <w:p>
            <w:pPr>
              <w:pStyle w:val="TableContents"/>
              <w:spacing w:before="0" w:after="283"/>
              <w:rPr/>
            </w:pPr>
            <w:r>
              <w:rPr/>
              <w:t> </w:t>
            </w:r>
          </w:p>
        </w:tc>
        <w:tc>
          <w:tcPr>
            <w:tcW w:w="151" w:type="dxa"/>
            <w:tcBorders/>
            <w:shd w:fill="CCEEFF" w:val="clear"/>
            <w:vAlign w:val="center"/>
          </w:tcPr>
          <w:p>
            <w:pPr>
              <w:pStyle w:val="TableContents"/>
              <w:spacing w:before="0" w:after="283"/>
              <w:rPr/>
            </w:pPr>
            <w:r>
              <w:rPr/>
              <w:t> </w:t>
            </w:r>
          </w:p>
        </w:tc>
        <w:tc>
          <w:tcPr>
            <w:tcW w:w="843"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8" w:type="dxa"/>
            <w:tcBorders/>
            <w:shd w:fill="CCEEFF" w:val="clear"/>
            <w:vAlign w:val="center"/>
          </w:tcPr>
          <w:p>
            <w:pPr>
              <w:pStyle w:val="TableContents"/>
              <w:spacing w:before="0" w:after="283"/>
              <w:rPr/>
            </w:pPr>
            <w:r>
              <w:rPr/>
              <w:t> </w:t>
            </w:r>
          </w:p>
        </w:tc>
        <w:tc>
          <w:tcPr>
            <w:tcW w:w="746"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03" w:type="dxa"/>
            <w:tcBorders/>
            <w:shd w:fill="CCEEFF" w:val="clear"/>
            <w:vAlign w:val="center"/>
          </w:tcPr>
          <w:p>
            <w:pPr>
              <w:pStyle w:val="TableContents"/>
              <w:spacing w:before="0" w:after="283"/>
              <w:rPr/>
            </w:pPr>
            <w:r>
              <w:rPr/>
              <w:t> </w:t>
            </w:r>
          </w:p>
        </w:tc>
        <w:tc>
          <w:tcPr>
            <w:tcW w:w="551"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95" w:type="dxa"/>
            <w:tcBorders/>
            <w:shd w:fill="CCEEFF" w:val="clear"/>
            <w:vAlign w:val="center"/>
          </w:tcPr>
          <w:p>
            <w:pPr>
              <w:pStyle w:val="TableContents"/>
              <w:spacing w:before="0" w:after="283"/>
              <w:jc w:val="left"/>
              <w:rPr/>
            </w:pPr>
            <w:r>
              <w:rPr/>
              <w:t> </w:t>
            </w:r>
          </w:p>
        </w:tc>
        <w:tc>
          <w:tcPr>
            <w:tcW w:w="255" w:type="dxa"/>
            <w:tcBorders/>
            <w:shd w:fill="CCEEFF" w:val="clear"/>
            <w:vAlign w:val="center"/>
          </w:tcPr>
          <w:p>
            <w:pPr>
              <w:pStyle w:val="TableContents"/>
              <w:spacing w:before="0" w:after="283"/>
              <w:rPr/>
            </w:pPr>
            <w:r>
              <w:rPr/>
              <w:t> </w:t>
            </w:r>
          </w:p>
        </w:tc>
      </w:tr>
      <w:tr>
        <w:trPr/>
        <w:tc>
          <w:tcPr>
            <w:tcW w:w="3320" w:type="dxa"/>
            <w:tcBorders/>
            <w:shd w:fill="FFFFFF" w:val="clear"/>
            <w:vAlign w:val="center"/>
          </w:tcPr>
          <w:p>
            <w:pPr>
              <w:pStyle w:val="TableContents"/>
              <w:spacing w:before="0" w:after="0"/>
              <w:ind w:left="180" w:right="0" w:hanging="0"/>
              <w:rPr>
                <w:rFonts w:ascii="Times New Roman;Times;serif" w:hAnsi="Times New Roman;Times;serif"/>
                <w:sz w:val="20"/>
              </w:rPr>
            </w:pPr>
            <w:r>
              <w:rPr>
                <w:rFonts w:ascii="Times New Roman;Times;serif" w:hAnsi="Times New Roman;Times;serif"/>
                <w:sz w:val="20"/>
              </w:rPr>
              <w:t>Net sales to external customers</w:t>
            </w:r>
          </w:p>
        </w:tc>
        <w:tc>
          <w:tcPr>
            <w:tcW w:w="60" w:type="dxa"/>
            <w:tcBorders/>
            <w:shd w:fill="FFFFFF" w:val="clear"/>
            <w:vAlign w:val="center"/>
          </w:tcPr>
          <w:p>
            <w:pPr>
              <w:pStyle w:val="TableContents"/>
              <w:spacing w:before="0" w:after="283"/>
              <w:ind w:left="0" w:right="0" w:hanging="0"/>
              <w:rPr/>
            </w:pPr>
            <w:r>
              <w:rPr/>
              <w:t> </w:t>
            </w:r>
          </w:p>
        </w:tc>
        <w:tc>
          <w:tcPr>
            <w:tcW w:w="151" w:type="dxa"/>
            <w:tcBorders/>
            <w:shd w:fill="FFFF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843"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82,179</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58" w:type="dxa"/>
            <w:tcBorders/>
            <w:shd w:fill="FFFF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746"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12,095</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03" w:type="dxa"/>
            <w:tcBorders/>
            <w:shd w:fill="FFFF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551"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454</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shd w:fill="FFFF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94,728</w:t>
            </w:r>
          </w:p>
        </w:tc>
        <w:tc>
          <w:tcPr>
            <w:tcW w:w="255" w:type="dxa"/>
            <w:tcBorders/>
            <w:shd w:fill="FFFFFF" w:val="clear"/>
            <w:vAlign w:val="center"/>
          </w:tcPr>
          <w:p>
            <w:pPr>
              <w:pStyle w:val="TableContents"/>
              <w:spacing w:before="0" w:after="283"/>
              <w:rPr/>
            </w:pPr>
            <w:r>
              <w:rPr/>
              <w:t> </w:t>
            </w:r>
          </w:p>
        </w:tc>
      </w:tr>
      <w:tr>
        <w:trPr/>
        <w:tc>
          <w:tcPr>
            <w:tcW w:w="3320" w:type="dxa"/>
            <w:tcBorders/>
            <w:shd w:fill="CCEE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Thirteen weeks ended August 1, 2020</w:t>
            </w:r>
          </w:p>
        </w:tc>
        <w:tc>
          <w:tcPr>
            <w:tcW w:w="60" w:type="dxa"/>
            <w:tcBorders/>
            <w:shd w:fill="CCEEFF" w:val="clear"/>
            <w:vAlign w:val="center"/>
          </w:tcPr>
          <w:p>
            <w:pPr>
              <w:pStyle w:val="TableContents"/>
              <w:spacing w:before="0" w:after="283"/>
              <w:rPr/>
            </w:pPr>
            <w:r>
              <w:rPr/>
              <w:t> </w:t>
            </w:r>
          </w:p>
        </w:tc>
        <w:tc>
          <w:tcPr>
            <w:tcW w:w="151" w:type="dxa"/>
            <w:tcBorders/>
            <w:shd w:fill="CCEEFF" w:val="clear"/>
            <w:vAlign w:val="center"/>
          </w:tcPr>
          <w:p>
            <w:pPr>
              <w:pStyle w:val="TableContents"/>
              <w:spacing w:before="0" w:after="283"/>
              <w:rPr/>
            </w:pPr>
            <w:r>
              <w:rPr/>
              <w:t> </w:t>
            </w:r>
          </w:p>
        </w:tc>
        <w:tc>
          <w:tcPr>
            <w:tcW w:w="843"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8" w:type="dxa"/>
            <w:tcBorders/>
            <w:shd w:fill="CCEEFF" w:val="clear"/>
            <w:vAlign w:val="center"/>
          </w:tcPr>
          <w:p>
            <w:pPr>
              <w:pStyle w:val="TableContents"/>
              <w:spacing w:before="0" w:after="283"/>
              <w:rPr/>
            </w:pPr>
            <w:r>
              <w:rPr/>
              <w:t> </w:t>
            </w:r>
          </w:p>
        </w:tc>
        <w:tc>
          <w:tcPr>
            <w:tcW w:w="746"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03" w:type="dxa"/>
            <w:tcBorders/>
            <w:shd w:fill="CCEEFF" w:val="clear"/>
            <w:vAlign w:val="center"/>
          </w:tcPr>
          <w:p>
            <w:pPr>
              <w:pStyle w:val="TableContents"/>
              <w:spacing w:before="0" w:after="283"/>
              <w:rPr/>
            </w:pPr>
            <w:r>
              <w:rPr/>
              <w:t> </w:t>
            </w:r>
          </w:p>
        </w:tc>
        <w:tc>
          <w:tcPr>
            <w:tcW w:w="551"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95" w:type="dxa"/>
            <w:tcBorders/>
            <w:shd w:fill="CCEEFF" w:val="clear"/>
            <w:vAlign w:val="center"/>
          </w:tcPr>
          <w:p>
            <w:pPr>
              <w:pStyle w:val="TableContents"/>
              <w:spacing w:before="0" w:after="283"/>
              <w:jc w:val="left"/>
              <w:rPr/>
            </w:pPr>
            <w:r>
              <w:rPr/>
              <w:t> </w:t>
            </w:r>
          </w:p>
        </w:tc>
        <w:tc>
          <w:tcPr>
            <w:tcW w:w="255" w:type="dxa"/>
            <w:tcBorders/>
            <w:shd w:fill="CCEEFF" w:val="clear"/>
            <w:vAlign w:val="center"/>
          </w:tcPr>
          <w:p>
            <w:pPr>
              <w:pStyle w:val="TableContents"/>
              <w:spacing w:before="0" w:after="283"/>
              <w:rPr/>
            </w:pPr>
            <w:r>
              <w:rPr/>
              <w:t> </w:t>
            </w:r>
          </w:p>
        </w:tc>
      </w:tr>
      <w:tr>
        <w:trPr/>
        <w:tc>
          <w:tcPr>
            <w:tcW w:w="3320" w:type="dxa"/>
            <w:tcBorders/>
            <w:shd w:fill="FFFFFF" w:val="clear"/>
            <w:vAlign w:val="center"/>
          </w:tcPr>
          <w:p>
            <w:pPr>
              <w:pStyle w:val="TableContents"/>
              <w:spacing w:before="0" w:after="0"/>
              <w:ind w:left="180" w:right="0" w:hanging="0"/>
              <w:rPr>
                <w:rFonts w:ascii="Times New Roman;Times;serif" w:hAnsi="Times New Roman;Times;serif"/>
                <w:sz w:val="20"/>
              </w:rPr>
            </w:pPr>
            <w:r>
              <w:rPr>
                <w:rFonts w:ascii="Times New Roman;Times;serif" w:hAnsi="Times New Roman;Times;serif"/>
                <w:sz w:val="20"/>
              </w:rPr>
              <w:t>Net sales to external customers</w:t>
            </w:r>
          </w:p>
        </w:tc>
        <w:tc>
          <w:tcPr>
            <w:tcW w:w="60" w:type="dxa"/>
            <w:tcBorders/>
            <w:shd w:fill="FFFFFF" w:val="clear"/>
            <w:vAlign w:val="center"/>
          </w:tcPr>
          <w:p>
            <w:pPr>
              <w:pStyle w:val="TableContents"/>
              <w:spacing w:before="0" w:after="283"/>
              <w:ind w:left="0" w:right="0" w:hanging="0"/>
              <w:rPr/>
            </w:pPr>
            <w:r>
              <w:rPr/>
              <w:t> </w:t>
            </w:r>
          </w:p>
        </w:tc>
        <w:tc>
          <w:tcPr>
            <w:tcW w:w="151" w:type="dxa"/>
            <w:tcBorders/>
            <w:shd w:fill="FFFF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843"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34,985</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58" w:type="dxa"/>
            <w:tcBorders/>
            <w:shd w:fill="FFFF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746"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5,141</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03" w:type="dxa"/>
            <w:tcBorders/>
            <w:shd w:fill="FFFF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551"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227</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shd w:fill="FFFF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40,353</w:t>
            </w:r>
          </w:p>
        </w:tc>
        <w:tc>
          <w:tcPr>
            <w:tcW w:w="255" w:type="dxa"/>
            <w:tcBorders/>
            <w:shd w:fill="FFFFFF" w:val="clear"/>
            <w:vAlign w:val="center"/>
          </w:tcPr>
          <w:p>
            <w:pPr>
              <w:pStyle w:val="TableContents"/>
              <w:spacing w:before="0" w:after="283"/>
              <w:ind w:left="0" w:right="0" w:firstLine="180"/>
              <w:rPr/>
            </w:pPr>
            <w:r>
              <w:rPr/>
              <w:t> </w:t>
            </w:r>
          </w:p>
        </w:tc>
      </w:tr>
      <w:tr>
        <w:trPr/>
        <w:tc>
          <w:tcPr>
            <w:tcW w:w="33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1" w:type="dxa"/>
            <w:tcBorders/>
            <w:shd w:fill="CCEEFF" w:val="clear"/>
            <w:vAlign w:val="center"/>
          </w:tcPr>
          <w:p>
            <w:pPr>
              <w:pStyle w:val="TableContents"/>
              <w:spacing w:before="0" w:after="283"/>
              <w:rPr/>
            </w:pPr>
            <w:r>
              <w:rPr/>
              <w:t> </w:t>
            </w:r>
          </w:p>
        </w:tc>
        <w:tc>
          <w:tcPr>
            <w:tcW w:w="843"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8" w:type="dxa"/>
            <w:tcBorders/>
            <w:shd w:fill="CCEEFF" w:val="clear"/>
            <w:vAlign w:val="center"/>
          </w:tcPr>
          <w:p>
            <w:pPr>
              <w:pStyle w:val="TableContents"/>
              <w:spacing w:before="0" w:after="283"/>
              <w:rPr/>
            </w:pPr>
            <w:r>
              <w:rPr/>
              <w:t> </w:t>
            </w:r>
          </w:p>
        </w:tc>
        <w:tc>
          <w:tcPr>
            <w:tcW w:w="746"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03" w:type="dxa"/>
            <w:tcBorders/>
            <w:shd w:fill="CCEEFF" w:val="clear"/>
            <w:vAlign w:val="center"/>
          </w:tcPr>
          <w:p>
            <w:pPr>
              <w:pStyle w:val="TableContents"/>
              <w:spacing w:before="0" w:after="283"/>
              <w:rPr/>
            </w:pPr>
            <w:r>
              <w:rPr/>
              <w:t> </w:t>
            </w:r>
          </w:p>
        </w:tc>
        <w:tc>
          <w:tcPr>
            <w:tcW w:w="551"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95" w:type="dxa"/>
            <w:tcBorders/>
            <w:shd w:fill="CCEEFF" w:val="clear"/>
            <w:vAlign w:val="center"/>
          </w:tcPr>
          <w:p>
            <w:pPr>
              <w:pStyle w:val="TableContents"/>
              <w:spacing w:before="0" w:after="283"/>
              <w:jc w:val="right"/>
              <w:rPr/>
            </w:pPr>
            <w:r>
              <w:rPr/>
              <w:t> </w:t>
            </w:r>
          </w:p>
        </w:tc>
        <w:tc>
          <w:tcPr>
            <w:tcW w:w="255" w:type="dxa"/>
            <w:tcBorders/>
            <w:shd w:fill="CCEEFF" w:val="clear"/>
            <w:vAlign w:val="center"/>
          </w:tcPr>
          <w:p>
            <w:pPr>
              <w:pStyle w:val="TableContents"/>
              <w:spacing w:before="0" w:after="283"/>
              <w:rPr/>
            </w:pPr>
            <w:r>
              <w:rPr/>
              <w:t> </w:t>
            </w:r>
          </w:p>
        </w:tc>
      </w:tr>
      <w:tr>
        <w:trPr/>
        <w:tc>
          <w:tcPr>
            <w:tcW w:w="3320" w:type="dxa"/>
            <w:tcBorders/>
            <w:shd w:fill="FFFF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Twenty-six weeks ended July 31, 2021</w:t>
            </w:r>
          </w:p>
        </w:tc>
        <w:tc>
          <w:tcPr>
            <w:tcW w:w="60" w:type="dxa"/>
            <w:tcBorders/>
            <w:shd w:fill="FFFFFF" w:val="clear"/>
            <w:vAlign w:val="center"/>
          </w:tcPr>
          <w:p>
            <w:pPr>
              <w:pStyle w:val="TableContents"/>
              <w:spacing w:before="0" w:after="283"/>
              <w:rPr/>
            </w:pPr>
            <w:r>
              <w:rPr/>
              <w:t> </w:t>
            </w:r>
          </w:p>
        </w:tc>
        <w:tc>
          <w:tcPr>
            <w:tcW w:w="151" w:type="dxa"/>
            <w:tcBorders/>
            <w:shd w:fill="FFFFFF" w:val="clear"/>
            <w:vAlign w:val="center"/>
          </w:tcPr>
          <w:p>
            <w:pPr>
              <w:pStyle w:val="TableContents"/>
              <w:spacing w:before="0" w:after="283"/>
              <w:rPr/>
            </w:pPr>
            <w:r>
              <w:rPr/>
              <w:t> </w:t>
            </w:r>
          </w:p>
        </w:tc>
        <w:tc>
          <w:tcPr>
            <w:tcW w:w="843"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58" w:type="dxa"/>
            <w:tcBorders/>
            <w:shd w:fill="FFFFFF" w:val="clear"/>
            <w:vAlign w:val="center"/>
          </w:tcPr>
          <w:p>
            <w:pPr>
              <w:pStyle w:val="TableContents"/>
              <w:spacing w:before="0" w:after="283"/>
              <w:rPr/>
            </w:pPr>
            <w:r>
              <w:rPr/>
              <w:t> </w:t>
            </w:r>
          </w:p>
        </w:tc>
        <w:tc>
          <w:tcPr>
            <w:tcW w:w="746"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03" w:type="dxa"/>
            <w:tcBorders/>
            <w:shd w:fill="FFFFFF" w:val="clear"/>
            <w:vAlign w:val="center"/>
          </w:tcPr>
          <w:p>
            <w:pPr>
              <w:pStyle w:val="TableContents"/>
              <w:spacing w:before="0" w:after="283"/>
              <w:rPr/>
            </w:pPr>
            <w:r>
              <w:rPr/>
              <w:t> </w:t>
            </w:r>
          </w:p>
        </w:tc>
        <w:tc>
          <w:tcPr>
            <w:tcW w:w="551"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95" w:type="dxa"/>
            <w:tcBorders/>
            <w:shd w:fill="FFFFFF" w:val="clear"/>
            <w:vAlign w:val="center"/>
          </w:tcPr>
          <w:p>
            <w:pPr>
              <w:pStyle w:val="TableContents"/>
              <w:spacing w:before="0" w:after="283"/>
              <w:jc w:val="left"/>
              <w:rPr/>
            </w:pPr>
            <w:r>
              <w:rPr/>
              <w:t> </w:t>
            </w:r>
          </w:p>
        </w:tc>
        <w:tc>
          <w:tcPr>
            <w:tcW w:w="255" w:type="dxa"/>
            <w:tcBorders/>
            <w:shd w:fill="FFFFFF" w:val="clear"/>
            <w:vAlign w:val="center"/>
          </w:tcPr>
          <w:p>
            <w:pPr>
              <w:pStyle w:val="TableContents"/>
              <w:spacing w:before="0" w:after="283"/>
              <w:ind w:left="0" w:right="0" w:firstLine="180"/>
              <w:rPr/>
            </w:pPr>
            <w:r>
              <w:rPr/>
              <w:t> </w:t>
            </w:r>
          </w:p>
        </w:tc>
      </w:tr>
      <w:tr>
        <w:trPr/>
        <w:tc>
          <w:tcPr>
            <w:tcW w:w="3320" w:type="dxa"/>
            <w:tcBorders/>
            <w:shd w:fill="CCEEFF" w:val="clear"/>
            <w:vAlign w:val="center"/>
          </w:tcPr>
          <w:p>
            <w:pPr>
              <w:pStyle w:val="TableContents"/>
              <w:spacing w:before="0" w:after="0"/>
              <w:ind w:left="0" w:right="0" w:firstLine="180"/>
              <w:rPr>
                <w:rFonts w:ascii="Times New Roman;Times;serif" w:hAnsi="Times New Roman;Times;serif"/>
                <w:sz w:val="20"/>
              </w:rPr>
            </w:pPr>
            <w:r>
              <w:rPr>
                <w:rFonts w:ascii="Times New Roman;Times;serif" w:hAnsi="Times New Roman;Times;serif"/>
                <w:sz w:val="20"/>
              </w:rPr>
              <w:t>Net sales to external customers</w:t>
            </w:r>
          </w:p>
        </w:tc>
        <w:tc>
          <w:tcPr>
            <w:tcW w:w="60" w:type="dxa"/>
            <w:tcBorders/>
            <w:shd w:fill="CCEEFF" w:val="clear"/>
            <w:vAlign w:val="center"/>
          </w:tcPr>
          <w:p>
            <w:pPr>
              <w:pStyle w:val="TableContents"/>
              <w:spacing w:before="0" w:after="283"/>
              <w:rPr/>
            </w:pPr>
            <w:r>
              <w:rPr/>
              <w:t> </w:t>
            </w:r>
          </w:p>
        </w:tc>
        <w:tc>
          <w:tcPr>
            <w:tcW w:w="151"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843"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167,932</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8"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746"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17,504</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03"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551"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985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186,421</w:t>
            </w:r>
          </w:p>
        </w:tc>
        <w:tc>
          <w:tcPr>
            <w:tcW w:w="255" w:type="dxa"/>
            <w:tcBorders/>
            <w:shd w:fill="CCEEFF" w:val="clear"/>
            <w:vAlign w:val="center"/>
          </w:tcPr>
          <w:p>
            <w:pPr>
              <w:pStyle w:val="TableContents"/>
              <w:spacing w:before="0" w:after="283"/>
              <w:ind w:left="0" w:right="0" w:firstLine="180"/>
              <w:rPr/>
            </w:pPr>
            <w:r>
              <w:rPr/>
              <w:t> </w:t>
            </w:r>
          </w:p>
        </w:tc>
      </w:tr>
      <w:tr>
        <w:trPr/>
        <w:tc>
          <w:tcPr>
            <w:tcW w:w="3320" w:type="dxa"/>
            <w:tcBorders/>
            <w:shd w:fill="FFFFFF" w:val="clear"/>
            <w:vAlign w:val="center"/>
          </w:tcPr>
          <w:p>
            <w:pPr>
              <w:pStyle w:val="TableContents"/>
              <w:spacing w:before="0" w:after="0"/>
              <w:ind w:left="0" w:right="0" w:firstLine="180"/>
              <w:rPr>
                <w:rFonts w:ascii="Times New Roman;Times;serif" w:hAnsi="Times New Roman;Times;serif"/>
                <w:sz w:val="20"/>
              </w:rPr>
            </w:pPr>
            <w:r>
              <w:rPr>
                <w:rFonts w:ascii="Times New Roman;Times;serif" w:hAnsi="Times New Roman;Times;serif"/>
                <w:sz w:val="20"/>
              </w:rPr>
              <w:t>Property and equipment, net</w:t>
            </w:r>
          </w:p>
        </w:tc>
        <w:tc>
          <w:tcPr>
            <w:tcW w:w="60" w:type="dxa"/>
            <w:tcBorders/>
            <w:shd w:fill="FFFFFF" w:val="clear"/>
            <w:vAlign w:val="center"/>
          </w:tcPr>
          <w:p>
            <w:pPr>
              <w:pStyle w:val="TableContents"/>
              <w:spacing w:before="0" w:after="283"/>
              <w:rPr/>
            </w:pPr>
            <w:r>
              <w:rPr/>
              <w:t> </w:t>
            </w:r>
          </w:p>
        </w:tc>
        <w:tc>
          <w:tcPr>
            <w:tcW w:w="151" w:type="dxa"/>
            <w:tcBorders/>
            <w:shd w:fill="FFFFFF" w:val="clear"/>
            <w:vAlign w:val="center"/>
          </w:tcPr>
          <w:p>
            <w:pPr>
              <w:pStyle w:val="TableContents"/>
              <w:spacing w:before="0" w:after="283"/>
              <w:rPr/>
            </w:pPr>
            <w:r>
              <w:rPr/>
              <w:t> </w:t>
            </w:r>
          </w:p>
        </w:tc>
        <w:tc>
          <w:tcPr>
            <w:tcW w:w="843"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44,536</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58" w:type="dxa"/>
            <w:tcBorders/>
            <w:shd w:fill="FFFFFF" w:val="clear"/>
            <w:vAlign w:val="center"/>
          </w:tcPr>
          <w:p>
            <w:pPr>
              <w:pStyle w:val="TableContents"/>
              <w:spacing w:before="0" w:after="283"/>
              <w:rPr/>
            </w:pPr>
            <w:r>
              <w:rPr/>
              <w:t> </w:t>
            </w:r>
          </w:p>
        </w:tc>
        <w:tc>
          <w:tcPr>
            <w:tcW w:w="746"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3,625</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03" w:type="dxa"/>
            <w:tcBorders/>
            <w:shd w:fill="FFFFFF" w:val="clear"/>
            <w:vAlign w:val="center"/>
          </w:tcPr>
          <w:p>
            <w:pPr>
              <w:pStyle w:val="TableContents"/>
              <w:spacing w:before="0" w:after="283"/>
              <w:rPr/>
            </w:pPr>
            <w:r>
              <w:rPr/>
              <w:t> </w:t>
            </w:r>
          </w:p>
        </w:tc>
        <w:tc>
          <w:tcPr>
            <w:tcW w:w="551"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95"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48,161</w:t>
            </w:r>
          </w:p>
        </w:tc>
        <w:tc>
          <w:tcPr>
            <w:tcW w:w="255" w:type="dxa"/>
            <w:tcBorders/>
            <w:shd w:fill="FFFFFF" w:val="clear"/>
            <w:vAlign w:val="center"/>
          </w:tcPr>
          <w:p>
            <w:pPr>
              <w:pStyle w:val="TableContents"/>
              <w:spacing w:before="0" w:after="283"/>
              <w:rPr/>
            </w:pPr>
            <w:r>
              <w:rPr/>
              <w:t> </w:t>
            </w:r>
          </w:p>
        </w:tc>
      </w:tr>
      <w:tr>
        <w:trPr/>
        <w:tc>
          <w:tcPr>
            <w:tcW w:w="332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Twenty-six weeks ended August 1, 2020</w:t>
            </w:r>
          </w:p>
        </w:tc>
        <w:tc>
          <w:tcPr>
            <w:tcW w:w="60" w:type="dxa"/>
            <w:tcBorders/>
            <w:shd w:fill="CCEEFF" w:val="clear"/>
            <w:vAlign w:val="center"/>
          </w:tcPr>
          <w:p>
            <w:pPr>
              <w:pStyle w:val="TableContents"/>
              <w:spacing w:before="0" w:after="283"/>
              <w:rPr/>
            </w:pPr>
            <w:r>
              <w:rPr/>
              <w:t> </w:t>
            </w:r>
          </w:p>
        </w:tc>
        <w:tc>
          <w:tcPr>
            <w:tcW w:w="151" w:type="dxa"/>
            <w:tcBorders/>
            <w:shd w:fill="CCEEFF" w:val="clear"/>
            <w:vAlign w:val="center"/>
          </w:tcPr>
          <w:p>
            <w:pPr>
              <w:pStyle w:val="TableContents"/>
              <w:spacing w:before="0" w:after="283"/>
              <w:rPr/>
            </w:pPr>
            <w:r>
              <w:rPr/>
              <w:t> </w:t>
            </w:r>
          </w:p>
        </w:tc>
        <w:tc>
          <w:tcPr>
            <w:tcW w:w="843"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8" w:type="dxa"/>
            <w:tcBorders/>
            <w:shd w:fill="CCEEFF" w:val="clear"/>
            <w:vAlign w:val="center"/>
          </w:tcPr>
          <w:p>
            <w:pPr>
              <w:pStyle w:val="TableContents"/>
              <w:spacing w:before="0" w:after="283"/>
              <w:rPr/>
            </w:pPr>
            <w:r>
              <w:rPr/>
              <w:t> </w:t>
            </w:r>
          </w:p>
        </w:tc>
        <w:tc>
          <w:tcPr>
            <w:tcW w:w="746"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03" w:type="dxa"/>
            <w:tcBorders/>
            <w:shd w:fill="CCEEFF" w:val="clear"/>
            <w:vAlign w:val="center"/>
          </w:tcPr>
          <w:p>
            <w:pPr>
              <w:pStyle w:val="TableContents"/>
              <w:spacing w:before="0" w:after="283"/>
              <w:rPr/>
            </w:pPr>
            <w:r>
              <w:rPr/>
              <w:t> </w:t>
            </w:r>
          </w:p>
        </w:tc>
        <w:tc>
          <w:tcPr>
            <w:tcW w:w="551"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95" w:type="dxa"/>
            <w:tcBorders/>
            <w:shd w:fill="CCEEFF" w:val="clear"/>
            <w:vAlign w:val="center"/>
          </w:tcPr>
          <w:p>
            <w:pPr>
              <w:pStyle w:val="TableContents"/>
              <w:spacing w:before="0" w:after="283"/>
              <w:jc w:val="left"/>
              <w:rPr/>
            </w:pPr>
            <w:r>
              <w:rPr/>
              <w:t> </w:t>
            </w:r>
          </w:p>
        </w:tc>
        <w:tc>
          <w:tcPr>
            <w:tcW w:w="255" w:type="dxa"/>
            <w:tcBorders/>
            <w:shd w:fill="CCEEFF" w:val="clear"/>
            <w:vAlign w:val="center"/>
          </w:tcPr>
          <w:p>
            <w:pPr>
              <w:pStyle w:val="TableContents"/>
              <w:spacing w:before="0" w:after="283"/>
              <w:ind w:left="0" w:right="0" w:firstLine="180"/>
              <w:rPr/>
            </w:pPr>
            <w:r>
              <w:rPr/>
              <w:t> </w:t>
            </w:r>
          </w:p>
        </w:tc>
      </w:tr>
      <w:tr>
        <w:trPr/>
        <w:tc>
          <w:tcPr>
            <w:tcW w:w="3320" w:type="dxa"/>
            <w:tcBorders/>
            <w:shd w:fill="FFFFFF" w:val="clear"/>
            <w:vAlign w:val="center"/>
          </w:tcPr>
          <w:p>
            <w:pPr>
              <w:pStyle w:val="TableContents"/>
              <w:spacing w:before="0" w:after="0"/>
              <w:ind w:left="0" w:right="0" w:firstLine="180"/>
              <w:rPr>
                <w:rFonts w:ascii="Times New Roman;Times;serif" w:hAnsi="Times New Roman;Times;serif"/>
                <w:sz w:val="20"/>
              </w:rPr>
            </w:pPr>
            <w:r>
              <w:rPr>
                <w:rFonts w:ascii="Times New Roman;Times;serif" w:hAnsi="Times New Roman;Times;serif"/>
                <w:sz w:val="20"/>
              </w:rPr>
              <w:t>Net sales to external customers</w:t>
            </w:r>
          </w:p>
        </w:tc>
        <w:tc>
          <w:tcPr>
            <w:tcW w:w="60" w:type="dxa"/>
            <w:tcBorders/>
            <w:shd w:fill="FFFFFF" w:val="clear"/>
            <w:vAlign w:val="center"/>
          </w:tcPr>
          <w:p>
            <w:pPr>
              <w:pStyle w:val="TableContents"/>
              <w:spacing w:before="0" w:after="283"/>
              <w:rPr/>
            </w:pPr>
            <w:r>
              <w:rPr/>
              <w:t> </w:t>
            </w:r>
          </w:p>
        </w:tc>
        <w:tc>
          <w:tcPr>
            <w:tcW w:w="151"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843"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74,636</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58"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746"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11,806</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03"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551"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535</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86,977</w:t>
            </w:r>
          </w:p>
        </w:tc>
        <w:tc>
          <w:tcPr>
            <w:tcW w:w="255" w:type="dxa"/>
            <w:tcBorders/>
            <w:shd w:fill="FFFFFF" w:val="clear"/>
            <w:vAlign w:val="center"/>
          </w:tcPr>
          <w:p>
            <w:pPr>
              <w:pStyle w:val="TableContents"/>
              <w:spacing w:before="0" w:after="283"/>
              <w:ind w:left="0" w:right="0" w:firstLine="180"/>
              <w:rPr/>
            </w:pPr>
            <w:r>
              <w:rPr/>
              <w:t> </w:t>
            </w:r>
          </w:p>
        </w:tc>
      </w:tr>
      <w:tr>
        <w:trPr/>
        <w:tc>
          <w:tcPr>
            <w:tcW w:w="3320" w:type="dxa"/>
            <w:tcBorders/>
            <w:shd w:fill="CCEEFF" w:val="clear"/>
            <w:vAlign w:val="center"/>
          </w:tcPr>
          <w:p>
            <w:pPr>
              <w:pStyle w:val="TableContents"/>
              <w:spacing w:before="0" w:after="0"/>
              <w:ind w:left="0" w:right="0" w:firstLine="180"/>
              <w:rPr>
                <w:rFonts w:ascii="Times New Roman;Times;serif" w:hAnsi="Times New Roman;Times;serif"/>
                <w:sz w:val="20"/>
              </w:rPr>
            </w:pPr>
            <w:r>
              <w:rPr>
                <w:rFonts w:ascii="Times New Roman;Times;serif" w:hAnsi="Times New Roman;Times;serif"/>
                <w:sz w:val="20"/>
              </w:rPr>
              <w:t>Property and equipment, net</w:t>
            </w:r>
          </w:p>
        </w:tc>
        <w:tc>
          <w:tcPr>
            <w:tcW w:w="60" w:type="dxa"/>
            <w:tcBorders/>
            <w:shd w:fill="CCEEFF" w:val="clear"/>
            <w:vAlign w:val="center"/>
          </w:tcPr>
          <w:p>
            <w:pPr>
              <w:pStyle w:val="TableContents"/>
              <w:spacing w:before="0" w:after="283"/>
              <w:rPr/>
            </w:pPr>
            <w:r>
              <w:rPr/>
              <w:t> </w:t>
            </w:r>
          </w:p>
        </w:tc>
        <w:tc>
          <w:tcPr>
            <w:tcW w:w="151" w:type="dxa"/>
            <w:tcBorders/>
            <w:shd w:fill="CCEEFF" w:val="clear"/>
            <w:vAlign w:val="center"/>
          </w:tcPr>
          <w:p>
            <w:pPr>
              <w:pStyle w:val="TableContents"/>
              <w:spacing w:before="0" w:after="283"/>
              <w:rPr/>
            </w:pPr>
            <w:r>
              <w:rPr/>
              <w:t> </w:t>
            </w:r>
          </w:p>
        </w:tc>
        <w:tc>
          <w:tcPr>
            <w:tcW w:w="843"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53,735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8" w:type="dxa"/>
            <w:tcBorders/>
            <w:shd w:fill="CCEEFF" w:val="clear"/>
            <w:vAlign w:val="center"/>
          </w:tcPr>
          <w:p>
            <w:pPr>
              <w:pStyle w:val="TableContents"/>
              <w:spacing w:before="0" w:after="283"/>
              <w:rPr/>
            </w:pPr>
            <w:r>
              <w:rPr/>
              <w:t> </w:t>
            </w:r>
          </w:p>
        </w:tc>
        <w:tc>
          <w:tcPr>
            <w:tcW w:w="746"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4,350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03" w:type="dxa"/>
            <w:tcBorders/>
            <w:shd w:fill="CCEEFF" w:val="clear"/>
            <w:vAlign w:val="center"/>
          </w:tcPr>
          <w:p>
            <w:pPr>
              <w:pStyle w:val="TableContents"/>
              <w:spacing w:before="0" w:after="283"/>
              <w:rPr/>
            </w:pPr>
            <w:r>
              <w:rPr/>
              <w:t> </w:t>
            </w:r>
          </w:p>
        </w:tc>
        <w:tc>
          <w:tcPr>
            <w:tcW w:w="551"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95"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58,085</w:t>
            </w:r>
          </w:p>
        </w:tc>
        <w:tc>
          <w:tcPr>
            <w:tcW w:w="255" w:type="dxa"/>
            <w:tcBorders/>
            <w:shd w:fill="CCEEFF" w:val="clear"/>
            <w:vAlign w:val="center"/>
          </w:tcPr>
          <w:p>
            <w:pPr>
              <w:pStyle w:val="TableContents"/>
              <w:spacing w:before="0" w:after="283"/>
              <w:rPr/>
            </w:pPr>
            <w:r>
              <w:rPr/>
              <w:t> </w:t>
            </w:r>
          </w:p>
        </w:tc>
      </w:tr>
    </w:tbl>
    <w:p>
      <w:pPr>
        <w:pStyle w:val="TextBody"/>
        <w:spacing w:before="0" w:after="0"/>
        <w:ind w:left="0" w:right="0" w:hanging="0"/>
        <w:jc w:val="left"/>
        <w:rPr/>
      </w:pPr>
      <w:r>
        <w:rPr/>
        <w:t> </w:t>
      </w:r>
    </w:p>
    <w:tbl>
      <w:tblPr>
        <w:tblW w:w="10205" w:type="dxa"/>
        <w:jc w:val="left"/>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For purposes of this table only:</w:t>
            </w:r>
          </w:p>
        </w:tc>
      </w:tr>
      <w:tr>
        <w:trPr/>
        <w:tc>
          <w:tcPr>
            <w:tcW w:w="10205" w:type="dxa"/>
            <w:tcBorders/>
            <w:shd w:fill="auto" w:val="clear"/>
            <w:vAlign w:val="center"/>
          </w:tcPr>
          <w:p>
            <w:pPr>
              <w:pStyle w:val="TableContents"/>
              <w:spacing w:before="0" w:after="0"/>
              <w:ind w:left="0" w:right="0" w:hanging="0"/>
              <w:jc w:val="left"/>
              <w:rPr/>
            </w:pPr>
            <w:r>
              <w:rPr>
                <w:rFonts w:ascii="Times New Roman;Times;serif" w:hAnsi="Times New Roman;Times;serif"/>
                <w:sz w:val="20"/>
              </w:rPr>
              <w:t>(</w:t>
            </w:r>
            <w:r>
              <w:rPr>
                <w:rStyle w:val="Emphasis"/>
                <w:rFonts w:ascii="Times New Roman;Times;serif" w:hAnsi="Times New Roman;Times;serif"/>
                <w:sz w:val="20"/>
              </w:rPr>
              <w:t>1</w:t>
            </w:r>
            <w:r>
              <w:rPr>
                <w:rFonts w:ascii="Times New Roman;Times;serif" w:hAnsi="Times New Roman;Times;serif"/>
                <w:sz w:val="20"/>
              </w:rPr>
              <w:t>)  North America includes corporately-managed locations in the United States and Canada.</w:t>
            </w:r>
          </w:p>
        </w:tc>
      </w:tr>
      <w:tr>
        <w:trPr/>
        <w:tc>
          <w:tcPr>
            <w:tcW w:w="10205" w:type="dxa"/>
            <w:tcBorders/>
            <w:shd w:fill="auto" w:val="clear"/>
            <w:vAlign w:val="center"/>
          </w:tcPr>
          <w:p>
            <w:pPr>
              <w:pStyle w:val="TableContents"/>
              <w:spacing w:before="0" w:after="0"/>
              <w:ind w:left="0" w:right="0" w:hanging="0"/>
              <w:jc w:val="left"/>
              <w:rPr/>
            </w:pPr>
            <w:r>
              <w:rPr>
                <w:rFonts w:ascii="Times New Roman;Times;serif" w:hAnsi="Times New Roman;Times;serif"/>
                <w:sz w:val="20"/>
              </w:rPr>
              <w:t>(</w:t>
            </w:r>
            <w:r>
              <w:rPr>
                <w:rStyle w:val="Emphasis"/>
                <w:rFonts w:ascii="Times New Roman;Times;serif" w:hAnsi="Times New Roman;Times;serif"/>
                <w:sz w:val="20"/>
              </w:rPr>
              <w:t>2</w:t>
            </w:r>
            <w:r>
              <w:rPr>
                <w:rFonts w:ascii="Times New Roman;Times;serif" w:hAnsi="Times New Roman;Times;serif"/>
                <w:sz w:val="20"/>
              </w:rPr>
              <w:t>)  Europe includes corporately-managed locations in the U.K. and Ireland.</w:t>
            </w:r>
          </w:p>
        </w:tc>
      </w:tr>
      <w:tr>
        <w:trPr/>
        <w:tc>
          <w:tcPr>
            <w:tcW w:w="10205" w:type="dxa"/>
            <w:tcBorders/>
            <w:shd w:fill="auto" w:val="clear"/>
            <w:vAlign w:val="center"/>
          </w:tcPr>
          <w:p>
            <w:pPr>
              <w:pStyle w:val="TableContents"/>
              <w:spacing w:before="0" w:after="0"/>
              <w:ind w:left="0" w:right="0" w:hanging="0"/>
              <w:jc w:val="left"/>
              <w:rPr/>
            </w:pPr>
            <w:r>
              <w:rPr>
                <w:rFonts w:ascii="Times New Roman;Times;serif" w:hAnsi="Times New Roman;Times;serif"/>
                <w:sz w:val="20"/>
              </w:rPr>
              <w:t>(</w:t>
            </w:r>
            <w:r>
              <w:rPr>
                <w:rStyle w:val="Emphasis"/>
                <w:rFonts w:ascii="Times New Roman;Times;serif" w:hAnsi="Times New Roman;Times;serif"/>
                <w:sz w:val="20"/>
              </w:rPr>
              <w:t>3</w:t>
            </w:r>
            <w:r>
              <w:rPr>
                <w:rFonts w:ascii="Times New Roman;Times;serif" w:hAnsi="Times New Roman;Times;serif"/>
                <w:sz w:val="20"/>
              </w:rPr>
              <w:t xml:space="preserve">)  Other includes franchise businesses outside of North America and Europe and includes a corporately-managed location in China that closed in </w:t>
            </w:r>
            <w:r>
              <w:rPr>
                <w:rStyle w:val="Emphasis"/>
                <w:rFonts w:ascii="Times New Roman;Times;serif" w:hAnsi="Times New Roman;Times;serif"/>
                <w:sz w:val="20"/>
              </w:rPr>
              <w:t>May 2021.</w:t>
            </w:r>
          </w:p>
        </w:tc>
      </w:tr>
    </w:tbl>
    <w:p>
      <w:pPr>
        <w:pStyle w:val="TextBody"/>
        <w:spacing w:before="0" w:after="0"/>
        <w:ind w:left="144" w:right="144" w:hanging="0"/>
        <w:jc w:val="left"/>
        <w:rPr/>
      </w:pPr>
      <w:r>
        <w:rPr/>
        <w:t> </w:t>
      </w:r>
    </w:p>
    <w:p>
      <w:pPr>
        <w:pStyle w:val="TextBody"/>
        <w:spacing w:before="0" w:after="0"/>
        <w:ind w:left="0" w:right="0" w:hanging="0"/>
        <w:jc w:val="center"/>
        <w:rPr/>
      </w:pPr>
      <w:r>
        <w:rPr>
          <w:rStyle w:val="Emphasis"/>
          <w:rFonts w:ascii="Times New Roman" w:hAnsi="Times New Roman"/>
          <w:sz w:val="20"/>
        </w:rPr>
        <w:t>15</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rPr/>
      </w:pPr>
      <w:r>
        <w:rPr/>
        <w:t xml:space="preserve">  </w:t>
      </w:r>
    </w:p>
    <w:p>
      <w:pPr>
        <w:pStyle w:val="TextBody"/>
        <w:rPr/>
      </w:pPr>
      <w:r>
        <w:rPr/>
        <w:t xml:space="preserve">  </w:t>
      </w:r>
    </w:p>
    <w:p>
      <w:pPr>
        <w:pStyle w:val="TextBody"/>
        <w:spacing w:before="0" w:after="0"/>
        <w:ind w:left="0" w:right="0" w:hanging="0"/>
        <w:jc w:val="left"/>
        <w:rPr/>
      </w:pPr>
      <w:r>
        <w:rPr>
          <w:rStyle w:val="Emphasis"/>
          <w:rFonts w:ascii="Times New Roman;Times;serif" w:hAnsi="Times New Roman;Times;serif"/>
          <w:b/>
          <w:sz w:val="20"/>
        </w:rPr>
        <w:t>12.</w:t>
      </w:r>
      <w:r>
        <w:rPr>
          <w:rFonts w:ascii="Times New Roman;Times;serif" w:hAnsi="Times New Roman;Times;serif"/>
          <w:b/>
          <w:sz w:val="20"/>
        </w:rPr>
        <w:t xml:space="preserve"> Contingencies</w:t>
      </w:r>
    </w:p>
    <w:p>
      <w:pPr>
        <w:pStyle w:val="TextBody"/>
        <w:spacing w:before="0" w:after="0"/>
        <w:ind w:left="144" w:right="144" w:hanging="0"/>
        <w:jc w:val="left"/>
        <w:rPr/>
      </w:pPr>
      <w:r>
        <w:rPr/>
        <w:t> </w:t>
      </w:r>
    </w:p>
    <w:p>
      <w:pPr>
        <w:pStyle w:val="TextBody"/>
        <w:spacing w:before="0" w:after="0"/>
        <w:ind w:left="0" w:right="0" w:firstLine="720"/>
        <w:jc w:val="left"/>
        <w:rPr/>
      </w:pPr>
      <w:r>
        <w:rPr>
          <w:rFonts w:ascii="Times New Roman;Times;serif" w:hAnsi="Times New Roman;Times;serif"/>
          <w:sz w:val="20"/>
        </w:rPr>
        <w:t xml:space="preserve">In the normal course of business, the Company is subject to legal proceedings, government inquiries and claims, and other commercial disputes. If </w:t>
      </w:r>
      <w:r>
        <w:rPr>
          <w:rStyle w:val="Emphasis"/>
          <w:rFonts w:ascii="Times New Roman;Times;serif" w:hAnsi="Times New Roman;Times;serif"/>
          <w:sz w:val="20"/>
        </w:rPr>
        <w:t>one</w:t>
      </w:r>
      <w:r>
        <w:rPr>
          <w:rFonts w:ascii="Times New Roman;Times;serif" w:hAnsi="Times New Roman;Times;serif"/>
          <w:sz w:val="20"/>
        </w:rPr>
        <w:t xml:space="preserve"> or more of these matters has an unfavorable resolution, it is possible that the results of operations, liquidity or financial position of the Company could be materially affected in any particular period. The Company accrues a liability for these types of contingencies when it believes that it is both probable that a liability has been incurred and that it can reasonably estimate the amount of the loss. Gain contingencies are recorded when the underlying uncertainty has been settled.</w:t>
      </w:r>
    </w:p>
    <w:p>
      <w:pPr>
        <w:pStyle w:val="TextBody"/>
        <w:spacing w:before="0" w:after="0"/>
        <w:ind w:left="0" w:right="0" w:firstLine="720"/>
        <w:jc w:val="left"/>
        <w:rPr/>
      </w:pPr>
      <w:r>
        <w:rPr/>
        <w:t>  </w:t>
      </w:r>
    </w:p>
    <w:p>
      <w:pPr>
        <w:pStyle w:val="TextBody"/>
        <w:spacing w:before="0" w:after="0"/>
        <w:ind w:left="0" w:right="0" w:firstLine="720"/>
        <w:jc w:val="left"/>
        <w:rPr/>
      </w:pPr>
      <w:r>
        <w:rPr>
          <w:rFonts w:ascii="Times New Roman;Times;serif" w:hAnsi="Times New Roman;Times;serif"/>
          <w:sz w:val="20"/>
        </w:rPr>
        <w:t xml:space="preserve">Assessments made by the U.K. customs authority in </w:t>
      </w:r>
      <w:r>
        <w:rPr>
          <w:rStyle w:val="Emphasis"/>
          <w:rFonts w:ascii="Times New Roman;Times;serif" w:hAnsi="Times New Roman;Times;serif"/>
          <w:sz w:val="20"/>
        </w:rPr>
        <w:t>2012</w:t>
      </w:r>
      <w:r>
        <w:rPr>
          <w:rFonts w:ascii="Times New Roman;Times;serif" w:hAnsi="Times New Roman;Times;serif"/>
          <w:sz w:val="20"/>
        </w:rPr>
        <w:t xml:space="preserve"> were appealed by the Company, which has paid the disputed duty, strictly under protest, pending the outcome of the continuing dispute, and this is included in receivables, net in the DTC segment. The U.K. customs authority contested the Company's appeal. Rulings by the trial court in </w:t>
      </w:r>
      <w:r>
        <w:rPr>
          <w:rStyle w:val="Emphasis"/>
          <w:rFonts w:ascii="Times New Roman;Times;serif" w:hAnsi="Times New Roman;Times;serif"/>
          <w:sz w:val="20"/>
        </w:rPr>
        <w:t xml:space="preserve"> November 2019 </w:t>
      </w:r>
      <w:r>
        <w:rPr>
          <w:rFonts w:ascii="Times New Roman;Times;serif" w:hAnsi="Times New Roman;Times;serif"/>
          <w:sz w:val="20"/>
        </w:rPr>
        <w:t>and upper tribunal in </w:t>
      </w:r>
      <w:r>
        <w:rPr>
          <w:rStyle w:val="Emphasis"/>
          <w:rFonts w:ascii="Times New Roman;Times;serif" w:hAnsi="Times New Roman;Times;serif"/>
          <w:sz w:val="20"/>
        </w:rPr>
        <w:t xml:space="preserve"> March 2021 </w:t>
      </w:r>
      <w:r>
        <w:rPr>
          <w:rFonts w:ascii="Times New Roman;Times;serif" w:hAnsi="Times New Roman;Times;serif"/>
          <w:sz w:val="20"/>
        </w:rPr>
        <w:t>held that duty was due on some, but </w:t>
      </w:r>
      <w:r>
        <w:rPr>
          <w:rStyle w:val="Emphasis"/>
          <w:rFonts w:ascii="Times New Roman;Times;serif" w:hAnsi="Times New Roman;Times;serif"/>
          <w:sz w:val="20"/>
        </w:rPr>
        <w:t>not</w:t>
      </w:r>
      <w:r>
        <w:rPr>
          <w:rFonts w:ascii="Times New Roman;Times;serif" w:hAnsi="Times New Roman;Times;serif"/>
          <w:sz w:val="20"/>
        </w:rPr>
        <w:t xml:space="preserve"> all, of the products at issue. The Company petitioned the Court of Appeals directly for leave to proceed with an appeal and are awaiting the Court's determination. The Company maintains a provision against the related receivable, based on a current evaluation of collectability, using the latest facts available in the dispute. As of </w:t>
      </w:r>
      <w:r>
        <w:rPr>
          <w:rStyle w:val="Emphasis"/>
          <w:rFonts w:ascii="Times New Roman;Times;serif" w:hAnsi="Times New Roman;Times;serif"/>
          <w:sz w:val="20"/>
        </w:rPr>
        <w:t>July 31, 2021</w:t>
      </w:r>
      <w:r>
        <w:rPr>
          <w:rFonts w:ascii="Times New Roman;Times;serif" w:hAnsi="Times New Roman;Times;serif"/>
          <w:sz w:val="20"/>
        </w:rPr>
        <w:t>, the Company had a gross receivable balance of $4.6 million and a reserve of $3.7 million, leaving a net receivable of $0.9 million. The Company believes that the outcome of this dispute will </w:t>
      </w:r>
      <w:r>
        <w:rPr>
          <w:rStyle w:val="Emphasis"/>
          <w:rFonts w:ascii="Times New Roman;Times;serif" w:hAnsi="Times New Roman;Times;serif"/>
          <w:sz w:val="20"/>
        </w:rPr>
        <w:t>not</w:t>
      </w:r>
      <w:r>
        <w:rPr>
          <w:rFonts w:ascii="Times New Roman;Times;serif" w:hAnsi="Times New Roman;Times;serif"/>
          <w:sz w:val="20"/>
        </w:rPr>
        <w:t> have a material adverse impact on the results of operations, liquidity or financial position of the Company.</w:t>
      </w:r>
    </w:p>
    <w:p>
      <w:pPr>
        <w:pStyle w:val="TextBody"/>
        <w:spacing w:before="0" w:after="0"/>
        <w:ind w:left="0" w:right="0" w:hanging="0"/>
        <w:jc w:val="left"/>
        <w:rPr/>
      </w:pPr>
      <w:r>
        <w:rPr/>
        <w:t> </w:t>
      </w:r>
    </w:p>
    <w:p>
      <w:pPr>
        <w:pStyle w:val="TextBody"/>
        <w:spacing w:before="0" w:after="0"/>
        <w:ind w:left="0" w:right="0" w:hanging="0"/>
        <w:jc w:val="center"/>
        <w:rPr/>
      </w:pPr>
      <w:r>
        <w:rPr>
          <w:rStyle w:val="Emphasis"/>
          <w:rFonts w:ascii="Times New Roman" w:hAnsi="Times New Roman"/>
          <w:sz w:val="20"/>
        </w:rPr>
        <w:t>16</w:t>
      </w:r>
      <w:r>
        <w:rPr>
          <w:rFonts w:ascii="Times New Roman" w:hAnsi="Times New Roman"/>
          <w:sz w:val="20"/>
        </w:rPr>
        <w:t xml:space="preserve"> </w:t>
      </w:r>
    </w:p>
    <w:p>
      <w:pPr>
        <w:pStyle w:val="HorizontalLine"/>
        <w:rPr/>
      </w:pPr>
      <w:r>
        <w:rPr/>
      </w:r>
    </w:p>
    <w:p>
      <w:pPr>
        <w:pStyle w:val="TextBody"/>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rPr/>
      </w:pPr>
      <w:r>
        <w:rPr/>
        <w:t xml:space="preserve">  </w:t>
      </w:r>
    </w:p>
    <w:p>
      <w:pPr>
        <w:pStyle w:val="TextBody"/>
        <w:rPr/>
      </w:pPr>
      <w:r>
        <w:rPr/>
        <w:t xml:space="preserve">  </w:t>
      </w:r>
    </w:p>
    <w:p>
      <w:pPr>
        <w:pStyle w:val="TextBody"/>
        <w:spacing w:before="0" w:after="0"/>
        <w:ind w:left="0" w:right="0" w:hanging="0"/>
        <w:jc w:val="left"/>
        <w:rPr>
          <w:rFonts w:ascii="Times New Roman;Times;serif" w:hAnsi="Times New Roman;Times;serif"/>
          <w:b/>
          <w:sz w:val="20"/>
        </w:rPr>
      </w:pPr>
      <w:bookmarkStart w:id="7" w:name="mda"/>
      <w:bookmarkEnd w:id="7"/>
      <w:r>
        <w:rPr>
          <w:rFonts w:ascii="Times New Roman;Times;serif" w:hAnsi="Times New Roman;Times;serif"/>
          <w:b/>
          <w:sz w:val="20"/>
        </w:rPr>
        <w:t>Item 2. Management’s Discussion and Analysis of Financial Condition and Results of Operations</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b/>
          <w:sz w:val="20"/>
        </w:rPr>
      </w:pPr>
      <w:r>
        <w:rPr>
          <w:rFonts w:ascii="Times New Roman;Times;serif" w:hAnsi="Times New Roman;Times;serif"/>
          <w:b/>
          <w:sz w:val="20"/>
        </w:rPr>
        <w:t>Cautionary Notice Regarding Forward-Looking Statements</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Management’s Discussion and Analysis of Financial Condition and Results of Operations contains forward-looking statements that involve risks and uncertainties, and we undertake no obligation to update these statements except as required by the federal securities laws. Our actual results may differ materially from the results discussed in the forward-looking statements. These risks and uncertainties include, without limitation, those detailed under the caption “Risk Factors” in our Annual Report on Form 10-K for the fiscal year ended January 30, 2021, as filed with the SEC, and include the following:</w:t>
      </w:r>
    </w:p>
    <w:p>
      <w:pPr>
        <w:pStyle w:val="TextBody"/>
        <w:spacing w:before="0" w:after="0"/>
        <w:ind w:left="144" w:right="144" w:hanging="0"/>
        <w:jc w:val="left"/>
        <w:rPr/>
      </w:pPr>
      <w:r>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jc w:val="left"/>
              <w:rPr/>
            </w:pPr>
            <w:r>
              <w:rPr/>
              <w:t>●</w:t>
            </w:r>
          </w:p>
        </w:tc>
        <w:tc>
          <w:tcPr>
            <w:tcW w:w="9975"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our business, operations and financial results have been and will continue to be negatively affected by the pandemic including the temporary closure of retail store locations or occupancy restrictions, which may be reinstated, all of which continues to fluctuate on a localized basis, presenting ongoing uncertainty relating to the anticipated duration and scope of the pandemic in areas in which we operate, as well as the restrictions imposed by federal, state, and local governments in response to the pandemic;</w:t>
            </w:r>
          </w:p>
        </w:tc>
      </w:tr>
      <w:tr>
        <w:trPr/>
        <w:tc>
          <w:tcPr>
            <w:tcW w:w="60" w:type="dxa"/>
            <w:tcBorders/>
            <w:shd w:fill="auto" w:val="clear"/>
            <w:vAlign w:val="center"/>
          </w:tcPr>
          <w:p>
            <w:pPr>
              <w:pStyle w:val="TableContents"/>
              <w:spacing w:before="0" w:after="283"/>
              <w:rPr/>
            </w:pPr>
            <w:r>
              <w:rPr/>
              <w:t> </w:t>
            </w:r>
          </w:p>
        </w:tc>
        <w:tc>
          <w:tcPr>
            <w:tcW w:w="170" w:type="dxa"/>
            <w:tcBorders/>
            <w:shd w:fill="FFFFFF" w:val="clear"/>
            <w:vAlign w:val="center"/>
          </w:tcPr>
          <w:p>
            <w:pPr>
              <w:pStyle w:val="TableContents"/>
              <w:spacing w:before="0" w:after="283"/>
              <w:jc w:val="left"/>
              <w:rPr/>
            </w:pPr>
            <w:r>
              <w:rPr/>
              <w:t>●</w:t>
            </w:r>
          </w:p>
        </w:tc>
        <w:tc>
          <w:tcPr>
            <w:tcW w:w="9975"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any sustained decline in general global economic conditions, caused by the COVID-19 pandemic or otherwise, could lead to disproportionately reduced consumer demand for our products, including those sold by third-party retailers, which represent relatively discretionary spending, would cause an adverse effect on our liquidity and profitability;</w:t>
            </w:r>
          </w:p>
        </w:tc>
      </w:tr>
      <w:tr>
        <w:trPr/>
        <w:tc>
          <w:tcPr>
            <w:tcW w:w="60" w:type="dxa"/>
            <w:tcBorders/>
            <w:shd w:fill="auto" w:val="clear"/>
            <w:vAlign w:val="center"/>
          </w:tcPr>
          <w:p>
            <w:pPr>
              <w:pStyle w:val="TableContents"/>
              <w:spacing w:before="0" w:after="283"/>
              <w:rPr/>
            </w:pPr>
            <w:r>
              <w:rPr/>
              <w:t> </w:t>
            </w:r>
          </w:p>
        </w:tc>
        <w:tc>
          <w:tcPr>
            <w:tcW w:w="170" w:type="dxa"/>
            <w:tcBorders/>
            <w:shd w:fill="FFFFFF" w:val="clear"/>
            <w:vAlign w:val="center"/>
          </w:tcPr>
          <w:p>
            <w:pPr>
              <w:pStyle w:val="TableContents"/>
              <w:spacing w:before="0" w:after="283"/>
              <w:jc w:val="left"/>
              <w:rPr/>
            </w:pPr>
            <w:r>
              <w:rPr/>
              <w:t>●</w:t>
            </w:r>
          </w:p>
        </w:tc>
        <w:tc>
          <w:tcPr>
            <w:tcW w:w="9975"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we rely on a few global supply chain vendors to supply substantially all of our merchandise, and significant price increases or disruption in their ability to deliver merchandise, such as was experienced due to periodic COVID-related factory closures, have impaired, and may in the future more significantly impair, our ability to source products and supply inventory to our stores and have previously caused us and in the future may cause us to carry higher levels of inventory than we have on a historical basis;</w:t>
            </w:r>
          </w:p>
        </w:tc>
      </w:tr>
      <w:tr>
        <w:trPr/>
        <w:tc>
          <w:tcPr>
            <w:tcW w:w="60" w:type="dxa"/>
            <w:tcBorders/>
            <w:shd w:fill="auto" w:val="clear"/>
            <w:vAlign w:val="center"/>
          </w:tcPr>
          <w:p>
            <w:pPr>
              <w:pStyle w:val="TableContents"/>
              <w:spacing w:before="0" w:after="283"/>
              <w:rPr/>
            </w:pPr>
            <w:r>
              <w:rPr/>
              <w:t> </w:t>
            </w:r>
          </w:p>
        </w:tc>
        <w:tc>
          <w:tcPr>
            <w:tcW w:w="170" w:type="dxa"/>
            <w:tcBorders/>
            <w:shd w:fill="FFFFFF" w:val="clear"/>
            <w:vAlign w:val="center"/>
          </w:tcPr>
          <w:p>
            <w:pPr>
              <w:pStyle w:val="TableContents"/>
              <w:spacing w:before="0" w:after="283"/>
              <w:jc w:val="left"/>
              <w:rPr/>
            </w:pPr>
            <w:r>
              <w:rPr/>
              <w:t>●</w:t>
            </w:r>
          </w:p>
        </w:tc>
        <w:tc>
          <w:tcPr>
            <w:tcW w:w="9975"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we depend upon the shopping malls and tourist locations in which our corporately-managed stores and third-party retail locations are situated to attract guests and a decline in consumer traffic, or if such consumer traffic does not return to levels that we saw prior to the pandemic, or if such return is not sustained due to the spikes in the COVID-19 infection rates, could adversely affect our financial performance and profitability. In addition, some of our third-party retailers may be subject to different market conditions as a result of the pandemic;</w:t>
            </w:r>
          </w:p>
        </w:tc>
      </w:tr>
      <w:tr>
        <w:trPr/>
        <w:tc>
          <w:tcPr>
            <w:tcW w:w="60" w:type="dxa"/>
            <w:tcBorders/>
            <w:shd w:fill="auto" w:val="clear"/>
            <w:vAlign w:val="center"/>
          </w:tcPr>
          <w:p>
            <w:pPr>
              <w:pStyle w:val="TableContents"/>
              <w:spacing w:before="0" w:after="283"/>
              <w:rPr/>
            </w:pPr>
            <w:r>
              <w:rPr/>
              <w:t> </w:t>
            </w:r>
          </w:p>
        </w:tc>
        <w:tc>
          <w:tcPr>
            <w:tcW w:w="170" w:type="dxa"/>
            <w:tcBorders/>
            <w:shd w:fill="FFFFFF" w:val="clear"/>
            <w:vAlign w:val="center"/>
          </w:tcPr>
          <w:p>
            <w:pPr>
              <w:pStyle w:val="TableContents"/>
              <w:spacing w:before="0" w:after="283"/>
              <w:jc w:val="left"/>
              <w:rPr/>
            </w:pPr>
            <w:r>
              <w:rPr/>
              <w:t>●</w:t>
            </w:r>
          </w:p>
        </w:tc>
        <w:tc>
          <w:tcPr>
            <w:tcW w:w="9975"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in connection with the reopening of our stores, we have modified our interactive shopping experience in order to comply with recommended social distancing and sanitation practices.  These modifications could have a negative impact on the appeal of our interactive shopping experience, reduce guest traffic to our stores, and decrease the volume of guests that may be able to enjoy our interactive shopping experience which could adversely impact our ability to operate our stores profitably;</w:t>
            </w:r>
          </w:p>
        </w:tc>
      </w:tr>
      <w:tr>
        <w:trPr/>
        <w:tc>
          <w:tcPr>
            <w:tcW w:w="60" w:type="dxa"/>
            <w:tcBorders/>
            <w:shd w:fill="auto" w:val="clear"/>
            <w:vAlign w:val="center"/>
          </w:tcPr>
          <w:p>
            <w:pPr>
              <w:pStyle w:val="TableContents"/>
              <w:spacing w:before="0" w:after="283"/>
              <w:rPr/>
            </w:pPr>
            <w:r>
              <w:rPr/>
              <w:t> </w:t>
            </w:r>
          </w:p>
        </w:tc>
        <w:tc>
          <w:tcPr>
            <w:tcW w:w="170" w:type="dxa"/>
            <w:tcBorders/>
            <w:shd w:fill="FFFFFF" w:val="clear"/>
            <w:vAlign w:val="center"/>
          </w:tcPr>
          <w:p>
            <w:pPr>
              <w:pStyle w:val="TableContents"/>
              <w:spacing w:before="0" w:after="283"/>
              <w:jc w:val="left"/>
              <w:rPr/>
            </w:pPr>
            <w:r>
              <w:rPr/>
              <w:t>●</w:t>
            </w:r>
          </w:p>
        </w:tc>
        <w:tc>
          <w:tcPr>
            <w:tcW w:w="9975"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we may experience store closures in shopping malls and tourist locations and other impacts to our business resulting from civil disturbances;</w:t>
            </w:r>
          </w:p>
        </w:tc>
      </w:tr>
      <w:tr>
        <w:trPr/>
        <w:tc>
          <w:tcPr>
            <w:tcW w:w="60" w:type="dxa"/>
            <w:tcBorders/>
            <w:shd w:fill="auto" w:val="clear"/>
            <w:vAlign w:val="center"/>
          </w:tcPr>
          <w:p>
            <w:pPr>
              <w:pStyle w:val="TableContents"/>
              <w:spacing w:before="0" w:after="283"/>
              <w:rPr/>
            </w:pPr>
            <w:r>
              <w:rPr/>
              <w:t> </w:t>
            </w:r>
          </w:p>
        </w:tc>
        <w:tc>
          <w:tcPr>
            <w:tcW w:w="170" w:type="dxa"/>
            <w:tcBorders/>
            <w:shd w:fill="FFFFFF" w:val="clear"/>
            <w:vAlign w:val="center"/>
          </w:tcPr>
          <w:p>
            <w:pPr>
              <w:pStyle w:val="TableContents"/>
              <w:spacing w:before="0" w:after="283"/>
              <w:jc w:val="left"/>
              <w:rPr/>
            </w:pPr>
            <w:r>
              <w:rPr/>
              <w:t>●</w:t>
            </w:r>
          </w:p>
        </w:tc>
        <w:tc>
          <w:tcPr>
            <w:tcW w:w="9975"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we believe the hands-on and interactive nature of our store and high touch service model result in guests forming an emotional connection with our brand, which in turn contributes to the success of our ecommerce platform and drives repeat customer transactions; if the revised experiences we are offering do not create the same guest affinity for our brand, it may adversely affect the value of our brand;</w:t>
            </w:r>
          </w:p>
        </w:tc>
      </w:tr>
      <w:tr>
        <w:trPr/>
        <w:tc>
          <w:tcPr>
            <w:tcW w:w="60" w:type="dxa"/>
            <w:tcBorders/>
            <w:shd w:fill="auto" w:val="clear"/>
            <w:vAlign w:val="center"/>
          </w:tcPr>
          <w:p>
            <w:pPr>
              <w:pStyle w:val="TableContents"/>
              <w:spacing w:before="0" w:after="283"/>
              <w:rPr/>
            </w:pPr>
            <w:r>
              <w:rPr/>
              <w:t> </w:t>
            </w:r>
          </w:p>
        </w:tc>
        <w:tc>
          <w:tcPr>
            <w:tcW w:w="170" w:type="dxa"/>
            <w:tcBorders/>
            <w:shd w:fill="FFFFFF" w:val="clear"/>
            <w:vAlign w:val="center"/>
          </w:tcPr>
          <w:p>
            <w:pPr>
              <w:pStyle w:val="TableContents"/>
              <w:spacing w:before="0" w:after="283"/>
              <w:jc w:val="left"/>
              <w:rPr/>
            </w:pPr>
            <w:r>
              <w:rPr/>
              <w:t>●</w:t>
            </w:r>
          </w:p>
        </w:tc>
        <w:tc>
          <w:tcPr>
            <w:tcW w:w="9975"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birthdays and other special occasions have historically been a key driver for store traffic, and our inability to host such events due to pandemic restrictions or if our guests are not willing to hold such events at our stores may adversely affect store performance and our overall profitability;</w:t>
            </w:r>
          </w:p>
        </w:tc>
      </w:tr>
      <w:tr>
        <w:trPr/>
        <w:tc>
          <w:tcPr>
            <w:tcW w:w="60" w:type="dxa"/>
            <w:tcBorders/>
            <w:shd w:fill="auto" w:val="clear"/>
            <w:vAlign w:val="center"/>
          </w:tcPr>
          <w:p>
            <w:pPr>
              <w:pStyle w:val="TableContents"/>
              <w:spacing w:before="0" w:after="283"/>
              <w:rPr/>
            </w:pPr>
            <w:r>
              <w:rPr/>
              <w:t> </w:t>
            </w:r>
          </w:p>
        </w:tc>
        <w:tc>
          <w:tcPr>
            <w:tcW w:w="170" w:type="dxa"/>
            <w:tcBorders/>
            <w:shd w:fill="FFFFFF" w:val="clear"/>
            <w:vAlign w:val="center"/>
          </w:tcPr>
          <w:p>
            <w:pPr>
              <w:pStyle w:val="TableContents"/>
              <w:spacing w:before="0" w:after="283"/>
              <w:jc w:val="left"/>
              <w:rPr/>
            </w:pPr>
            <w:r>
              <w:rPr/>
              <w:t>●</w:t>
            </w:r>
          </w:p>
        </w:tc>
        <w:tc>
          <w:tcPr>
            <w:tcW w:w="9975"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if we are unable to generate interest in and demand for our interactive retail experience and products, including being able to adjust that experience consistent with our guests' expectations as the general retail economy emerges from the restrictions imposed by the pandemic, and to otherwise identify and respond to consumer preferences in a timely manner, our sales, financial condition and profitability could be adversely affected;</w:t>
            </w:r>
          </w:p>
        </w:tc>
      </w:tr>
      <w:tr>
        <w:trPr/>
        <w:tc>
          <w:tcPr>
            <w:tcW w:w="60" w:type="dxa"/>
            <w:tcBorders/>
            <w:shd w:fill="auto" w:val="clear"/>
            <w:vAlign w:val="center"/>
          </w:tcPr>
          <w:p>
            <w:pPr>
              <w:pStyle w:val="TableContents"/>
              <w:spacing w:before="0" w:after="283"/>
              <w:rPr/>
            </w:pPr>
            <w:r>
              <w:rPr/>
              <w:t> </w:t>
            </w:r>
          </w:p>
        </w:tc>
        <w:tc>
          <w:tcPr>
            <w:tcW w:w="170" w:type="dxa"/>
            <w:tcBorders/>
            <w:shd w:fill="FFFFFF" w:val="clear"/>
            <w:vAlign w:val="center"/>
          </w:tcPr>
          <w:p>
            <w:pPr>
              <w:pStyle w:val="TableContents"/>
              <w:spacing w:before="0" w:after="283"/>
              <w:jc w:val="left"/>
              <w:rPr/>
            </w:pPr>
            <w:r>
              <w:rPr/>
              <w:t>●</w:t>
            </w:r>
          </w:p>
        </w:tc>
        <w:tc>
          <w:tcPr>
            <w:tcW w:w="9975"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some of our licensed products are based on feature films with planned theatrical launches; given that the pandemic has negatively impacted theaters and delayed movie releases, the portion of our business associated with these films has been and could continue to be negatively affected;</w:t>
            </w:r>
          </w:p>
        </w:tc>
      </w:tr>
      <w:tr>
        <w:trPr/>
        <w:tc>
          <w:tcPr>
            <w:tcW w:w="60" w:type="dxa"/>
            <w:tcBorders/>
            <w:shd w:fill="auto" w:val="clear"/>
            <w:vAlign w:val="center"/>
          </w:tcPr>
          <w:p>
            <w:pPr>
              <w:pStyle w:val="TableContents"/>
              <w:spacing w:before="0" w:after="283"/>
              <w:rPr/>
            </w:pPr>
            <w:r>
              <w:rPr/>
              <w:t> </w:t>
            </w:r>
          </w:p>
        </w:tc>
        <w:tc>
          <w:tcPr>
            <w:tcW w:w="170" w:type="dxa"/>
            <w:tcBorders/>
            <w:shd w:fill="FFFFFF" w:val="clear"/>
            <w:vAlign w:val="center"/>
          </w:tcPr>
          <w:p>
            <w:pPr>
              <w:pStyle w:val="TableContents"/>
              <w:spacing w:before="0" w:after="283"/>
              <w:jc w:val="left"/>
              <w:rPr/>
            </w:pPr>
            <w:r>
              <w:rPr/>
              <w:t>●</w:t>
            </w:r>
          </w:p>
        </w:tc>
        <w:tc>
          <w:tcPr>
            <w:tcW w:w="9975"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we may be unable to leverage the flexibility within our existing real estate portfolio to capitalize on future real estate opportunities over the near and intermediate term as our leases come up for renewal, and there may be other costs and risks related to a brick-and-mortar retail store model such as a lack of available retail store sites on terms acceptable to us as a result;</w:t>
            </w:r>
          </w:p>
        </w:tc>
      </w:tr>
      <w:tr>
        <w:trPr/>
        <w:tc>
          <w:tcPr>
            <w:tcW w:w="60" w:type="dxa"/>
            <w:tcBorders/>
            <w:shd w:fill="auto" w:val="clear"/>
            <w:vAlign w:val="center"/>
          </w:tcPr>
          <w:p>
            <w:pPr>
              <w:pStyle w:val="TableContents"/>
              <w:spacing w:before="0" w:after="283"/>
              <w:rPr/>
            </w:pPr>
            <w:r>
              <w:rPr/>
              <w:t> </w:t>
            </w:r>
          </w:p>
        </w:tc>
        <w:tc>
          <w:tcPr>
            <w:tcW w:w="170" w:type="dxa"/>
            <w:tcBorders/>
            <w:shd w:fill="FFFFFF" w:val="clear"/>
            <w:vAlign w:val="center"/>
          </w:tcPr>
          <w:p>
            <w:pPr>
              <w:pStyle w:val="TableContents"/>
              <w:spacing w:before="0" w:after="283"/>
              <w:jc w:val="left"/>
              <w:rPr/>
            </w:pPr>
            <w:r>
              <w:rPr/>
              <w:t>●</w:t>
            </w:r>
          </w:p>
        </w:tc>
        <w:tc>
          <w:tcPr>
            <w:tcW w:w="9975"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consumer interests change rapidly and our success depends on the ongoing effectiveness of our marketing and online initiatives to build consumer affinity for our brand and drive consumer demand for key products and services;</w:t>
            </w:r>
          </w:p>
        </w:tc>
      </w:tr>
      <w:tr>
        <w:trPr/>
        <w:tc>
          <w:tcPr>
            <w:tcW w:w="60" w:type="dxa"/>
            <w:tcBorders/>
            <w:shd w:fill="auto" w:val="clear"/>
            <w:vAlign w:val="center"/>
          </w:tcPr>
          <w:p>
            <w:pPr>
              <w:pStyle w:val="TableContents"/>
              <w:spacing w:before="0" w:after="283"/>
              <w:rPr/>
            </w:pPr>
            <w:r>
              <w:rPr/>
              <w:t> </w:t>
            </w:r>
          </w:p>
        </w:tc>
        <w:tc>
          <w:tcPr>
            <w:tcW w:w="170" w:type="dxa"/>
            <w:tcBorders/>
            <w:shd w:fill="FFFFFF" w:val="clear"/>
            <w:vAlign w:val="center"/>
          </w:tcPr>
          <w:p>
            <w:pPr>
              <w:pStyle w:val="TableContents"/>
              <w:spacing w:before="0" w:after="283"/>
              <w:jc w:val="left"/>
              <w:rPr/>
            </w:pPr>
            <w:r>
              <w:rPr/>
              <w:t>●</w:t>
            </w:r>
          </w:p>
        </w:tc>
        <w:tc>
          <w:tcPr>
            <w:tcW w:w="9975"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we are subject to a number of risks related to disruptions, failures or security breaches of our information technology infrastructure. If we improperly obtain or are unable to protect our data or violate privacy or security laws such as the GDPR or the General Data Protection Regulation, the CCPA or the California Privacy Rights Act (as adopted), or expectations, we could be subject to liability as well as damage to our reputation;</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17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tbl>
      <w:tblPr>
        <w:tblW w:w="10205" w:type="dxa"/>
        <w:jc w:val="left"/>
        <w:tblInd w:w="0" w:type="dxa"/>
        <w:tblCellMar>
          <w:top w:w="0" w:type="dxa"/>
          <w:left w:w="0" w:type="dxa"/>
          <w:bottom w:w="0" w:type="dxa"/>
          <w:right w:w="0" w:type="dxa"/>
        </w:tblCellMar>
      </w:tblPr>
      <w:tblGrid>
        <w:gridCol w:w="60"/>
        <w:gridCol w:w="299"/>
        <w:gridCol w:w="9846"/>
      </w:tblGrid>
      <w:tr>
        <w:trPr/>
        <w:tc>
          <w:tcPr>
            <w:tcW w:w="60" w:type="dxa"/>
            <w:tcBorders/>
            <w:shd w:fill="auto" w:val="clear"/>
            <w:vAlign w:val="center"/>
          </w:tcPr>
          <w:p>
            <w:pPr>
              <w:pStyle w:val="TableContents"/>
              <w:spacing w:before="0" w:after="283"/>
              <w:rPr/>
            </w:pPr>
            <w:r>
              <w:rPr/>
              <w:t> </w:t>
            </w:r>
          </w:p>
        </w:tc>
        <w:tc>
          <w:tcPr>
            <w:tcW w:w="299" w:type="dxa"/>
            <w:tcBorders/>
            <w:shd w:fill="FFFFFF" w:val="clear"/>
            <w:vAlign w:val="center"/>
          </w:tcPr>
          <w:p>
            <w:pPr>
              <w:pStyle w:val="TableContents"/>
              <w:spacing w:before="0" w:after="283"/>
              <w:jc w:val="left"/>
              <w:rPr/>
            </w:pPr>
            <w:r>
              <w:rPr/>
              <w:t>●</w:t>
            </w:r>
          </w:p>
        </w:tc>
        <w:tc>
          <w:tcPr>
            <w:tcW w:w="984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we may not be able to operate successfully if we lose key personnel, are unable to hire qualified additional personnel, or experience turnover of our management team;</w:t>
            </w:r>
          </w:p>
        </w:tc>
      </w:tr>
      <w:tr>
        <w:trPr/>
        <w:tc>
          <w:tcPr>
            <w:tcW w:w="60" w:type="dxa"/>
            <w:tcBorders/>
            <w:shd w:fill="auto" w:val="clear"/>
            <w:vAlign w:val="center"/>
          </w:tcPr>
          <w:p>
            <w:pPr>
              <w:pStyle w:val="TableContents"/>
              <w:spacing w:before="0" w:after="283"/>
              <w:rPr/>
            </w:pPr>
            <w:r>
              <w:rPr/>
              <w:t> </w:t>
            </w:r>
          </w:p>
        </w:tc>
        <w:tc>
          <w:tcPr>
            <w:tcW w:w="299" w:type="dxa"/>
            <w:tcBorders/>
            <w:shd w:fill="FFFFFF" w:val="clear"/>
            <w:vAlign w:val="center"/>
          </w:tcPr>
          <w:p>
            <w:pPr>
              <w:pStyle w:val="TableContents"/>
              <w:spacing w:before="0" w:after="283"/>
              <w:jc w:val="left"/>
              <w:rPr/>
            </w:pPr>
            <w:r>
              <w:rPr/>
              <w:t>●</w:t>
            </w:r>
          </w:p>
        </w:tc>
        <w:tc>
          <w:tcPr>
            <w:tcW w:w="984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we are subject to risks associated with technology and digital operations;</w:t>
            </w:r>
          </w:p>
        </w:tc>
      </w:tr>
      <w:tr>
        <w:trPr/>
        <w:tc>
          <w:tcPr>
            <w:tcW w:w="60" w:type="dxa"/>
            <w:tcBorders/>
            <w:shd w:fill="auto" w:val="clear"/>
            <w:vAlign w:val="center"/>
          </w:tcPr>
          <w:p>
            <w:pPr>
              <w:pStyle w:val="TableContents"/>
              <w:spacing w:before="0" w:after="283"/>
              <w:rPr/>
            </w:pPr>
            <w:r>
              <w:rPr/>
              <w:t> </w:t>
            </w:r>
          </w:p>
        </w:tc>
        <w:tc>
          <w:tcPr>
            <w:tcW w:w="299" w:type="dxa"/>
            <w:tcBorders/>
            <w:shd w:fill="FFFFFF" w:val="clear"/>
            <w:vAlign w:val="center"/>
          </w:tcPr>
          <w:p>
            <w:pPr>
              <w:pStyle w:val="TableContents"/>
              <w:spacing w:before="0" w:after="283"/>
              <w:jc w:val="left"/>
              <w:rPr/>
            </w:pPr>
            <w:r>
              <w:rPr/>
              <w:t>●</w:t>
            </w:r>
          </w:p>
        </w:tc>
        <w:tc>
          <w:tcPr>
            <w:tcW w:w="984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we may not be able to evolve our store locations over time to align with market trends, successfully diversify our store models and formats in accordance with our strategic goals or otherwise effectively manage our overall portfolio of stores which could adversely affect our ability to grow and could significantly harm our profitability;</w:t>
            </w:r>
          </w:p>
        </w:tc>
      </w:tr>
      <w:tr>
        <w:trPr/>
        <w:tc>
          <w:tcPr>
            <w:tcW w:w="60" w:type="dxa"/>
            <w:tcBorders/>
            <w:shd w:fill="auto" w:val="clear"/>
            <w:vAlign w:val="center"/>
          </w:tcPr>
          <w:p>
            <w:pPr>
              <w:pStyle w:val="TableContents"/>
              <w:spacing w:before="0" w:after="283"/>
              <w:rPr/>
            </w:pPr>
            <w:r>
              <w:rPr/>
              <w:t> </w:t>
            </w:r>
          </w:p>
        </w:tc>
        <w:tc>
          <w:tcPr>
            <w:tcW w:w="299" w:type="dxa"/>
            <w:tcBorders/>
            <w:shd w:fill="auto" w:val="clear"/>
            <w:vAlign w:val="center"/>
          </w:tcPr>
          <w:p>
            <w:pPr>
              <w:pStyle w:val="TableContents"/>
              <w:spacing w:before="0" w:after="283"/>
              <w:jc w:val="left"/>
              <w:rPr/>
            </w:pPr>
            <w:r>
              <w:rPr/>
              <w:t>●</w:t>
            </w:r>
          </w:p>
        </w:tc>
        <w:tc>
          <w:tcPr>
            <w:tcW w:w="984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our company-owned distribution center which services the majority of our stores in North America and our third-party distribution center providers used in the western United States and Europe may experience disruptions in their ability to support our stores or may operate inefficiently;</w:t>
            </w:r>
          </w:p>
        </w:tc>
      </w:tr>
      <w:tr>
        <w:trPr/>
        <w:tc>
          <w:tcPr>
            <w:tcW w:w="60" w:type="dxa"/>
            <w:tcBorders/>
            <w:shd w:fill="auto" w:val="clear"/>
            <w:vAlign w:val="center"/>
          </w:tcPr>
          <w:p>
            <w:pPr>
              <w:pStyle w:val="TableContents"/>
              <w:spacing w:before="0" w:after="283"/>
              <w:rPr/>
            </w:pPr>
            <w:r>
              <w:rPr/>
              <w:t> </w:t>
            </w:r>
          </w:p>
        </w:tc>
        <w:tc>
          <w:tcPr>
            <w:tcW w:w="299" w:type="dxa"/>
            <w:tcBorders/>
            <w:shd w:fill="auto" w:val="clear"/>
            <w:vAlign w:val="center"/>
          </w:tcPr>
          <w:p>
            <w:pPr>
              <w:pStyle w:val="TableContents"/>
              <w:spacing w:before="0" w:after="0"/>
              <w:ind w:left="0" w:right="0" w:hanging="0"/>
              <w:jc w:val="left"/>
              <w:rPr/>
            </w:pPr>
            <w:r>
              <w:rPr/>
              <w:t>●     </w:t>
            </w:r>
          </w:p>
        </w:tc>
        <w:tc>
          <w:tcPr>
            <w:tcW w:w="9846"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our merchandise is manufactured by foreign manufacturers and we transact business in various foreign countries, and the availability and costs of our products, as well as our product pricing, may be negatively affected by risks associated with international manufacturing and trade, tariffs and foreign currency fluctuations;</w:t>
            </w:r>
          </w:p>
        </w:tc>
      </w:tr>
      <w:tr>
        <w:trPr/>
        <w:tc>
          <w:tcPr>
            <w:tcW w:w="60" w:type="dxa"/>
            <w:tcBorders/>
            <w:shd w:fill="auto" w:val="clear"/>
            <w:vAlign w:val="center"/>
          </w:tcPr>
          <w:p>
            <w:pPr>
              <w:pStyle w:val="TableContents"/>
              <w:spacing w:before="0" w:after="283"/>
              <w:rPr/>
            </w:pPr>
            <w:r>
              <w:rPr/>
              <w:t> </w:t>
            </w:r>
          </w:p>
        </w:tc>
        <w:tc>
          <w:tcPr>
            <w:tcW w:w="299" w:type="dxa"/>
            <w:tcBorders/>
            <w:shd w:fill="auto" w:val="clear"/>
            <w:vAlign w:val="center"/>
          </w:tcPr>
          <w:p>
            <w:pPr>
              <w:pStyle w:val="TableContents"/>
              <w:spacing w:before="0" w:after="283"/>
              <w:jc w:val="left"/>
              <w:rPr/>
            </w:pPr>
            <w:r>
              <w:rPr/>
              <w:t>●</w:t>
            </w:r>
          </w:p>
        </w:tc>
        <w:tc>
          <w:tcPr>
            <w:tcW w:w="984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if we are unable to effectively manage our international franchises, attract new franchises or if the laws relating to our international franchises change, our growth and profitability could be adversely affected and we could be exposed to additional liability;</w:t>
            </w:r>
          </w:p>
        </w:tc>
      </w:tr>
      <w:tr>
        <w:trPr/>
        <w:tc>
          <w:tcPr>
            <w:tcW w:w="60" w:type="dxa"/>
            <w:tcBorders/>
            <w:shd w:fill="auto" w:val="clear"/>
            <w:vAlign w:val="center"/>
          </w:tcPr>
          <w:p>
            <w:pPr>
              <w:pStyle w:val="TableContents"/>
              <w:spacing w:before="0" w:after="283"/>
              <w:rPr/>
            </w:pPr>
            <w:r>
              <w:rPr/>
              <w:t> </w:t>
            </w:r>
          </w:p>
        </w:tc>
        <w:tc>
          <w:tcPr>
            <w:tcW w:w="299" w:type="dxa"/>
            <w:tcBorders/>
            <w:shd w:fill="auto" w:val="clear"/>
            <w:vAlign w:val="center"/>
          </w:tcPr>
          <w:p>
            <w:pPr>
              <w:pStyle w:val="TableContents"/>
              <w:spacing w:before="0" w:after="283"/>
              <w:jc w:val="left"/>
              <w:rPr/>
            </w:pPr>
            <w:r>
              <w:rPr/>
              <w:t>●</w:t>
            </w:r>
          </w:p>
        </w:tc>
        <w:tc>
          <w:tcPr>
            <w:tcW w:w="9846"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we may not be able to operate our international corporately-managed locations profitably;</w:t>
            </w:r>
          </w:p>
        </w:tc>
      </w:tr>
      <w:tr>
        <w:trPr/>
        <w:tc>
          <w:tcPr>
            <w:tcW w:w="60" w:type="dxa"/>
            <w:tcBorders/>
            <w:shd w:fill="auto" w:val="clear"/>
            <w:vAlign w:val="center"/>
          </w:tcPr>
          <w:p>
            <w:pPr>
              <w:pStyle w:val="TableContents"/>
              <w:spacing w:before="0" w:after="283"/>
              <w:rPr/>
            </w:pPr>
            <w:r>
              <w:rPr/>
              <w:t> </w:t>
            </w:r>
          </w:p>
        </w:tc>
        <w:tc>
          <w:tcPr>
            <w:tcW w:w="299" w:type="dxa"/>
            <w:tcBorders/>
            <w:shd w:fill="auto" w:val="clear"/>
            <w:vAlign w:val="center"/>
          </w:tcPr>
          <w:p>
            <w:pPr>
              <w:pStyle w:val="TableContents"/>
              <w:spacing w:before="0" w:after="283"/>
              <w:jc w:val="left"/>
              <w:rPr/>
            </w:pPr>
            <w:r>
              <w:rPr/>
              <w:t>●</w:t>
            </w:r>
          </w:p>
        </w:tc>
        <w:tc>
          <w:tcPr>
            <w:tcW w:w="984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we may fail to renew, register or otherwise protect our trademarks or other intellectual property and may be sued by third parties for infringement or, misappropriation of their proprietary rights, which could be costly, distract our management and personnel and which could result in the diminution in value of our trademarks and other important intellectual property;</w:t>
            </w:r>
          </w:p>
        </w:tc>
      </w:tr>
      <w:tr>
        <w:trPr/>
        <w:tc>
          <w:tcPr>
            <w:tcW w:w="60" w:type="dxa"/>
            <w:tcBorders/>
            <w:shd w:fill="auto" w:val="clear"/>
            <w:vAlign w:val="center"/>
          </w:tcPr>
          <w:p>
            <w:pPr>
              <w:pStyle w:val="TableContents"/>
              <w:spacing w:before="0" w:after="283"/>
              <w:rPr/>
            </w:pPr>
            <w:r>
              <w:rPr/>
              <w:t> </w:t>
            </w:r>
          </w:p>
        </w:tc>
        <w:tc>
          <w:tcPr>
            <w:tcW w:w="299" w:type="dxa"/>
            <w:tcBorders/>
            <w:shd w:fill="auto" w:val="clear"/>
            <w:vAlign w:val="center"/>
          </w:tcPr>
          <w:p>
            <w:pPr>
              <w:pStyle w:val="TableContents"/>
              <w:spacing w:before="0" w:after="283"/>
              <w:jc w:val="left"/>
              <w:rPr/>
            </w:pPr>
            <w:r>
              <w:rPr/>
              <w:t>●</w:t>
            </w:r>
          </w:p>
        </w:tc>
        <w:tc>
          <w:tcPr>
            <w:tcW w:w="984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we may suffer negative publicity or be sued if the manufacturers of our merchandise or of Build-A-Bear branded merchandise sold by our licensees ship any products that do not meet current safety standards or production requirements or if such products are recalled or cause injuries;</w:t>
            </w:r>
          </w:p>
        </w:tc>
      </w:tr>
      <w:tr>
        <w:trPr/>
        <w:tc>
          <w:tcPr>
            <w:tcW w:w="60" w:type="dxa"/>
            <w:tcBorders/>
            <w:shd w:fill="auto" w:val="clear"/>
            <w:vAlign w:val="center"/>
          </w:tcPr>
          <w:p>
            <w:pPr>
              <w:pStyle w:val="TableContents"/>
              <w:spacing w:before="0" w:after="283"/>
              <w:rPr/>
            </w:pPr>
            <w:r>
              <w:rPr/>
              <w:t> </w:t>
            </w:r>
          </w:p>
        </w:tc>
        <w:tc>
          <w:tcPr>
            <w:tcW w:w="299" w:type="dxa"/>
            <w:tcBorders/>
            <w:shd w:fill="auto" w:val="clear"/>
            <w:vAlign w:val="center"/>
          </w:tcPr>
          <w:p>
            <w:pPr>
              <w:pStyle w:val="TableContents"/>
              <w:spacing w:before="0" w:after="283"/>
              <w:jc w:val="left"/>
              <w:rPr/>
            </w:pPr>
            <w:r>
              <w:rPr/>
              <w:t>●</w:t>
            </w:r>
          </w:p>
        </w:tc>
        <w:tc>
          <w:tcPr>
            <w:tcW w:w="984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we may suffer negative publicity or be sued if the manufacturers of our merchandise violate labor laws or engage in practices that consumers believe are unethical;</w:t>
            </w:r>
          </w:p>
        </w:tc>
      </w:tr>
      <w:tr>
        <w:trPr/>
        <w:tc>
          <w:tcPr>
            <w:tcW w:w="60" w:type="dxa"/>
            <w:tcBorders/>
            <w:shd w:fill="auto" w:val="clear"/>
            <w:vAlign w:val="center"/>
          </w:tcPr>
          <w:p>
            <w:pPr>
              <w:pStyle w:val="TableContents"/>
              <w:spacing w:before="0" w:after="283"/>
              <w:rPr/>
            </w:pPr>
            <w:r>
              <w:rPr/>
              <w:t> </w:t>
            </w:r>
          </w:p>
        </w:tc>
        <w:tc>
          <w:tcPr>
            <w:tcW w:w="299" w:type="dxa"/>
            <w:tcBorders/>
            <w:shd w:fill="auto" w:val="clear"/>
            <w:vAlign w:val="center"/>
          </w:tcPr>
          <w:p>
            <w:pPr>
              <w:pStyle w:val="TableContents"/>
              <w:spacing w:before="0" w:after="283"/>
              <w:jc w:val="left"/>
              <w:rPr/>
            </w:pPr>
            <w:r>
              <w:rPr/>
              <w:t>●</w:t>
            </w:r>
          </w:p>
        </w:tc>
        <w:tc>
          <w:tcPr>
            <w:tcW w:w="984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our profitability could be adversely affected by fluctuations in petroleum products prices;</w:t>
            </w:r>
          </w:p>
        </w:tc>
      </w:tr>
      <w:tr>
        <w:trPr/>
        <w:tc>
          <w:tcPr>
            <w:tcW w:w="60" w:type="dxa"/>
            <w:tcBorders/>
            <w:shd w:fill="auto" w:val="clear"/>
            <w:vAlign w:val="center"/>
          </w:tcPr>
          <w:p>
            <w:pPr>
              <w:pStyle w:val="TableContents"/>
              <w:spacing w:before="0" w:after="283"/>
              <w:rPr/>
            </w:pPr>
            <w:r>
              <w:rPr/>
              <w:t> </w:t>
            </w:r>
          </w:p>
        </w:tc>
        <w:tc>
          <w:tcPr>
            <w:tcW w:w="299" w:type="dxa"/>
            <w:tcBorders/>
            <w:shd w:fill="auto" w:val="clear"/>
            <w:vAlign w:val="center"/>
          </w:tcPr>
          <w:p>
            <w:pPr>
              <w:pStyle w:val="TableContents"/>
              <w:spacing w:before="0" w:after="283"/>
              <w:jc w:val="left"/>
              <w:rPr/>
            </w:pPr>
            <w:r>
              <w:rPr/>
              <w:t>●</w:t>
            </w:r>
          </w:p>
        </w:tc>
        <w:tc>
          <w:tcPr>
            <w:tcW w:w="9846"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our business may be adversely impacted at any time by a significant variety of competitive threats;</w:t>
            </w:r>
          </w:p>
        </w:tc>
      </w:tr>
      <w:tr>
        <w:trPr/>
        <w:tc>
          <w:tcPr>
            <w:tcW w:w="60" w:type="dxa"/>
            <w:tcBorders/>
            <w:shd w:fill="auto" w:val="clear"/>
            <w:vAlign w:val="center"/>
          </w:tcPr>
          <w:p>
            <w:pPr>
              <w:pStyle w:val="TableContents"/>
              <w:spacing w:before="0" w:after="283"/>
              <w:rPr/>
            </w:pPr>
            <w:r>
              <w:rPr/>
              <w:t> </w:t>
            </w:r>
          </w:p>
        </w:tc>
        <w:tc>
          <w:tcPr>
            <w:tcW w:w="299" w:type="dxa"/>
            <w:tcBorders/>
            <w:shd w:fill="auto" w:val="clear"/>
            <w:vAlign w:val="center"/>
          </w:tcPr>
          <w:p>
            <w:pPr>
              <w:pStyle w:val="TableContents"/>
              <w:spacing w:before="0" w:after="283"/>
              <w:jc w:val="left"/>
              <w:rPr/>
            </w:pPr>
            <w:r>
              <w:rPr/>
              <w:t>●</w:t>
            </w:r>
          </w:p>
        </w:tc>
        <w:tc>
          <w:tcPr>
            <w:tcW w:w="9846"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we may suffer negative publicity or a decrease in sales or profitability if the products from other companies that we sell in our stores do not meet our quality standards or fail to achieve our sales expectations;</w:t>
            </w:r>
          </w:p>
        </w:tc>
      </w:tr>
      <w:tr>
        <w:trPr/>
        <w:tc>
          <w:tcPr>
            <w:tcW w:w="60" w:type="dxa"/>
            <w:tcBorders/>
            <w:shd w:fill="auto" w:val="clear"/>
            <w:vAlign w:val="center"/>
          </w:tcPr>
          <w:p>
            <w:pPr>
              <w:pStyle w:val="TableContents"/>
              <w:spacing w:before="0" w:after="283"/>
              <w:rPr/>
            </w:pPr>
            <w:r>
              <w:rPr/>
              <w:t> </w:t>
            </w:r>
          </w:p>
        </w:tc>
        <w:tc>
          <w:tcPr>
            <w:tcW w:w="299" w:type="dxa"/>
            <w:tcBorders/>
            <w:shd w:fill="auto" w:val="clear"/>
            <w:vAlign w:val="center"/>
          </w:tcPr>
          <w:p>
            <w:pPr>
              <w:pStyle w:val="TableContents"/>
              <w:spacing w:before="0" w:after="283"/>
              <w:jc w:val="left"/>
              <w:rPr/>
            </w:pPr>
            <w:r>
              <w:rPr/>
              <w:t>●</w:t>
            </w:r>
          </w:p>
        </w:tc>
        <w:tc>
          <w:tcPr>
            <w:tcW w:w="9846"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we may be unsuccessful in engaging in various strategic transactions, which may negatively affect our financial condition and profitability;</w:t>
            </w:r>
          </w:p>
        </w:tc>
      </w:tr>
      <w:tr>
        <w:trPr/>
        <w:tc>
          <w:tcPr>
            <w:tcW w:w="60" w:type="dxa"/>
            <w:tcBorders/>
            <w:shd w:fill="auto" w:val="clear"/>
            <w:vAlign w:val="center"/>
          </w:tcPr>
          <w:p>
            <w:pPr>
              <w:pStyle w:val="TableContents"/>
              <w:spacing w:before="0" w:after="283"/>
              <w:rPr/>
            </w:pPr>
            <w:r>
              <w:rPr/>
              <w:t> </w:t>
            </w:r>
          </w:p>
        </w:tc>
        <w:tc>
          <w:tcPr>
            <w:tcW w:w="299" w:type="dxa"/>
            <w:tcBorders/>
            <w:shd w:fill="auto" w:val="clear"/>
            <w:vAlign w:val="center"/>
          </w:tcPr>
          <w:p>
            <w:pPr>
              <w:pStyle w:val="TableContents"/>
              <w:spacing w:before="0" w:after="283"/>
              <w:jc w:val="left"/>
              <w:rPr/>
            </w:pPr>
            <w:r>
              <w:rPr/>
              <w:t>●</w:t>
            </w:r>
          </w:p>
        </w:tc>
        <w:tc>
          <w:tcPr>
            <w:tcW w:w="9846"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fluctuations in our quarterly results of operations could cause the price of our common stock to substantially decline;</w:t>
            </w:r>
          </w:p>
        </w:tc>
      </w:tr>
      <w:tr>
        <w:trPr/>
        <w:tc>
          <w:tcPr>
            <w:tcW w:w="60" w:type="dxa"/>
            <w:tcBorders/>
            <w:shd w:fill="auto" w:val="clear"/>
            <w:vAlign w:val="center"/>
          </w:tcPr>
          <w:p>
            <w:pPr>
              <w:pStyle w:val="TableContents"/>
              <w:spacing w:before="0" w:after="283"/>
              <w:rPr/>
            </w:pPr>
            <w:r>
              <w:rPr/>
              <w:t> </w:t>
            </w:r>
          </w:p>
        </w:tc>
        <w:tc>
          <w:tcPr>
            <w:tcW w:w="299" w:type="dxa"/>
            <w:tcBorders/>
            <w:shd w:fill="auto" w:val="clear"/>
            <w:vAlign w:val="center"/>
          </w:tcPr>
          <w:p>
            <w:pPr>
              <w:pStyle w:val="TableContents"/>
              <w:spacing w:before="0" w:after="283"/>
              <w:jc w:val="left"/>
              <w:rPr/>
            </w:pPr>
            <w:r>
              <w:rPr/>
              <w:t>●</w:t>
            </w:r>
          </w:p>
        </w:tc>
        <w:tc>
          <w:tcPr>
            <w:tcW w:w="9846"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the market price of our common stock is subject to volatility, which could in turn attract the interest of activist shareholders; and</w:t>
            </w:r>
          </w:p>
        </w:tc>
      </w:tr>
      <w:tr>
        <w:trPr/>
        <w:tc>
          <w:tcPr>
            <w:tcW w:w="60" w:type="dxa"/>
            <w:tcBorders/>
            <w:shd w:fill="auto" w:val="clear"/>
            <w:vAlign w:val="center"/>
          </w:tcPr>
          <w:p>
            <w:pPr>
              <w:pStyle w:val="TableContents"/>
              <w:spacing w:before="0" w:after="283"/>
              <w:rPr/>
            </w:pPr>
            <w:r>
              <w:rPr/>
              <w:t> </w:t>
            </w:r>
          </w:p>
        </w:tc>
        <w:tc>
          <w:tcPr>
            <w:tcW w:w="299" w:type="dxa"/>
            <w:tcBorders/>
            <w:shd w:fill="auto" w:val="clear"/>
            <w:vAlign w:val="center"/>
          </w:tcPr>
          <w:p>
            <w:pPr>
              <w:pStyle w:val="TableContents"/>
              <w:spacing w:before="0" w:after="283"/>
              <w:jc w:val="left"/>
              <w:rPr/>
            </w:pPr>
            <w:r>
              <w:rPr/>
              <w:t>●</w:t>
            </w:r>
          </w:p>
        </w:tc>
        <w:tc>
          <w:tcPr>
            <w:tcW w:w="9846"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our certificate of incorporation and bylaws and Delaware law contain provisions that may prevent or frustrate attempts to replace or remove our current management by our stockholders, even if such replacement or removal may be in our stockholders’ best interests.</w:t>
            </w:r>
          </w:p>
        </w:tc>
      </w:tr>
    </w:tbl>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spacing w:before="0" w:after="0"/>
        <w:ind w:left="144" w:right="144" w:hanging="0"/>
        <w:jc w:val="left"/>
        <w:rPr/>
      </w:pPr>
      <w:r>
        <w:rPr/>
        <w:t> </w:t>
      </w:r>
    </w:p>
    <w:p>
      <w:pPr>
        <w:pStyle w:val="TextBody"/>
        <w:spacing w:before="0" w:after="0"/>
        <w:ind w:left="0" w:right="0" w:firstLine="720"/>
        <w:jc w:val="left"/>
        <w:rPr>
          <w:rFonts w:ascii="Times New Roman;Times;serif" w:hAnsi="Times New Roman;Times;serif"/>
          <w:sz w:val="20"/>
        </w:rPr>
      </w:pPr>
      <w:r>
        <w:rPr>
          <w:rFonts w:ascii="Times New Roman;Times;serif" w:hAnsi="Times New Roman;Times;serif"/>
          <w:sz w:val="20"/>
        </w:rPr>
        <w:t>We are the only global company that offers an interactive “make your own stuffed animal” retail entertainment experience under the Build-A-Bear Workshop brand, in which guests participate in the stuffing, dressing, accessorizing and naming of their own teddy bears and other stuffed animals. As of July 31, 2021, we had 352 corporately-managed stores globally and had 74 internationally franchised stores under the Build-A-Bear Workshop brand. In addition to these stores, we sell products on our company-owned e-commerce sites, our franchisees sell products through sites that they manage and other third parties sell products on their sites under wholesale agreements.</w:t>
      </w:r>
    </w:p>
    <w:p>
      <w:pPr>
        <w:pStyle w:val="TextBody"/>
        <w:spacing w:before="0" w:after="0"/>
        <w:ind w:left="0" w:right="0" w:firstLine="720"/>
        <w:jc w:val="left"/>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18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firstLine="720"/>
        <w:jc w:val="left"/>
        <w:rPr>
          <w:rFonts w:ascii="Times New Roman;Times;serif" w:hAnsi="Times New Roman;Times;serif"/>
          <w:sz w:val="20"/>
        </w:rPr>
      </w:pPr>
      <w:r>
        <w:rPr>
          <w:rFonts w:ascii="Times New Roman;Times;serif" w:hAnsi="Times New Roman;Times;serif"/>
          <w:sz w:val="20"/>
        </w:rPr>
        <w:t>We operate in three segments that share the same infrastructure, including management, systems, merchandising and marketing, and generate revenues as follows:</w:t>
      </w:r>
    </w:p>
    <w:p>
      <w:pPr>
        <w:pStyle w:val="TextBody"/>
        <w:spacing w:before="0" w:after="0"/>
        <w:ind w:left="144" w:right="144" w:hanging="0"/>
        <w:jc w:val="left"/>
        <w:rPr/>
      </w:pPr>
      <w:r>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jc w:val="left"/>
              <w:rPr/>
            </w:pPr>
            <w:r>
              <w:rPr/>
              <w:t>•</w:t>
            </w:r>
          </w:p>
        </w:tc>
        <w:tc>
          <w:tcPr>
            <w:tcW w:w="10035"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Direct-to-Consumer (“DTC”) – Corporately-managed retail stores located in the U.S., Canada, the U.K., and Ireland and two e-commerce sites;</w:t>
            </w:r>
          </w:p>
        </w:tc>
      </w:tr>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w:t>
            </w:r>
          </w:p>
        </w:tc>
        <w:tc>
          <w:tcPr>
            <w:tcW w:w="10035"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Commercial – Transactions with other businesses, mainly comprised of wholesale product sales to third-party retailers and licensing our intellectual property, including entertainment properties, for third-party use; and</w:t>
            </w:r>
          </w:p>
        </w:tc>
      </w:tr>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w:t>
            </w:r>
          </w:p>
        </w:tc>
        <w:tc>
          <w:tcPr>
            <w:tcW w:w="10035"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International franchising – Royalties as well as development fees and the sales from products and fixtures from other international operations under franchise agreements.</w:t>
            </w:r>
          </w:p>
        </w:tc>
      </w:tr>
    </w:tbl>
    <w:p>
      <w:pPr>
        <w:pStyle w:val="TextBody"/>
        <w:spacing w:before="0" w:after="0"/>
        <w:ind w:left="144" w:right="144" w:firstLine="720"/>
        <w:jc w:val="left"/>
        <w:rPr/>
      </w:pPr>
      <w:r>
        <w:rPr/>
        <w:t> </w:t>
      </w:r>
    </w:p>
    <w:p>
      <w:pPr>
        <w:pStyle w:val="TextBody"/>
        <w:spacing w:before="0" w:after="0"/>
        <w:ind w:left="0" w:right="0" w:firstLine="720"/>
        <w:jc w:val="left"/>
        <w:rPr>
          <w:rFonts w:ascii="Times New Roman;Times;serif" w:hAnsi="Times New Roman;Times;serif"/>
          <w:sz w:val="20"/>
        </w:rPr>
      </w:pPr>
      <w:r>
        <w:rPr>
          <w:rFonts w:ascii="Times New Roman;Times;serif" w:hAnsi="Times New Roman;Times;serif"/>
          <w:sz w:val="20"/>
        </w:rPr>
        <w:t>Selected financial data attributable to each segment for the thirteen and twenty-six weeks ended July 31, 2021 and August 1, 2020 are set forth in the notes to our condensed consolidated financial statements included elsewhere in this Quarterly Report on Form 10-Q.</w:t>
      </w:r>
    </w:p>
    <w:p>
      <w:pPr>
        <w:pStyle w:val="TextBody"/>
        <w:spacing w:before="0" w:after="0"/>
        <w:ind w:left="144" w:right="144" w:hanging="0"/>
        <w:jc w:val="left"/>
        <w:rPr/>
      </w:pPr>
      <w:r>
        <w:rPr/>
        <w:t> </w:t>
      </w:r>
    </w:p>
    <w:p>
      <w:pPr>
        <w:pStyle w:val="TextBody"/>
        <w:spacing w:before="0" w:after="0"/>
        <w:ind w:left="144" w:right="144" w:hanging="180"/>
        <w:jc w:val="left"/>
        <w:rPr>
          <w:rFonts w:ascii="Times New Roman;Times;serif" w:hAnsi="Times New Roman;Times;serif"/>
          <w:b/>
          <w:sz w:val="20"/>
        </w:rPr>
      </w:pPr>
      <w:r>
        <w:rPr>
          <w:rFonts w:ascii="Times New Roman;Times;serif" w:hAnsi="Times New Roman;Times;serif"/>
          <w:b/>
          <w:sz w:val="20"/>
        </w:rPr>
        <w:t>COVID-19 and Business Update</w:t>
      </w:r>
    </w:p>
    <w:p>
      <w:pPr>
        <w:pStyle w:val="TextBody"/>
        <w:ind w:left="0" w:right="0" w:firstLine="720"/>
        <w:rPr/>
      </w:pPr>
      <w:r>
        <w:rPr/>
        <w:t> </w:t>
      </w:r>
    </w:p>
    <w:p>
      <w:pPr>
        <w:pStyle w:val="TextBody"/>
        <w:ind w:left="0" w:right="0" w:firstLine="720"/>
        <w:rPr>
          <w:rFonts w:ascii="Times New Roman;Times;serif" w:hAnsi="Times New Roman;Times;serif"/>
          <w:sz w:val="20"/>
        </w:rPr>
      </w:pPr>
      <w:r>
        <w:rPr>
          <w:rFonts w:ascii="Times New Roman;Times;serif" w:hAnsi="Times New Roman;Times;serif"/>
          <w:sz w:val="20"/>
        </w:rPr>
        <w:t>At the beginning of fiscal 2021, our United States store portfolio was open and operating while our stores in the United Kingdom and Canada remained temporarily closed. In April 2021, stores in the United Kingdom reopened as the government lifted lockdown restrictions resulting in almost all of our stores operating as the end of the 2021 first fiscal quarter with the remaining stores in the United Kingdom and Ireland opening in the second fiscal quarter and ending the quarter with all stores open. The majority of our Canadian stores remained temporarily closed to begin the second quarter with the majority reopening in June 2021 and with all stores ending the second fiscal quarter open. Our year-over-year results discussed below are, and we expect for the remainder of 2021 will be, impacted by prior year store closures and operating hour reductions as a result of the pandemic.</w:t>
      </w:r>
    </w:p>
    <w:p>
      <w:pPr>
        <w:pStyle w:val="TextBody"/>
        <w:ind w:left="0" w:right="0" w:firstLine="720"/>
        <w:rPr/>
      </w:pPr>
      <w:r>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While we expect to see continued evolution of consumer shopping patterns and preferences in the balance of the year, we believe we have built the infrastructure to respond with greater agility to deal with potential uncertainty and we expect to deliver growth in total revenues and profit in fiscal 2021 compared tofiscal 2020 and fiscal 2019. While we believe that we have seen benefit from pandemic-driven factors such as pent-up demand and stimulus packages, we believe that the initiatives and investments that were put in place prior to the pandemic, and in many cases accelerated during the pandemic, are driving improved results, which we expect to continue. We remain focused on our strategic priorities for the year which are centered primarily on three key areas: </w:t>
      </w:r>
    </w:p>
    <w:p>
      <w:pPr>
        <w:pStyle w:val="TextBody"/>
        <w:spacing w:before="0" w:after="0"/>
        <w:ind w:left="0" w:right="0" w:firstLine="72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ind w:left="0" w:right="0" w:hanging="0"/>
              <w:jc w:val="left"/>
              <w:rPr>
                <w:highlight w:val="white"/>
              </w:rPr>
            </w:pPr>
            <w:r>
              <w:rPr>
                <w:highlight w:val="white"/>
              </w:rPr>
              <w:t>•</w:t>
            </w:r>
          </w:p>
        </w:tc>
        <w:tc>
          <w:tcPr>
            <w:tcW w:w="1003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highlight w:val="white"/>
                <w:u w:val="single"/>
              </w:rPr>
              <w:t>Further acceleration of our digital transformation including content and entertainment initiatives.</w:t>
            </w:r>
            <w:r>
              <w:rPr>
                <w:rFonts w:ascii="Times New Roman;Times;serif" w:hAnsi="Times New Roman;Times;serif"/>
                <w:sz w:val="20"/>
                <w:highlight w:val="white"/>
              </w:rPr>
              <w:t xml:space="preserve"> We are intent on building our business with more effective use of technology and improved and enhanced fulfillment capabilities while leveraging our expanded digital platforms to inform and drive marketing and content efforts. We believe that our multi-year sustained strong trend in e-commerce demand trajectory that we have achieved, demonstrates the progress we continue to make in this area. </w:t>
            </w:r>
          </w:p>
          <w:p>
            <w:pPr>
              <w:pStyle w:val="TableContents"/>
              <w:spacing w:before="0" w:after="0"/>
              <w:ind w:left="0" w:right="0" w:hanging="0"/>
              <w:rPr/>
            </w:pPr>
            <w:r>
              <w:rPr/>
              <w:t> </w:t>
            </w:r>
          </w:p>
        </w:tc>
      </w:tr>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w:t>
            </w:r>
          </w:p>
        </w:tc>
        <w:tc>
          <w:tcPr>
            <w:tcW w:w="10035"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highlight w:val="white"/>
                <w:u w:val="single"/>
              </w:rPr>
              <w:t>Rapidly evolving our retail capabilities and experiences, including omnichannel, and significantly expanded e-commerce capacity.</w:t>
            </w:r>
            <w:r>
              <w:rPr>
                <w:rFonts w:ascii="Times New Roman;Times;serif" w:hAnsi="Times New Roman;Times;serif"/>
                <w:sz w:val="20"/>
                <w:highlight w:val="white"/>
              </w:rPr>
              <w:t> Our stores in North America and in the United Kingdom were predominantly open throughout the 2021 second quarter. While traffic continued to trail historical levels, we drove higher transaction values across all geographies compared to 2019. Our results included strong sales growth in many of our tourist locations which have been a strategic priority in the evolution of our real estate portfolio. In addition, we continue to leverage the strong strategic optionality that we have maintained across our real estate portfolio with a substantial portion of our leases having a natural event in the next 3 years giving us great flexibility to optimize our corporately-managed locations. Our goal is to maintain a strong store base that contributes to our overarching strategic objectives including supporting our expanded omnichannel capabilities. We also have seen some stability return to our third-party retail model which includes workshops at Great Wolf Lodge, Beaches Family Resorts and Carnival Cruise Lines, which recently began a staggered return to operations. The third-party retail model allows us to expand in a cost efficient manner with each partner typically funding the capital investment to open their locations while also managing the operation of the store, inventory and staffing.  </w:t>
            </w:r>
          </w:p>
          <w:p>
            <w:pPr>
              <w:pStyle w:val="TableContents"/>
              <w:spacing w:before="0" w:after="0"/>
              <w:ind w:left="0" w:right="0" w:hanging="0"/>
              <w:jc w:val="left"/>
              <w:rPr/>
            </w:pPr>
            <w:r>
              <w:rPr/>
              <w:t> </w:t>
            </w:r>
          </w:p>
        </w:tc>
      </w:tr>
      <w:tr>
        <w:trPr/>
        <w:tc>
          <w:tcPr>
            <w:tcW w:w="6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w:t>
            </w:r>
          </w:p>
        </w:tc>
        <w:tc>
          <w:tcPr>
            <w:tcW w:w="10035"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highlight w:val="white"/>
                <w:u w:val="single"/>
              </w:rPr>
              <w:t>Maintaining a solid financial position including a strong balance sheet to support our business and make strategic investments designed to drive further growth.</w:t>
            </w:r>
            <w:r>
              <w:rPr>
                <w:rFonts w:ascii="Times New Roman;Times;serif" w:hAnsi="Times New Roman;Times;serif"/>
                <w:sz w:val="20"/>
                <w:highlight w:val="white"/>
              </w:rPr>
              <w:t> </w:t>
            </w:r>
          </w:p>
        </w:tc>
      </w:tr>
    </w:tbl>
    <w:p>
      <w:pPr>
        <w:pStyle w:val="TextBody"/>
        <w:ind w:left="0" w:right="0" w:hanging="0"/>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19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b/>
          <w:i/>
          <w:sz w:val="20"/>
        </w:rPr>
      </w:pPr>
      <w:r>
        <w:rPr>
          <w:rFonts w:ascii="Times New Roman;Times;serif" w:hAnsi="Times New Roman;Times;serif"/>
          <w:b/>
          <w:i/>
          <w:sz w:val="20"/>
        </w:rPr>
        <w:t xml:space="preserve">Retail Stores: </w:t>
      </w:r>
    </w:p>
    <w:p>
      <w:pPr>
        <w:pStyle w:val="TextBody"/>
        <w:spacing w:before="0" w:after="0"/>
        <w:ind w:left="144" w:right="144" w:hanging="0"/>
        <w:jc w:val="left"/>
        <w:rPr/>
      </w:pPr>
      <w:r>
        <w:rPr/>
        <w:t> </w:t>
      </w:r>
    </w:p>
    <w:p>
      <w:pPr>
        <w:pStyle w:val="TextBody"/>
        <w:spacing w:before="0" w:after="0"/>
        <w:ind w:left="0" w:right="0" w:firstLine="720"/>
        <w:jc w:val="left"/>
        <w:rPr>
          <w:rFonts w:ascii="Times New Roman;Times;serif" w:hAnsi="Times New Roman;Times;serif"/>
          <w:sz w:val="20"/>
        </w:rPr>
      </w:pPr>
      <w:r>
        <w:rPr>
          <w:rFonts w:ascii="Times New Roman;Times;serif" w:hAnsi="Times New Roman;Times;serif"/>
          <w:sz w:val="20"/>
        </w:rPr>
        <w:t>The table below sets forth the number of Build-A-Bear Workshop corporately-managed stores in North America, Europe and Asia for the periods presented:</w:t>
      </w:r>
    </w:p>
    <w:p>
      <w:pPr>
        <w:pStyle w:val="TextBody"/>
        <w:spacing w:before="0" w:after="0"/>
        <w:ind w:left="144" w:right="144" w:hanging="0"/>
        <w:jc w:val="left"/>
        <w:rPr/>
      </w:pPr>
      <w:r>
        <w:rPr/>
        <w:t> </w:t>
      </w:r>
    </w:p>
    <w:tbl>
      <w:tblPr>
        <w:tblW w:w="8578" w:type="dxa"/>
        <w:jc w:val="left"/>
        <w:tblInd w:w="0" w:type="dxa"/>
        <w:tblCellMar>
          <w:top w:w="0" w:type="dxa"/>
          <w:left w:w="0" w:type="dxa"/>
          <w:bottom w:w="0" w:type="dxa"/>
          <w:right w:w="0" w:type="dxa"/>
        </w:tblCellMar>
      </w:tblPr>
      <w:tblGrid>
        <w:gridCol w:w="1670"/>
        <w:gridCol w:w="60"/>
        <w:gridCol w:w="195"/>
        <w:gridCol w:w="1099"/>
        <w:gridCol w:w="80"/>
        <w:gridCol w:w="60"/>
        <w:gridCol w:w="134"/>
        <w:gridCol w:w="516"/>
        <w:gridCol w:w="80"/>
        <w:gridCol w:w="60"/>
        <w:gridCol w:w="96"/>
        <w:gridCol w:w="299"/>
        <w:gridCol w:w="80"/>
        <w:gridCol w:w="60"/>
        <w:gridCol w:w="73"/>
        <w:gridCol w:w="412"/>
        <w:gridCol w:w="80"/>
        <w:gridCol w:w="60"/>
        <w:gridCol w:w="195"/>
        <w:gridCol w:w="1099"/>
        <w:gridCol w:w="80"/>
        <w:gridCol w:w="60"/>
        <w:gridCol w:w="134"/>
        <w:gridCol w:w="516"/>
        <w:gridCol w:w="80"/>
        <w:gridCol w:w="60"/>
        <w:gridCol w:w="128"/>
        <w:gridCol w:w="267"/>
        <w:gridCol w:w="60"/>
        <w:gridCol w:w="60"/>
        <w:gridCol w:w="73"/>
        <w:gridCol w:w="412"/>
        <w:gridCol w:w="240"/>
      </w:tblGrid>
      <w:tr>
        <w:trPr/>
        <w:tc>
          <w:tcPr>
            <w:tcW w:w="167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6608" w:type="dxa"/>
            <w:gridSpan w:val="30"/>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Twenty-six weeks ended</w:t>
            </w:r>
          </w:p>
        </w:tc>
        <w:tc>
          <w:tcPr>
            <w:tcW w:w="240" w:type="dxa"/>
            <w:tcBorders/>
            <w:shd w:fill="FFFFFF" w:val="clear"/>
            <w:vAlign w:val="center"/>
          </w:tcPr>
          <w:p>
            <w:pPr>
              <w:pStyle w:val="TableContents"/>
              <w:spacing w:before="0" w:after="283"/>
              <w:rPr/>
            </w:pPr>
            <w:r>
              <w:rPr/>
              <w:t> </w:t>
            </w:r>
          </w:p>
        </w:tc>
      </w:tr>
      <w:tr>
        <w:trPr/>
        <w:tc>
          <w:tcPr>
            <w:tcW w:w="167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3244" w:type="dxa"/>
            <w:gridSpan w:val="14"/>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July 31, 2021</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3224" w:type="dxa"/>
            <w:gridSpan w:val="14"/>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August 1, 2020</w:t>
            </w:r>
          </w:p>
        </w:tc>
        <w:tc>
          <w:tcPr>
            <w:tcW w:w="240" w:type="dxa"/>
            <w:tcBorders/>
            <w:shd w:fill="FFFFFF" w:val="clear"/>
            <w:vAlign w:val="center"/>
          </w:tcPr>
          <w:p>
            <w:pPr>
              <w:pStyle w:val="TableContents"/>
              <w:spacing w:before="0" w:after="283"/>
              <w:rPr/>
            </w:pPr>
            <w:r>
              <w:rPr/>
              <w:t> </w:t>
            </w:r>
          </w:p>
        </w:tc>
      </w:tr>
      <w:tr>
        <w:trPr/>
        <w:tc>
          <w:tcPr>
            <w:tcW w:w="167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9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North America</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65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Europe</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39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Asia</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48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94"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North America</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650"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Europe</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39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Asia</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485"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c>
          <w:tcPr>
            <w:tcW w:w="240" w:type="dxa"/>
            <w:tcBorders/>
            <w:shd w:fill="FFFFFF" w:val="clear"/>
            <w:vAlign w:val="center"/>
          </w:tcPr>
          <w:p>
            <w:pPr>
              <w:pStyle w:val="TableContents"/>
              <w:spacing w:before="0" w:after="283"/>
              <w:rPr/>
            </w:pPr>
            <w:r>
              <w:rPr/>
              <w:t> </w:t>
            </w:r>
          </w:p>
        </w:tc>
      </w:tr>
      <w:tr>
        <w:trPr/>
        <w:tc>
          <w:tcPr>
            <w:tcW w:w="1670" w:type="dxa"/>
            <w:tcBorders/>
            <w:shd w:fill="CCEE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Beginning of period</w:t>
            </w:r>
          </w:p>
        </w:tc>
        <w:tc>
          <w:tcPr>
            <w:tcW w:w="60"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283"/>
              <w:ind w:left="0" w:right="0" w:hanging="0"/>
              <w:rPr/>
            </w:pPr>
            <w:r>
              <w:rPr/>
              <w:t> </w:t>
            </w:r>
          </w:p>
        </w:tc>
        <w:tc>
          <w:tcPr>
            <w:tcW w:w="1099"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305</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4" w:type="dxa"/>
            <w:tcBorders/>
            <w:shd w:fill="CCEEFF" w:val="clear"/>
            <w:vAlign w:val="center"/>
          </w:tcPr>
          <w:p>
            <w:pPr>
              <w:pStyle w:val="TableContents"/>
              <w:spacing w:before="0" w:after="283"/>
              <w:ind w:left="0" w:right="0" w:hanging="0"/>
              <w:rPr/>
            </w:pPr>
            <w:r>
              <w:rPr/>
              <w:t> </w:t>
            </w:r>
          </w:p>
        </w:tc>
        <w:tc>
          <w:tcPr>
            <w:tcW w:w="516"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48</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6" w:type="dxa"/>
            <w:tcBorders/>
            <w:shd w:fill="CCEEFF" w:val="clear"/>
            <w:vAlign w:val="center"/>
          </w:tcPr>
          <w:p>
            <w:pPr>
              <w:pStyle w:val="TableContents"/>
              <w:spacing w:before="0" w:after="283"/>
              <w:ind w:left="0" w:right="0" w:hanging="0"/>
              <w:rPr/>
            </w:pPr>
            <w:r>
              <w:rPr/>
              <w:t> </w:t>
            </w:r>
          </w:p>
        </w:tc>
        <w:tc>
          <w:tcPr>
            <w:tcW w:w="299"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3" w:type="dxa"/>
            <w:tcBorders/>
            <w:shd w:fill="CCEEFF" w:val="clear"/>
            <w:vAlign w:val="center"/>
          </w:tcPr>
          <w:p>
            <w:pPr>
              <w:pStyle w:val="TableContents"/>
              <w:spacing w:before="0" w:after="283"/>
              <w:ind w:left="0" w:right="0" w:hanging="0"/>
              <w:rPr/>
            </w:pPr>
            <w:r>
              <w:rPr/>
              <w:t> </w:t>
            </w:r>
          </w:p>
        </w:tc>
        <w:tc>
          <w:tcPr>
            <w:tcW w:w="412"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354</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283"/>
              <w:ind w:left="0" w:right="0" w:hanging="0"/>
              <w:rPr/>
            </w:pPr>
            <w:r>
              <w:rPr/>
              <w:t> </w:t>
            </w:r>
          </w:p>
        </w:tc>
        <w:tc>
          <w:tcPr>
            <w:tcW w:w="1099"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316</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4" w:type="dxa"/>
            <w:tcBorders/>
            <w:shd w:fill="CCEEFF" w:val="clear"/>
            <w:vAlign w:val="center"/>
          </w:tcPr>
          <w:p>
            <w:pPr>
              <w:pStyle w:val="TableContents"/>
              <w:spacing w:before="0" w:after="283"/>
              <w:ind w:left="0" w:right="0" w:hanging="0"/>
              <w:rPr/>
            </w:pPr>
            <w:r>
              <w:rPr/>
              <w:t> </w:t>
            </w:r>
          </w:p>
        </w:tc>
        <w:tc>
          <w:tcPr>
            <w:tcW w:w="516"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8" w:type="dxa"/>
            <w:tcBorders/>
            <w:shd w:fill="CCEEFF" w:val="clear"/>
            <w:vAlign w:val="center"/>
          </w:tcPr>
          <w:p>
            <w:pPr>
              <w:pStyle w:val="TableContents"/>
              <w:spacing w:before="0" w:after="283"/>
              <w:ind w:left="0" w:right="0" w:hanging="0"/>
              <w:rPr/>
            </w:pPr>
            <w:r>
              <w:rPr/>
              <w:t> </w:t>
            </w:r>
          </w:p>
        </w:tc>
        <w:tc>
          <w:tcPr>
            <w:tcW w:w="267"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3" w:type="dxa"/>
            <w:tcBorders/>
            <w:shd w:fill="CCEEFF" w:val="clear"/>
            <w:vAlign w:val="center"/>
          </w:tcPr>
          <w:p>
            <w:pPr>
              <w:pStyle w:val="TableContents"/>
              <w:spacing w:before="0" w:after="283"/>
              <w:ind w:left="0" w:right="0" w:hanging="0"/>
              <w:rPr/>
            </w:pPr>
            <w:r>
              <w:rPr/>
              <w:t> </w:t>
            </w:r>
          </w:p>
        </w:tc>
        <w:tc>
          <w:tcPr>
            <w:tcW w:w="412"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372</w:t>
            </w:r>
          </w:p>
        </w:tc>
        <w:tc>
          <w:tcPr>
            <w:tcW w:w="240" w:type="dxa"/>
            <w:tcBorders/>
            <w:shd w:fill="CCEEFF" w:val="clear"/>
            <w:vAlign w:val="center"/>
          </w:tcPr>
          <w:p>
            <w:pPr>
              <w:pStyle w:val="TableContents"/>
              <w:spacing w:before="0" w:after="283"/>
              <w:ind w:left="0" w:right="0" w:firstLine="180"/>
              <w:rPr/>
            </w:pPr>
            <w:r>
              <w:rPr/>
              <w:t> </w:t>
            </w:r>
          </w:p>
        </w:tc>
      </w:tr>
      <w:tr>
        <w:trPr/>
        <w:tc>
          <w:tcPr>
            <w:tcW w:w="1670" w:type="dxa"/>
            <w:tcBorders/>
            <w:shd w:fill="FFFFFF" w:val="clear"/>
            <w:vAlign w:val="center"/>
          </w:tcPr>
          <w:p>
            <w:pPr>
              <w:pStyle w:val="TableContents"/>
              <w:spacing w:before="0" w:after="0"/>
              <w:ind w:left="0" w:right="0" w:firstLine="180"/>
              <w:rPr>
                <w:rFonts w:ascii="Times New Roman;Times;serif" w:hAnsi="Times New Roman;Times;serif"/>
                <w:sz w:val="20"/>
              </w:rPr>
            </w:pPr>
            <w:r>
              <w:rPr>
                <w:rFonts w:ascii="Times New Roman;Times;serif" w:hAnsi="Times New Roman;Times;serif"/>
                <w:sz w:val="20"/>
              </w:rPr>
              <w:t>Opened</w:t>
            </w:r>
          </w:p>
        </w:tc>
        <w:tc>
          <w:tcPr>
            <w:tcW w:w="60" w:type="dxa"/>
            <w:tcBorders/>
            <w:shd w:fill="FFFFFF" w:val="clear"/>
            <w:vAlign w:val="center"/>
          </w:tcPr>
          <w:p>
            <w:pPr>
              <w:pStyle w:val="TableContents"/>
              <w:spacing w:before="0" w:after="283"/>
              <w:rPr/>
            </w:pPr>
            <w:r>
              <w:rPr/>
              <w:t> </w:t>
            </w:r>
          </w:p>
        </w:tc>
        <w:tc>
          <w:tcPr>
            <w:tcW w:w="195" w:type="dxa"/>
            <w:tcBorders/>
            <w:shd w:fill="FFFFFF" w:val="clear"/>
            <w:vAlign w:val="center"/>
          </w:tcPr>
          <w:p>
            <w:pPr>
              <w:pStyle w:val="TableContents"/>
              <w:spacing w:before="0" w:after="283"/>
              <w:rPr/>
            </w:pPr>
            <w:r>
              <w:rPr/>
              <w:t> </w:t>
            </w:r>
          </w:p>
        </w:tc>
        <w:tc>
          <w:tcPr>
            <w:tcW w:w="1099"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4" w:type="dxa"/>
            <w:tcBorders/>
            <w:shd w:fill="FFFFFF" w:val="clear"/>
            <w:vAlign w:val="center"/>
          </w:tcPr>
          <w:p>
            <w:pPr>
              <w:pStyle w:val="TableContents"/>
              <w:spacing w:before="0" w:after="283"/>
              <w:rPr/>
            </w:pPr>
            <w:r>
              <w:rPr/>
              <w:t> </w:t>
            </w:r>
          </w:p>
        </w:tc>
        <w:tc>
          <w:tcPr>
            <w:tcW w:w="516"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96" w:type="dxa"/>
            <w:tcBorders/>
            <w:shd w:fill="FFFFFF" w:val="clear"/>
            <w:vAlign w:val="center"/>
          </w:tcPr>
          <w:p>
            <w:pPr>
              <w:pStyle w:val="TableContents"/>
              <w:spacing w:before="0" w:after="283"/>
              <w:rPr/>
            </w:pPr>
            <w:r>
              <w:rPr/>
              <w:t> </w:t>
            </w:r>
          </w:p>
        </w:tc>
        <w:tc>
          <w:tcPr>
            <w:tcW w:w="299"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73" w:type="dxa"/>
            <w:tcBorders/>
            <w:shd w:fill="FFFFFF" w:val="clear"/>
            <w:vAlign w:val="center"/>
          </w:tcPr>
          <w:p>
            <w:pPr>
              <w:pStyle w:val="TableContents"/>
              <w:spacing w:before="0" w:after="283"/>
              <w:rPr/>
            </w:pPr>
            <w:r>
              <w:rPr/>
              <w:t> </w:t>
            </w:r>
          </w:p>
        </w:tc>
        <w:tc>
          <w:tcPr>
            <w:tcW w:w="412"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95" w:type="dxa"/>
            <w:tcBorders/>
            <w:shd w:fill="FFFFFF" w:val="clear"/>
            <w:vAlign w:val="center"/>
          </w:tcPr>
          <w:p>
            <w:pPr>
              <w:pStyle w:val="TableContents"/>
              <w:spacing w:before="0" w:after="283"/>
              <w:rPr/>
            </w:pPr>
            <w:r>
              <w:rPr/>
              <w:t> </w:t>
            </w:r>
          </w:p>
        </w:tc>
        <w:tc>
          <w:tcPr>
            <w:tcW w:w="1099"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4" w:type="dxa"/>
            <w:tcBorders/>
            <w:shd w:fill="FFFFFF" w:val="clear"/>
            <w:vAlign w:val="center"/>
          </w:tcPr>
          <w:p>
            <w:pPr>
              <w:pStyle w:val="TableContents"/>
              <w:spacing w:before="0" w:after="283"/>
              <w:rPr/>
            </w:pPr>
            <w:r>
              <w:rPr/>
              <w:t> </w:t>
            </w:r>
          </w:p>
        </w:tc>
        <w:tc>
          <w:tcPr>
            <w:tcW w:w="516"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8" w:type="dxa"/>
            <w:tcBorders/>
            <w:shd w:fill="FFFFFF" w:val="clear"/>
            <w:vAlign w:val="center"/>
          </w:tcPr>
          <w:p>
            <w:pPr>
              <w:pStyle w:val="TableContents"/>
              <w:spacing w:before="0" w:after="283"/>
              <w:rPr/>
            </w:pPr>
            <w:r>
              <w:rPr/>
              <w:t> </w:t>
            </w:r>
          </w:p>
        </w:tc>
        <w:tc>
          <w:tcPr>
            <w:tcW w:w="267"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73" w:type="dxa"/>
            <w:tcBorders/>
            <w:shd w:fill="FFFFFF" w:val="clear"/>
            <w:vAlign w:val="center"/>
          </w:tcPr>
          <w:p>
            <w:pPr>
              <w:pStyle w:val="TableContents"/>
              <w:spacing w:before="0" w:after="283"/>
              <w:rPr/>
            </w:pPr>
            <w:r>
              <w:rPr/>
              <w:t> </w:t>
            </w:r>
          </w:p>
        </w:tc>
        <w:tc>
          <w:tcPr>
            <w:tcW w:w="412"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w:t>
            </w:r>
          </w:p>
        </w:tc>
        <w:tc>
          <w:tcPr>
            <w:tcW w:w="240" w:type="dxa"/>
            <w:tcBorders/>
            <w:shd w:fill="FFFFFF" w:val="clear"/>
            <w:vAlign w:val="center"/>
          </w:tcPr>
          <w:p>
            <w:pPr>
              <w:pStyle w:val="TableContents"/>
              <w:spacing w:before="0" w:after="283"/>
              <w:ind w:left="0" w:right="0" w:firstLine="180"/>
              <w:rPr/>
            </w:pPr>
            <w:r>
              <w:rPr/>
              <w:t> </w:t>
            </w:r>
          </w:p>
        </w:tc>
      </w:tr>
      <w:tr>
        <w:trPr/>
        <w:tc>
          <w:tcPr>
            <w:tcW w:w="1670" w:type="dxa"/>
            <w:tcBorders/>
            <w:shd w:fill="CCEEFF" w:val="clear"/>
            <w:vAlign w:val="center"/>
          </w:tcPr>
          <w:p>
            <w:pPr>
              <w:pStyle w:val="TableContents"/>
              <w:spacing w:before="0" w:after="0"/>
              <w:ind w:left="0" w:right="0" w:firstLine="180"/>
              <w:rPr>
                <w:rFonts w:ascii="Times New Roman;Times;serif" w:hAnsi="Times New Roman;Times;serif"/>
                <w:sz w:val="20"/>
              </w:rPr>
            </w:pPr>
            <w:r>
              <w:rPr>
                <w:rFonts w:ascii="Times New Roman;Times;serif" w:hAnsi="Times New Roman;Times;serif"/>
                <w:sz w:val="20"/>
              </w:rPr>
              <w:t>Closed</w:t>
            </w:r>
          </w:p>
        </w:tc>
        <w:tc>
          <w:tcPr>
            <w:tcW w:w="60" w:type="dxa"/>
            <w:tcBorders/>
            <w:shd w:fill="CCEEFF" w:val="clear"/>
            <w:vAlign w:val="center"/>
          </w:tcPr>
          <w:p>
            <w:pPr>
              <w:pStyle w:val="TableContents"/>
              <w:spacing w:before="0" w:after="283"/>
              <w:ind w:left="0" w:right="0" w:hanging="0"/>
              <w:rPr/>
            </w:pPr>
            <w:r>
              <w:rPr/>
              <w:t> </w:t>
            </w:r>
          </w:p>
        </w:tc>
        <w:tc>
          <w:tcPr>
            <w:tcW w:w="195"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99" w:type="dxa"/>
            <w:tcBorders>
              <w:bottom w:val="single" w:sz="2"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w:t>
            </w:r>
          </w:p>
        </w:tc>
        <w:tc>
          <w:tcPr>
            <w:tcW w:w="80"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spacing w:before="0" w:after="283"/>
              <w:ind w:left="0" w:right="0" w:hanging="0"/>
              <w:rPr/>
            </w:pPr>
            <w:r>
              <w:rPr/>
              <w:t> </w:t>
            </w:r>
          </w:p>
        </w:tc>
        <w:tc>
          <w:tcPr>
            <w:tcW w:w="134"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516" w:type="dxa"/>
            <w:tcBorders>
              <w:bottom w:val="single" w:sz="2"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w:t>
            </w:r>
          </w:p>
        </w:tc>
        <w:tc>
          <w:tcPr>
            <w:tcW w:w="80"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spacing w:before="0" w:after="283"/>
              <w:ind w:left="0" w:right="0" w:hanging="0"/>
              <w:rPr/>
            </w:pPr>
            <w:r>
              <w:rPr/>
              <w:t> </w:t>
            </w:r>
          </w:p>
        </w:tc>
        <w:tc>
          <w:tcPr>
            <w:tcW w:w="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299" w:type="dxa"/>
            <w:tcBorders>
              <w:bottom w:val="single" w:sz="2"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w:t>
            </w:r>
          </w:p>
        </w:tc>
        <w:tc>
          <w:tcPr>
            <w:tcW w:w="80"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spacing w:before="0" w:after="283"/>
              <w:ind w:left="0" w:right="0" w:hanging="0"/>
              <w:rPr/>
            </w:pPr>
            <w:r>
              <w:rPr/>
              <w:t> </w:t>
            </w:r>
          </w:p>
        </w:tc>
        <w:tc>
          <w:tcPr>
            <w:tcW w:w="73"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412" w:type="dxa"/>
            <w:tcBorders>
              <w:bottom w:val="single" w:sz="2"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(4</w:t>
            </w:r>
          </w:p>
        </w:tc>
        <w:tc>
          <w:tcPr>
            <w:tcW w:w="80"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spacing w:before="0" w:after="283"/>
              <w:ind w:left="0" w:right="0" w:hanging="0"/>
              <w:rPr/>
            </w:pPr>
            <w:r>
              <w:rPr/>
              <w:t> </w:t>
            </w:r>
          </w:p>
        </w:tc>
        <w:tc>
          <w:tcPr>
            <w:tcW w:w="195"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99" w:type="dxa"/>
            <w:tcBorders>
              <w:bottom w:val="single" w:sz="2"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(10</w:t>
            </w:r>
          </w:p>
        </w:tc>
        <w:tc>
          <w:tcPr>
            <w:tcW w:w="80"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spacing w:before="0" w:after="283"/>
              <w:ind w:left="0" w:right="0" w:hanging="0"/>
              <w:rPr/>
            </w:pPr>
            <w:r>
              <w:rPr/>
              <w:t> </w:t>
            </w:r>
          </w:p>
        </w:tc>
        <w:tc>
          <w:tcPr>
            <w:tcW w:w="134"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516" w:type="dxa"/>
            <w:tcBorders>
              <w:bottom w:val="single" w:sz="2"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(4</w:t>
            </w:r>
          </w:p>
        </w:tc>
        <w:tc>
          <w:tcPr>
            <w:tcW w:w="80"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spacing w:before="0" w:after="283"/>
              <w:ind w:left="0" w:right="0" w:hanging="0"/>
              <w:rPr/>
            </w:pPr>
            <w:r>
              <w:rPr/>
              <w:t> </w:t>
            </w:r>
          </w:p>
        </w:tc>
        <w:tc>
          <w:tcPr>
            <w:tcW w:w="128"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267" w:type="dxa"/>
            <w:tcBorders>
              <w:bottom w:val="single" w:sz="2"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73"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412" w:type="dxa"/>
            <w:tcBorders>
              <w:bottom w:val="single" w:sz="2"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(14</w:t>
            </w:r>
          </w:p>
        </w:tc>
        <w:tc>
          <w:tcPr>
            <w:tcW w:w="240"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r>
      <w:tr>
        <w:trPr/>
        <w:tc>
          <w:tcPr>
            <w:tcW w:w="1670" w:type="dxa"/>
            <w:tcBorders/>
            <w:shd w:fill="FFFF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End of period</w:t>
            </w:r>
          </w:p>
        </w:tc>
        <w:tc>
          <w:tcPr>
            <w:tcW w:w="60" w:type="dxa"/>
            <w:tcBorders/>
            <w:shd w:fill="FFFFFF" w:val="clear"/>
            <w:vAlign w:val="center"/>
          </w:tcPr>
          <w:p>
            <w:pPr>
              <w:pStyle w:val="TableContents"/>
              <w:spacing w:before="0" w:after="283"/>
              <w:rPr/>
            </w:pPr>
            <w:r>
              <w:rPr/>
              <w:t> </w:t>
            </w:r>
          </w:p>
        </w:tc>
        <w:tc>
          <w:tcPr>
            <w:tcW w:w="195" w:type="dxa"/>
            <w:tcBorders>
              <w:bottom w:val="double" w:sz="6" w:space="0" w:color="000000"/>
            </w:tcBorders>
            <w:shd w:fill="FFFFFF" w:val="clear"/>
            <w:tcMar>
              <w:bottom w:w="28" w:type="dxa"/>
            </w:tcMar>
            <w:vAlign w:val="center"/>
          </w:tcPr>
          <w:p>
            <w:pPr>
              <w:pStyle w:val="TableContents"/>
              <w:spacing w:before="0" w:after="283"/>
              <w:ind w:left="0" w:right="0" w:hanging="0"/>
              <w:rPr/>
            </w:pPr>
            <w:r>
              <w:rPr/>
              <w:t> </w:t>
            </w:r>
          </w:p>
        </w:tc>
        <w:tc>
          <w:tcPr>
            <w:tcW w:w="1099"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305</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4" w:type="dxa"/>
            <w:tcBorders>
              <w:bottom w:val="double" w:sz="6" w:space="0" w:color="000000"/>
            </w:tcBorders>
            <w:shd w:fill="FFFFFF" w:val="clear"/>
            <w:tcMar>
              <w:bottom w:w="28" w:type="dxa"/>
            </w:tcMar>
            <w:vAlign w:val="center"/>
          </w:tcPr>
          <w:p>
            <w:pPr>
              <w:pStyle w:val="TableContents"/>
              <w:spacing w:before="0" w:after="283"/>
              <w:ind w:left="0" w:right="0" w:hanging="0"/>
              <w:rPr/>
            </w:pPr>
            <w:r>
              <w:rPr/>
              <w:t> </w:t>
            </w:r>
          </w:p>
        </w:tc>
        <w:tc>
          <w:tcPr>
            <w:tcW w:w="516"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47</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96" w:type="dxa"/>
            <w:tcBorders>
              <w:bottom w:val="double" w:sz="6" w:space="0" w:color="000000"/>
            </w:tcBorders>
            <w:shd w:fill="FFFFFF" w:val="clear"/>
            <w:tcMar>
              <w:bottom w:w="28" w:type="dxa"/>
            </w:tcMar>
            <w:vAlign w:val="center"/>
          </w:tcPr>
          <w:p>
            <w:pPr>
              <w:pStyle w:val="TableContents"/>
              <w:spacing w:before="0" w:after="283"/>
              <w:ind w:left="0" w:right="0" w:hanging="0"/>
              <w:rPr/>
            </w:pPr>
            <w:r>
              <w:rPr/>
              <w:t> </w:t>
            </w:r>
          </w:p>
        </w:tc>
        <w:tc>
          <w:tcPr>
            <w:tcW w:w="299"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73" w:type="dxa"/>
            <w:tcBorders>
              <w:bottom w:val="double" w:sz="6" w:space="0" w:color="000000"/>
            </w:tcBorders>
            <w:shd w:fill="FFFFFF" w:val="clear"/>
            <w:tcMar>
              <w:bottom w:w="28" w:type="dxa"/>
            </w:tcMar>
            <w:vAlign w:val="center"/>
          </w:tcPr>
          <w:p>
            <w:pPr>
              <w:pStyle w:val="TableContents"/>
              <w:spacing w:before="0" w:after="283"/>
              <w:ind w:left="0" w:right="0" w:hanging="0"/>
              <w:rPr/>
            </w:pPr>
            <w:r>
              <w:rPr/>
              <w:t> </w:t>
            </w:r>
          </w:p>
        </w:tc>
        <w:tc>
          <w:tcPr>
            <w:tcW w:w="412"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352</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95" w:type="dxa"/>
            <w:tcBorders>
              <w:bottom w:val="double" w:sz="6" w:space="0" w:color="000000"/>
            </w:tcBorders>
            <w:shd w:fill="FFFFFF" w:val="clear"/>
            <w:tcMar>
              <w:bottom w:w="28" w:type="dxa"/>
            </w:tcMar>
            <w:vAlign w:val="center"/>
          </w:tcPr>
          <w:p>
            <w:pPr>
              <w:pStyle w:val="TableContents"/>
              <w:spacing w:before="0" w:after="283"/>
              <w:ind w:left="0" w:right="0" w:hanging="0"/>
              <w:rPr/>
            </w:pPr>
            <w:r>
              <w:rPr/>
              <w:t> </w:t>
            </w:r>
          </w:p>
        </w:tc>
        <w:tc>
          <w:tcPr>
            <w:tcW w:w="1099"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307</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4" w:type="dxa"/>
            <w:tcBorders>
              <w:bottom w:val="double" w:sz="6" w:space="0" w:color="000000"/>
            </w:tcBorders>
            <w:shd w:fill="FFFFFF" w:val="clear"/>
            <w:tcMar>
              <w:bottom w:w="28" w:type="dxa"/>
            </w:tcMar>
            <w:vAlign w:val="center"/>
          </w:tcPr>
          <w:p>
            <w:pPr>
              <w:pStyle w:val="TableContents"/>
              <w:spacing w:before="0" w:after="283"/>
              <w:ind w:left="0" w:right="0" w:hanging="0"/>
              <w:rPr/>
            </w:pPr>
            <w:r>
              <w:rPr/>
              <w:t> </w:t>
            </w:r>
          </w:p>
        </w:tc>
        <w:tc>
          <w:tcPr>
            <w:tcW w:w="516"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51</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8" w:type="dxa"/>
            <w:tcBorders>
              <w:bottom w:val="double" w:sz="6" w:space="0" w:color="000000"/>
            </w:tcBorders>
            <w:shd w:fill="FFFFFF" w:val="clear"/>
            <w:tcMar>
              <w:bottom w:w="28" w:type="dxa"/>
            </w:tcMar>
            <w:vAlign w:val="center"/>
          </w:tcPr>
          <w:p>
            <w:pPr>
              <w:pStyle w:val="TableContents"/>
              <w:spacing w:before="0" w:after="283"/>
              <w:ind w:left="0" w:right="0" w:hanging="0"/>
              <w:rPr/>
            </w:pPr>
            <w:r>
              <w:rPr/>
              <w:t> </w:t>
            </w:r>
          </w:p>
        </w:tc>
        <w:tc>
          <w:tcPr>
            <w:tcW w:w="267"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73" w:type="dxa"/>
            <w:tcBorders>
              <w:bottom w:val="double" w:sz="6" w:space="0" w:color="000000"/>
            </w:tcBorders>
            <w:shd w:fill="FFFFFF" w:val="clear"/>
            <w:tcMar>
              <w:bottom w:w="28" w:type="dxa"/>
            </w:tcMar>
            <w:vAlign w:val="center"/>
          </w:tcPr>
          <w:p>
            <w:pPr>
              <w:pStyle w:val="TableContents"/>
              <w:spacing w:before="0" w:after="283"/>
              <w:ind w:left="0" w:right="0" w:hanging="0"/>
              <w:rPr/>
            </w:pPr>
            <w:r>
              <w:rPr/>
              <w:t> </w:t>
            </w:r>
          </w:p>
        </w:tc>
        <w:tc>
          <w:tcPr>
            <w:tcW w:w="412"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359</w:t>
            </w:r>
          </w:p>
        </w:tc>
        <w:tc>
          <w:tcPr>
            <w:tcW w:w="240" w:type="dxa"/>
            <w:tcBorders/>
            <w:shd w:fill="FFFFFF" w:val="clear"/>
            <w:vAlign w:val="center"/>
          </w:tcPr>
          <w:p>
            <w:pPr>
              <w:pStyle w:val="TableContents"/>
              <w:spacing w:before="0" w:after="283"/>
              <w:rPr/>
            </w:pPr>
            <w:r>
              <w:rPr/>
              <w:t> </w:t>
            </w:r>
          </w:p>
        </w:tc>
      </w:tr>
    </w:tbl>
    <w:p>
      <w:pPr>
        <w:pStyle w:val="TextBody"/>
        <w:spacing w:before="0" w:after="0"/>
        <w:ind w:left="144" w:right="144" w:hanging="0"/>
        <w:jc w:val="left"/>
        <w:rPr/>
      </w:pPr>
      <w:r>
        <w:rPr/>
        <w:t> </w:t>
      </w:r>
    </w:p>
    <w:p>
      <w:pPr>
        <w:pStyle w:val="TextBody"/>
        <w:spacing w:before="0" w:after="0"/>
        <w:ind w:left="0" w:right="0" w:firstLine="720"/>
        <w:jc w:val="left"/>
        <w:rPr>
          <w:rFonts w:ascii="Times New Roman;Times;serif" w:hAnsi="Times New Roman;Times;serif"/>
          <w:sz w:val="20"/>
        </w:rPr>
      </w:pPr>
      <w:r>
        <w:rPr>
          <w:rFonts w:ascii="Times New Roman;Times;serif" w:hAnsi="Times New Roman;Times;serif"/>
          <w:sz w:val="20"/>
        </w:rPr>
        <w:t>As of July 31, 2021, 40% of our corporately-managed stores were in an updated Discovery format. We also expect to close certain stores in accordance with natural lease events as an ongoing part of our real estate management and day-to-day operational plans. The future of our retail store fleet may include expansion into more non-traditional locations, including concourse format shops and by expansion in other locations outside traditional malls.</w:t>
      </w:r>
    </w:p>
    <w:p>
      <w:pPr>
        <w:pStyle w:val="TextBody"/>
        <w:spacing w:before="0" w:after="0"/>
        <w:ind w:left="144" w:right="144" w:hanging="0"/>
        <w:jc w:val="left"/>
        <w:rPr/>
      </w:pPr>
      <w:r>
        <w:rPr/>
        <w:t> </w:t>
      </w:r>
    </w:p>
    <w:p>
      <w:pPr>
        <w:pStyle w:val="TextBody"/>
        <w:spacing w:before="0" w:after="0"/>
        <w:ind w:left="0" w:right="0" w:hanging="0"/>
        <w:jc w:val="left"/>
        <w:rPr>
          <w:rFonts w:ascii="Times New Roman;Times;serif" w:hAnsi="Times New Roman;Times;serif"/>
          <w:b/>
          <w:i/>
          <w:sz w:val="20"/>
        </w:rPr>
      </w:pPr>
      <w:r>
        <w:rPr>
          <w:rFonts w:ascii="Times New Roman;Times;serif" w:hAnsi="Times New Roman;Times;serif"/>
          <w:b/>
          <w:i/>
          <w:sz w:val="20"/>
        </w:rPr>
        <w:t xml:space="preserve">International Franchise Stores: </w:t>
      </w:r>
    </w:p>
    <w:p>
      <w:pPr>
        <w:pStyle w:val="TextBody"/>
        <w:spacing w:before="0" w:after="0"/>
        <w:ind w:left="144" w:right="144" w:hanging="0"/>
        <w:jc w:val="left"/>
        <w:rPr/>
      </w:pPr>
      <w:r>
        <w:rPr/>
        <w:t> </w:t>
      </w:r>
    </w:p>
    <w:p>
      <w:pPr>
        <w:pStyle w:val="TextBody"/>
        <w:spacing w:before="0" w:after="0"/>
        <w:ind w:left="0" w:right="0" w:firstLine="720"/>
        <w:jc w:val="left"/>
        <w:rPr>
          <w:rFonts w:ascii="Times New Roman;Times;serif" w:hAnsi="Times New Roman;Times;serif"/>
          <w:sz w:val="20"/>
        </w:rPr>
      </w:pPr>
      <w:r>
        <w:rPr>
          <w:rFonts w:ascii="Times New Roman;Times;serif" w:hAnsi="Times New Roman;Times;serif"/>
          <w:sz w:val="20"/>
        </w:rPr>
        <w:t>Our first franchisee location was opened in November 2003. All franchised stores have similar signage, store layout, merchandise characteristics and guest experience as our corporately-managed stores. As of July 31, 2021, we had six master franchise agreements, which typically grant franchise rights for a particular country or group of countries, covering an aggregate of 11 countries.</w:t>
      </w:r>
    </w:p>
    <w:p>
      <w:pPr>
        <w:pStyle w:val="TextBody"/>
        <w:spacing w:before="0" w:after="0"/>
        <w:ind w:left="0" w:right="0" w:firstLine="720"/>
        <w:jc w:val="left"/>
        <w:rPr/>
      </w:pPr>
      <w:r>
        <w:rPr/>
        <w:t> </w:t>
      </w:r>
    </w:p>
    <w:p>
      <w:pPr>
        <w:pStyle w:val="TextBody"/>
        <w:spacing w:before="0" w:after="0"/>
        <w:ind w:left="0" w:right="0" w:firstLine="720"/>
        <w:jc w:val="left"/>
        <w:rPr>
          <w:rFonts w:ascii="Times New Roman;Times;serif" w:hAnsi="Times New Roman;Times;serif"/>
          <w:sz w:val="20"/>
        </w:rPr>
      </w:pPr>
      <w:r>
        <w:rPr>
          <w:rFonts w:ascii="Times New Roman;Times;serif" w:hAnsi="Times New Roman;Times;serif"/>
          <w:sz w:val="20"/>
        </w:rPr>
        <w:t>The number of franchised stores opened and closed for the periods presented below are summarized as follows:</w:t>
      </w:r>
    </w:p>
    <w:p>
      <w:pPr>
        <w:pStyle w:val="TextBody"/>
        <w:spacing w:before="0" w:after="0"/>
        <w:ind w:left="0" w:right="0" w:firstLine="720"/>
        <w:jc w:val="left"/>
        <w:rPr/>
      </w:pPr>
      <w:r>
        <w:rPr/>
        <w:t> </w:t>
      </w:r>
    </w:p>
    <w:tbl>
      <w:tblPr>
        <w:tblW w:w="4755" w:type="dxa"/>
        <w:jc w:val="left"/>
        <w:tblInd w:w="0" w:type="dxa"/>
        <w:tblCellMar>
          <w:top w:w="0" w:type="dxa"/>
          <w:left w:w="0" w:type="dxa"/>
          <w:bottom w:w="0" w:type="dxa"/>
          <w:right w:w="0" w:type="dxa"/>
        </w:tblCellMar>
      </w:tblPr>
      <w:tblGrid>
        <w:gridCol w:w="1670"/>
        <w:gridCol w:w="60"/>
        <w:gridCol w:w="238"/>
        <w:gridCol w:w="921"/>
        <w:gridCol w:w="207"/>
        <w:gridCol w:w="155"/>
        <w:gridCol w:w="215"/>
        <w:gridCol w:w="1049"/>
        <w:gridCol w:w="240"/>
      </w:tblGrid>
      <w:tr>
        <w:trPr/>
        <w:tc>
          <w:tcPr>
            <w:tcW w:w="167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785"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Twenty-six weeks ended</w:t>
            </w:r>
          </w:p>
        </w:tc>
        <w:tc>
          <w:tcPr>
            <w:tcW w:w="240" w:type="dxa"/>
            <w:tcBorders/>
            <w:shd w:fill="FFFFFF" w:val="clear"/>
            <w:vAlign w:val="center"/>
          </w:tcPr>
          <w:p>
            <w:pPr>
              <w:pStyle w:val="TableContents"/>
              <w:spacing w:before="0" w:after="283"/>
              <w:rPr/>
            </w:pPr>
            <w:r>
              <w:rPr/>
              <w:t> </w:t>
            </w:r>
          </w:p>
        </w:tc>
      </w:tr>
      <w:tr>
        <w:trPr/>
        <w:tc>
          <w:tcPr>
            <w:tcW w:w="167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59" w:type="dxa"/>
            <w:gridSpan w:val="2"/>
            <w:tcBorders>
              <w:bottom w:val="single" w:sz="2" w:space="0" w:color="000000"/>
            </w:tcBorders>
            <w:shd w:fill="FFFFFF" w:val="clear"/>
            <w:tcMar>
              <w:bottom w:w="28"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July 31, 2021</w:t>
            </w:r>
          </w:p>
        </w:tc>
        <w:tc>
          <w:tcPr>
            <w:tcW w:w="207"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ind w:left="0" w:right="0" w:hanging="0"/>
              <w:rPr/>
            </w:pPr>
            <w:r>
              <w:rPr/>
              <w:t> </w:t>
            </w:r>
          </w:p>
        </w:tc>
        <w:tc>
          <w:tcPr>
            <w:tcW w:w="1264" w:type="dxa"/>
            <w:gridSpan w:val="2"/>
            <w:tcBorders>
              <w:bottom w:val="single" w:sz="2" w:space="0" w:color="000000"/>
            </w:tcBorders>
            <w:shd w:fill="FFFFFF" w:val="clear"/>
            <w:tcMar>
              <w:bottom w:w="28"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August 1, 2020</w:t>
            </w:r>
          </w:p>
        </w:tc>
        <w:tc>
          <w:tcPr>
            <w:tcW w:w="240" w:type="dxa"/>
            <w:tcBorders/>
            <w:shd w:fill="FFFFFF" w:val="clear"/>
            <w:vAlign w:val="center"/>
          </w:tcPr>
          <w:p>
            <w:pPr>
              <w:pStyle w:val="TableContents"/>
              <w:spacing w:before="0" w:after="283"/>
              <w:rPr/>
            </w:pPr>
            <w:r>
              <w:rPr/>
              <w:t> </w:t>
            </w:r>
          </w:p>
        </w:tc>
      </w:tr>
      <w:tr>
        <w:trPr/>
        <w:tc>
          <w:tcPr>
            <w:tcW w:w="1670" w:type="dxa"/>
            <w:tcBorders/>
            <w:shd w:fill="CCEE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Beginning of period</w:t>
            </w:r>
          </w:p>
        </w:tc>
        <w:tc>
          <w:tcPr>
            <w:tcW w:w="60" w:type="dxa"/>
            <w:tcBorders/>
            <w:shd w:fill="CCEEFF" w:val="clear"/>
            <w:vAlign w:val="center"/>
          </w:tcPr>
          <w:p>
            <w:pPr>
              <w:pStyle w:val="TableContents"/>
              <w:spacing w:before="0" w:after="283"/>
              <w:rPr/>
            </w:pPr>
            <w:r>
              <w:rPr/>
              <w:t> </w:t>
            </w:r>
          </w:p>
        </w:tc>
        <w:tc>
          <w:tcPr>
            <w:tcW w:w="238" w:type="dxa"/>
            <w:tcBorders/>
            <w:shd w:fill="CCEEFF" w:val="clear"/>
            <w:vAlign w:val="center"/>
          </w:tcPr>
          <w:p>
            <w:pPr>
              <w:pStyle w:val="TableContents"/>
              <w:spacing w:before="0" w:after="283"/>
              <w:ind w:left="0" w:right="0" w:hanging="0"/>
              <w:rPr/>
            </w:pPr>
            <w:r>
              <w:rPr/>
              <w:t> </w:t>
            </w:r>
          </w:p>
        </w:tc>
        <w:tc>
          <w:tcPr>
            <w:tcW w:w="921"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71</w:t>
            </w:r>
          </w:p>
        </w:tc>
        <w:tc>
          <w:tcPr>
            <w:tcW w:w="207"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283"/>
              <w:ind w:left="0" w:right="0" w:hanging="0"/>
              <w:rPr/>
            </w:pPr>
            <w:r>
              <w:rPr/>
              <w:t> </w:t>
            </w:r>
          </w:p>
        </w:tc>
        <w:tc>
          <w:tcPr>
            <w:tcW w:w="1049"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92</w:t>
            </w:r>
          </w:p>
        </w:tc>
        <w:tc>
          <w:tcPr>
            <w:tcW w:w="240" w:type="dxa"/>
            <w:tcBorders/>
            <w:shd w:fill="CCEEFF" w:val="clear"/>
            <w:vAlign w:val="center"/>
          </w:tcPr>
          <w:p>
            <w:pPr>
              <w:pStyle w:val="TableContents"/>
              <w:spacing w:before="0" w:after="283"/>
              <w:ind w:left="0" w:right="0" w:firstLine="180"/>
              <w:rPr/>
            </w:pPr>
            <w:r>
              <w:rPr/>
              <w:t> </w:t>
            </w:r>
          </w:p>
        </w:tc>
      </w:tr>
      <w:tr>
        <w:trPr/>
        <w:tc>
          <w:tcPr>
            <w:tcW w:w="1670" w:type="dxa"/>
            <w:tcBorders/>
            <w:shd w:fill="FFFFFF" w:val="clear"/>
            <w:vAlign w:val="center"/>
          </w:tcPr>
          <w:p>
            <w:pPr>
              <w:pStyle w:val="TableContents"/>
              <w:spacing w:before="0" w:after="0"/>
              <w:ind w:left="0" w:right="0" w:firstLine="180"/>
              <w:rPr>
                <w:rFonts w:ascii="Times New Roman;Times;serif" w:hAnsi="Times New Roman;Times;serif"/>
                <w:sz w:val="20"/>
              </w:rPr>
            </w:pPr>
            <w:r>
              <w:rPr>
                <w:rFonts w:ascii="Times New Roman;Times;serif" w:hAnsi="Times New Roman;Times;serif"/>
                <w:sz w:val="20"/>
              </w:rPr>
              <w:t>Opened</w:t>
            </w:r>
          </w:p>
        </w:tc>
        <w:tc>
          <w:tcPr>
            <w:tcW w:w="60" w:type="dxa"/>
            <w:tcBorders/>
            <w:shd w:fill="FFFFFF" w:val="clear"/>
            <w:vAlign w:val="center"/>
          </w:tcPr>
          <w:p>
            <w:pPr>
              <w:pStyle w:val="TableContents"/>
              <w:spacing w:before="0" w:after="283"/>
              <w:rPr/>
            </w:pPr>
            <w:r>
              <w:rPr/>
              <w:t> </w:t>
            </w:r>
          </w:p>
        </w:tc>
        <w:tc>
          <w:tcPr>
            <w:tcW w:w="238" w:type="dxa"/>
            <w:tcBorders/>
            <w:shd w:fill="FFFFFF" w:val="clear"/>
            <w:vAlign w:val="center"/>
          </w:tcPr>
          <w:p>
            <w:pPr>
              <w:pStyle w:val="TableContents"/>
              <w:spacing w:before="0" w:after="283"/>
              <w:rPr/>
            </w:pPr>
            <w:r>
              <w:rPr/>
              <w:t> </w:t>
            </w:r>
          </w:p>
        </w:tc>
        <w:tc>
          <w:tcPr>
            <w:tcW w:w="921"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5</w:t>
            </w:r>
          </w:p>
        </w:tc>
        <w:tc>
          <w:tcPr>
            <w:tcW w:w="207"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rPr/>
            </w:pPr>
            <w:r>
              <w:rPr/>
              <w:t> </w:t>
            </w:r>
          </w:p>
        </w:tc>
        <w:tc>
          <w:tcPr>
            <w:tcW w:w="215" w:type="dxa"/>
            <w:tcBorders/>
            <w:shd w:fill="FFFFFF" w:val="clear"/>
            <w:vAlign w:val="center"/>
          </w:tcPr>
          <w:p>
            <w:pPr>
              <w:pStyle w:val="TableContents"/>
              <w:spacing w:before="0" w:after="283"/>
              <w:rPr/>
            </w:pPr>
            <w:r>
              <w:rPr/>
              <w:t> </w:t>
            </w:r>
          </w:p>
        </w:tc>
        <w:tc>
          <w:tcPr>
            <w:tcW w:w="1049"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w:t>
            </w:r>
          </w:p>
        </w:tc>
        <w:tc>
          <w:tcPr>
            <w:tcW w:w="240" w:type="dxa"/>
            <w:tcBorders/>
            <w:shd w:fill="FFFFFF" w:val="clear"/>
            <w:vAlign w:val="center"/>
          </w:tcPr>
          <w:p>
            <w:pPr>
              <w:pStyle w:val="TableContents"/>
              <w:spacing w:before="0" w:after="283"/>
              <w:ind w:left="0" w:right="0" w:firstLine="180"/>
              <w:rPr/>
            </w:pPr>
            <w:r>
              <w:rPr/>
              <w:t> </w:t>
            </w:r>
          </w:p>
        </w:tc>
      </w:tr>
      <w:tr>
        <w:trPr/>
        <w:tc>
          <w:tcPr>
            <w:tcW w:w="1670" w:type="dxa"/>
            <w:tcBorders/>
            <w:shd w:fill="CCEEFF" w:val="clear"/>
            <w:vAlign w:val="center"/>
          </w:tcPr>
          <w:p>
            <w:pPr>
              <w:pStyle w:val="TableContents"/>
              <w:spacing w:before="0" w:after="0"/>
              <w:ind w:left="0" w:right="0" w:firstLine="180"/>
              <w:rPr>
                <w:rFonts w:ascii="Times New Roman;Times;serif" w:hAnsi="Times New Roman;Times;serif"/>
                <w:sz w:val="20"/>
              </w:rPr>
            </w:pPr>
            <w:r>
              <w:rPr>
                <w:rFonts w:ascii="Times New Roman;Times;serif" w:hAnsi="Times New Roman;Times;serif"/>
                <w:sz w:val="20"/>
              </w:rPr>
              <w:t>Closed</w:t>
            </w:r>
          </w:p>
        </w:tc>
        <w:tc>
          <w:tcPr>
            <w:tcW w:w="60" w:type="dxa"/>
            <w:tcBorders/>
            <w:shd w:fill="CCEEFF" w:val="clear"/>
            <w:vAlign w:val="center"/>
          </w:tcPr>
          <w:p>
            <w:pPr>
              <w:pStyle w:val="TableContents"/>
              <w:spacing w:before="0" w:after="283"/>
              <w:ind w:left="0" w:right="0" w:hanging="0"/>
              <w:rPr/>
            </w:pPr>
            <w:r>
              <w:rPr/>
              <w:t> </w:t>
            </w:r>
          </w:p>
        </w:tc>
        <w:tc>
          <w:tcPr>
            <w:tcW w:w="238"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21" w:type="dxa"/>
            <w:tcBorders>
              <w:bottom w:val="single" w:sz="2"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(2</w:t>
            </w:r>
          </w:p>
        </w:tc>
        <w:tc>
          <w:tcPr>
            <w:tcW w:w="207"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155" w:type="dxa"/>
            <w:tcBorders/>
            <w:shd w:fill="CCEEFF" w:val="clear"/>
            <w:vAlign w:val="center"/>
          </w:tcPr>
          <w:p>
            <w:pPr>
              <w:pStyle w:val="TableContents"/>
              <w:spacing w:before="0" w:after="283"/>
              <w:ind w:left="0" w:right="0" w:hanging="0"/>
              <w:rPr/>
            </w:pPr>
            <w:r>
              <w:rPr/>
              <w:t> </w:t>
            </w:r>
          </w:p>
        </w:tc>
        <w:tc>
          <w:tcPr>
            <w:tcW w:w="215"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49" w:type="dxa"/>
            <w:tcBorders>
              <w:bottom w:val="single" w:sz="2"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(18</w:t>
            </w:r>
          </w:p>
        </w:tc>
        <w:tc>
          <w:tcPr>
            <w:tcW w:w="240"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r>
      <w:tr>
        <w:trPr/>
        <w:tc>
          <w:tcPr>
            <w:tcW w:w="1670" w:type="dxa"/>
            <w:tcBorders/>
            <w:shd w:fill="FFFF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End of period</w:t>
            </w:r>
          </w:p>
        </w:tc>
        <w:tc>
          <w:tcPr>
            <w:tcW w:w="60" w:type="dxa"/>
            <w:tcBorders/>
            <w:shd w:fill="FFFFFF" w:val="clear"/>
            <w:vAlign w:val="center"/>
          </w:tcPr>
          <w:p>
            <w:pPr>
              <w:pStyle w:val="TableContents"/>
              <w:spacing w:before="0" w:after="283"/>
              <w:rPr/>
            </w:pPr>
            <w:r>
              <w:rPr/>
              <w:t> </w:t>
            </w:r>
          </w:p>
        </w:tc>
        <w:tc>
          <w:tcPr>
            <w:tcW w:w="238" w:type="dxa"/>
            <w:tcBorders>
              <w:bottom w:val="double" w:sz="6" w:space="0" w:color="000000"/>
            </w:tcBorders>
            <w:shd w:fill="FFFFFF" w:val="clear"/>
            <w:tcMar>
              <w:bottom w:w="28" w:type="dxa"/>
            </w:tcMar>
            <w:vAlign w:val="center"/>
          </w:tcPr>
          <w:p>
            <w:pPr>
              <w:pStyle w:val="TableContents"/>
              <w:spacing w:before="0" w:after="283"/>
              <w:ind w:left="0" w:right="0" w:hanging="0"/>
              <w:rPr/>
            </w:pPr>
            <w:r>
              <w:rPr/>
              <w:t> </w:t>
            </w:r>
          </w:p>
        </w:tc>
        <w:tc>
          <w:tcPr>
            <w:tcW w:w="921"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74</w:t>
            </w:r>
          </w:p>
        </w:tc>
        <w:tc>
          <w:tcPr>
            <w:tcW w:w="207"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rPr/>
            </w:pPr>
            <w:r>
              <w:rPr/>
              <w:t> </w:t>
            </w:r>
          </w:p>
        </w:tc>
        <w:tc>
          <w:tcPr>
            <w:tcW w:w="215" w:type="dxa"/>
            <w:tcBorders>
              <w:bottom w:val="double" w:sz="6" w:space="0" w:color="000000"/>
            </w:tcBorders>
            <w:shd w:fill="FFFFFF" w:val="clear"/>
            <w:tcMar>
              <w:bottom w:w="28" w:type="dxa"/>
            </w:tcMar>
            <w:vAlign w:val="center"/>
          </w:tcPr>
          <w:p>
            <w:pPr>
              <w:pStyle w:val="TableContents"/>
              <w:spacing w:before="0" w:after="283"/>
              <w:ind w:left="0" w:right="0" w:hanging="0"/>
              <w:rPr/>
            </w:pPr>
            <w:r>
              <w:rPr/>
              <w:t> </w:t>
            </w:r>
          </w:p>
        </w:tc>
        <w:tc>
          <w:tcPr>
            <w:tcW w:w="1049"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78</w:t>
            </w:r>
          </w:p>
        </w:tc>
        <w:tc>
          <w:tcPr>
            <w:tcW w:w="240" w:type="dxa"/>
            <w:tcBorders/>
            <w:shd w:fill="FFFFFF" w:val="clear"/>
            <w:vAlign w:val="center"/>
          </w:tcPr>
          <w:p>
            <w:pPr>
              <w:pStyle w:val="TableContents"/>
              <w:spacing w:before="0" w:after="283"/>
              <w:rPr/>
            </w:pPr>
            <w:r>
              <w:rPr/>
              <w:t> </w:t>
            </w:r>
          </w:p>
        </w:tc>
      </w:tr>
    </w:tbl>
    <w:p>
      <w:pPr>
        <w:pStyle w:val="TextBody"/>
        <w:spacing w:before="0" w:after="0"/>
        <w:ind w:left="0" w:right="0" w:firstLine="720"/>
        <w:jc w:val="left"/>
        <w:rPr/>
      </w:pPr>
      <w:r>
        <w:rPr/>
        <w:t> </w:t>
      </w:r>
    </w:p>
    <w:p>
      <w:pPr>
        <w:pStyle w:val="TextBody"/>
        <w:spacing w:before="0" w:after="0"/>
        <w:ind w:left="0" w:right="144" w:firstLine="720"/>
        <w:jc w:val="left"/>
        <w:rPr>
          <w:rFonts w:ascii="Times New Roman;Times;serif" w:hAnsi="Times New Roman;Times;serif"/>
          <w:sz w:val="20"/>
        </w:rPr>
      </w:pPr>
      <w:r>
        <w:rPr>
          <w:rFonts w:ascii="Times New Roman;Times;serif" w:hAnsi="Times New Roman;Times;serif"/>
          <w:sz w:val="20"/>
        </w:rPr>
        <w:t>In the ordinary course of business, we anticipate signing additional master franchise agreements in the future and terminating other such agreements. We source fixtures and other supplies for our franchisees from China which significantly reduces the capital and lowers the expenses required to open franchises. We are leveraging new formats that have been developed for our corporately-managed locations such as concourses and shop-in-shops with our franchisees.</w:t>
      </w:r>
    </w:p>
    <w:p>
      <w:pPr>
        <w:pStyle w:val="TextBody"/>
        <w:spacing w:before="0" w:after="0"/>
        <w:ind w:left="144" w:right="144" w:hanging="0"/>
        <w:jc w:val="left"/>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20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Results of Operations </w:t>
      </w:r>
    </w:p>
    <w:p>
      <w:pPr>
        <w:pStyle w:val="TextBody"/>
        <w:spacing w:before="0" w:after="0"/>
        <w:ind w:left="144" w:right="144" w:hanging="0"/>
        <w:jc w:val="left"/>
        <w:rPr/>
      </w:pPr>
      <w:r>
        <w:rPr/>
        <w:t> </w:t>
      </w:r>
    </w:p>
    <w:p>
      <w:pPr>
        <w:pStyle w:val="TextBody"/>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sets forth, for the periods indicated, selected income statement data expressed as a percentage of total revenues, except where otherwise indicated. Percentages will not total due to cost of merchandise sold being expressed as a percentage of net retail sales, commercial revenue, international franchising, respectively, as well as immaterial rounding:</w:t>
      </w:r>
    </w:p>
    <w:p>
      <w:pPr>
        <w:pStyle w:val="TextBody"/>
        <w:spacing w:before="0" w:after="0"/>
        <w:ind w:left="144" w:right="144" w:hanging="0"/>
        <w:jc w:val="left"/>
        <w:rPr/>
      </w:pPr>
      <w:r>
        <w:rPr/>
        <w:t> </w:t>
      </w:r>
    </w:p>
    <w:p>
      <w:pPr>
        <w:pStyle w:val="TextBody"/>
        <w:spacing w:before="0" w:after="0"/>
        <w:ind w:left="144" w:right="144" w:hanging="0"/>
        <w:jc w:val="center"/>
        <w:rPr>
          <w:rFonts w:ascii="Times New Roman;Times;serif" w:hAnsi="Times New Roman;Times;serif"/>
          <w:b/>
          <w:sz w:val="20"/>
        </w:rPr>
      </w:pPr>
      <w:r>
        <w:rPr>
          <w:rFonts w:ascii="Times New Roman;Times;serif" w:hAnsi="Times New Roman;Times;serif"/>
          <w:b/>
          <w:sz w:val="20"/>
        </w:rPr>
        <w:t>BUILD-A-BEAR WORKSHOP, INC. AND SUBSIDIARIES</w:t>
      </w:r>
    </w:p>
    <w:p>
      <w:pPr>
        <w:pStyle w:val="TextBody"/>
        <w:spacing w:before="0" w:after="0"/>
        <w:ind w:left="144" w:right="144" w:hanging="0"/>
        <w:jc w:val="center"/>
        <w:rPr>
          <w:rFonts w:ascii="Times New Roman;Times;serif" w:hAnsi="Times New Roman;Times;serif"/>
          <w:b/>
          <w:sz w:val="20"/>
        </w:rPr>
      </w:pPr>
      <w:r>
        <w:rPr>
          <w:rFonts w:ascii="Times New Roman;Times;serif" w:hAnsi="Times New Roman;Times;serif"/>
          <w:b/>
          <w:sz w:val="20"/>
        </w:rPr>
        <w:t>CONDENSED CONSOLIDATED STATEMENTS OF INCOME</w:t>
      </w:r>
    </w:p>
    <w:p>
      <w:pPr>
        <w:pStyle w:val="TextBody"/>
        <w:spacing w:before="0" w:after="0"/>
        <w:ind w:left="144" w:right="144" w:hanging="0"/>
        <w:jc w:val="center"/>
        <w:rPr>
          <w:rFonts w:ascii="Times New Roman;Times;serif" w:hAnsi="Times New Roman;Times;serif"/>
          <w:b/>
          <w:sz w:val="20"/>
        </w:rPr>
      </w:pPr>
      <w:r>
        <w:rPr>
          <w:rFonts w:ascii="Times New Roman;Times;serif" w:hAnsi="Times New Roman;Times;serif"/>
          <w:b/>
          <w:sz w:val="20"/>
        </w:rPr>
        <w:t>(Unaudited)</w:t>
      </w:r>
    </w:p>
    <w:p>
      <w:pPr>
        <w:pStyle w:val="TextBody"/>
        <w:spacing w:before="0" w:after="0"/>
        <w:ind w:left="144" w:right="144" w:hanging="0"/>
        <w:jc w:val="left"/>
        <w:rPr/>
      </w:pPr>
      <w:r>
        <w:rPr/>
        <w:t> </w:t>
      </w:r>
    </w:p>
    <w:p>
      <w:pPr>
        <w:pStyle w:val="TextBody"/>
        <w:spacing w:before="0" w:after="0"/>
        <w:ind w:left="144" w:right="144" w:hanging="0"/>
        <w:jc w:val="center"/>
        <w:rPr/>
      </w:pPr>
      <w:r>
        <w:rPr/>
        <w:t> </w:t>
      </w:r>
    </w:p>
    <w:tbl>
      <w:tblPr>
        <w:tblW w:w="8891" w:type="dxa"/>
        <w:jc w:val="left"/>
        <w:tblInd w:w="0" w:type="dxa"/>
        <w:tblCellMar>
          <w:top w:w="0" w:type="dxa"/>
          <w:left w:w="0" w:type="dxa"/>
          <w:bottom w:w="0" w:type="dxa"/>
          <w:right w:w="0" w:type="dxa"/>
        </w:tblCellMar>
      </w:tblPr>
      <w:tblGrid>
        <w:gridCol w:w="4490"/>
        <w:gridCol w:w="60"/>
        <w:gridCol w:w="82"/>
        <w:gridCol w:w="666"/>
        <w:gridCol w:w="254"/>
        <w:gridCol w:w="82"/>
        <w:gridCol w:w="87"/>
        <w:gridCol w:w="712"/>
        <w:gridCol w:w="185"/>
        <w:gridCol w:w="60"/>
        <w:gridCol w:w="91"/>
        <w:gridCol w:w="737"/>
        <w:gridCol w:w="281"/>
        <w:gridCol w:w="91"/>
        <w:gridCol w:w="91"/>
        <w:gridCol w:w="737"/>
        <w:gridCol w:w="185"/>
      </w:tblGrid>
      <w:tr>
        <w:trPr/>
        <w:tc>
          <w:tcPr>
            <w:tcW w:w="449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883"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Thirteen weeks ended</w:t>
            </w:r>
          </w:p>
        </w:tc>
        <w:tc>
          <w:tcPr>
            <w:tcW w:w="1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028"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Twenty-six weeks ended</w:t>
            </w:r>
          </w:p>
        </w:tc>
        <w:tc>
          <w:tcPr>
            <w:tcW w:w="185" w:type="dxa"/>
            <w:tcBorders/>
            <w:shd w:fill="FFFFFF" w:val="clear"/>
            <w:vAlign w:val="center"/>
          </w:tcPr>
          <w:p>
            <w:pPr>
              <w:pStyle w:val="TableContents"/>
              <w:spacing w:before="0" w:after="283"/>
              <w:rPr/>
            </w:pPr>
            <w:r>
              <w:rPr/>
              <w:t> </w:t>
            </w:r>
          </w:p>
        </w:tc>
      </w:tr>
      <w:tr>
        <w:trPr/>
        <w:tc>
          <w:tcPr>
            <w:tcW w:w="449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48" w:type="dxa"/>
            <w:gridSpan w:val="2"/>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July 31,</w:t>
            </w:r>
          </w:p>
        </w:tc>
        <w:tc>
          <w:tcPr>
            <w:tcW w:w="254" w:type="dxa"/>
            <w:tcBorders/>
            <w:shd w:fill="FFFFFF" w:val="clear"/>
            <w:vAlign w:val="center"/>
          </w:tcPr>
          <w:p>
            <w:pPr>
              <w:pStyle w:val="TableContents"/>
              <w:spacing w:before="0" w:after="283"/>
              <w:rPr/>
            </w:pPr>
            <w:r>
              <w:rPr/>
              <w:t> </w:t>
            </w:r>
          </w:p>
        </w:tc>
        <w:tc>
          <w:tcPr>
            <w:tcW w:w="82" w:type="dxa"/>
            <w:tcBorders/>
            <w:shd w:fill="FFFFFF" w:val="clear"/>
            <w:vAlign w:val="center"/>
          </w:tcPr>
          <w:p>
            <w:pPr>
              <w:pStyle w:val="TableContents"/>
              <w:spacing w:before="0" w:after="283"/>
              <w:ind w:left="0" w:right="0" w:hanging="0"/>
              <w:rPr/>
            </w:pPr>
            <w:r>
              <w:rPr/>
              <w:t> </w:t>
            </w:r>
          </w:p>
        </w:tc>
        <w:tc>
          <w:tcPr>
            <w:tcW w:w="799" w:type="dxa"/>
            <w:gridSpan w:val="2"/>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August 1,</w:t>
            </w:r>
          </w:p>
        </w:tc>
        <w:tc>
          <w:tcPr>
            <w:tcW w:w="1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28" w:type="dxa"/>
            <w:gridSpan w:val="2"/>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July 31,</w:t>
            </w:r>
          </w:p>
        </w:tc>
        <w:tc>
          <w:tcPr>
            <w:tcW w:w="281" w:type="dxa"/>
            <w:tcBorders/>
            <w:shd w:fill="FFFFFF" w:val="clear"/>
            <w:vAlign w:val="center"/>
          </w:tcPr>
          <w:p>
            <w:pPr>
              <w:pStyle w:val="TableContents"/>
              <w:spacing w:before="0" w:after="283"/>
              <w:rPr/>
            </w:pPr>
            <w:r>
              <w:rPr/>
              <w:t> </w:t>
            </w:r>
          </w:p>
        </w:tc>
        <w:tc>
          <w:tcPr>
            <w:tcW w:w="91" w:type="dxa"/>
            <w:tcBorders/>
            <w:shd w:fill="FFFFFF" w:val="clear"/>
            <w:vAlign w:val="center"/>
          </w:tcPr>
          <w:p>
            <w:pPr>
              <w:pStyle w:val="TableContents"/>
              <w:spacing w:before="0" w:after="283"/>
              <w:ind w:left="0" w:right="0" w:hanging="0"/>
              <w:rPr/>
            </w:pPr>
            <w:r>
              <w:rPr/>
              <w:t> </w:t>
            </w:r>
          </w:p>
        </w:tc>
        <w:tc>
          <w:tcPr>
            <w:tcW w:w="828" w:type="dxa"/>
            <w:gridSpan w:val="2"/>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August 1,</w:t>
            </w:r>
          </w:p>
        </w:tc>
        <w:tc>
          <w:tcPr>
            <w:tcW w:w="185" w:type="dxa"/>
            <w:tcBorders/>
            <w:shd w:fill="FFFFFF" w:val="clear"/>
            <w:vAlign w:val="center"/>
          </w:tcPr>
          <w:p>
            <w:pPr>
              <w:pStyle w:val="TableContents"/>
              <w:spacing w:before="0" w:after="283"/>
              <w:rPr/>
            </w:pPr>
            <w:r>
              <w:rPr/>
              <w:t> </w:t>
            </w:r>
          </w:p>
        </w:tc>
      </w:tr>
      <w:tr>
        <w:trPr/>
        <w:tc>
          <w:tcPr>
            <w:tcW w:w="449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748"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2021</w:t>
            </w:r>
          </w:p>
        </w:tc>
        <w:tc>
          <w:tcPr>
            <w:tcW w:w="254" w:type="dxa"/>
            <w:tcBorders/>
            <w:shd w:fill="FFFFFF" w:val="clear"/>
            <w:vAlign w:val="center"/>
          </w:tcPr>
          <w:p>
            <w:pPr>
              <w:pStyle w:val="TableContents"/>
              <w:spacing w:before="0" w:after="283"/>
              <w:rPr/>
            </w:pPr>
            <w:r>
              <w:rPr/>
              <w:t> </w:t>
            </w:r>
          </w:p>
        </w:tc>
        <w:tc>
          <w:tcPr>
            <w:tcW w:w="82" w:type="dxa"/>
            <w:tcBorders/>
            <w:shd w:fill="FFFFFF" w:val="clear"/>
            <w:vAlign w:val="center"/>
          </w:tcPr>
          <w:p>
            <w:pPr>
              <w:pStyle w:val="TableContents"/>
              <w:spacing w:before="0" w:after="283"/>
              <w:ind w:left="0" w:right="0" w:hanging="0"/>
              <w:rPr/>
            </w:pPr>
            <w:r>
              <w:rPr/>
              <w:t> </w:t>
            </w:r>
          </w:p>
        </w:tc>
        <w:tc>
          <w:tcPr>
            <w:tcW w:w="799"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2020</w:t>
            </w:r>
          </w:p>
        </w:tc>
        <w:tc>
          <w:tcPr>
            <w:tcW w:w="1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828"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2021</w:t>
            </w:r>
          </w:p>
        </w:tc>
        <w:tc>
          <w:tcPr>
            <w:tcW w:w="281" w:type="dxa"/>
            <w:tcBorders/>
            <w:shd w:fill="FFFFFF" w:val="clear"/>
            <w:vAlign w:val="center"/>
          </w:tcPr>
          <w:p>
            <w:pPr>
              <w:pStyle w:val="TableContents"/>
              <w:spacing w:before="0" w:after="283"/>
              <w:rPr/>
            </w:pPr>
            <w:r>
              <w:rPr/>
              <w:t> </w:t>
            </w:r>
          </w:p>
        </w:tc>
        <w:tc>
          <w:tcPr>
            <w:tcW w:w="91" w:type="dxa"/>
            <w:tcBorders/>
            <w:shd w:fill="FFFFFF" w:val="clear"/>
            <w:vAlign w:val="center"/>
          </w:tcPr>
          <w:p>
            <w:pPr>
              <w:pStyle w:val="TableContents"/>
              <w:spacing w:before="0" w:after="283"/>
              <w:ind w:left="0" w:right="0" w:hanging="0"/>
              <w:rPr/>
            </w:pPr>
            <w:r>
              <w:rPr/>
              <w:t> </w:t>
            </w:r>
          </w:p>
        </w:tc>
        <w:tc>
          <w:tcPr>
            <w:tcW w:w="828"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2020</w:t>
            </w:r>
          </w:p>
        </w:tc>
        <w:tc>
          <w:tcPr>
            <w:tcW w:w="185" w:type="dxa"/>
            <w:tcBorders/>
            <w:shd w:fill="FFFFFF" w:val="clear"/>
            <w:vAlign w:val="center"/>
          </w:tcPr>
          <w:p>
            <w:pPr>
              <w:pStyle w:val="TableContents"/>
              <w:spacing w:before="0" w:after="283"/>
              <w:rPr/>
            </w:pPr>
            <w:r>
              <w:rPr/>
              <w:t> </w:t>
            </w:r>
          </w:p>
        </w:tc>
      </w:tr>
      <w:tr>
        <w:trPr/>
        <w:tc>
          <w:tcPr>
            <w:tcW w:w="449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Revenues:</w:t>
            </w:r>
          </w:p>
        </w:tc>
        <w:tc>
          <w:tcPr>
            <w:tcW w:w="60" w:type="dxa"/>
            <w:tcBorders/>
            <w:shd w:fill="CCEEFF" w:val="clear"/>
            <w:vAlign w:val="center"/>
          </w:tcPr>
          <w:p>
            <w:pPr>
              <w:pStyle w:val="TableContents"/>
              <w:spacing w:before="0" w:after="283"/>
              <w:rPr/>
            </w:pPr>
            <w:r>
              <w:rPr/>
              <w:t> </w:t>
            </w:r>
          </w:p>
        </w:tc>
        <w:tc>
          <w:tcPr>
            <w:tcW w:w="82" w:type="dxa"/>
            <w:tcBorders/>
            <w:shd w:fill="CCEEFF" w:val="clear"/>
            <w:vAlign w:val="center"/>
          </w:tcPr>
          <w:p>
            <w:pPr>
              <w:pStyle w:val="TableContents"/>
              <w:spacing w:before="0" w:after="283"/>
              <w:rPr/>
            </w:pPr>
            <w:r>
              <w:rPr/>
              <w:t> </w:t>
            </w:r>
          </w:p>
        </w:tc>
        <w:tc>
          <w:tcPr>
            <w:tcW w:w="666" w:type="dxa"/>
            <w:tcBorders/>
            <w:shd w:fill="CCEEFF" w:val="clear"/>
            <w:vAlign w:val="center"/>
          </w:tcPr>
          <w:p>
            <w:pPr>
              <w:pStyle w:val="TableContents"/>
              <w:spacing w:before="0" w:after="283"/>
              <w:rPr/>
            </w:pPr>
            <w:r>
              <w:rPr/>
              <w:t> </w:t>
            </w:r>
          </w:p>
        </w:tc>
        <w:tc>
          <w:tcPr>
            <w:tcW w:w="254" w:type="dxa"/>
            <w:tcBorders/>
            <w:shd w:fill="CCEEFF" w:val="clear"/>
            <w:vAlign w:val="center"/>
          </w:tcPr>
          <w:p>
            <w:pPr>
              <w:pStyle w:val="TableContents"/>
              <w:spacing w:before="0" w:after="283"/>
              <w:rPr/>
            </w:pPr>
            <w:r>
              <w:rPr/>
              <w:t> </w:t>
            </w:r>
          </w:p>
        </w:tc>
        <w:tc>
          <w:tcPr>
            <w:tcW w:w="82" w:type="dxa"/>
            <w:tcBorders/>
            <w:shd w:fill="CCEEFF" w:val="clear"/>
            <w:vAlign w:val="center"/>
          </w:tcPr>
          <w:p>
            <w:pPr>
              <w:pStyle w:val="TableContents"/>
              <w:spacing w:before="0" w:after="283"/>
              <w:rPr/>
            </w:pPr>
            <w:r>
              <w:rPr/>
              <w:t> </w:t>
            </w:r>
          </w:p>
        </w:tc>
        <w:tc>
          <w:tcPr>
            <w:tcW w:w="87" w:type="dxa"/>
            <w:tcBorders/>
            <w:shd w:fill="CCEEFF" w:val="clear"/>
            <w:vAlign w:val="center"/>
          </w:tcPr>
          <w:p>
            <w:pPr>
              <w:pStyle w:val="TableContents"/>
              <w:spacing w:before="0" w:after="283"/>
              <w:rPr/>
            </w:pPr>
            <w:r>
              <w:rPr/>
              <w:t> </w:t>
            </w:r>
          </w:p>
        </w:tc>
        <w:tc>
          <w:tcPr>
            <w:tcW w:w="712" w:type="dxa"/>
            <w:tcBorders/>
            <w:shd w:fill="CCEEFF" w:val="clear"/>
            <w:vAlign w:val="center"/>
          </w:tcPr>
          <w:p>
            <w:pPr>
              <w:pStyle w:val="TableContents"/>
              <w:spacing w:before="0" w:after="283"/>
              <w:rPr/>
            </w:pPr>
            <w:r>
              <w:rPr/>
              <w:t> </w:t>
            </w:r>
          </w:p>
        </w:tc>
        <w:tc>
          <w:tcPr>
            <w:tcW w:w="18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1" w:type="dxa"/>
            <w:tcBorders/>
            <w:shd w:fill="CCEEFF" w:val="clear"/>
            <w:vAlign w:val="center"/>
          </w:tcPr>
          <w:p>
            <w:pPr>
              <w:pStyle w:val="TableContents"/>
              <w:spacing w:before="0" w:after="283"/>
              <w:rPr/>
            </w:pPr>
            <w:r>
              <w:rPr/>
              <w:t> </w:t>
            </w:r>
          </w:p>
        </w:tc>
        <w:tc>
          <w:tcPr>
            <w:tcW w:w="737" w:type="dxa"/>
            <w:tcBorders/>
            <w:shd w:fill="CCEEFF" w:val="clear"/>
            <w:vAlign w:val="center"/>
          </w:tcPr>
          <w:p>
            <w:pPr>
              <w:pStyle w:val="TableContents"/>
              <w:spacing w:before="0" w:after="283"/>
              <w:rPr/>
            </w:pPr>
            <w:r>
              <w:rPr/>
              <w:t> </w:t>
            </w:r>
          </w:p>
        </w:tc>
        <w:tc>
          <w:tcPr>
            <w:tcW w:w="281" w:type="dxa"/>
            <w:tcBorders/>
            <w:shd w:fill="CCEEFF" w:val="clear"/>
            <w:vAlign w:val="center"/>
          </w:tcPr>
          <w:p>
            <w:pPr>
              <w:pStyle w:val="TableContents"/>
              <w:spacing w:before="0" w:after="283"/>
              <w:rPr/>
            </w:pPr>
            <w:r>
              <w:rPr/>
              <w:t> </w:t>
            </w:r>
          </w:p>
        </w:tc>
        <w:tc>
          <w:tcPr>
            <w:tcW w:w="91" w:type="dxa"/>
            <w:tcBorders/>
            <w:shd w:fill="CCEEFF" w:val="clear"/>
            <w:vAlign w:val="center"/>
          </w:tcPr>
          <w:p>
            <w:pPr>
              <w:pStyle w:val="TableContents"/>
              <w:spacing w:before="0" w:after="283"/>
              <w:rPr/>
            </w:pPr>
            <w:r>
              <w:rPr/>
              <w:t> </w:t>
            </w:r>
          </w:p>
        </w:tc>
        <w:tc>
          <w:tcPr>
            <w:tcW w:w="91" w:type="dxa"/>
            <w:tcBorders/>
            <w:shd w:fill="CCEEFF" w:val="clear"/>
            <w:vAlign w:val="center"/>
          </w:tcPr>
          <w:p>
            <w:pPr>
              <w:pStyle w:val="TableContents"/>
              <w:spacing w:before="0" w:after="283"/>
              <w:rPr/>
            </w:pPr>
            <w:r>
              <w:rPr/>
              <w:t> </w:t>
            </w:r>
          </w:p>
        </w:tc>
        <w:tc>
          <w:tcPr>
            <w:tcW w:w="737" w:type="dxa"/>
            <w:tcBorders/>
            <w:shd w:fill="CCEEFF" w:val="clear"/>
            <w:vAlign w:val="center"/>
          </w:tcPr>
          <w:p>
            <w:pPr>
              <w:pStyle w:val="TableContents"/>
              <w:spacing w:before="0" w:after="283"/>
              <w:rPr/>
            </w:pPr>
            <w:r>
              <w:rPr/>
              <w:t> </w:t>
            </w:r>
          </w:p>
        </w:tc>
        <w:tc>
          <w:tcPr>
            <w:tcW w:w="185" w:type="dxa"/>
            <w:tcBorders/>
            <w:shd w:fill="CCEEFF" w:val="clear"/>
            <w:vAlign w:val="center"/>
          </w:tcPr>
          <w:p>
            <w:pPr>
              <w:pStyle w:val="TableContents"/>
              <w:spacing w:before="0" w:after="283"/>
              <w:rPr/>
            </w:pPr>
            <w:r>
              <w:rPr/>
              <w:t> </w:t>
            </w:r>
          </w:p>
        </w:tc>
      </w:tr>
      <w:tr>
        <w:trPr/>
        <w:tc>
          <w:tcPr>
            <w:tcW w:w="4490"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Net retail sales</w:t>
            </w:r>
          </w:p>
        </w:tc>
        <w:tc>
          <w:tcPr>
            <w:tcW w:w="60" w:type="dxa"/>
            <w:tcBorders/>
            <w:shd w:fill="FFFFFF" w:val="clear"/>
            <w:vAlign w:val="center"/>
          </w:tcPr>
          <w:p>
            <w:pPr>
              <w:pStyle w:val="TableContents"/>
              <w:spacing w:before="0" w:after="283"/>
              <w:rPr/>
            </w:pPr>
            <w:r>
              <w:rPr/>
              <w:t> </w:t>
            </w:r>
          </w:p>
        </w:tc>
        <w:tc>
          <w:tcPr>
            <w:tcW w:w="82" w:type="dxa"/>
            <w:tcBorders/>
            <w:shd w:fill="FFFFFF" w:val="clear"/>
            <w:vAlign w:val="center"/>
          </w:tcPr>
          <w:p>
            <w:pPr>
              <w:pStyle w:val="TableContents"/>
              <w:spacing w:before="0" w:after="283"/>
              <w:ind w:left="0" w:right="0" w:hanging="0"/>
              <w:rPr/>
            </w:pPr>
            <w:r>
              <w:rPr/>
              <w:t> </w:t>
            </w:r>
          </w:p>
        </w:tc>
        <w:tc>
          <w:tcPr>
            <w:tcW w:w="66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96.4</w:t>
            </w:r>
          </w:p>
        </w:tc>
        <w:tc>
          <w:tcPr>
            <w:tcW w:w="254"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82" w:type="dxa"/>
            <w:tcBorders/>
            <w:shd w:fill="FFFFFF" w:val="clear"/>
            <w:vAlign w:val="center"/>
          </w:tcPr>
          <w:p>
            <w:pPr>
              <w:pStyle w:val="TableContents"/>
              <w:spacing w:before="0" w:after="283"/>
              <w:rPr/>
            </w:pPr>
            <w:r>
              <w:rPr/>
              <w:t> </w:t>
            </w:r>
          </w:p>
        </w:tc>
        <w:tc>
          <w:tcPr>
            <w:tcW w:w="87" w:type="dxa"/>
            <w:tcBorders/>
            <w:shd w:fill="FFFFFF" w:val="clear"/>
            <w:vAlign w:val="center"/>
          </w:tcPr>
          <w:p>
            <w:pPr>
              <w:pStyle w:val="TableContents"/>
              <w:spacing w:before="0" w:after="283"/>
              <w:ind w:left="0" w:right="0" w:hanging="0"/>
              <w:rPr/>
            </w:pPr>
            <w:r>
              <w:rPr/>
              <w:t> </w:t>
            </w:r>
          </w:p>
        </w:tc>
        <w:tc>
          <w:tcPr>
            <w:tcW w:w="712"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97.5</w:t>
            </w:r>
          </w:p>
        </w:tc>
        <w:tc>
          <w:tcPr>
            <w:tcW w:w="18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91" w:type="dxa"/>
            <w:tcBorders/>
            <w:shd w:fill="FFFFFF" w:val="clear"/>
            <w:vAlign w:val="center"/>
          </w:tcPr>
          <w:p>
            <w:pPr>
              <w:pStyle w:val="TableContents"/>
              <w:spacing w:before="0" w:after="283"/>
              <w:ind w:left="0" w:right="0" w:hanging="0"/>
              <w:rPr/>
            </w:pPr>
            <w:r>
              <w:rPr/>
              <w:t> </w:t>
            </w:r>
          </w:p>
        </w:tc>
        <w:tc>
          <w:tcPr>
            <w:tcW w:w="737"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96.8</w:t>
            </w:r>
          </w:p>
        </w:tc>
        <w:tc>
          <w:tcPr>
            <w:tcW w:w="281"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91" w:type="dxa"/>
            <w:tcBorders/>
            <w:shd w:fill="FFFFFF" w:val="clear"/>
            <w:vAlign w:val="center"/>
          </w:tcPr>
          <w:p>
            <w:pPr>
              <w:pStyle w:val="TableContents"/>
              <w:spacing w:before="0" w:after="283"/>
              <w:rPr/>
            </w:pPr>
            <w:r>
              <w:rPr/>
              <w:t> </w:t>
            </w:r>
          </w:p>
        </w:tc>
        <w:tc>
          <w:tcPr>
            <w:tcW w:w="91" w:type="dxa"/>
            <w:tcBorders/>
            <w:shd w:fill="FFFFFF" w:val="clear"/>
            <w:vAlign w:val="center"/>
          </w:tcPr>
          <w:p>
            <w:pPr>
              <w:pStyle w:val="TableContents"/>
              <w:spacing w:before="0" w:after="283"/>
              <w:ind w:left="0" w:right="0" w:hanging="0"/>
              <w:rPr/>
            </w:pPr>
            <w:r>
              <w:rPr/>
              <w:t> </w:t>
            </w:r>
          </w:p>
        </w:tc>
        <w:tc>
          <w:tcPr>
            <w:tcW w:w="737"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97.7</w:t>
            </w:r>
          </w:p>
        </w:tc>
        <w:tc>
          <w:tcPr>
            <w:tcW w:w="18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4490"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Commercial revenue</w:t>
            </w:r>
          </w:p>
        </w:tc>
        <w:tc>
          <w:tcPr>
            <w:tcW w:w="60" w:type="dxa"/>
            <w:tcBorders/>
            <w:shd w:fill="CCEEFF" w:val="clear"/>
            <w:vAlign w:val="center"/>
          </w:tcPr>
          <w:p>
            <w:pPr>
              <w:pStyle w:val="TableContents"/>
              <w:spacing w:before="0" w:after="283"/>
              <w:rPr/>
            </w:pPr>
            <w:r>
              <w:rPr/>
              <w:t> </w:t>
            </w:r>
          </w:p>
        </w:tc>
        <w:tc>
          <w:tcPr>
            <w:tcW w:w="82" w:type="dxa"/>
            <w:tcBorders/>
            <w:shd w:fill="CCEEFF" w:val="clear"/>
            <w:vAlign w:val="center"/>
          </w:tcPr>
          <w:p>
            <w:pPr>
              <w:pStyle w:val="TableContents"/>
              <w:spacing w:before="0" w:after="283"/>
              <w:ind w:left="0" w:right="0" w:hanging="0"/>
              <w:rPr/>
            </w:pPr>
            <w:r>
              <w:rPr/>
              <w:t> </w:t>
            </w:r>
          </w:p>
        </w:tc>
        <w:tc>
          <w:tcPr>
            <w:tcW w:w="66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3.1</w:t>
            </w:r>
          </w:p>
        </w:tc>
        <w:tc>
          <w:tcPr>
            <w:tcW w:w="254" w:type="dxa"/>
            <w:tcBorders/>
            <w:shd w:fill="CCEEFF" w:val="clear"/>
            <w:vAlign w:val="center"/>
          </w:tcPr>
          <w:p>
            <w:pPr>
              <w:pStyle w:val="TableContents"/>
              <w:spacing w:before="0" w:after="283"/>
              <w:rPr/>
            </w:pPr>
            <w:r>
              <w:rPr/>
              <w:t> </w:t>
            </w:r>
          </w:p>
        </w:tc>
        <w:tc>
          <w:tcPr>
            <w:tcW w:w="82" w:type="dxa"/>
            <w:tcBorders/>
            <w:shd w:fill="CCEEFF" w:val="clear"/>
            <w:vAlign w:val="center"/>
          </w:tcPr>
          <w:p>
            <w:pPr>
              <w:pStyle w:val="TableContents"/>
              <w:spacing w:before="0" w:after="283"/>
              <w:rPr/>
            </w:pPr>
            <w:r>
              <w:rPr/>
              <w:t> </w:t>
            </w:r>
          </w:p>
        </w:tc>
        <w:tc>
          <w:tcPr>
            <w:tcW w:w="87" w:type="dxa"/>
            <w:tcBorders/>
            <w:shd w:fill="CCEEFF" w:val="clear"/>
            <w:vAlign w:val="center"/>
          </w:tcPr>
          <w:p>
            <w:pPr>
              <w:pStyle w:val="TableContents"/>
              <w:spacing w:before="0" w:after="283"/>
              <w:ind w:left="0" w:right="0" w:hanging="0"/>
              <w:rPr/>
            </w:pPr>
            <w:r>
              <w:rPr/>
              <w:t> </w:t>
            </w:r>
          </w:p>
        </w:tc>
        <w:tc>
          <w:tcPr>
            <w:tcW w:w="71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w:t>
            </w:r>
          </w:p>
        </w:tc>
        <w:tc>
          <w:tcPr>
            <w:tcW w:w="18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1" w:type="dxa"/>
            <w:tcBorders/>
            <w:shd w:fill="CCEEFF" w:val="clear"/>
            <w:vAlign w:val="center"/>
          </w:tcPr>
          <w:p>
            <w:pPr>
              <w:pStyle w:val="TableContents"/>
              <w:spacing w:before="0" w:after="283"/>
              <w:ind w:left="0" w:right="0" w:hanging="0"/>
              <w:rPr/>
            </w:pPr>
            <w:r>
              <w:rPr/>
              <w:t> </w:t>
            </w:r>
          </w:p>
        </w:tc>
        <w:tc>
          <w:tcPr>
            <w:tcW w:w="737"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w:t>
            </w:r>
          </w:p>
        </w:tc>
        <w:tc>
          <w:tcPr>
            <w:tcW w:w="281" w:type="dxa"/>
            <w:tcBorders/>
            <w:shd w:fill="CCEEFF" w:val="clear"/>
            <w:vAlign w:val="center"/>
          </w:tcPr>
          <w:p>
            <w:pPr>
              <w:pStyle w:val="TableContents"/>
              <w:spacing w:before="0" w:after="283"/>
              <w:rPr/>
            </w:pPr>
            <w:r>
              <w:rPr/>
              <w:t> </w:t>
            </w:r>
          </w:p>
        </w:tc>
        <w:tc>
          <w:tcPr>
            <w:tcW w:w="91" w:type="dxa"/>
            <w:tcBorders/>
            <w:shd w:fill="CCEEFF" w:val="clear"/>
            <w:vAlign w:val="center"/>
          </w:tcPr>
          <w:p>
            <w:pPr>
              <w:pStyle w:val="TableContents"/>
              <w:spacing w:before="0" w:after="283"/>
              <w:rPr/>
            </w:pPr>
            <w:r>
              <w:rPr/>
              <w:t> </w:t>
            </w:r>
          </w:p>
        </w:tc>
        <w:tc>
          <w:tcPr>
            <w:tcW w:w="91" w:type="dxa"/>
            <w:tcBorders/>
            <w:shd w:fill="CCEEFF" w:val="clear"/>
            <w:vAlign w:val="center"/>
          </w:tcPr>
          <w:p>
            <w:pPr>
              <w:pStyle w:val="TableContents"/>
              <w:spacing w:before="0" w:after="283"/>
              <w:ind w:left="0" w:right="0" w:hanging="0"/>
              <w:rPr/>
            </w:pPr>
            <w:r>
              <w:rPr/>
              <w:t> </w:t>
            </w:r>
          </w:p>
        </w:tc>
        <w:tc>
          <w:tcPr>
            <w:tcW w:w="737"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w:t>
            </w:r>
          </w:p>
        </w:tc>
        <w:tc>
          <w:tcPr>
            <w:tcW w:w="185" w:type="dxa"/>
            <w:tcBorders/>
            <w:shd w:fill="CCEEFF" w:val="clear"/>
            <w:vAlign w:val="center"/>
          </w:tcPr>
          <w:p>
            <w:pPr>
              <w:pStyle w:val="TableContents"/>
              <w:spacing w:before="0" w:after="283"/>
              <w:rPr/>
            </w:pPr>
            <w:r>
              <w:rPr/>
              <w:t> </w:t>
            </w:r>
          </w:p>
        </w:tc>
      </w:tr>
      <w:tr>
        <w:trPr/>
        <w:tc>
          <w:tcPr>
            <w:tcW w:w="4490"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International franchising</w:t>
            </w:r>
          </w:p>
        </w:tc>
        <w:tc>
          <w:tcPr>
            <w:tcW w:w="60" w:type="dxa"/>
            <w:tcBorders/>
            <w:shd w:fill="FFFFFF" w:val="clear"/>
            <w:vAlign w:val="center"/>
          </w:tcPr>
          <w:p>
            <w:pPr>
              <w:pStyle w:val="TableContents"/>
              <w:spacing w:before="0" w:after="283"/>
              <w:rPr/>
            </w:pPr>
            <w:r>
              <w:rPr/>
              <w:t> </w:t>
            </w:r>
          </w:p>
        </w:tc>
        <w:tc>
          <w:tcPr>
            <w:tcW w:w="82"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66"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0.5</w:t>
            </w:r>
          </w:p>
        </w:tc>
        <w:tc>
          <w:tcPr>
            <w:tcW w:w="254" w:type="dxa"/>
            <w:tcBorders/>
            <w:shd w:fill="FFFFFF" w:val="clear"/>
            <w:vAlign w:val="center"/>
          </w:tcPr>
          <w:p>
            <w:pPr>
              <w:pStyle w:val="TableContents"/>
              <w:spacing w:before="0" w:after="283"/>
              <w:rPr/>
            </w:pPr>
            <w:r>
              <w:rPr/>
              <w:t> </w:t>
            </w:r>
          </w:p>
        </w:tc>
        <w:tc>
          <w:tcPr>
            <w:tcW w:w="82" w:type="dxa"/>
            <w:tcBorders/>
            <w:shd w:fill="FFFFFF" w:val="clear"/>
            <w:vAlign w:val="center"/>
          </w:tcPr>
          <w:p>
            <w:pPr>
              <w:pStyle w:val="TableContents"/>
              <w:spacing w:before="0" w:after="283"/>
              <w:rPr/>
            </w:pPr>
            <w:r>
              <w:rPr/>
              <w:t> </w:t>
            </w:r>
          </w:p>
        </w:tc>
        <w:tc>
          <w:tcPr>
            <w:tcW w:w="87"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12"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0.4</w:t>
            </w:r>
          </w:p>
        </w:tc>
        <w:tc>
          <w:tcPr>
            <w:tcW w:w="1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91"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37"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0.5</w:t>
            </w:r>
          </w:p>
        </w:tc>
        <w:tc>
          <w:tcPr>
            <w:tcW w:w="281" w:type="dxa"/>
            <w:tcBorders/>
            <w:shd w:fill="FFFFFF" w:val="clear"/>
            <w:vAlign w:val="center"/>
          </w:tcPr>
          <w:p>
            <w:pPr>
              <w:pStyle w:val="TableContents"/>
              <w:spacing w:before="0" w:after="283"/>
              <w:rPr/>
            </w:pPr>
            <w:r>
              <w:rPr/>
              <w:t> </w:t>
            </w:r>
          </w:p>
        </w:tc>
        <w:tc>
          <w:tcPr>
            <w:tcW w:w="91" w:type="dxa"/>
            <w:tcBorders/>
            <w:shd w:fill="FFFFFF" w:val="clear"/>
            <w:vAlign w:val="center"/>
          </w:tcPr>
          <w:p>
            <w:pPr>
              <w:pStyle w:val="TableContents"/>
              <w:spacing w:before="0" w:after="283"/>
              <w:rPr/>
            </w:pPr>
            <w:r>
              <w:rPr/>
              <w:t> </w:t>
            </w:r>
          </w:p>
        </w:tc>
        <w:tc>
          <w:tcPr>
            <w:tcW w:w="91"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37"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0.9</w:t>
            </w:r>
          </w:p>
        </w:tc>
        <w:tc>
          <w:tcPr>
            <w:tcW w:w="185" w:type="dxa"/>
            <w:tcBorders/>
            <w:shd w:fill="FFFFFF" w:val="clear"/>
            <w:vAlign w:val="center"/>
          </w:tcPr>
          <w:p>
            <w:pPr>
              <w:pStyle w:val="TableContents"/>
              <w:spacing w:before="0" w:after="283"/>
              <w:rPr/>
            </w:pPr>
            <w:r>
              <w:rPr/>
              <w:t> </w:t>
            </w:r>
          </w:p>
        </w:tc>
      </w:tr>
      <w:tr>
        <w:trPr/>
        <w:tc>
          <w:tcPr>
            <w:tcW w:w="4490"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Total revenues</w:t>
            </w:r>
          </w:p>
        </w:tc>
        <w:tc>
          <w:tcPr>
            <w:tcW w:w="60" w:type="dxa"/>
            <w:tcBorders/>
            <w:shd w:fill="CCEEFF" w:val="clear"/>
            <w:vAlign w:val="center"/>
          </w:tcPr>
          <w:p>
            <w:pPr>
              <w:pStyle w:val="TableContents"/>
              <w:spacing w:before="0" w:after="283"/>
              <w:rPr/>
            </w:pPr>
            <w:r>
              <w:rPr/>
              <w:t> </w:t>
            </w:r>
          </w:p>
        </w:tc>
        <w:tc>
          <w:tcPr>
            <w:tcW w:w="82"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66"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100.0</w:t>
            </w:r>
          </w:p>
        </w:tc>
        <w:tc>
          <w:tcPr>
            <w:tcW w:w="254" w:type="dxa"/>
            <w:tcBorders/>
            <w:shd w:fill="CCEEFF" w:val="clear"/>
            <w:vAlign w:val="center"/>
          </w:tcPr>
          <w:p>
            <w:pPr>
              <w:pStyle w:val="TableContents"/>
              <w:spacing w:before="0" w:after="283"/>
              <w:rPr/>
            </w:pPr>
            <w:r>
              <w:rPr/>
              <w:t> </w:t>
            </w:r>
          </w:p>
        </w:tc>
        <w:tc>
          <w:tcPr>
            <w:tcW w:w="82" w:type="dxa"/>
            <w:tcBorders/>
            <w:shd w:fill="CCEEFF" w:val="clear"/>
            <w:vAlign w:val="center"/>
          </w:tcPr>
          <w:p>
            <w:pPr>
              <w:pStyle w:val="TableContents"/>
              <w:spacing w:before="0" w:after="283"/>
              <w:rPr/>
            </w:pPr>
            <w:r>
              <w:rPr/>
              <w:t> </w:t>
            </w:r>
          </w:p>
        </w:tc>
        <w:tc>
          <w:tcPr>
            <w:tcW w:w="87"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712"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100.0</w:t>
            </w:r>
          </w:p>
        </w:tc>
        <w:tc>
          <w:tcPr>
            <w:tcW w:w="18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1"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737"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100.0</w:t>
            </w:r>
          </w:p>
        </w:tc>
        <w:tc>
          <w:tcPr>
            <w:tcW w:w="281" w:type="dxa"/>
            <w:tcBorders/>
            <w:shd w:fill="CCEEFF" w:val="clear"/>
            <w:vAlign w:val="center"/>
          </w:tcPr>
          <w:p>
            <w:pPr>
              <w:pStyle w:val="TableContents"/>
              <w:spacing w:before="0" w:after="283"/>
              <w:rPr/>
            </w:pPr>
            <w:r>
              <w:rPr/>
              <w:t> </w:t>
            </w:r>
          </w:p>
        </w:tc>
        <w:tc>
          <w:tcPr>
            <w:tcW w:w="91" w:type="dxa"/>
            <w:tcBorders/>
            <w:shd w:fill="CCEEFF" w:val="clear"/>
            <w:vAlign w:val="center"/>
          </w:tcPr>
          <w:p>
            <w:pPr>
              <w:pStyle w:val="TableContents"/>
              <w:spacing w:before="0" w:after="283"/>
              <w:rPr/>
            </w:pPr>
            <w:r>
              <w:rPr/>
              <w:t> </w:t>
            </w:r>
          </w:p>
        </w:tc>
        <w:tc>
          <w:tcPr>
            <w:tcW w:w="91"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737"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100.0</w:t>
            </w:r>
          </w:p>
        </w:tc>
        <w:tc>
          <w:tcPr>
            <w:tcW w:w="185" w:type="dxa"/>
            <w:tcBorders/>
            <w:shd w:fill="CCEEFF" w:val="clear"/>
            <w:vAlign w:val="center"/>
          </w:tcPr>
          <w:p>
            <w:pPr>
              <w:pStyle w:val="TableContents"/>
              <w:spacing w:before="0" w:after="283"/>
              <w:rPr/>
            </w:pPr>
            <w:r>
              <w:rPr/>
              <w:t> </w:t>
            </w:r>
          </w:p>
        </w:tc>
      </w:tr>
      <w:tr>
        <w:trPr/>
        <w:tc>
          <w:tcPr>
            <w:tcW w:w="449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82" w:type="dxa"/>
            <w:tcBorders/>
            <w:shd w:fill="FFFFFF" w:val="clear"/>
            <w:vAlign w:val="center"/>
          </w:tcPr>
          <w:p>
            <w:pPr>
              <w:pStyle w:val="TableContents"/>
              <w:spacing w:before="0" w:after="283"/>
              <w:rPr/>
            </w:pPr>
            <w:r>
              <w:rPr/>
              <w:t> </w:t>
            </w:r>
          </w:p>
        </w:tc>
        <w:tc>
          <w:tcPr>
            <w:tcW w:w="666" w:type="dxa"/>
            <w:tcBorders/>
            <w:shd w:fill="FFFFFF" w:val="clear"/>
            <w:vAlign w:val="center"/>
          </w:tcPr>
          <w:p>
            <w:pPr>
              <w:pStyle w:val="TableContents"/>
              <w:spacing w:before="0" w:after="283"/>
              <w:rPr/>
            </w:pPr>
            <w:r>
              <w:rPr/>
              <w:t> </w:t>
            </w:r>
          </w:p>
        </w:tc>
        <w:tc>
          <w:tcPr>
            <w:tcW w:w="254" w:type="dxa"/>
            <w:tcBorders/>
            <w:shd w:fill="FFFFFF" w:val="clear"/>
            <w:vAlign w:val="center"/>
          </w:tcPr>
          <w:p>
            <w:pPr>
              <w:pStyle w:val="TableContents"/>
              <w:spacing w:before="0" w:after="283"/>
              <w:rPr/>
            </w:pPr>
            <w:r>
              <w:rPr/>
              <w:t> </w:t>
            </w:r>
          </w:p>
        </w:tc>
        <w:tc>
          <w:tcPr>
            <w:tcW w:w="82" w:type="dxa"/>
            <w:tcBorders/>
            <w:shd w:fill="FFFFFF" w:val="clear"/>
            <w:vAlign w:val="center"/>
          </w:tcPr>
          <w:p>
            <w:pPr>
              <w:pStyle w:val="TableContents"/>
              <w:spacing w:before="0" w:after="283"/>
              <w:rPr/>
            </w:pPr>
            <w:r>
              <w:rPr/>
              <w:t> </w:t>
            </w:r>
          </w:p>
        </w:tc>
        <w:tc>
          <w:tcPr>
            <w:tcW w:w="87" w:type="dxa"/>
            <w:tcBorders/>
            <w:shd w:fill="FFFFFF" w:val="clear"/>
            <w:vAlign w:val="center"/>
          </w:tcPr>
          <w:p>
            <w:pPr>
              <w:pStyle w:val="TableContents"/>
              <w:spacing w:before="0" w:after="283"/>
              <w:rPr/>
            </w:pPr>
            <w:r>
              <w:rPr/>
              <w:t> </w:t>
            </w:r>
          </w:p>
        </w:tc>
        <w:tc>
          <w:tcPr>
            <w:tcW w:w="712" w:type="dxa"/>
            <w:tcBorders/>
            <w:shd w:fill="FFFFFF" w:val="clear"/>
            <w:vAlign w:val="center"/>
          </w:tcPr>
          <w:p>
            <w:pPr>
              <w:pStyle w:val="TableContents"/>
              <w:spacing w:before="0" w:after="283"/>
              <w:rPr/>
            </w:pPr>
            <w:r>
              <w:rPr/>
              <w:t> </w:t>
            </w:r>
          </w:p>
        </w:tc>
        <w:tc>
          <w:tcPr>
            <w:tcW w:w="1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91" w:type="dxa"/>
            <w:tcBorders/>
            <w:shd w:fill="FFFFFF" w:val="clear"/>
            <w:vAlign w:val="center"/>
          </w:tcPr>
          <w:p>
            <w:pPr>
              <w:pStyle w:val="TableContents"/>
              <w:spacing w:before="0" w:after="283"/>
              <w:rPr/>
            </w:pPr>
            <w:r>
              <w:rPr/>
              <w:t> </w:t>
            </w:r>
          </w:p>
        </w:tc>
        <w:tc>
          <w:tcPr>
            <w:tcW w:w="737" w:type="dxa"/>
            <w:tcBorders/>
            <w:shd w:fill="FFFFFF" w:val="clear"/>
            <w:vAlign w:val="center"/>
          </w:tcPr>
          <w:p>
            <w:pPr>
              <w:pStyle w:val="TableContents"/>
              <w:spacing w:before="0" w:after="283"/>
              <w:rPr/>
            </w:pPr>
            <w:r>
              <w:rPr/>
              <w:t> </w:t>
            </w:r>
          </w:p>
        </w:tc>
        <w:tc>
          <w:tcPr>
            <w:tcW w:w="281" w:type="dxa"/>
            <w:tcBorders/>
            <w:shd w:fill="FFFFFF" w:val="clear"/>
            <w:vAlign w:val="center"/>
          </w:tcPr>
          <w:p>
            <w:pPr>
              <w:pStyle w:val="TableContents"/>
              <w:spacing w:before="0" w:after="283"/>
              <w:rPr/>
            </w:pPr>
            <w:r>
              <w:rPr/>
              <w:t> </w:t>
            </w:r>
          </w:p>
        </w:tc>
        <w:tc>
          <w:tcPr>
            <w:tcW w:w="91" w:type="dxa"/>
            <w:tcBorders/>
            <w:shd w:fill="FFFFFF" w:val="clear"/>
            <w:vAlign w:val="center"/>
          </w:tcPr>
          <w:p>
            <w:pPr>
              <w:pStyle w:val="TableContents"/>
              <w:spacing w:before="0" w:after="283"/>
              <w:rPr/>
            </w:pPr>
            <w:r>
              <w:rPr/>
              <w:t> </w:t>
            </w:r>
          </w:p>
        </w:tc>
        <w:tc>
          <w:tcPr>
            <w:tcW w:w="91" w:type="dxa"/>
            <w:tcBorders/>
            <w:shd w:fill="FFFFFF" w:val="clear"/>
            <w:vAlign w:val="center"/>
          </w:tcPr>
          <w:p>
            <w:pPr>
              <w:pStyle w:val="TableContents"/>
              <w:spacing w:before="0" w:after="283"/>
              <w:rPr/>
            </w:pPr>
            <w:r>
              <w:rPr/>
              <w:t> </w:t>
            </w:r>
          </w:p>
        </w:tc>
        <w:tc>
          <w:tcPr>
            <w:tcW w:w="737" w:type="dxa"/>
            <w:tcBorders/>
            <w:shd w:fill="FFFFFF" w:val="clear"/>
            <w:vAlign w:val="center"/>
          </w:tcPr>
          <w:p>
            <w:pPr>
              <w:pStyle w:val="TableContents"/>
              <w:spacing w:before="0" w:after="283"/>
              <w:rPr/>
            </w:pPr>
            <w:r>
              <w:rPr/>
              <w:t> </w:t>
            </w:r>
          </w:p>
        </w:tc>
        <w:tc>
          <w:tcPr>
            <w:tcW w:w="185" w:type="dxa"/>
            <w:tcBorders/>
            <w:shd w:fill="FFFFFF" w:val="clear"/>
            <w:vAlign w:val="center"/>
          </w:tcPr>
          <w:p>
            <w:pPr>
              <w:pStyle w:val="TableContents"/>
              <w:spacing w:before="0" w:after="283"/>
              <w:rPr/>
            </w:pPr>
            <w:r>
              <w:rPr/>
              <w:t> </w:t>
            </w:r>
          </w:p>
        </w:tc>
      </w:tr>
      <w:tr>
        <w:trPr/>
        <w:tc>
          <w:tcPr>
            <w:tcW w:w="449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Costs and expenses:</w:t>
            </w:r>
          </w:p>
        </w:tc>
        <w:tc>
          <w:tcPr>
            <w:tcW w:w="60" w:type="dxa"/>
            <w:tcBorders/>
            <w:shd w:fill="CCEEFF" w:val="clear"/>
            <w:vAlign w:val="center"/>
          </w:tcPr>
          <w:p>
            <w:pPr>
              <w:pStyle w:val="TableContents"/>
              <w:spacing w:before="0" w:after="283"/>
              <w:rPr/>
            </w:pPr>
            <w:r>
              <w:rPr/>
              <w:t> </w:t>
            </w:r>
          </w:p>
        </w:tc>
        <w:tc>
          <w:tcPr>
            <w:tcW w:w="82" w:type="dxa"/>
            <w:tcBorders/>
            <w:shd w:fill="CCEEFF" w:val="clear"/>
            <w:vAlign w:val="center"/>
          </w:tcPr>
          <w:p>
            <w:pPr>
              <w:pStyle w:val="TableContents"/>
              <w:spacing w:before="0" w:after="283"/>
              <w:rPr/>
            </w:pPr>
            <w:r>
              <w:rPr/>
              <w:t> </w:t>
            </w:r>
          </w:p>
        </w:tc>
        <w:tc>
          <w:tcPr>
            <w:tcW w:w="666" w:type="dxa"/>
            <w:tcBorders/>
            <w:shd w:fill="CCEEFF" w:val="clear"/>
            <w:vAlign w:val="center"/>
          </w:tcPr>
          <w:p>
            <w:pPr>
              <w:pStyle w:val="TableContents"/>
              <w:spacing w:before="0" w:after="283"/>
              <w:rPr/>
            </w:pPr>
            <w:r>
              <w:rPr/>
              <w:t> </w:t>
            </w:r>
          </w:p>
        </w:tc>
        <w:tc>
          <w:tcPr>
            <w:tcW w:w="254" w:type="dxa"/>
            <w:tcBorders/>
            <w:shd w:fill="CCEEFF" w:val="clear"/>
            <w:vAlign w:val="center"/>
          </w:tcPr>
          <w:p>
            <w:pPr>
              <w:pStyle w:val="TableContents"/>
              <w:spacing w:before="0" w:after="283"/>
              <w:rPr/>
            </w:pPr>
            <w:r>
              <w:rPr/>
              <w:t> </w:t>
            </w:r>
          </w:p>
        </w:tc>
        <w:tc>
          <w:tcPr>
            <w:tcW w:w="82" w:type="dxa"/>
            <w:tcBorders/>
            <w:shd w:fill="CCEEFF" w:val="clear"/>
            <w:vAlign w:val="center"/>
          </w:tcPr>
          <w:p>
            <w:pPr>
              <w:pStyle w:val="TableContents"/>
              <w:spacing w:before="0" w:after="283"/>
              <w:rPr/>
            </w:pPr>
            <w:r>
              <w:rPr/>
              <w:t> </w:t>
            </w:r>
          </w:p>
        </w:tc>
        <w:tc>
          <w:tcPr>
            <w:tcW w:w="87" w:type="dxa"/>
            <w:tcBorders/>
            <w:shd w:fill="CCEEFF" w:val="clear"/>
            <w:vAlign w:val="center"/>
          </w:tcPr>
          <w:p>
            <w:pPr>
              <w:pStyle w:val="TableContents"/>
              <w:spacing w:before="0" w:after="283"/>
              <w:rPr/>
            </w:pPr>
            <w:r>
              <w:rPr/>
              <w:t> </w:t>
            </w:r>
          </w:p>
        </w:tc>
        <w:tc>
          <w:tcPr>
            <w:tcW w:w="712" w:type="dxa"/>
            <w:tcBorders/>
            <w:shd w:fill="CCEEFF" w:val="clear"/>
            <w:vAlign w:val="center"/>
          </w:tcPr>
          <w:p>
            <w:pPr>
              <w:pStyle w:val="TableContents"/>
              <w:spacing w:before="0" w:after="283"/>
              <w:rPr/>
            </w:pPr>
            <w:r>
              <w:rPr/>
              <w:t> </w:t>
            </w:r>
          </w:p>
        </w:tc>
        <w:tc>
          <w:tcPr>
            <w:tcW w:w="18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1" w:type="dxa"/>
            <w:tcBorders/>
            <w:shd w:fill="CCEEFF" w:val="clear"/>
            <w:vAlign w:val="center"/>
          </w:tcPr>
          <w:p>
            <w:pPr>
              <w:pStyle w:val="TableContents"/>
              <w:spacing w:before="0" w:after="283"/>
              <w:rPr/>
            </w:pPr>
            <w:r>
              <w:rPr/>
              <w:t> </w:t>
            </w:r>
          </w:p>
        </w:tc>
        <w:tc>
          <w:tcPr>
            <w:tcW w:w="737" w:type="dxa"/>
            <w:tcBorders/>
            <w:shd w:fill="CCEEFF" w:val="clear"/>
            <w:vAlign w:val="center"/>
          </w:tcPr>
          <w:p>
            <w:pPr>
              <w:pStyle w:val="TableContents"/>
              <w:spacing w:before="0" w:after="283"/>
              <w:rPr/>
            </w:pPr>
            <w:r>
              <w:rPr/>
              <w:t> </w:t>
            </w:r>
          </w:p>
        </w:tc>
        <w:tc>
          <w:tcPr>
            <w:tcW w:w="281" w:type="dxa"/>
            <w:tcBorders/>
            <w:shd w:fill="CCEEFF" w:val="clear"/>
            <w:vAlign w:val="center"/>
          </w:tcPr>
          <w:p>
            <w:pPr>
              <w:pStyle w:val="TableContents"/>
              <w:spacing w:before="0" w:after="283"/>
              <w:rPr/>
            </w:pPr>
            <w:r>
              <w:rPr/>
              <w:t> </w:t>
            </w:r>
          </w:p>
        </w:tc>
        <w:tc>
          <w:tcPr>
            <w:tcW w:w="91" w:type="dxa"/>
            <w:tcBorders/>
            <w:shd w:fill="CCEEFF" w:val="clear"/>
            <w:vAlign w:val="center"/>
          </w:tcPr>
          <w:p>
            <w:pPr>
              <w:pStyle w:val="TableContents"/>
              <w:spacing w:before="0" w:after="283"/>
              <w:rPr/>
            </w:pPr>
            <w:r>
              <w:rPr/>
              <w:t> </w:t>
            </w:r>
          </w:p>
        </w:tc>
        <w:tc>
          <w:tcPr>
            <w:tcW w:w="91" w:type="dxa"/>
            <w:tcBorders/>
            <w:shd w:fill="CCEEFF" w:val="clear"/>
            <w:vAlign w:val="center"/>
          </w:tcPr>
          <w:p>
            <w:pPr>
              <w:pStyle w:val="TableContents"/>
              <w:spacing w:before="0" w:after="283"/>
              <w:rPr/>
            </w:pPr>
            <w:r>
              <w:rPr/>
              <w:t> </w:t>
            </w:r>
          </w:p>
        </w:tc>
        <w:tc>
          <w:tcPr>
            <w:tcW w:w="737" w:type="dxa"/>
            <w:tcBorders/>
            <w:shd w:fill="CCEEFF" w:val="clear"/>
            <w:vAlign w:val="center"/>
          </w:tcPr>
          <w:p>
            <w:pPr>
              <w:pStyle w:val="TableContents"/>
              <w:spacing w:before="0" w:after="283"/>
              <w:rPr/>
            </w:pPr>
            <w:r>
              <w:rPr/>
              <w:t> </w:t>
            </w:r>
          </w:p>
        </w:tc>
        <w:tc>
          <w:tcPr>
            <w:tcW w:w="185" w:type="dxa"/>
            <w:tcBorders/>
            <w:shd w:fill="CCEEFF" w:val="clear"/>
            <w:vAlign w:val="center"/>
          </w:tcPr>
          <w:p>
            <w:pPr>
              <w:pStyle w:val="TableContents"/>
              <w:spacing w:before="0" w:after="283"/>
              <w:rPr/>
            </w:pPr>
            <w:r>
              <w:rPr/>
              <w:t> </w:t>
            </w:r>
          </w:p>
        </w:tc>
      </w:tr>
      <w:tr>
        <w:trPr/>
        <w:tc>
          <w:tcPr>
            <w:tcW w:w="4490" w:type="dxa"/>
            <w:tcBorders/>
            <w:shd w:fill="FFFFFF" w:val="clear"/>
            <w:vAlign w:val="center"/>
          </w:tcPr>
          <w:p>
            <w:pPr>
              <w:pStyle w:val="TableContents"/>
              <w:spacing w:lineRule="auto" w:line="288"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Cost of merchandise sold - retail (1)</w:t>
            </w:r>
          </w:p>
        </w:tc>
        <w:tc>
          <w:tcPr>
            <w:tcW w:w="60" w:type="dxa"/>
            <w:tcBorders/>
            <w:shd w:fill="FFFFFF" w:val="clear"/>
            <w:vAlign w:val="center"/>
          </w:tcPr>
          <w:p>
            <w:pPr>
              <w:pStyle w:val="TableContents"/>
              <w:spacing w:before="0" w:after="283"/>
              <w:rPr/>
            </w:pPr>
            <w:r>
              <w:rPr/>
              <w:t> </w:t>
            </w:r>
          </w:p>
        </w:tc>
        <w:tc>
          <w:tcPr>
            <w:tcW w:w="82" w:type="dxa"/>
            <w:tcBorders/>
            <w:shd w:fill="FFFFFF" w:val="clear"/>
            <w:vAlign w:val="center"/>
          </w:tcPr>
          <w:p>
            <w:pPr>
              <w:pStyle w:val="TableContents"/>
              <w:spacing w:before="0" w:after="283"/>
              <w:ind w:left="0" w:right="0" w:hanging="0"/>
              <w:rPr/>
            </w:pPr>
            <w:r>
              <w:rPr/>
              <w:t> </w:t>
            </w:r>
          </w:p>
        </w:tc>
        <w:tc>
          <w:tcPr>
            <w:tcW w:w="66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46.7</w:t>
            </w:r>
          </w:p>
        </w:tc>
        <w:tc>
          <w:tcPr>
            <w:tcW w:w="254" w:type="dxa"/>
            <w:tcBorders/>
            <w:shd w:fill="FFFFFF" w:val="clear"/>
            <w:vAlign w:val="center"/>
          </w:tcPr>
          <w:p>
            <w:pPr>
              <w:pStyle w:val="TableContents"/>
              <w:spacing w:before="0" w:after="283"/>
              <w:rPr/>
            </w:pPr>
            <w:r>
              <w:rPr/>
              <w:t> </w:t>
            </w:r>
          </w:p>
        </w:tc>
        <w:tc>
          <w:tcPr>
            <w:tcW w:w="82" w:type="dxa"/>
            <w:tcBorders/>
            <w:shd w:fill="FFFFFF" w:val="clear"/>
            <w:vAlign w:val="center"/>
          </w:tcPr>
          <w:p>
            <w:pPr>
              <w:pStyle w:val="TableContents"/>
              <w:spacing w:before="0" w:after="283"/>
              <w:rPr/>
            </w:pPr>
            <w:r>
              <w:rPr/>
              <w:t> </w:t>
            </w:r>
          </w:p>
        </w:tc>
        <w:tc>
          <w:tcPr>
            <w:tcW w:w="87" w:type="dxa"/>
            <w:tcBorders/>
            <w:shd w:fill="FFFFFF" w:val="clear"/>
            <w:vAlign w:val="center"/>
          </w:tcPr>
          <w:p>
            <w:pPr>
              <w:pStyle w:val="TableContents"/>
              <w:spacing w:before="0" w:after="283"/>
              <w:ind w:left="0" w:right="0" w:hanging="0"/>
              <w:rPr/>
            </w:pPr>
            <w:r>
              <w:rPr/>
              <w:t> </w:t>
            </w:r>
          </w:p>
        </w:tc>
        <w:tc>
          <w:tcPr>
            <w:tcW w:w="712"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76.9</w:t>
            </w:r>
          </w:p>
        </w:tc>
        <w:tc>
          <w:tcPr>
            <w:tcW w:w="1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91" w:type="dxa"/>
            <w:tcBorders/>
            <w:shd w:fill="FFFFFF" w:val="clear"/>
            <w:vAlign w:val="center"/>
          </w:tcPr>
          <w:p>
            <w:pPr>
              <w:pStyle w:val="TableContents"/>
              <w:spacing w:before="0" w:after="283"/>
              <w:ind w:left="0" w:right="0" w:hanging="0"/>
              <w:rPr/>
            </w:pPr>
            <w:r>
              <w:rPr/>
              <w:t> </w:t>
            </w:r>
          </w:p>
        </w:tc>
        <w:tc>
          <w:tcPr>
            <w:tcW w:w="737"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47.0</w:t>
            </w:r>
          </w:p>
        </w:tc>
        <w:tc>
          <w:tcPr>
            <w:tcW w:w="281" w:type="dxa"/>
            <w:tcBorders/>
            <w:shd w:fill="FFFFFF" w:val="clear"/>
            <w:vAlign w:val="center"/>
          </w:tcPr>
          <w:p>
            <w:pPr>
              <w:pStyle w:val="TableContents"/>
              <w:spacing w:before="0" w:after="283"/>
              <w:rPr/>
            </w:pPr>
            <w:r>
              <w:rPr/>
              <w:t> </w:t>
            </w:r>
          </w:p>
        </w:tc>
        <w:tc>
          <w:tcPr>
            <w:tcW w:w="91" w:type="dxa"/>
            <w:tcBorders/>
            <w:shd w:fill="FFFFFF" w:val="clear"/>
            <w:vAlign w:val="center"/>
          </w:tcPr>
          <w:p>
            <w:pPr>
              <w:pStyle w:val="TableContents"/>
              <w:spacing w:before="0" w:after="283"/>
              <w:rPr/>
            </w:pPr>
            <w:r>
              <w:rPr/>
              <w:t> </w:t>
            </w:r>
          </w:p>
        </w:tc>
        <w:tc>
          <w:tcPr>
            <w:tcW w:w="91" w:type="dxa"/>
            <w:tcBorders/>
            <w:shd w:fill="FFFFFF" w:val="clear"/>
            <w:vAlign w:val="center"/>
          </w:tcPr>
          <w:p>
            <w:pPr>
              <w:pStyle w:val="TableContents"/>
              <w:spacing w:before="0" w:after="283"/>
              <w:ind w:left="0" w:right="0" w:hanging="0"/>
              <w:rPr/>
            </w:pPr>
            <w:r>
              <w:rPr/>
              <w:t> </w:t>
            </w:r>
          </w:p>
        </w:tc>
        <w:tc>
          <w:tcPr>
            <w:tcW w:w="737"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74.8</w:t>
            </w:r>
          </w:p>
        </w:tc>
        <w:tc>
          <w:tcPr>
            <w:tcW w:w="185" w:type="dxa"/>
            <w:tcBorders/>
            <w:shd w:fill="FFFFFF" w:val="clear"/>
            <w:vAlign w:val="center"/>
          </w:tcPr>
          <w:p>
            <w:pPr>
              <w:pStyle w:val="TableContents"/>
              <w:spacing w:before="0" w:after="283"/>
              <w:rPr/>
            </w:pPr>
            <w:r>
              <w:rPr/>
              <w:t> </w:t>
            </w:r>
          </w:p>
        </w:tc>
      </w:tr>
      <w:tr>
        <w:trPr/>
        <w:tc>
          <w:tcPr>
            <w:tcW w:w="4490"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Store asset impairment</w:t>
            </w:r>
          </w:p>
        </w:tc>
        <w:tc>
          <w:tcPr>
            <w:tcW w:w="60" w:type="dxa"/>
            <w:tcBorders/>
            <w:shd w:fill="CCEEFF" w:val="clear"/>
            <w:vAlign w:val="center"/>
          </w:tcPr>
          <w:p>
            <w:pPr>
              <w:pStyle w:val="TableContents"/>
              <w:spacing w:before="0" w:after="283"/>
              <w:rPr/>
            </w:pPr>
            <w:r>
              <w:rPr/>
              <w:t> </w:t>
            </w:r>
          </w:p>
        </w:tc>
        <w:tc>
          <w:tcPr>
            <w:tcW w:w="82" w:type="dxa"/>
            <w:tcBorders/>
            <w:shd w:fill="CCEEFF" w:val="clear"/>
            <w:vAlign w:val="center"/>
          </w:tcPr>
          <w:p>
            <w:pPr>
              <w:pStyle w:val="TableContents"/>
              <w:spacing w:before="0" w:after="283"/>
              <w:ind w:left="0" w:right="0" w:hanging="0"/>
              <w:rPr/>
            </w:pPr>
            <w:r>
              <w:rPr/>
              <w:t> </w:t>
            </w:r>
          </w:p>
        </w:tc>
        <w:tc>
          <w:tcPr>
            <w:tcW w:w="66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254" w:type="dxa"/>
            <w:tcBorders/>
            <w:shd w:fill="CCEEFF" w:val="clear"/>
            <w:vAlign w:val="center"/>
          </w:tcPr>
          <w:p>
            <w:pPr>
              <w:pStyle w:val="TableContents"/>
              <w:spacing w:before="0" w:after="283"/>
              <w:rPr/>
            </w:pPr>
            <w:r>
              <w:rPr/>
              <w:t> </w:t>
            </w:r>
          </w:p>
        </w:tc>
        <w:tc>
          <w:tcPr>
            <w:tcW w:w="82" w:type="dxa"/>
            <w:tcBorders/>
            <w:shd w:fill="CCEEFF" w:val="clear"/>
            <w:vAlign w:val="center"/>
          </w:tcPr>
          <w:p>
            <w:pPr>
              <w:pStyle w:val="TableContents"/>
              <w:spacing w:before="0" w:after="283"/>
              <w:rPr/>
            </w:pPr>
            <w:r>
              <w:rPr/>
              <w:t> </w:t>
            </w:r>
          </w:p>
        </w:tc>
        <w:tc>
          <w:tcPr>
            <w:tcW w:w="87" w:type="dxa"/>
            <w:tcBorders/>
            <w:shd w:fill="CCEEFF" w:val="clear"/>
            <w:vAlign w:val="center"/>
          </w:tcPr>
          <w:p>
            <w:pPr>
              <w:pStyle w:val="TableContents"/>
              <w:spacing w:before="0" w:after="283"/>
              <w:ind w:left="0" w:right="0" w:hanging="0"/>
              <w:rPr/>
            </w:pPr>
            <w:r>
              <w:rPr/>
              <w:t> </w:t>
            </w:r>
          </w:p>
        </w:tc>
        <w:tc>
          <w:tcPr>
            <w:tcW w:w="71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5.2</w:t>
            </w:r>
          </w:p>
        </w:tc>
        <w:tc>
          <w:tcPr>
            <w:tcW w:w="18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1" w:type="dxa"/>
            <w:tcBorders/>
            <w:shd w:fill="CCEEFF" w:val="clear"/>
            <w:vAlign w:val="center"/>
          </w:tcPr>
          <w:p>
            <w:pPr>
              <w:pStyle w:val="TableContents"/>
              <w:spacing w:before="0" w:after="283"/>
              <w:ind w:left="0" w:right="0" w:hanging="0"/>
              <w:rPr/>
            </w:pPr>
            <w:r>
              <w:rPr/>
              <w:t> </w:t>
            </w:r>
          </w:p>
        </w:tc>
        <w:tc>
          <w:tcPr>
            <w:tcW w:w="737"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281" w:type="dxa"/>
            <w:tcBorders/>
            <w:shd w:fill="CCEEFF" w:val="clear"/>
            <w:vAlign w:val="center"/>
          </w:tcPr>
          <w:p>
            <w:pPr>
              <w:pStyle w:val="TableContents"/>
              <w:spacing w:before="0" w:after="283"/>
              <w:rPr/>
            </w:pPr>
            <w:r>
              <w:rPr/>
              <w:t> </w:t>
            </w:r>
          </w:p>
        </w:tc>
        <w:tc>
          <w:tcPr>
            <w:tcW w:w="91" w:type="dxa"/>
            <w:tcBorders/>
            <w:shd w:fill="CCEEFF" w:val="clear"/>
            <w:vAlign w:val="center"/>
          </w:tcPr>
          <w:p>
            <w:pPr>
              <w:pStyle w:val="TableContents"/>
              <w:spacing w:before="0" w:after="283"/>
              <w:rPr/>
            </w:pPr>
            <w:r>
              <w:rPr/>
              <w:t> </w:t>
            </w:r>
          </w:p>
        </w:tc>
        <w:tc>
          <w:tcPr>
            <w:tcW w:w="91" w:type="dxa"/>
            <w:tcBorders/>
            <w:shd w:fill="CCEEFF" w:val="clear"/>
            <w:vAlign w:val="center"/>
          </w:tcPr>
          <w:p>
            <w:pPr>
              <w:pStyle w:val="TableContents"/>
              <w:spacing w:before="0" w:after="283"/>
              <w:ind w:left="0" w:right="0" w:hanging="0"/>
              <w:rPr/>
            </w:pPr>
            <w:r>
              <w:rPr/>
              <w:t> </w:t>
            </w:r>
          </w:p>
        </w:tc>
        <w:tc>
          <w:tcPr>
            <w:tcW w:w="737"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8.1</w:t>
            </w:r>
          </w:p>
        </w:tc>
        <w:tc>
          <w:tcPr>
            <w:tcW w:w="185" w:type="dxa"/>
            <w:tcBorders/>
            <w:shd w:fill="CCEEFF" w:val="clear"/>
            <w:vAlign w:val="center"/>
          </w:tcPr>
          <w:p>
            <w:pPr>
              <w:pStyle w:val="TableContents"/>
              <w:spacing w:before="0" w:after="283"/>
              <w:rPr/>
            </w:pPr>
            <w:r>
              <w:rPr/>
              <w:t> </w:t>
            </w:r>
          </w:p>
        </w:tc>
      </w:tr>
      <w:tr>
        <w:trPr/>
        <w:tc>
          <w:tcPr>
            <w:tcW w:w="4490" w:type="dxa"/>
            <w:tcBorders/>
            <w:shd w:fill="FFFFFF" w:val="clear"/>
            <w:vAlign w:val="center"/>
          </w:tcPr>
          <w:p>
            <w:pPr>
              <w:pStyle w:val="TableContents"/>
              <w:spacing w:lineRule="auto" w:line="288"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Cost of merchandise sold - commercial (1)</w:t>
            </w:r>
          </w:p>
        </w:tc>
        <w:tc>
          <w:tcPr>
            <w:tcW w:w="60" w:type="dxa"/>
            <w:tcBorders/>
            <w:shd w:fill="FFFFFF" w:val="clear"/>
            <w:vAlign w:val="center"/>
          </w:tcPr>
          <w:p>
            <w:pPr>
              <w:pStyle w:val="TableContents"/>
              <w:spacing w:before="0" w:after="283"/>
              <w:rPr/>
            </w:pPr>
            <w:r>
              <w:rPr/>
              <w:t> </w:t>
            </w:r>
          </w:p>
        </w:tc>
        <w:tc>
          <w:tcPr>
            <w:tcW w:w="82" w:type="dxa"/>
            <w:tcBorders/>
            <w:shd w:fill="FFFFFF" w:val="clear"/>
            <w:vAlign w:val="center"/>
          </w:tcPr>
          <w:p>
            <w:pPr>
              <w:pStyle w:val="TableContents"/>
              <w:spacing w:before="0" w:after="283"/>
              <w:ind w:left="0" w:right="0" w:hanging="0"/>
              <w:rPr/>
            </w:pPr>
            <w:r>
              <w:rPr/>
              <w:t> </w:t>
            </w:r>
          </w:p>
        </w:tc>
        <w:tc>
          <w:tcPr>
            <w:tcW w:w="66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43.7</w:t>
            </w:r>
          </w:p>
        </w:tc>
        <w:tc>
          <w:tcPr>
            <w:tcW w:w="254" w:type="dxa"/>
            <w:tcBorders/>
            <w:shd w:fill="FFFFFF" w:val="clear"/>
            <w:vAlign w:val="center"/>
          </w:tcPr>
          <w:p>
            <w:pPr>
              <w:pStyle w:val="TableContents"/>
              <w:spacing w:before="0" w:after="283"/>
              <w:rPr/>
            </w:pPr>
            <w:r>
              <w:rPr/>
              <w:t> </w:t>
            </w:r>
          </w:p>
        </w:tc>
        <w:tc>
          <w:tcPr>
            <w:tcW w:w="82" w:type="dxa"/>
            <w:tcBorders/>
            <w:shd w:fill="FFFFFF" w:val="clear"/>
            <w:vAlign w:val="center"/>
          </w:tcPr>
          <w:p>
            <w:pPr>
              <w:pStyle w:val="TableContents"/>
              <w:spacing w:before="0" w:after="283"/>
              <w:rPr/>
            </w:pPr>
            <w:r>
              <w:rPr/>
              <w:t> </w:t>
            </w:r>
          </w:p>
        </w:tc>
        <w:tc>
          <w:tcPr>
            <w:tcW w:w="87" w:type="dxa"/>
            <w:tcBorders/>
            <w:shd w:fill="FFFFFF" w:val="clear"/>
            <w:vAlign w:val="center"/>
          </w:tcPr>
          <w:p>
            <w:pPr>
              <w:pStyle w:val="TableContents"/>
              <w:spacing w:before="0" w:after="283"/>
              <w:ind w:left="0" w:right="0" w:hanging="0"/>
              <w:rPr/>
            </w:pPr>
            <w:r>
              <w:rPr/>
              <w:t> </w:t>
            </w:r>
          </w:p>
        </w:tc>
        <w:tc>
          <w:tcPr>
            <w:tcW w:w="712"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44.7</w:t>
            </w:r>
          </w:p>
        </w:tc>
        <w:tc>
          <w:tcPr>
            <w:tcW w:w="1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91" w:type="dxa"/>
            <w:tcBorders/>
            <w:shd w:fill="FFFFFF" w:val="clear"/>
            <w:vAlign w:val="center"/>
          </w:tcPr>
          <w:p>
            <w:pPr>
              <w:pStyle w:val="TableContents"/>
              <w:spacing w:before="0" w:after="283"/>
              <w:ind w:left="0" w:right="0" w:hanging="0"/>
              <w:rPr/>
            </w:pPr>
            <w:r>
              <w:rPr/>
              <w:t> </w:t>
            </w:r>
          </w:p>
        </w:tc>
        <w:tc>
          <w:tcPr>
            <w:tcW w:w="737"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43.3</w:t>
            </w:r>
          </w:p>
        </w:tc>
        <w:tc>
          <w:tcPr>
            <w:tcW w:w="281" w:type="dxa"/>
            <w:tcBorders/>
            <w:shd w:fill="FFFFFF" w:val="clear"/>
            <w:vAlign w:val="center"/>
          </w:tcPr>
          <w:p>
            <w:pPr>
              <w:pStyle w:val="TableContents"/>
              <w:spacing w:before="0" w:after="283"/>
              <w:rPr/>
            </w:pPr>
            <w:r>
              <w:rPr/>
              <w:t> </w:t>
            </w:r>
          </w:p>
        </w:tc>
        <w:tc>
          <w:tcPr>
            <w:tcW w:w="91" w:type="dxa"/>
            <w:tcBorders/>
            <w:shd w:fill="FFFFFF" w:val="clear"/>
            <w:vAlign w:val="center"/>
          </w:tcPr>
          <w:p>
            <w:pPr>
              <w:pStyle w:val="TableContents"/>
              <w:spacing w:before="0" w:after="283"/>
              <w:rPr/>
            </w:pPr>
            <w:r>
              <w:rPr/>
              <w:t> </w:t>
            </w:r>
          </w:p>
        </w:tc>
        <w:tc>
          <w:tcPr>
            <w:tcW w:w="91" w:type="dxa"/>
            <w:tcBorders/>
            <w:shd w:fill="FFFFFF" w:val="clear"/>
            <w:vAlign w:val="center"/>
          </w:tcPr>
          <w:p>
            <w:pPr>
              <w:pStyle w:val="TableContents"/>
              <w:spacing w:before="0" w:after="283"/>
              <w:ind w:left="0" w:right="0" w:hanging="0"/>
              <w:rPr/>
            </w:pPr>
            <w:r>
              <w:rPr/>
              <w:t> </w:t>
            </w:r>
          </w:p>
        </w:tc>
        <w:tc>
          <w:tcPr>
            <w:tcW w:w="737"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44.0</w:t>
            </w:r>
          </w:p>
        </w:tc>
        <w:tc>
          <w:tcPr>
            <w:tcW w:w="185" w:type="dxa"/>
            <w:tcBorders/>
            <w:shd w:fill="FFFFFF" w:val="clear"/>
            <w:vAlign w:val="center"/>
          </w:tcPr>
          <w:p>
            <w:pPr>
              <w:pStyle w:val="TableContents"/>
              <w:spacing w:before="0" w:after="283"/>
              <w:rPr/>
            </w:pPr>
            <w:r>
              <w:rPr/>
              <w:t> </w:t>
            </w:r>
          </w:p>
        </w:tc>
      </w:tr>
      <w:tr>
        <w:trPr/>
        <w:tc>
          <w:tcPr>
            <w:tcW w:w="4490" w:type="dxa"/>
            <w:tcBorders/>
            <w:shd w:fill="CCEEFF" w:val="clear"/>
            <w:vAlign w:val="center"/>
          </w:tcPr>
          <w:p>
            <w:pPr>
              <w:pStyle w:val="TableContents"/>
              <w:spacing w:lineRule="auto" w:line="288"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Cost of merchandise sold - international franchising (1)</w:t>
            </w:r>
          </w:p>
        </w:tc>
        <w:tc>
          <w:tcPr>
            <w:tcW w:w="60" w:type="dxa"/>
            <w:tcBorders/>
            <w:shd w:fill="CCEEFF" w:val="clear"/>
            <w:vAlign w:val="center"/>
          </w:tcPr>
          <w:p>
            <w:pPr>
              <w:pStyle w:val="TableContents"/>
              <w:spacing w:before="0" w:after="283"/>
              <w:rPr/>
            </w:pPr>
            <w:r>
              <w:rPr/>
              <w:t> </w:t>
            </w:r>
          </w:p>
        </w:tc>
        <w:tc>
          <w:tcPr>
            <w:tcW w:w="82"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66"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74.0</w:t>
            </w:r>
          </w:p>
        </w:tc>
        <w:tc>
          <w:tcPr>
            <w:tcW w:w="254" w:type="dxa"/>
            <w:tcBorders/>
            <w:shd w:fill="CCEEFF" w:val="clear"/>
            <w:vAlign w:val="center"/>
          </w:tcPr>
          <w:p>
            <w:pPr>
              <w:pStyle w:val="TableContents"/>
              <w:spacing w:before="0" w:after="283"/>
              <w:rPr/>
            </w:pPr>
            <w:r>
              <w:rPr/>
              <w:t> </w:t>
            </w:r>
          </w:p>
        </w:tc>
        <w:tc>
          <w:tcPr>
            <w:tcW w:w="82" w:type="dxa"/>
            <w:tcBorders/>
            <w:shd w:fill="CCEEFF" w:val="clear"/>
            <w:vAlign w:val="center"/>
          </w:tcPr>
          <w:p>
            <w:pPr>
              <w:pStyle w:val="TableContents"/>
              <w:spacing w:before="0" w:after="283"/>
              <w:rPr/>
            </w:pPr>
            <w:r>
              <w:rPr/>
              <w:t> </w:t>
            </w:r>
          </w:p>
        </w:tc>
        <w:tc>
          <w:tcPr>
            <w:tcW w:w="87"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712"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87.2</w:t>
            </w:r>
          </w:p>
        </w:tc>
        <w:tc>
          <w:tcPr>
            <w:tcW w:w="18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1"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737"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73.2</w:t>
            </w:r>
          </w:p>
        </w:tc>
        <w:tc>
          <w:tcPr>
            <w:tcW w:w="281" w:type="dxa"/>
            <w:tcBorders/>
            <w:shd w:fill="CCEEFF" w:val="clear"/>
            <w:vAlign w:val="center"/>
          </w:tcPr>
          <w:p>
            <w:pPr>
              <w:pStyle w:val="TableContents"/>
              <w:spacing w:before="0" w:after="283"/>
              <w:rPr/>
            </w:pPr>
            <w:r>
              <w:rPr/>
              <w:t> </w:t>
            </w:r>
          </w:p>
        </w:tc>
        <w:tc>
          <w:tcPr>
            <w:tcW w:w="91" w:type="dxa"/>
            <w:tcBorders/>
            <w:shd w:fill="CCEEFF" w:val="clear"/>
            <w:vAlign w:val="center"/>
          </w:tcPr>
          <w:p>
            <w:pPr>
              <w:pStyle w:val="TableContents"/>
              <w:spacing w:before="0" w:after="283"/>
              <w:rPr/>
            </w:pPr>
            <w:r>
              <w:rPr/>
              <w:t> </w:t>
            </w:r>
          </w:p>
        </w:tc>
        <w:tc>
          <w:tcPr>
            <w:tcW w:w="91"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737"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48.5</w:t>
            </w:r>
          </w:p>
        </w:tc>
        <w:tc>
          <w:tcPr>
            <w:tcW w:w="185" w:type="dxa"/>
            <w:tcBorders/>
            <w:shd w:fill="CCEEFF" w:val="clear"/>
            <w:vAlign w:val="center"/>
          </w:tcPr>
          <w:p>
            <w:pPr>
              <w:pStyle w:val="TableContents"/>
              <w:spacing w:before="0" w:after="283"/>
              <w:rPr/>
            </w:pPr>
            <w:r>
              <w:rPr/>
              <w:t> </w:t>
            </w:r>
          </w:p>
        </w:tc>
      </w:tr>
      <w:tr>
        <w:trPr/>
        <w:tc>
          <w:tcPr>
            <w:tcW w:w="4490"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Total cost of merchandise sold</w:t>
            </w:r>
          </w:p>
        </w:tc>
        <w:tc>
          <w:tcPr>
            <w:tcW w:w="60" w:type="dxa"/>
            <w:tcBorders/>
            <w:shd w:fill="FFFFFF" w:val="clear"/>
            <w:vAlign w:val="center"/>
          </w:tcPr>
          <w:p>
            <w:pPr>
              <w:pStyle w:val="TableContents"/>
              <w:spacing w:before="0" w:after="283"/>
              <w:rPr/>
            </w:pPr>
            <w:r>
              <w:rPr/>
              <w:t> </w:t>
            </w:r>
          </w:p>
        </w:tc>
        <w:tc>
          <w:tcPr>
            <w:tcW w:w="82"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66"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46.8</w:t>
            </w:r>
          </w:p>
        </w:tc>
        <w:tc>
          <w:tcPr>
            <w:tcW w:w="254" w:type="dxa"/>
            <w:tcBorders/>
            <w:shd w:fill="FFFFFF" w:val="clear"/>
            <w:vAlign w:val="center"/>
          </w:tcPr>
          <w:p>
            <w:pPr>
              <w:pStyle w:val="TableContents"/>
              <w:spacing w:before="0" w:after="283"/>
              <w:rPr/>
            </w:pPr>
            <w:r>
              <w:rPr/>
              <w:t> </w:t>
            </w:r>
          </w:p>
        </w:tc>
        <w:tc>
          <w:tcPr>
            <w:tcW w:w="82" w:type="dxa"/>
            <w:tcBorders/>
            <w:shd w:fill="FFFFFF" w:val="clear"/>
            <w:vAlign w:val="center"/>
          </w:tcPr>
          <w:p>
            <w:pPr>
              <w:pStyle w:val="TableContents"/>
              <w:spacing w:before="0" w:after="283"/>
              <w:rPr/>
            </w:pPr>
            <w:r>
              <w:rPr/>
              <w:t> </w:t>
            </w:r>
          </w:p>
        </w:tc>
        <w:tc>
          <w:tcPr>
            <w:tcW w:w="87"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12"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81.3</w:t>
            </w:r>
          </w:p>
        </w:tc>
        <w:tc>
          <w:tcPr>
            <w:tcW w:w="1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91"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37"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47.0</w:t>
            </w:r>
          </w:p>
        </w:tc>
        <w:tc>
          <w:tcPr>
            <w:tcW w:w="281" w:type="dxa"/>
            <w:tcBorders/>
            <w:shd w:fill="FFFFFF" w:val="clear"/>
            <w:vAlign w:val="center"/>
          </w:tcPr>
          <w:p>
            <w:pPr>
              <w:pStyle w:val="TableContents"/>
              <w:spacing w:before="0" w:after="283"/>
              <w:rPr/>
            </w:pPr>
            <w:r>
              <w:rPr/>
              <w:t> </w:t>
            </w:r>
          </w:p>
        </w:tc>
        <w:tc>
          <w:tcPr>
            <w:tcW w:w="91" w:type="dxa"/>
            <w:tcBorders/>
            <w:shd w:fill="FFFFFF" w:val="clear"/>
            <w:vAlign w:val="center"/>
          </w:tcPr>
          <w:p>
            <w:pPr>
              <w:pStyle w:val="TableContents"/>
              <w:spacing w:before="0" w:after="283"/>
              <w:rPr/>
            </w:pPr>
            <w:r>
              <w:rPr/>
              <w:t> </w:t>
            </w:r>
          </w:p>
        </w:tc>
        <w:tc>
          <w:tcPr>
            <w:tcW w:w="91"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37"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82.1</w:t>
            </w:r>
          </w:p>
        </w:tc>
        <w:tc>
          <w:tcPr>
            <w:tcW w:w="185" w:type="dxa"/>
            <w:tcBorders/>
            <w:shd w:fill="FFFFFF" w:val="clear"/>
            <w:vAlign w:val="center"/>
          </w:tcPr>
          <w:p>
            <w:pPr>
              <w:pStyle w:val="TableContents"/>
              <w:spacing w:before="0" w:after="283"/>
              <w:rPr/>
            </w:pPr>
            <w:r>
              <w:rPr/>
              <w:t> </w:t>
            </w:r>
          </w:p>
        </w:tc>
      </w:tr>
      <w:tr>
        <w:trPr/>
        <w:tc>
          <w:tcPr>
            <w:tcW w:w="4490"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Consolidated gross profit</w:t>
            </w:r>
          </w:p>
        </w:tc>
        <w:tc>
          <w:tcPr>
            <w:tcW w:w="60" w:type="dxa"/>
            <w:tcBorders/>
            <w:shd w:fill="CCEEFF" w:val="clear"/>
            <w:vAlign w:val="center"/>
          </w:tcPr>
          <w:p>
            <w:pPr>
              <w:pStyle w:val="TableContents"/>
              <w:spacing w:before="0" w:after="283"/>
              <w:rPr/>
            </w:pPr>
            <w:r>
              <w:rPr/>
              <w:t> </w:t>
            </w:r>
          </w:p>
        </w:tc>
        <w:tc>
          <w:tcPr>
            <w:tcW w:w="82" w:type="dxa"/>
            <w:tcBorders/>
            <w:shd w:fill="CCEEFF" w:val="clear"/>
            <w:vAlign w:val="center"/>
          </w:tcPr>
          <w:p>
            <w:pPr>
              <w:pStyle w:val="TableContents"/>
              <w:spacing w:before="0" w:after="283"/>
              <w:ind w:left="0" w:right="0" w:hanging="0"/>
              <w:rPr/>
            </w:pPr>
            <w:r>
              <w:rPr/>
              <w:t> </w:t>
            </w:r>
          </w:p>
        </w:tc>
        <w:tc>
          <w:tcPr>
            <w:tcW w:w="66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53.2</w:t>
            </w:r>
          </w:p>
        </w:tc>
        <w:tc>
          <w:tcPr>
            <w:tcW w:w="254" w:type="dxa"/>
            <w:tcBorders/>
            <w:shd w:fill="CCEEFF" w:val="clear"/>
            <w:vAlign w:val="center"/>
          </w:tcPr>
          <w:p>
            <w:pPr>
              <w:pStyle w:val="TableContents"/>
              <w:spacing w:before="0" w:after="283"/>
              <w:rPr/>
            </w:pPr>
            <w:r>
              <w:rPr/>
              <w:t> </w:t>
            </w:r>
          </w:p>
        </w:tc>
        <w:tc>
          <w:tcPr>
            <w:tcW w:w="82" w:type="dxa"/>
            <w:tcBorders/>
            <w:shd w:fill="CCEEFF" w:val="clear"/>
            <w:vAlign w:val="center"/>
          </w:tcPr>
          <w:p>
            <w:pPr>
              <w:pStyle w:val="TableContents"/>
              <w:spacing w:before="0" w:after="283"/>
              <w:rPr/>
            </w:pPr>
            <w:r>
              <w:rPr/>
              <w:t> </w:t>
            </w:r>
          </w:p>
        </w:tc>
        <w:tc>
          <w:tcPr>
            <w:tcW w:w="87" w:type="dxa"/>
            <w:tcBorders/>
            <w:shd w:fill="CCEEFF" w:val="clear"/>
            <w:vAlign w:val="center"/>
          </w:tcPr>
          <w:p>
            <w:pPr>
              <w:pStyle w:val="TableContents"/>
              <w:spacing w:before="0" w:after="283"/>
              <w:ind w:left="0" w:right="0" w:hanging="0"/>
              <w:rPr/>
            </w:pPr>
            <w:r>
              <w:rPr/>
              <w:t> </w:t>
            </w:r>
          </w:p>
        </w:tc>
        <w:tc>
          <w:tcPr>
            <w:tcW w:w="71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18.7</w:t>
            </w:r>
          </w:p>
        </w:tc>
        <w:tc>
          <w:tcPr>
            <w:tcW w:w="18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1" w:type="dxa"/>
            <w:tcBorders/>
            <w:shd w:fill="CCEEFF" w:val="clear"/>
            <w:vAlign w:val="center"/>
          </w:tcPr>
          <w:p>
            <w:pPr>
              <w:pStyle w:val="TableContents"/>
              <w:spacing w:before="0" w:after="283"/>
              <w:ind w:left="0" w:right="0" w:hanging="0"/>
              <w:rPr/>
            </w:pPr>
            <w:r>
              <w:rPr/>
              <w:t> </w:t>
            </w:r>
          </w:p>
        </w:tc>
        <w:tc>
          <w:tcPr>
            <w:tcW w:w="737"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53.0</w:t>
            </w:r>
          </w:p>
        </w:tc>
        <w:tc>
          <w:tcPr>
            <w:tcW w:w="281" w:type="dxa"/>
            <w:tcBorders/>
            <w:shd w:fill="CCEEFF" w:val="clear"/>
            <w:vAlign w:val="center"/>
          </w:tcPr>
          <w:p>
            <w:pPr>
              <w:pStyle w:val="TableContents"/>
              <w:spacing w:before="0" w:after="283"/>
              <w:rPr/>
            </w:pPr>
            <w:r>
              <w:rPr/>
              <w:t> </w:t>
            </w:r>
          </w:p>
        </w:tc>
        <w:tc>
          <w:tcPr>
            <w:tcW w:w="91" w:type="dxa"/>
            <w:tcBorders/>
            <w:shd w:fill="CCEEFF" w:val="clear"/>
            <w:vAlign w:val="center"/>
          </w:tcPr>
          <w:p>
            <w:pPr>
              <w:pStyle w:val="TableContents"/>
              <w:spacing w:before="0" w:after="283"/>
              <w:rPr/>
            </w:pPr>
            <w:r>
              <w:rPr/>
              <w:t> </w:t>
            </w:r>
          </w:p>
        </w:tc>
        <w:tc>
          <w:tcPr>
            <w:tcW w:w="91" w:type="dxa"/>
            <w:tcBorders/>
            <w:shd w:fill="CCEEFF" w:val="clear"/>
            <w:vAlign w:val="center"/>
          </w:tcPr>
          <w:p>
            <w:pPr>
              <w:pStyle w:val="TableContents"/>
              <w:spacing w:before="0" w:after="283"/>
              <w:ind w:left="0" w:right="0" w:hanging="0"/>
              <w:rPr/>
            </w:pPr>
            <w:r>
              <w:rPr/>
              <w:t> </w:t>
            </w:r>
          </w:p>
        </w:tc>
        <w:tc>
          <w:tcPr>
            <w:tcW w:w="737"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17.9</w:t>
            </w:r>
          </w:p>
        </w:tc>
        <w:tc>
          <w:tcPr>
            <w:tcW w:w="185" w:type="dxa"/>
            <w:tcBorders/>
            <w:shd w:fill="CCEEFF" w:val="clear"/>
            <w:vAlign w:val="center"/>
          </w:tcPr>
          <w:p>
            <w:pPr>
              <w:pStyle w:val="TableContents"/>
              <w:spacing w:before="0" w:after="283"/>
              <w:rPr/>
            </w:pPr>
            <w:r>
              <w:rPr/>
              <w:t> </w:t>
            </w:r>
          </w:p>
        </w:tc>
      </w:tr>
      <w:tr>
        <w:trPr/>
        <w:tc>
          <w:tcPr>
            <w:tcW w:w="4490"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Selling, general and administrative</w:t>
            </w:r>
          </w:p>
        </w:tc>
        <w:tc>
          <w:tcPr>
            <w:tcW w:w="60" w:type="dxa"/>
            <w:tcBorders/>
            <w:shd w:fill="FFFFFF" w:val="clear"/>
            <w:vAlign w:val="center"/>
          </w:tcPr>
          <w:p>
            <w:pPr>
              <w:pStyle w:val="TableContents"/>
              <w:spacing w:before="0" w:after="283"/>
              <w:rPr/>
            </w:pPr>
            <w:r>
              <w:rPr/>
              <w:t> </w:t>
            </w:r>
          </w:p>
        </w:tc>
        <w:tc>
          <w:tcPr>
            <w:tcW w:w="82" w:type="dxa"/>
            <w:tcBorders/>
            <w:shd w:fill="FFFFFF" w:val="clear"/>
            <w:vAlign w:val="center"/>
          </w:tcPr>
          <w:p>
            <w:pPr>
              <w:pStyle w:val="TableContents"/>
              <w:spacing w:before="0" w:after="283"/>
              <w:ind w:left="0" w:right="0" w:hanging="0"/>
              <w:rPr/>
            </w:pPr>
            <w:r>
              <w:rPr/>
              <w:t> </w:t>
            </w:r>
          </w:p>
        </w:tc>
        <w:tc>
          <w:tcPr>
            <w:tcW w:w="66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43.2</w:t>
            </w:r>
          </w:p>
        </w:tc>
        <w:tc>
          <w:tcPr>
            <w:tcW w:w="254" w:type="dxa"/>
            <w:tcBorders/>
            <w:shd w:fill="FFFFFF" w:val="clear"/>
            <w:vAlign w:val="center"/>
          </w:tcPr>
          <w:p>
            <w:pPr>
              <w:pStyle w:val="TableContents"/>
              <w:spacing w:before="0" w:after="283"/>
              <w:rPr/>
            </w:pPr>
            <w:r>
              <w:rPr/>
              <w:t> </w:t>
            </w:r>
          </w:p>
        </w:tc>
        <w:tc>
          <w:tcPr>
            <w:tcW w:w="82" w:type="dxa"/>
            <w:tcBorders/>
            <w:shd w:fill="FFFFFF" w:val="clear"/>
            <w:vAlign w:val="center"/>
          </w:tcPr>
          <w:p>
            <w:pPr>
              <w:pStyle w:val="TableContents"/>
              <w:spacing w:before="0" w:after="283"/>
              <w:rPr/>
            </w:pPr>
            <w:r>
              <w:rPr/>
              <w:t> </w:t>
            </w:r>
          </w:p>
        </w:tc>
        <w:tc>
          <w:tcPr>
            <w:tcW w:w="87" w:type="dxa"/>
            <w:tcBorders/>
            <w:shd w:fill="FFFFFF" w:val="clear"/>
            <w:vAlign w:val="center"/>
          </w:tcPr>
          <w:p>
            <w:pPr>
              <w:pStyle w:val="TableContents"/>
              <w:spacing w:before="0" w:after="283"/>
              <w:ind w:left="0" w:right="0" w:hanging="0"/>
              <w:rPr/>
            </w:pPr>
            <w:r>
              <w:rPr/>
              <w:t> </w:t>
            </w:r>
          </w:p>
        </w:tc>
        <w:tc>
          <w:tcPr>
            <w:tcW w:w="712"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53.3</w:t>
            </w:r>
          </w:p>
        </w:tc>
        <w:tc>
          <w:tcPr>
            <w:tcW w:w="1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91" w:type="dxa"/>
            <w:tcBorders/>
            <w:shd w:fill="FFFFFF" w:val="clear"/>
            <w:vAlign w:val="center"/>
          </w:tcPr>
          <w:p>
            <w:pPr>
              <w:pStyle w:val="TableContents"/>
              <w:spacing w:before="0" w:after="283"/>
              <w:ind w:left="0" w:right="0" w:hanging="0"/>
              <w:rPr/>
            </w:pPr>
            <w:r>
              <w:rPr/>
              <w:t> </w:t>
            </w:r>
          </w:p>
        </w:tc>
        <w:tc>
          <w:tcPr>
            <w:tcW w:w="737"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40.9</w:t>
            </w:r>
          </w:p>
        </w:tc>
        <w:tc>
          <w:tcPr>
            <w:tcW w:w="281" w:type="dxa"/>
            <w:tcBorders/>
            <w:shd w:fill="FFFFFF" w:val="clear"/>
            <w:vAlign w:val="center"/>
          </w:tcPr>
          <w:p>
            <w:pPr>
              <w:pStyle w:val="TableContents"/>
              <w:spacing w:before="0" w:after="283"/>
              <w:rPr/>
            </w:pPr>
            <w:r>
              <w:rPr/>
              <w:t> </w:t>
            </w:r>
          </w:p>
        </w:tc>
        <w:tc>
          <w:tcPr>
            <w:tcW w:w="91" w:type="dxa"/>
            <w:tcBorders/>
            <w:shd w:fill="FFFFFF" w:val="clear"/>
            <w:vAlign w:val="center"/>
          </w:tcPr>
          <w:p>
            <w:pPr>
              <w:pStyle w:val="TableContents"/>
              <w:spacing w:before="0" w:after="283"/>
              <w:rPr/>
            </w:pPr>
            <w:r>
              <w:rPr/>
              <w:t> </w:t>
            </w:r>
          </w:p>
        </w:tc>
        <w:tc>
          <w:tcPr>
            <w:tcW w:w="91" w:type="dxa"/>
            <w:tcBorders/>
            <w:shd w:fill="FFFFFF" w:val="clear"/>
            <w:vAlign w:val="center"/>
          </w:tcPr>
          <w:p>
            <w:pPr>
              <w:pStyle w:val="TableContents"/>
              <w:spacing w:before="0" w:after="283"/>
              <w:ind w:left="0" w:right="0" w:hanging="0"/>
              <w:rPr/>
            </w:pPr>
            <w:r>
              <w:rPr/>
              <w:t> </w:t>
            </w:r>
          </w:p>
        </w:tc>
        <w:tc>
          <w:tcPr>
            <w:tcW w:w="737"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55.5</w:t>
            </w:r>
          </w:p>
        </w:tc>
        <w:tc>
          <w:tcPr>
            <w:tcW w:w="185" w:type="dxa"/>
            <w:tcBorders/>
            <w:shd w:fill="FFFFFF" w:val="clear"/>
            <w:vAlign w:val="center"/>
          </w:tcPr>
          <w:p>
            <w:pPr>
              <w:pStyle w:val="TableContents"/>
              <w:spacing w:before="0" w:after="283"/>
              <w:rPr/>
            </w:pPr>
            <w:r>
              <w:rPr/>
              <w:t> </w:t>
            </w:r>
          </w:p>
        </w:tc>
      </w:tr>
      <w:tr>
        <w:trPr/>
        <w:tc>
          <w:tcPr>
            <w:tcW w:w="4490"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Interest expense, net</w:t>
            </w:r>
          </w:p>
        </w:tc>
        <w:tc>
          <w:tcPr>
            <w:tcW w:w="60" w:type="dxa"/>
            <w:tcBorders/>
            <w:shd w:fill="CCEEFF" w:val="clear"/>
            <w:vAlign w:val="center"/>
          </w:tcPr>
          <w:p>
            <w:pPr>
              <w:pStyle w:val="TableContents"/>
              <w:spacing w:before="0" w:after="283"/>
              <w:rPr/>
            </w:pPr>
            <w:r>
              <w:rPr/>
              <w:t> </w:t>
            </w:r>
          </w:p>
        </w:tc>
        <w:tc>
          <w:tcPr>
            <w:tcW w:w="82"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66"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0.0</w:t>
            </w:r>
          </w:p>
        </w:tc>
        <w:tc>
          <w:tcPr>
            <w:tcW w:w="254" w:type="dxa"/>
            <w:tcBorders/>
            <w:shd w:fill="CCEEFF" w:val="clear"/>
            <w:vAlign w:val="center"/>
          </w:tcPr>
          <w:p>
            <w:pPr>
              <w:pStyle w:val="TableContents"/>
              <w:spacing w:before="0" w:after="283"/>
              <w:rPr/>
            </w:pPr>
            <w:r>
              <w:rPr/>
              <w:t> </w:t>
            </w:r>
          </w:p>
        </w:tc>
        <w:tc>
          <w:tcPr>
            <w:tcW w:w="82" w:type="dxa"/>
            <w:tcBorders/>
            <w:shd w:fill="CCEEFF" w:val="clear"/>
            <w:vAlign w:val="center"/>
          </w:tcPr>
          <w:p>
            <w:pPr>
              <w:pStyle w:val="TableContents"/>
              <w:spacing w:before="0" w:after="283"/>
              <w:rPr/>
            </w:pPr>
            <w:r>
              <w:rPr/>
              <w:t> </w:t>
            </w:r>
          </w:p>
        </w:tc>
        <w:tc>
          <w:tcPr>
            <w:tcW w:w="87"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712"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0.0</w:t>
            </w:r>
          </w:p>
        </w:tc>
        <w:tc>
          <w:tcPr>
            <w:tcW w:w="18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1"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737"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0.0</w:t>
            </w:r>
          </w:p>
        </w:tc>
        <w:tc>
          <w:tcPr>
            <w:tcW w:w="281" w:type="dxa"/>
            <w:tcBorders/>
            <w:shd w:fill="CCEEFF" w:val="clear"/>
            <w:vAlign w:val="center"/>
          </w:tcPr>
          <w:p>
            <w:pPr>
              <w:pStyle w:val="TableContents"/>
              <w:spacing w:before="0" w:after="283"/>
              <w:rPr/>
            </w:pPr>
            <w:r>
              <w:rPr/>
              <w:t> </w:t>
            </w:r>
          </w:p>
        </w:tc>
        <w:tc>
          <w:tcPr>
            <w:tcW w:w="91" w:type="dxa"/>
            <w:tcBorders/>
            <w:shd w:fill="CCEEFF" w:val="clear"/>
            <w:vAlign w:val="center"/>
          </w:tcPr>
          <w:p>
            <w:pPr>
              <w:pStyle w:val="TableContents"/>
              <w:spacing w:before="0" w:after="283"/>
              <w:rPr/>
            </w:pPr>
            <w:r>
              <w:rPr/>
              <w:t> </w:t>
            </w:r>
          </w:p>
        </w:tc>
        <w:tc>
          <w:tcPr>
            <w:tcW w:w="91"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737"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0.0</w:t>
            </w:r>
          </w:p>
        </w:tc>
        <w:tc>
          <w:tcPr>
            <w:tcW w:w="185" w:type="dxa"/>
            <w:tcBorders/>
            <w:shd w:fill="CCEEFF" w:val="clear"/>
            <w:vAlign w:val="center"/>
          </w:tcPr>
          <w:p>
            <w:pPr>
              <w:pStyle w:val="TableContents"/>
              <w:spacing w:before="0" w:after="283"/>
              <w:rPr/>
            </w:pPr>
            <w:r>
              <w:rPr/>
              <w:t> </w:t>
            </w:r>
          </w:p>
        </w:tc>
      </w:tr>
      <w:tr>
        <w:trPr/>
        <w:tc>
          <w:tcPr>
            <w:tcW w:w="4490"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Income (loss) before income taxes</w:t>
            </w:r>
          </w:p>
        </w:tc>
        <w:tc>
          <w:tcPr>
            <w:tcW w:w="60" w:type="dxa"/>
            <w:tcBorders/>
            <w:shd w:fill="FFFFFF" w:val="clear"/>
            <w:vAlign w:val="center"/>
          </w:tcPr>
          <w:p>
            <w:pPr>
              <w:pStyle w:val="TableContents"/>
              <w:spacing w:before="0" w:after="283"/>
              <w:rPr/>
            </w:pPr>
            <w:r>
              <w:rPr/>
              <w:t> </w:t>
            </w:r>
          </w:p>
        </w:tc>
        <w:tc>
          <w:tcPr>
            <w:tcW w:w="82" w:type="dxa"/>
            <w:tcBorders/>
            <w:shd w:fill="FFFFFF" w:val="clear"/>
            <w:vAlign w:val="center"/>
          </w:tcPr>
          <w:p>
            <w:pPr>
              <w:pStyle w:val="TableContents"/>
              <w:spacing w:before="0" w:after="283"/>
              <w:ind w:left="0" w:right="0" w:hanging="0"/>
              <w:rPr/>
            </w:pPr>
            <w:r>
              <w:rPr/>
              <w:t> </w:t>
            </w:r>
          </w:p>
        </w:tc>
        <w:tc>
          <w:tcPr>
            <w:tcW w:w="66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10.0</w:t>
            </w:r>
          </w:p>
        </w:tc>
        <w:tc>
          <w:tcPr>
            <w:tcW w:w="254" w:type="dxa"/>
            <w:tcBorders/>
            <w:shd w:fill="FFFFFF" w:val="clear"/>
            <w:vAlign w:val="center"/>
          </w:tcPr>
          <w:p>
            <w:pPr>
              <w:pStyle w:val="TableContents"/>
              <w:spacing w:before="0" w:after="283"/>
              <w:rPr/>
            </w:pPr>
            <w:r>
              <w:rPr/>
              <w:t> </w:t>
            </w:r>
          </w:p>
        </w:tc>
        <w:tc>
          <w:tcPr>
            <w:tcW w:w="82" w:type="dxa"/>
            <w:tcBorders/>
            <w:shd w:fill="FFFFFF" w:val="clear"/>
            <w:vAlign w:val="center"/>
          </w:tcPr>
          <w:p>
            <w:pPr>
              <w:pStyle w:val="TableContents"/>
              <w:spacing w:before="0" w:after="283"/>
              <w:rPr/>
            </w:pPr>
            <w:r>
              <w:rPr/>
              <w:t> </w:t>
            </w:r>
          </w:p>
        </w:tc>
        <w:tc>
          <w:tcPr>
            <w:tcW w:w="87" w:type="dxa"/>
            <w:tcBorders/>
            <w:shd w:fill="FFFFFF" w:val="clear"/>
            <w:vAlign w:val="center"/>
          </w:tcPr>
          <w:p>
            <w:pPr>
              <w:pStyle w:val="TableContents"/>
              <w:spacing w:before="0" w:after="283"/>
              <w:ind w:left="0" w:right="0" w:hanging="0"/>
              <w:rPr/>
            </w:pPr>
            <w:r>
              <w:rPr/>
              <w:t> </w:t>
            </w:r>
          </w:p>
        </w:tc>
        <w:tc>
          <w:tcPr>
            <w:tcW w:w="712"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(34.7</w:t>
            </w:r>
          </w:p>
        </w:tc>
        <w:tc>
          <w:tcPr>
            <w:tcW w:w="18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91" w:type="dxa"/>
            <w:tcBorders/>
            <w:shd w:fill="FFFFFF" w:val="clear"/>
            <w:vAlign w:val="center"/>
          </w:tcPr>
          <w:p>
            <w:pPr>
              <w:pStyle w:val="TableContents"/>
              <w:spacing w:before="0" w:after="283"/>
              <w:ind w:left="0" w:right="0" w:hanging="0"/>
              <w:rPr/>
            </w:pPr>
            <w:r>
              <w:rPr/>
              <w:t> </w:t>
            </w:r>
          </w:p>
        </w:tc>
        <w:tc>
          <w:tcPr>
            <w:tcW w:w="737"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12.2</w:t>
            </w:r>
          </w:p>
        </w:tc>
        <w:tc>
          <w:tcPr>
            <w:tcW w:w="281" w:type="dxa"/>
            <w:tcBorders/>
            <w:shd w:fill="FFFFFF" w:val="clear"/>
            <w:vAlign w:val="center"/>
          </w:tcPr>
          <w:p>
            <w:pPr>
              <w:pStyle w:val="TableContents"/>
              <w:spacing w:before="0" w:after="283"/>
              <w:rPr/>
            </w:pPr>
            <w:r>
              <w:rPr/>
              <w:t> </w:t>
            </w:r>
          </w:p>
        </w:tc>
        <w:tc>
          <w:tcPr>
            <w:tcW w:w="91" w:type="dxa"/>
            <w:tcBorders/>
            <w:shd w:fill="FFFFFF" w:val="clear"/>
            <w:vAlign w:val="center"/>
          </w:tcPr>
          <w:p>
            <w:pPr>
              <w:pStyle w:val="TableContents"/>
              <w:spacing w:before="0" w:after="283"/>
              <w:rPr/>
            </w:pPr>
            <w:r>
              <w:rPr/>
              <w:t> </w:t>
            </w:r>
          </w:p>
        </w:tc>
        <w:tc>
          <w:tcPr>
            <w:tcW w:w="91" w:type="dxa"/>
            <w:tcBorders/>
            <w:shd w:fill="FFFFFF" w:val="clear"/>
            <w:vAlign w:val="center"/>
          </w:tcPr>
          <w:p>
            <w:pPr>
              <w:pStyle w:val="TableContents"/>
              <w:spacing w:before="0" w:after="283"/>
              <w:ind w:left="0" w:right="0" w:hanging="0"/>
              <w:rPr/>
            </w:pPr>
            <w:r>
              <w:rPr/>
              <w:t> </w:t>
            </w:r>
          </w:p>
        </w:tc>
        <w:tc>
          <w:tcPr>
            <w:tcW w:w="737"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(37.5</w:t>
            </w:r>
          </w:p>
        </w:tc>
        <w:tc>
          <w:tcPr>
            <w:tcW w:w="18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449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Income tax expense</w:t>
            </w:r>
          </w:p>
        </w:tc>
        <w:tc>
          <w:tcPr>
            <w:tcW w:w="60" w:type="dxa"/>
            <w:tcBorders/>
            <w:shd w:fill="CCEEFF" w:val="clear"/>
            <w:vAlign w:val="center"/>
          </w:tcPr>
          <w:p>
            <w:pPr>
              <w:pStyle w:val="TableContents"/>
              <w:spacing w:before="0" w:after="283"/>
              <w:rPr/>
            </w:pPr>
            <w:r>
              <w:rPr/>
              <w:t> </w:t>
            </w:r>
          </w:p>
        </w:tc>
        <w:tc>
          <w:tcPr>
            <w:tcW w:w="82"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66"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2.8</w:t>
            </w:r>
          </w:p>
        </w:tc>
        <w:tc>
          <w:tcPr>
            <w:tcW w:w="254" w:type="dxa"/>
            <w:tcBorders/>
            <w:shd w:fill="CCEEFF" w:val="clear"/>
            <w:vAlign w:val="center"/>
          </w:tcPr>
          <w:p>
            <w:pPr>
              <w:pStyle w:val="TableContents"/>
              <w:spacing w:before="0" w:after="283"/>
              <w:rPr/>
            </w:pPr>
            <w:r>
              <w:rPr/>
              <w:t> </w:t>
            </w:r>
          </w:p>
        </w:tc>
        <w:tc>
          <w:tcPr>
            <w:tcW w:w="82" w:type="dxa"/>
            <w:tcBorders/>
            <w:shd w:fill="CCEEFF" w:val="clear"/>
            <w:vAlign w:val="center"/>
          </w:tcPr>
          <w:p>
            <w:pPr>
              <w:pStyle w:val="TableContents"/>
              <w:spacing w:before="0" w:after="283"/>
              <w:rPr/>
            </w:pPr>
            <w:r>
              <w:rPr/>
              <w:t> </w:t>
            </w:r>
          </w:p>
        </w:tc>
        <w:tc>
          <w:tcPr>
            <w:tcW w:w="87"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712"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(0.2</w:t>
            </w:r>
          </w:p>
        </w:tc>
        <w:tc>
          <w:tcPr>
            <w:tcW w:w="18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91"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737"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2.9</w:t>
            </w:r>
          </w:p>
        </w:tc>
        <w:tc>
          <w:tcPr>
            <w:tcW w:w="281" w:type="dxa"/>
            <w:tcBorders/>
            <w:shd w:fill="CCEEFF" w:val="clear"/>
            <w:vAlign w:val="center"/>
          </w:tcPr>
          <w:p>
            <w:pPr>
              <w:pStyle w:val="TableContents"/>
              <w:spacing w:before="0" w:after="283"/>
              <w:rPr/>
            </w:pPr>
            <w:r>
              <w:rPr/>
              <w:t> </w:t>
            </w:r>
          </w:p>
        </w:tc>
        <w:tc>
          <w:tcPr>
            <w:tcW w:w="91" w:type="dxa"/>
            <w:tcBorders/>
            <w:shd w:fill="CCEEFF" w:val="clear"/>
            <w:vAlign w:val="center"/>
          </w:tcPr>
          <w:p>
            <w:pPr>
              <w:pStyle w:val="TableContents"/>
              <w:spacing w:before="0" w:after="283"/>
              <w:rPr/>
            </w:pPr>
            <w:r>
              <w:rPr/>
              <w:t> </w:t>
            </w:r>
          </w:p>
        </w:tc>
        <w:tc>
          <w:tcPr>
            <w:tcW w:w="91"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737"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2.8</w:t>
            </w:r>
          </w:p>
        </w:tc>
        <w:tc>
          <w:tcPr>
            <w:tcW w:w="185" w:type="dxa"/>
            <w:tcBorders/>
            <w:shd w:fill="CCEEFF" w:val="clear"/>
            <w:vAlign w:val="center"/>
          </w:tcPr>
          <w:p>
            <w:pPr>
              <w:pStyle w:val="TableContents"/>
              <w:spacing w:before="0" w:after="283"/>
              <w:rPr/>
            </w:pPr>
            <w:r>
              <w:rPr/>
              <w:t> </w:t>
            </w:r>
          </w:p>
        </w:tc>
      </w:tr>
      <w:tr>
        <w:trPr/>
        <w:tc>
          <w:tcPr>
            <w:tcW w:w="4490"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Net income (loss)</w:t>
            </w:r>
          </w:p>
        </w:tc>
        <w:tc>
          <w:tcPr>
            <w:tcW w:w="60" w:type="dxa"/>
            <w:tcBorders/>
            <w:shd w:fill="FFFFFF" w:val="clear"/>
            <w:vAlign w:val="center"/>
          </w:tcPr>
          <w:p>
            <w:pPr>
              <w:pStyle w:val="TableContents"/>
              <w:spacing w:before="0" w:after="283"/>
              <w:rPr/>
            </w:pPr>
            <w:r>
              <w:rPr/>
              <w:t> </w:t>
            </w:r>
          </w:p>
        </w:tc>
        <w:tc>
          <w:tcPr>
            <w:tcW w:w="82" w:type="dxa"/>
            <w:tcBorders>
              <w:bottom w:val="double" w:sz="6" w:space="0" w:color="000000"/>
            </w:tcBorders>
            <w:shd w:fill="FFFFFF" w:val="clear"/>
            <w:tcMar>
              <w:bottom w:w="28" w:type="dxa"/>
            </w:tcMar>
            <w:vAlign w:val="center"/>
          </w:tcPr>
          <w:p>
            <w:pPr>
              <w:pStyle w:val="TableContents"/>
              <w:spacing w:before="0" w:after="283"/>
              <w:ind w:left="0" w:right="0" w:hanging="0"/>
              <w:rPr/>
            </w:pPr>
            <w:r>
              <w:rPr/>
              <w:t> </w:t>
            </w:r>
          </w:p>
        </w:tc>
        <w:tc>
          <w:tcPr>
            <w:tcW w:w="666"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7.2</w:t>
            </w:r>
          </w:p>
        </w:tc>
        <w:tc>
          <w:tcPr>
            <w:tcW w:w="254" w:type="dxa"/>
            <w:tcBorders/>
            <w:shd w:fill="FFFFFF" w:val="clear"/>
            <w:vAlign w:val="center"/>
          </w:tcPr>
          <w:p>
            <w:pPr>
              <w:pStyle w:val="TableContents"/>
              <w:spacing w:before="0" w:after="283"/>
              <w:rPr/>
            </w:pPr>
            <w:r>
              <w:rPr/>
              <w:t> </w:t>
            </w:r>
          </w:p>
        </w:tc>
        <w:tc>
          <w:tcPr>
            <w:tcW w:w="82" w:type="dxa"/>
            <w:tcBorders/>
            <w:shd w:fill="FFFFFF" w:val="clear"/>
            <w:vAlign w:val="center"/>
          </w:tcPr>
          <w:p>
            <w:pPr>
              <w:pStyle w:val="TableContents"/>
              <w:spacing w:before="0" w:after="283"/>
              <w:rPr/>
            </w:pPr>
            <w:r>
              <w:rPr/>
              <w:t> </w:t>
            </w:r>
          </w:p>
        </w:tc>
        <w:tc>
          <w:tcPr>
            <w:tcW w:w="87" w:type="dxa"/>
            <w:tcBorders>
              <w:bottom w:val="double" w:sz="6" w:space="0" w:color="000000"/>
            </w:tcBorders>
            <w:shd w:fill="FFFFFF" w:val="clear"/>
            <w:tcMar>
              <w:bottom w:w="28" w:type="dxa"/>
            </w:tcMar>
            <w:vAlign w:val="center"/>
          </w:tcPr>
          <w:p>
            <w:pPr>
              <w:pStyle w:val="TableContents"/>
              <w:spacing w:before="0" w:after="283"/>
              <w:ind w:left="0" w:right="0" w:hanging="0"/>
              <w:rPr/>
            </w:pPr>
            <w:r>
              <w:rPr/>
              <w:t> </w:t>
            </w:r>
          </w:p>
        </w:tc>
        <w:tc>
          <w:tcPr>
            <w:tcW w:w="712"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(34.5</w:t>
            </w:r>
          </w:p>
        </w:tc>
        <w:tc>
          <w:tcPr>
            <w:tcW w:w="18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91" w:type="dxa"/>
            <w:tcBorders>
              <w:bottom w:val="double" w:sz="6" w:space="0" w:color="000000"/>
            </w:tcBorders>
            <w:shd w:fill="FFFFFF" w:val="clear"/>
            <w:tcMar>
              <w:bottom w:w="28" w:type="dxa"/>
            </w:tcMar>
            <w:vAlign w:val="center"/>
          </w:tcPr>
          <w:p>
            <w:pPr>
              <w:pStyle w:val="TableContents"/>
              <w:spacing w:before="0" w:after="283"/>
              <w:ind w:left="0" w:right="0" w:hanging="0"/>
              <w:rPr/>
            </w:pPr>
            <w:r>
              <w:rPr/>
              <w:t> </w:t>
            </w:r>
          </w:p>
        </w:tc>
        <w:tc>
          <w:tcPr>
            <w:tcW w:w="737"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9.2</w:t>
            </w:r>
          </w:p>
        </w:tc>
        <w:tc>
          <w:tcPr>
            <w:tcW w:w="281" w:type="dxa"/>
            <w:tcBorders/>
            <w:shd w:fill="FFFFFF" w:val="clear"/>
            <w:vAlign w:val="center"/>
          </w:tcPr>
          <w:p>
            <w:pPr>
              <w:pStyle w:val="TableContents"/>
              <w:spacing w:before="0" w:after="283"/>
              <w:rPr/>
            </w:pPr>
            <w:r>
              <w:rPr/>
              <w:t> </w:t>
            </w:r>
          </w:p>
        </w:tc>
        <w:tc>
          <w:tcPr>
            <w:tcW w:w="91" w:type="dxa"/>
            <w:tcBorders/>
            <w:shd w:fill="FFFFFF" w:val="clear"/>
            <w:vAlign w:val="center"/>
          </w:tcPr>
          <w:p>
            <w:pPr>
              <w:pStyle w:val="TableContents"/>
              <w:spacing w:before="0" w:after="283"/>
              <w:rPr/>
            </w:pPr>
            <w:r>
              <w:rPr/>
              <w:t> </w:t>
            </w:r>
          </w:p>
        </w:tc>
        <w:tc>
          <w:tcPr>
            <w:tcW w:w="91" w:type="dxa"/>
            <w:tcBorders>
              <w:bottom w:val="double" w:sz="6" w:space="0" w:color="000000"/>
            </w:tcBorders>
            <w:shd w:fill="FFFFFF" w:val="clear"/>
            <w:tcMar>
              <w:bottom w:w="28" w:type="dxa"/>
            </w:tcMar>
            <w:vAlign w:val="center"/>
          </w:tcPr>
          <w:p>
            <w:pPr>
              <w:pStyle w:val="TableContents"/>
              <w:spacing w:before="0" w:after="283"/>
              <w:ind w:left="0" w:right="0" w:hanging="0"/>
              <w:rPr/>
            </w:pPr>
            <w:r>
              <w:rPr/>
              <w:t> </w:t>
            </w:r>
          </w:p>
        </w:tc>
        <w:tc>
          <w:tcPr>
            <w:tcW w:w="737"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(40.4</w:t>
            </w:r>
          </w:p>
        </w:tc>
        <w:tc>
          <w:tcPr>
            <w:tcW w:w="18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449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2" w:type="dxa"/>
            <w:tcBorders/>
            <w:shd w:fill="CCEEFF" w:val="clear"/>
            <w:vAlign w:val="center"/>
          </w:tcPr>
          <w:p>
            <w:pPr>
              <w:pStyle w:val="TableContents"/>
              <w:spacing w:before="0" w:after="283"/>
              <w:rPr/>
            </w:pPr>
            <w:r>
              <w:rPr/>
              <w:t> </w:t>
            </w:r>
          </w:p>
        </w:tc>
        <w:tc>
          <w:tcPr>
            <w:tcW w:w="666" w:type="dxa"/>
            <w:tcBorders/>
            <w:shd w:fill="CCEEFF" w:val="clear"/>
            <w:vAlign w:val="center"/>
          </w:tcPr>
          <w:p>
            <w:pPr>
              <w:pStyle w:val="TableContents"/>
              <w:spacing w:before="0" w:after="283"/>
              <w:rPr/>
            </w:pPr>
            <w:r>
              <w:rPr/>
              <w:t> </w:t>
            </w:r>
          </w:p>
        </w:tc>
        <w:tc>
          <w:tcPr>
            <w:tcW w:w="254" w:type="dxa"/>
            <w:tcBorders/>
            <w:shd w:fill="CCEEFF" w:val="clear"/>
            <w:vAlign w:val="center"/>
          </w:tcPr>
          <w:p>
            <w:pPr>
              <w:pStyle w:val="TableContents"/>
              <w:spacing w:before="0" w:after="283"/>
              <w:rPr/>
            </w:pPr>
            <w:r>
              <w:rPr/>
              <w:t> </w:t>
            </w:r>
          </w:p>
        </w:tc>
        <w:tc>
          <w:tcPr>
            <w:tcW w:w="82" w:type="dxa"/>
            <w:tcBorders/>
            <w:shd w:fill="CCEEFF" w:val="clear"/>
            <w:vAlign w:val="center"/>
          </w:tcPr>
          <w:p>
            <w:pPr>
              <w:pStyle w:val="TableContents"/>
              <w:spacing w:before="0" w:after="283"/>
              <w:rPr/>
            </w:pPr>
            <w:r>
              <w:rPr/>
              <w:t> </w:t>
            </w:r>
          </w:p>
        </w:tc>
        <w:tc>
          <w:tcPr>
            <w:tcW w:w="87" w:type="dxa"/>
            <w:tcBorders/>
            <w:shd w:fill="CCEEFF" w:val="clear"/>
            <w:vAlign w:val="center"/>
          </w:tcPr>
          <w:p>
            <w:pPr>
              <w:pStyle w:val="TableContents"/>
              <w:spacing w:before="0" w:after="283"/>
              <w:rPr/>
            </w:pPr>
            <w:r>
              <w:rPr/>
              <w:t> </w:t>
            </w:r>
          </w:p>
        </w:tc>
        <w:tc>
          <w:tcPr>
            <w:tcW w:w="712" w:type="dxa"/>
            <w:tcBorders/>
            <w:shd w:fill="CCEEFF" w:val="clear"/>
            <w:vAlign w:val="center"/>
          </w:tcPr>
          <w:p>
            <w:pPr>
              <w:pStyle w:val="TableContents"/>
              <w:spacing w:before="0" w:after="283"/>
              <w:rPr/>
            </w:pPr>
            <w:r>
              <w:rPr/>
              <w:t> </w:t>
            </w:r>
          </w:p>
        </w:tc>
        <w:tc>
          <w:tcPr>
            <w:tcW w:w="18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1" w:type="dxa"/>
            <w:tcBorders/>
            <w:shd w:fill="CCEEFF" w:val="clear"/>
            <w:vAlign w:val="center"/>
          </w:tcPr>
          <w:p>
            <w:pPr>
              <w:pStyle w:val="TableContents"/>
              <w:spacing w:before="0" w:after="283"/>
              <w:rPr/>
            </w:pPr>
            <w:r>
              <w:rPr/>
              <w:t> </w:t>
            </w:r>
          </w:p>
        </w:tc>
        <w:tc>
          <w:tcPr>
            <w:tcW w:w="737" w:type="dxa"/>
            <w:tcBorders/>
            <w:shd w:fill="CCEEFF" w:val="clear"/>
            <w:vAlign w:val="center"/>
          </w:tcPr>
          <w:p>
            <w:pPr>
              <w:pStyle w:val="TableContents"/>
              <w:spacing w:before="0" w:after="283"/>
              <w:rPr/>
            </w:pPr>
            <w:r>
              <w:rPr/>
              <w:t> </w:t>
            </w:r>
          </w:p>
        </w:tc>
        <w:tc>
          <w:tcPr>
            <w:tcW w:w="281" w:type="dxa"/>
            <w:tcBorders/>
            <w:shd w:fill="CCEEFF" w:val="clear"/>
            <w:vAlign w:val="center"/>
          </w:tcPr>
          <w:p>
            <w:pPr>
              <w:pStyle w:val="TableContents"/>
              <w:spacing w:before="0" w:after="283"/>
              <w:rPr/>
            </w:pPr>
            <w:r>
              <w:rPr/>
              <w:t> </w:t>
            </w:r>
          </w:p>
        </w:tc>
        <w:tc>
          <w:tcPr>
            <w:tcW w:w="91" w:type="dxa"/>
            <w:tcBorders/>
            <w:shd w:fill="CCEEFF" w:val="clear"/>
            <w:vAlign w:val="center"/>
          </w:tcPr>
          <w:p>
            <w:pPr>
              <w:pStyle w:val="TableContents"/>
              <w:spacing w:before="0" w:after="283"/>
              <w:rPr/>
            </w:pPr>
            <w:r>
              <w:rPr/>
              <w:t> </w:t>
            </w:r>
          </w:p>
        </w:tc>
        <w:tc>
          <w:tcPr>
            <w:tcW w:w="91" w:type="dxa"/>
            <w:tcBorders/>
            <w:shd w:fill="CCEEFF" w:val="clear"/>
            <w:vAlign w:val="center"/>
          </w:tcPr>
          <w:p>
            <w:pPr>
              <w:pStyle w:val="TableContents"/>
              <w:spacing w:before="0" w:after="283"/>
              <w:rPr/>
            </w:pPr>
            <w:r>
              <w:rPr/>
              <w:t> </w:t>
            </w:r>
          </w:p>
        </w:tc>
        <w:tc>
          <w:tcPr>
            <w:tcW w:w="737" w:type="dxa"/>
            <w:tcBorders/>
            <w:shd w:fill="CCEEFF" w:val="clear"/>
            <w:vAlign w:val="center"/>
          </w:tcPr>
          <w:p>
            <w:pPr>
              <w:pStyle w:val="TableContents"/>
              <w:spacing w:before="0" w:after="283"/>
              <w:rPr/>
            </w:pPr>
            <w:r>
              <w:rPr/>
              <w:t> </w:t>
            </w:r>
          </w:p>
        </w:tc>
        <w:tc>
          <w:tcPr>
            <w:tcW w:w="185" w:type="dxa"/>
            <w:tcBorders/>
            <w:shd w:fill="CCEEFF" w:val="clear"/>
            <w:vAlign w:val="center"/>
          </w:tcPr>
          <w:p>
            <w:pPr>
              <w:pStyle w:val="TableContents"/>
              <w:spacing w:before="0" w:after="283"/>
              <w:rPr/>
            </w:pPr>
            <w:r>
              <w:rPr/>
              <w:t> </w:t>
            </w:r>
          </w:p>
        </w:tc>
      </w:tr>
      <w:tr>
        <w:trPr/>
        <w:tc>
          <w:tcPr>
            <w:tcW w:w="4490" w:type="dxa"/>
            <w:tcBorders/>
            <w:shd w:fill="FFFFFF" w:val="clear"/>
            <w:vAlign w:val="center"/>
          </w:tcPr>
          <w:p>
            <w:pPr>
              <w:pStyle w:val="TableContents"/>
              <w:spacing w:lineRule="auto" w:line="288" w:before="0" w:after="0"/>
              <w:rPr>
                <w:rFonts w:ascii="Times New Roman" w:hAnsi="Times New Roman"/>
                <w:caps w:val="false"/>
                <w:smallCaps w:val="false"/>
                <w:sz w:val="20"/>
              </w:rPr>
            </w:pPr>
            <w:r>
              <w:rPr>
                <w:rFonts w:ascii="Times New Roman" w:hAnsi="Times New Roman"/>
                <w:caps w:val="false"/>
                <w:smallCaps w:val="false"/>
                <w:sz w:val="20"/>
              </w:rPr>
              <w:t>Retail Gross Margin (2)</w:t>
            </w:r>
          </w:p>
        </w:tc>
        <w:tc>
          <w:tcPr>
            <w:tcW w:w="60" w:type="dxa"/>
            <w:tcBorders/>
            <w:shd w:fill="FFFFFF" w:val="clear"/>
            <w:vAlign w:val="center"/>
          </w:tcPr>
          <w:p>
            <w:pPr>
              <w:pStyle w:val="TableContents"/>
              <w:spacing w:before="0" w:after="283"/>
              <w:rPr/>
            </w:pPr>
            <w:r>
              <w:rPr/>
              <w:t> </w:t>
            </w:r>
          </w:p>
        </w:tc>
        <w:tc>
          <w:tcPr>
            <w:tcW w:w="82" w:type="dxa"/>
            <w:tcBorders/>
            <w:shd w:fill="FFFFFF" w:val="clear"/>
            <w:vAlign w:val="center"/>
          </w:tcPr>
          <w:p>
            <w:pPr>
              <w:pStyle w:val="TableContents"/>
              <w:spacing w:before="0" w:after="283"/>
              <w:ind w:left="0" w:right="0" w:hanging="0"/>
              <w:rPr/>
            </w:pPr>
            <w:r>
              <w:rPr/>
              <w:t> </w:t>
            </w:r>
          </w:p>
        </w:tc>
        <w:tc>
          <w:tcPr>
            <w:tcW w:w="66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53.3</w:t>
            </w:r>
          </w:p>
        </w:tc>
        <w:tc>
          <w:tcPr>
            <w:tcW w:w="254"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82" w:type="dxa"/>
            <w:tcBorders/>
            <w:shd w:fill="FFFFFF" w:val="clear"/>
            <w:vAlign w:val="center"/>
          </w:tcPr>
          <w:p>
            <w:pPr>
              <w:pStyle w:val="TableContents"/>
              <w:spacing w:before="0" w:after="283"/>
              <w:rPr/>
            </w:pPr>
            <w:r>
              <w:rPr/>
              <w:t> </w:t>
            </w:r>
          </w:p>
        </w:tc>
        <w:tc>
          <w:tcPr>
            <w:tcW w:w="87" w:type="dxa"/>
            <w:tcBorders/>
            <w:shd w:fill="FFFFFF" w:val="clear"/>
            <w:vAlign w:val="center"/>
          </w:tcPr>
          <w:p>
            <w:pPr>
              <w:pStyle w:val="TableContents"/>
              <w:spacing w:before="0" w:after="283"/>
              <w:ind w:left="0" w:right="0" w:hanging="0"/>
              <w:rPr/>
            </w:pPr>
            <w:r>
              <w:rPr/>
              <w:t> </w:t>
            </w:r>
          </w:p>
        </w:tc>
        <w:tc>
          <w:tcPr>
            <w:tcW w:w="712"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23.1</w:t>
            </w:r>
          </w:p>
        </w:tc>
        <w:tc>
          <w:tcPr>
            <w:tcW w:w="18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91" w:type="dxa"/>
            <w:tcBorders/>
            <w:shd w:fill="FFFFFF" w:val="clear"/>
            <w:vAlign w:val="center"/>
          </w:tcPr>
          <w:p>
            <w:pPr>
              <w:pStyle w:val="TableContents"/>
              <w:spacing w:before="0" w:after="283"/>
              <w:ind w:left="0" w:right="0" w:hanging="0"/>
              <w:rPr/>
            </w:pPr>
            <w:r>
              <w:rPr/>
              <w:t> </w:t>
            </w:r>
          </w:p>
        </w:tc>
        <w:tc>
          <w:tcPr>
            <w:tcW w:w="737"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53.0</w:t>
            </w:r>
          </w:p>
        </w:tc>
        <w:tc>
          <w:tcPr>
            <w:tcW w:w="281"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91" w:type="dxa"/>
            <w:tcBorders/>
            <w:shd w:fill="FFFFFF" w:val="clear"/>
            <w:vAlign w:val="center"/>
          </w:tcPr>
          <w:p>
            <w:pPr>
              <w:pStyle w:val="TableContents"/>
              <w:spacing w:before="0" w:after="283"/>
              <w:rPr/>
            </w:pPr>
            <w:r>
              <w:rPr/>
              <w:t> </w:t>
            </w:r>
          </w:p>
        </w:tc>
        <w:tc>
          <w:tcPr>
            <w:tcW w:w="91" w:type="dxa"/>
            <w:tcBorders/>
            <w:shd w:fill="FFFFFF" w:val="clear"/>
            <w:vAlign w:val="center"/>
          </w:tcPr>
          <w:p>
            <w:pPr>
              <w:pStyle w:val="TableContents"/>
              <w:spacing w:before="0" w:after="283"/>
              <w:ind w:left="0" w:right="0" w:hanging="0"/>
              <w:rPr/>
            </w:pPr>
            <w:r>
              <w:rPr/>
              <w:t> </w:t>
            </w:r>
          </w:p>
        </w:tc>
        <w:tc>
          <w:tcPr>
            <w:tcW w:w="737"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25.2</w:t>
            </w:r>
          </w:p>
        </w:tc>
        <w:tc>
          <w:tcPr>
            <w:tcW w:w="18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bl>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208"/>
        <w:gridCol w:w="9997"/>
      </w:tblGrid>
      <w:tr>
        <w:trPr/>
        <w:tc>
          <w:tcPr>
            <w:tcW w:w="208"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9997"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Cost of merchandise sold – retail is expressed as a percentage of net retail sales. Cost of merchandise sold – commercial is expressed as a percentage of commercial revenue. Cost of merchandise sold – international franchising is expressed as a percentage of international franchising revenue.</w:t>
            </w:r>
          </w:p>
        </w:tc>
      </w:tr>
      <w:tr>
        <w:trPr/>
        <w:tc>
          <w:tcPr>
            <w:tcW w:w="208"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9997"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Retail gross margin represents net retail sales less cost of merchandise sold - retail; retail gross margin percentage represents retail gross margin divided by net retail sales.</w:t>
            </w:r>
          </w:p>
        </w:tc>
      </w:tr>
    </w:tbl>
    <w:p>
      <w:pPr>
        <w:pStyle w:val="TextBody"/>
        <w:spacing w:before="0" w:after="0"/>
        <w:ind w:left="0" w:right="0" w:hanging="0"/>
        <w:jc w:val="left"/>
        <w:rPr>
          <w:color w:val="000000"/>
        </w:rPr>
      </w:pPr>
      <w:r>
        <w:rPr>
          <w:color w:val="000000"/>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21 </w:t>
      </w:r>
    </w:p>
    <w:p>
      <w:pPr>
        <w:pStyle w:val="HorizontalLine"/>
        <w:rPr/>
      </w:pPr>
      <w:r>
        <w:rPr/>
      </w:r>
    </w:p>
    <w:p>
      <w:pPr>
        <w:pStyle w:val="TextBody"/>
        <w:jc w:val="left"/>
        <w:rPr/>
      </w:pPr>
      <w:hyperlink w:anchor="Table_of_Contents">
        <w:r>
          <w:rPr>
            <w:rStyle w:val="InternetLink"/>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Thirteen weeks ended July 31, 2021 compared to thirteen weeks ended August 1, 2020</w:t>
      </w:r>
    </w:p>
    <w:p>
      <w:pPr>
        <w:pStyle w:val="TextBody"/>
        <w:spacing w:before="0" w:after="0"/>
        <w:ind w:left="0" w:right="0" w:firstLine="720"/>
        <w:jc w:val="left"/>
        <w:rPr/>
      </w:pPr>
      <w:r>
        <w:rPr/>
        <w:t> </w:t>
      </w:r>
    </w:p>
    <w:p>
      <w:pPr>
        <w:pStyle w:val="TextBody"/>
        <w:spacing w:before="0" w:after="0"/>
        <w:ind w:left="0" w:right="0" w:firstLine="720"/>
        <w:jc w:val="left"/>
        <w:rPr>
          <w:rFonts w:ascii="Times New Roman;Times;serif" w:hAnsi="Times New Roman;Times;serif"/>
          <w:color w:val="000000"/>
          <w:sz w:val="20"/>
        </w:rPr>
      </w:pPr>
      <w:r>
        <w:rPr>
          <w:rFonts w:ascii="Times New Roman;Times;serif" w:hAnsi="Times New Roman;Times;serif"/>
          <w:i/>
          <w:color w:val="000000"/>
          <w:sz w:val="20"/>
        </w:rPr>
        <w:t xml:space="preserve">Total revenues. </w:t>
      </w:r>
      <w:r>
        <w:rPr>
          <w:rFonts w:ascii="Times New Roman;Times;serif" w:hAnsi="Times New Roman;Times;serif"/>
          <w:color w:val="000000"/>
          <w:sz w:val="20"/>
        </w:rPr>
        <w:t>Consolidated revenues increased 134.7%, driven by a 134.9% increase in North America and a 135.3% increase in Europe. The increase in North America and Europe was primarily driven by increased retail store operating days compared to the same period in the prior year which saw temporary store closures due to the pandemic.</w:t>
      </w:r>
    </w:p>
    <w:p>
      <w:pPr>
        <w:pStyle w:val="TextBody"/>
        <w:spacing w:before="0" w:after="0"/>
        <w:ind w:left="0" w:right="0" w:firstLine="720"/>
        <w:jc w:val="left"/>
        <w:rPr/>
      </w:pPr>
      <w:r>
        <w:rPr/>
        <w:t> </w:t>
      </w:r>
    </w:p>
    <w:p>
      <w:pPr>
        <w:pStyle w:val="TextBody"/>
        <w:spacing w:before="0" w:after="0"/>
        <w:ind w:left="0" w:right="0" w:firstLine="720"/>
        <w:jc w:val="left"/>
        <w:rPr>
          <w:rFonts w:ascii="Times New Roman;Times;serif" w:hAnsi="Times New Roman;Times;serif"/>
          <w:sz w:val="20"/>
        </w:rPr>
      </w:pPr>
      <w:r>
        <w:rPr>
          <w:rFonts w:ascii="Times New Roman;Times;serif" w:hAnsi="Times New Roman;Times;serif"/>
          <w:sz w:val="20"/>
        </w:rPr>
        <w:t>Net retail sales for the thirteen weeks ended July 31, 2021 were $91.3 million, compared to $39.3 million for the thirteen weeks ended August 1, 2020, an increase of $52.0 million, or 132.1% compared to the prior year period. The components of this increase are as follows (dollars in millions):</w:t>
      </w:r>
    </w:p>
    <w:p>
      <w:pPr>
        <w:pStyle w:val="TextBody"/>
        <w:spacing w:before="0" w:after="0"/>
        <w:ind w:left="144" w:right="144" w:hanging="0"/>
        <w:jc w:val="center"/>
        <w:rPr/>
      </w:pPr>
      <w:r>
        <w:rPr/>
        <w:t> </w:t>
      </w:r>
    </w:p>
    <w:tbl>
      <w:tblPr>
        <w:tblW w:w="4289" w:type="dxa"/>
        <w:jc w:val="left"/>
        <w:tblInd w:w="0" w:type="dxa"/>
        <w:tblCellMar>
          <w:top w:w="0" w:type="dxa"/>
          <w:left w:w="0" w:type="dxa"/>
          <w:bottom w:w="0" w:type="dxa"/>
          <w:right w:w="0" w:type="dxa"/>
        </w:tblCellMar>
      </w:tblPr>
      <w:tblGrid>
        <w:gridCol w:w="2315"/>
        <w:gridCol w:w="60"/>
        <w:gridCol w:w="318"/>
        <w:gridCol w:w="1516"/>
        <w:gridCol w:w="80"/>
      </w:tblGrid>
      <w:tr>
        <w:trPr/>
        <w:tc>
          <w:tcPr>
            <w:tcW w:w="231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834" w:type="dxa"/>
            <w:gridSpan w:val="2"/>
            <w:tcBorders/>
            <w:shd w:fill="FFFFFF"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Thirteen weeks ended</w:t>
            </w:r>
          </w:p>
        </w:tc>
        <w:tc>
          <w:tcPr>
            <w:tcW w:w="80" w:type="dxa"/>
            <w:tcBorders/>
            <w:shd w:fill="FFFFFF" w:val="clear"/>
            <w:vAlign w:val="center"/>
          </w:tcPr>
          <w:p>
            <w:pPr>
              <w:pStyle w:val="TableContents"/>
              <w:spacing w:before="0" w:after="283"/>
              <w:rPr/>
            </w:pPr>
            <w:r>
              <w:rPr/>
              <w:t> </w:t>
            </w:r>
          </w:p>
        </w:tc>
      </w:tr>
      <w:tr>
        <w:trPr/>
        <w:tc>
          <w:tcPr>
            <w:tcW w:w="231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834" w:type="dxa"/>
            <w:gridSpan w:val="2"/>
            <w:tcBorders>
              <w:bottom w:val="single" w:sz="2" w:space="0" w:color="000000"/>
            </w:tcBorders>
            <w:shd w:fill="FFFFFF" w:val="clear"/>
            <w:tcMar>
              <w:bottom w:w="28"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July 31, 2021</w:t>
            </w:r>
          </w:p>
        </w:tc>
        <w:tc>
          <w:tcPr>
            <w:tcW w:w="80" w:type="dxa"/>
            <w:tcBorders/>
            <w:shd w:fill="FFFFFF" w:val="clear"/>
            <w:vAlign w:val="center"/>
          </w:tcPr>
          <w:p>
            <w:pPr>
              <w:pStyle w:val="TableContents"/>
              <w:spacing w:before="0" w:after="283"/>
              <w:rPr/>
            </w:pPr>
            <w:r>
              <w:rPr/>
              <w:t> </w:t>
            </w:r>
          </w:p>
        </w:tc>
      </w:tr>
      <w:tr>
        <w:trPr/>
        <w:tc>
          <w:tcPr>
            <w:tcW w:w="2315" w:type="dxa"/>
            <w:tcBorders/>
            <w:shd w:fill="FFFFFF" w:val="clear"/>
            <w:vAlign w:val="center"/>
          </w:tcPr>
          <w:p>
            <w:pPr>
              <w:pStyle w:val="TableContents"/>
              <w:spacing w:before="0" w:after="0"/>
              <w:rPr>
                <w:sz w:val="20"/>
              </w:rPr>
            </w:pPr>
            <w:r>
              <w:rPr>
                <w:sz w:val="20"/>
              </w:rPr>
              <w:t>Impact from:</w:t>
            </w:r>
          </w:p>
        </w:tc>
        <w:tc>
          <w:tcPr>
            <w:tcW w:w="60" w:type="dxa"/>
            <w:tcBorders/>
            <w:shd w:fill="FFFFFF" w:val="clear"/>
            <w:vAlign w:val="center"/>
          </w:tcPr>
          <w:p>
            <w:pPr>
              <w:pStyle w:val="TableContents"/>
              <w:spacing w:before="0" w:after="283"/>
              <w:rPr/>
            </w:pPr>
            <w:r>
              <w:rPr/>
              <w:t> </w:t>
            </w:r>
          </w:p>
        </w:tc>
        <w:tc>
          <w:tcPr>
            <w:tcW w:w="318" w:type="dxa"/>
            <w:tcBorders/>
            <w:shd w:fill="FFFFFF" w:val="clear"/>
            <w:vAlign w:val="center"/>
          </w:tcPr>
          <w:p>
            <w:pPr>
              <w:pStyle w:val="TableContents"/>
              <w:spacing w:before="0" w:after="283"/>
              <w:rPr/>
            </w:pPr>
            <w:r>
              <w:rPr/>
              <w:t> </w:t>
            </w:r>
          </w:p>
        </w:tc>
        <w:tc>
          <w:tcPr>
            <w:tcW w:w="1516"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rPr/>
            </w:pPr>
            <w:r>
              <w:rPr/>
              <w:t> </w:t>
            </w:r>
          </w:p>
        </w:tc>
      </w:tr>
      <w:tr>
        <w:trPr/>
        <w:tc>
          <w:tcPr>
            <w:tcW w:w="2315" w:type="dxa"/>
            <w:tcBorders/>
            <w:shd w:fill="CCEEFF" w:val="clear"/>
            <w:vAlign w:val="center"/>
          </w:tcPr>
          <w:p>
            <w:pPr>
              <w:pStyle w:val="TableContents"/>
              <w:spacing w:before="0" w:after="0"/>
              <w:rPr>
                <w:sz w:val="20"/>
              </w:rPr>
            </w:pPr>
            <w:r>
              <w:rPr>
                <w:sz w:val="20"/>
              </w:rPr>
              <w:t>Existing stores</w:t>
            </w:r>
          </w:p>
        </w:tc>
        <w:tc>
          <w:tcPr>
            <w:tcW w:w="60" w:type="dxa"/>
            <w:tcBorders/>
            <w:shd w:fill="CCEEFF" w:val="clear"/>
            <w:vAlign w:val="center"/>
          </w:tcPr>
          <w:p>
            <w:pPr>
              <w:pStyle w:val="TableContents"/>
              <w:spacing w:before="0" w:after="283"/>
              <w:rPr/>
            </w:pPr>
            <w:r>
              <w:rPr/>
              <w:t> </w:t>
            </w:r>
          </w:p>
        </w:tc>
        <w:tc>
          <w:tcPr>
            <w:tcW w:w="318" w:type="dxa"/>
            <w:tcBorders/>
            <w:shd w:fill="CCEEFF" w:val="clear"/>
            <w:vAlign w:val="center"/>
          </w:tcPr>
          <w:p>
            <w:pPr>
              <w:pStyle w:val="TableContents"/>
              <w:spacing w:before="0" w:after="283"/>
              <w:rPr>
                <w:sz w:val="20"/>
              </w:rPr>
            </w:pPr>
            <w:r>
              <w:rPr>
                <w:sz w:val="20"/>
              </w:rPr>
              <w:t>$</w:t>
            </w:r>
          </w:p>
        </w:tc>
        <w:tc>
          <w:tcPr>
            <w:tcW w:w="1516" w:type="dxa"/>
            <w:tcBorders/>
            <w:shd w:fill="CCEEFF" w:val="clear"/>
            <w:vAlign w:val="center"/>
          </w:tcPr>
          <w:p>
            <w:pPr>
              <w:pStyle w:val="TableContents"/>
              <w:spacing w:before="0" w:after="283"/>
              <w:jc w:val="right"/>
              <w:rPr>
                <w:sz w:val="20"/>
              </w:rPr>
            </w:pPr>
            <w:r>
              <w:rPr>
                <w:sz w:val="20"/>
              </w:rPr>
              <w:t>55,454</w:t>
            </w:r>
          </w:p>
        </w:tc>
        <w:tc>
          <w:tcPr>
            <w:tcW w:w="80" w:type="dxa"/>
            <w:tcBorders/>
            <w:shd w:fill="CCEEFF" w:val="clear"/>
            <w:vAlign w:val="center"/>
          </w:tcPr>
          <w:p>
            <w:pPr>
              <w:pStyle w:val="TableContents"/>
              <w:spacing w:before="0" w:after="283"/>
              <w:rPr/>
            </w:pPr>
            <w:r>
              <w:rPr/>
              <w:t> </w:t>
            </w:r>
          </w:p>
        </w:tc>
      </w:tr>
      <w:tr>
        <w:trPr/>
        <w:tc>
          <w:tcPr>
            <w:tcW w:w="2315" w:type="dxa"/>
            <w:tcBorders/>
            <w:shd w:fill="FFFFFF" w:val="clear"/>
            <w:vAlign w:val="center"/>
          </w:tcPr>
          <w:p>
            <w:pPr>
              <w:pStyle w:val="TableContents"/>
              <w:spacing w:before="0" w:after="0"/>
              <w:rPr>
                <w:sz w:val="20"/>
              </w:rPr>
            </w:pPr>
            <w:r>
              <w:rPr>
                <w:sz w:val="20"/>
              </w:rPr>
              <w:t>E-commerce</w:t>
            </w:r>
          </w:p>
        </w:tc>
        <w:tc>
          <w:tcPr>
            <w:tcW w:w="60" w:type="dxa"/>
            <w:tcBorders/>
            <w:shd w:fill="FFFFFF" w:val="clear"/>
            <w:vAlign w:val="center"/>
          </w:tcPr>
          <w:p>
            <w:pPr>
              <w:pStyle w:val="TableContents"/>
              <w:spacing w:before="0" w:after="283"/>
              <w:rPr/>
            </w:pPr>
            <w:r>
              <w:rPr/>
              <w:t> </w:t>
            </w:r>
          </w:p>
        </w:tc>
        <w:tc>
          <w:tcPr>
            <w:tcW w:w="318" w:type="dxa"/>
            <w:tcBorders/>
            <w:shd w:fill="FFFFFF" w:val="clear"/>
            <w:vAlign w:val="center"/>
          </w:tcPr>
          <w:p>
            <w:pPr>
              <w:pStyle w:val="TableContents"/>
              <w:spacing w:before="0" w:after="283"/>
              <w:rPr/>
            </w:pPr>
            <w:r>
              <w:rPr/>
              <w:t> </w:t>
            </w:r>
          </w:p>
        </w:tc>
        <w:tc>
          <w:tcPr>
            <w:tcW w:w="1516" w:type="dxa"/>
            <w:tcBorders/>
            <w:shd w:fill="FFFFFF" w:val="clear"/>
            <w:vAlign w:val="center"/>
          </w:tcPr>
          <w:p>
            <w:pPr>
              <w:pStyle w:val="TableContents"/>
              <w:spacing w:before="0" w:after="283"/>
              <w:jc w:val="right"/>
              <w:rPr>
                <w:sz w:val="20"/>
              </w:rPr>
            </w:pPr>
            <w:r>
              <w:rPr>
                <w:sz w:val="20"/>
              </w:rPr>
              <w:t>(5,217</w:t>
            </w:r>
          </w:p>
        </w:tc>
        <w:tc>
          <w:tcPr>
            <w:tcW w:w="80" w:type="dxa"/>
            <w:tcBorders/>
            <w:shd w:fill="FFFFFF" w:val="clear"/>
            <w:vAlign w:val="center"/>
          </w:tcPr>
          <w:p>
            <w:pPr>
              <w:pStyle w:val="TableContents"/>
              <w:spacing w:before="0" w:after="283"/>
              <w:rPr>
                <w:sz w:val="20"/>
              </w:rPr>
            </w:pPr>
            <w:r>
              <w:rPr>
                <w:sz w:val="20"/>
              </w:rPr>
              <w:t>)</w:t>
            </w:r>
          </w:p>
        </w:tc>
      </w:tr>
      <w:tr>
        <w:trPr/>
        <w:tc>
          <w:tcPr>
            <w:tcW w:w="2315" w:type="dxa"/>
            <w:tcBorders/>
            <w:shd w:fill="CCEEFF" w:val="clear"/>
            <w:vAlign w:val="center"/>
          </w:tcPr>
          <w:p>
            <w:pPr>
              <w:pStyle w:val="TableContents"/>
              <w:spacing w:before="0" w:after="0"/>
              <w:rPr>
                <w:sz w:val="20"/>
              </w:rPr>
            </w:pPr>
            <w:r>
              <w:rPr>
                <w:sz w:val="20"/>
              </w:rPr>
              <w:t>New stores</w:t>
            </w:r>
          </w:p>
        </w:tc>
        <w:tc>
          <w:tcPr>
            <w:tcW w:w="60" w:type="dxa"/>
            <w:tcBorders/>
            <w:shd w:fill="CCEEFF" w:val="clear"/>
            <w:vAlign w:val="center"/>
          </w:tcPr>
          <w:p>
            <w:pPr>
              <w:pStyle w:val="TableContents"/>
              <w:spacing w:before="0" w:after="283"/>
              <w:rPr/>
            </w:pPr>
            <w:r>
              <w:rPr/>
              <w:t> </w:t>
            </w:r>
          </w:p>
        </w:tc>
        <w:tc>
          <w:tcPr>
            <w:tcW w:w="318" w:type="dxa"/>
            <w:tcBorders/>
            <w:shd w:fill="CCEEFF" w:val="clear"/>
            <w:vAlign w:val="center"/>
          </w:tcPr>
          <w:p>
            <w:pPr>
              <w:pStyle w:val="TableContents"/>
              <w:spacing w:before="0" w:after="283"/>
              <w:rPr/>
            </w:pPr>
            <w:r>
              <w:rPr/>
              <w:t> </w:t>
            </w:r>
          </w:p>
        </w:tc>
        <w:tc>
          <w:tcPr>
            <w:tcW w:w="1516" w:type="dxa"/>
            <w:tcBorders/>
            <w:shd w:fill="CCEEFF" w:val="clear"/>
            <w:vAlign w:val="center"/>
          </w:tcPr>
          <w:p>
            <w:pPr>
              <w:pStyle w:val="TableContents"/>
              <w:spacing w:before="0" w:after="283"/>
              <w:jc w:val="right"/>
              <w:rPr>
                <w:sz w:val="20"/>
              </w:rPr>
            </w:pPr>
            <w:r>
              <w:rPr>
                <w:sz w:val="20"/>
              </w:rPr>
              <w:t>913</w:t>
            </w:r>
          </w:p>
        </w:tc>
        <w:tc>
          <w:tcPr>
            <w:tcW w:w="80" w:type="dxa"/>
            <w:tcBorders/>
            <w:shd w:fill="CCEEFF" w:val="clear"/>
            <w:vAlign w:val="center"/>
          </w:tcPr>
          <w:p>
            <w:pPr>
              <w:pStyle w:val="TableContents"/>
              <w:spacing w:before="0" w:after="283"/>
              <w:rPr/>
            </w:pPr>
            <w:r>
              <w:rPr/>
              <w:t> </w:t>
            </w:r>
          </w:p>
        </w:tc>
      </w:tr>
      <w:tr>
        <w:trPr/>
        <w:tc>
          <w:tcPr>
            <w:tcW w:w="2315" w:type="dxa"/>
            <w:tcBorders/>
            <w:shd w:fill="FFFFFF" w:val="clear"/>
            <w:vAlign w:val="center"/>
          </w:tcPr>
          <w:p>
            <w:pPr>
              <w:pStyle w:val="TableContents"/>
              <w:spacing w:before="0" w:after="0"/>
              <w:rPr>
                <w:sz w:val="20"/>
              </w:rPr>
            </w:pPr>
            <w:r>
              <w:rPr>
                <w:sz w:val="20"/>
              </w:rPr>
              <w:t>Store closures</w:t>
            </w:r>
          </w:p>
        </w:tc>
        <w:tc>
          <w:tcPr>
            <w:tcW w:w="60" w:type="dxa"/>
            <w:tcBorders/>
            <w:shd w:fill="FFFFFF" w:val="clear"/>
            <w:vAlign w:val="center"/>
          </w:tcPr>
          <w:p>
            <w:pPr>
              <w:pStyle w:val="TableContents"/>
              <w:spacing w:before="0" w:after="283"/>
              <w:rPr/>
            </w:pPr>
            <w:r>
              <w:rPr/>
              <w:t> </w:t>
            </w:r>
          </w:p>
        </w:tc>
        <w:tc>
          <w:tcPr>
            <w:tcW w:w="318" w:type="dxa"/>
            <w:tcBorders/>
            <w:shd w:fill="FFFFFF" w:val="clear"/>
            <w:vAlign w:val="center"/>
          </w:tcPr>
          <w:p>
            <w:pPr>
              <w:pStyle w:val="TableContents"/>
              <w:spacing w:before="0" w:after="283"/>
              <w:rPr/>
            </w:pPr>
            <w:r>
              <w:rPr/>
              <w:t> </w:t>
            </w:r>
          </w:p>
        </w:tc>
        <w:tc>
          <w:tcPr>
            <w:tcW w:w="1516" w:type="dxa"/>
            <w:tcBorders/>
            <w:shd w:fill="FFFFFF" w:val="clear"/>
            <w:vAlign w:val="center"/>
          </w:tcPr>
          <w:p>
            <w:pPr>
              <w:pStyle w:val="TableContents"/>
              <w:spacing w:before="0" w:after="283"/>
              <w:jc w:val="right"/>
              <w:rPr>
                <w:sz w:val="20"/>
              </w:rPr>
            </w:pPr>
            <w:r>
              <w:rPr>
                <w:sz w:val="20"/>
              </w:rPr>
              <w:t>(357</w:t>
            </w:r>
          </w:p>
        </w:tc>
        <w:tc>
          <w:tcPr>
            <w:tcW w:w="80" w:type="dxa"/>
            <w:tcBorders/>
            <w:shd w:fill="FFFFFF" w:val="clear"/>
            <w:vAlign w:val="center"/>
          </w:tcPr>
          <w:p>
            <w:pPr>
              <w:pStyle w:val="TableContents"/>
              <w:spacing w:before="0" w:after="283"/>
              <w:rPr>
                <w:sz w:val="20"/>
              </w:rPr>
            </w:pPr>
            <w:r>
              <w:rPr>
                <w:sz w:val="20"/>
              </w:rPr>
              <w:t>)</w:t>
            </w:r>
          </w:p>
        </w:tc>
      </w:tr>
      <w:tr>
        <w:trPr/>
        <w:tc>
          <w:tcPr>
            <w:tcW w:w="2315" w:type="dxa"/>
            <w:tcBorders/>
            <w:shd w:fill="CCEEFF" w:val="clear"/>
            <w:vAlign w:val="center"/>
          </w:tcPr>
          <w:p>
            <w:pPr>
              <w:pStyle w:val="TableContents"/>
              <w:spacing w:before="0" w:after="0"/>
              <w:rPr>
                <w:sz w:val="20"/>
              </w:rPr>
            </w:pPr>
            <w:r>
              <w:rPr>
                <w:sz w:val="20"/>
              </w:rPr>
              <w:t>Gift card breakage</w:t>
            </w:r>
          </w:p>
        </w:tc>
        <w:tc>
          <w:tcPr>
            <w:tcW w:w="60" w:type="dxa"/>
            <w:tcBorders/>
            <w:shd w:fill="CCEEFF" w:val="clear"/>
            <w:vAlign w:val="center"/>
          </w:tcPr>
          <w:p>
            <w:pPr>
              <w:pStyle w:val="TableContents"/>
              <w:spacing w:before="0" w:after="283"/>
              <w:rPr/>
            </w:pPr>
            <w:r>
              <w:rPr/>
              <w:t> </w:t>
            </w:r>
          </w:p>
        </w:tc>
        <w:tc>
          <w:tcPr>
            <w:tcW w:w="318" w:type="dxa"/>
            <w:tcBorders/>
            <w:shd w:fill="CCEEFF" w:val="clear"/>
            <w:vAlign w:val="center"/>
          </w:tcPr>
          <w:p>
            <w:pPr>
              <w:pStyle w:val="TableContents"/>
              <w:spacing w:before="0" w:after="283"/>
              <w:rPr/>
            </w:pPr>
            <w:r>
              <w:rPr/>
              <w:t> </w:t>
            </w:r>
          </w:p>
        </w:tc>
        <w:tc>
          <w:tcPr>
            <w:tcW w:w="1516" w:type="dxa"/>
            <w:tcBorders/>
            <w:shd w:fill="CCEEFF" w:val="clear"/>
            <w:vAlign w:val="center"/>
          </w:tcPr>
          <w:p>
            <w:pPr>
              <w:pStyle w:val="TableContents"/>
              <w:spacing w:before="0" w:after="283"/>
              <w:jc w:val="right"/>
              <w:rPr>
                <w:sz w:val="20"/>
              </w:rPr>
            </w:pPr>
            <w:r>
              <w:rPr>
                <w:sz w:val="20"/>
              </w:rPr>
              <w:t>366</w:t>
            </w:r>
          </w:p>
        </w:tc>
        <w:tc>
          <w:tcPr>
            <w:tcW w:w="80" w:type="dxa"/>
            <w:tcBorders/>
            <w:shd w:fill="CCEEFF" w:val="clear"/>
            <w:vAlign w:val="center"/>
          </w:tcPr>
          <w:p>
            <w:pPr>
              <w:pStyle w:val="TableContents"/>
              <w:spacing w:before="0" w:after="283"/>
              <w:rPr/>
            </w:pPr>
            <w:r>
              <w:rPr/>
              <w:t> </w:t>
            </w:r>
          </w:p>
        </w:tc>
      </w:tr>
      <w:tr>
        <w:trPr/>
        <w:tc>
          <w:tcPr>
            <w:tcW w:w="2315" w:type="dxa"/>
            <w:tcBorders/>
            <w:shd w:fill="FFFFFF" w:val="clear"/>
            <w:vAlign w:val="center"/>
          </w:tcPr>
          <w:p>
            <w:pPr>
              <w:pStyle w:val="TableContents"/>
              <w:spacing w:before="0" w:after="0"/>
              <w:rPr>
                <w:sz w:val="20"/>
              </w:rPr>
            </w:pPr>
            <w:r>
              <w:rPr>
                <w:sz w:val="20"/>
              </w:rPr>
              <w:t>Foreign currency translation</w:t>
            </w:r>
          </w:p>
        </w:tc>
        <w:tc>
          <w:tcPr>
            <w:tcW w:w="60" w:type="dxa"/>
            <w:tcBorders/>
            <w:shd w:fill="FFFFFF" w:val="clear"/>
            <w:vAlign w:val="center"/>
          </w:tcPr>
          <w:p>
            <w:pPr>
              <w:pStyle w:val="TableContents"/>
              <w:spacing w:before="0" w:after="283"/>
              <w:rPr/>
            </w:pPr>
            <w:r>
              <w:rPr/>
              <w:t> </w:t>
            </w:r>
          </w:p>
        </w:tc>
        <w:tc>
          <w:tcPr>
            <w:tcW w:w="318" w:type="dxa"/>
            <w:tcBorders/>
            <w:shd w:fill="FFFFFF" w:val="clear"/>
            <w:vAlign w:val="center"/>
          </w:tcPr>
          <w:p>
            <w:pPr>
              <w:pStyle w:val="TableContents"/>
              <w:spacing w:before="0" w:after="283"/>
              <w:rPr/>
            </w:pPr>
            <w:r>
              <w:rPr/>
              <w:t> </w:t>
            </w:r>
          </w:p>
        </w:tc>
        <w:tc>
          <w:tcPr>
            <w:tcW w:w="1516" w:type="dxa"/>
            <w:tcBorders/>
            <w:shd w:fill="FFFFFF" w:val="clear"/>
            <w:vAlign w:val="center"/>
          </w:tcPr>
          <w:p>
            <w:pPr>
              <w:pStyle w:val="TableContents"/>
              <w:spacing w:before="0" w:after="283"/>
              <w:jc w:val="right"/>
              <w:rPr>
                <w:sz w:val="20"/>
              </w:rPr>
            </w:pPr>
            <w:r>
              <w:rPr>
                <w:sz w:val="20"/>
              </w:rPr>
              <w:t>613</w:t>
            </w:r>
          </w:p>
        </w:tc>
        <w:tc>
          <w:tcPr>
            <w:tcW w:w="80" w:type="dxa"/>
            <w:tcBorders/>
            <w:shd w:fill="FFFFFF" w:val="clear"/>
            <w:vAlign w:val="center"/>
          </w:tcPr>
          <w:p>
            <w:pPr>
              <w:pStyle w:val="TableContents"/>
              <w:spacing w:before="0" w:after="283"/>
              <w:rPr/>
            </w:pPr>
            <w:r>
              <w:rPr/>
              <w:t> </w:t>
            </w:r>
          </w:p>
        </w:tc>
      </w:tr>
      <w:tr>
        <w:trPr/>
        <w:tc>
          <w:tcPr>
            <w:tcW w:w="2315" w:type="dxa"/>
            <w:tcBorders/>
            <w:shd w:fill="CCEEFF" w:val="clear"/>
            <w:vAlign w:val="center"/>
          </w:tcPr>
          <w:p>
            <w:pPr>
              <w:pStyle w:val="TableContents"/>
              <w:spacing w:before="0" w:after="0"/>
              <w:rPr>
                <w:sz w:val="20"/>
              </w:rPr>
            </w:pPr>
            <w:r>
              <w:rPr>
                <w:sz w:val="20"/>
              </w:rPr>
              <w:t>Deferred revenue estimates</w:t>
            </w:r>
          </w:p>
        </w:tc>
        <w:tc>
          <w:tcPr>
            <w:tcW w:w="60" w:type="dxa"/>
            <w:tcBorders/>
            <w:shd w:fill="CCEEFF" w:val="clear"/>
            <w:vAlign w:val="center"/>
          </w:tcPr>
          <w:p>
            <w:pPr>
              <w:pStyle w:val="TableContents"/>
              <w:spacing w:before="0" w:after="283"/>
              <w:ind w:left="0" w:right="0" w:hanging="0"/>
              <w:rPr/>
            </w:pPr>
            <w:r>
              <w:rPr/>
              <w:t> </w:t>
            </w:r>
          </w:p>
        </w:tc>
        <w:tc>
          <w:tcPr>
            <w:tcW w:w="318"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516" w:type="dxa"/>
            <w:tcBorders>
              <w:bottom w:val="single" w:sz="2" w:space="0" w:color="000000"/>
            </w:tcBorders>
            <w:shd w:fill="CCEEFF" w:val="clear"/>
            <w:tcMar>
              <w:bottom w:w="28" w:type="dxa"/>
            </w:tcMar>
            <w:vAlign w:val="center"/>
          </w:tcPr>
          <w:p>
            <w:pPr>
              <w:pStyle w:val="TableContents"/>
              <w:spacing w:before="0" w:after="0"/>
              <w:jc w:val="right"/>
              <w:rPr>
                <w:sz w:val="20"/>
              </w:rPr>
            </w:pPr>
            <w:r>
              <w:rPr>
                <w:sz w:val="20"/>
              </w:rPr>
              <w:t>178</w:t>
            </w:r>
          </w:p>
        </w:tc>
        <w:tc>
          <w:tcPr>
            <w:tcW w:w="80" w:type="dxa"/>
            <w:tcBorders/>
            <w:shd w:fill="CCEEFF" w:val="clear"/>
            <w:vAlign w:val="center"/>
          </w:tcPr>
          <w:p>
            <w:pPr>
              <w:pStyle w:val="TableContents"/>
              <w:spacing w:before="0" w:after="283"/>
              <w:rPr/>
            </w:pPr>
            <w:r>
              <w:rPr/>
              <w:t> </w:t>
            </w:r>
          </w:p>
        </w:tc>
      </w:tr>
      <w:tr>
        <w:trPr/>
        <w:tc>
          <w:tcPr>
            <w:tcW w:w="2315" w:type="dxa"/>
            <w:tcBorders/>
            <w:shd w:fill="FFFFFF" w:val="clear"/>
            <w:vAlign w:val="center"/>
          </w:tcPr>
          <w:p>
            <w:pPr>
              <w:pStyle w:val="TableContents"/>
              <w:spacing w:before="0" w:after="283"/>
              <w:ind w:left="0" w:right="0" w:firstLine="180"/>
              <w:rPr>
                <w:rFonts w:ascii="Times New Roman;Times;serif" w:hAnsi="Times New Roman;Times;serif"/>
                <w:sz w:val="20"/>
              </w:rPr>
            </w:pPr>
            <w:r>
              <w:rPr>
                <w:rFonts w:ascii="Times New Roman;Times;serif" w:hAnsi="Times New Roman;Times;serif"/>
                <w:sz w:val="20"/>
              </w:rPr>
              <w:t>Total Change</w:t>
            </w:r>
          </w:p>
        </w:tc>
        <w:tc>
          <w:tcPr>
            <w:tcW w:w="60" w:type="dxa"/>
            <w:tcBorders/>
            <w:shd w:fill="FFFFFF" w:val="clear"/>
            <w:vAlign w:val="center"/>
          </w:tcPr>
          <w:p>
            <w:pPr>
              <w:pStyle w:val="TableContents"/>
              <w:spacing w:before="0" w:after="283"/>
              <w:rPr/>
            </w:pPr>
            <w:r>
              <w:rPr/>
              <w:t> </w:t>
            </w:r>
          </w:p>
        </w:tc>
        <w:tc>
          <w:tcPr>
            <w:tcW w:w="318" w:type="dxa"/>
            <w:tcBorders>
              <w:bottom w:val="double" w:sz="6" w:space="0" w:color="000000"/>
            </w:tcBorders>
            <w:shd w:fill="FFFFFF" w:val="clear"/>
            <w:tcMar>
              <w:bottom w:w="28" w:type="dxa"/>
            </w:tcMar>
            <w:vAlign w:val="center"/>
          </w:tcPr>
          <w:p>
            <w:pPr>
              <w:pStyle w:val="TableContents"/>
              <w:spacing w:before="0" w:after="283"/>
              <w:ind w:left="0" w:right="0" w:hanging="0"/>
              <w:rPr>
                <w:sz w:val="20"/>
              </w:rPr>
            </w:pPr>
            <w:r>
              <w:rPr>
                <w:sz w:val="20"/>
              </w:rPr>
              <w:t>$</w:t>
            </w:r>
          </w:p>
        </w:tc>
        <w:tc>
          <w:tcPr>
            <w:tcW w:w="1516" w:type="dxa"/>
            <w:tcBorders>
              <w:bottom w:val="double" w:sz="6" w:space="0" w:color="000000"/>
            </w:tcBorders>
            <w:shd w:fill="FFFFFF" w:val="clear"/>
            <w:tcMar>
              <w:bottom w:w="28" w:type="dxa"/>
            </w:tcMar>
            <w:vAlign w:val="center"/>
          </w:tcPr>
          <w:p>
            <w:pPr>
              <w:pStyle w:val="TableContents"/>
              <w:spacing w:before="0" w:after="283"/>
              <w:ind w:left="0" w:right="0" w:hanging="0"/>
              <w:jc w:val="right"/>
              <w:rPr>
                <w:sz w:val="20"/>
              </w:rPr>
            </w:pPr>
            <w:r>
              <w:rPr>
                <w:sz w:val="20"/>
              </w:rPr>
              <w:t>51,950</w:t>
            </w:r>
          </w:p>
        </w:tc>
        <w:tc>
          <w:tcPr>
            <w:tcW w:w="80" w:type="dxa"/>
            <w:tcBorders/>
            <w:shd w:fill="FFFFFF" w:val="clear"/>
            <w:vAlign w:val="center"/>
          </w:tcPr>
          <w:p>
            <w:pPr>
              <w:pStyle w:val="TableContents"/>
              <w:spacing w:before="0" w:after="283"/>
              <w:rPr/>
            </w:pPr>
            <w:r>
              <w:rPr/>
              <w:t> </w:t>
            </w:r>
          </w:p>
        </w:tc>
      </w:tr>
    </w:tbl>
    <w:p>
      <w:pPr>
        <w:pStyle w:val="TextBody"/>
        <w:spacing w:before="0" w:after="0"/>
        <w:ind w:left="144" w:right="144" w:hanging="0"/>
        <w:jc w:val="center"/>
        <w:rPr/>
      </w:pPr>
      <w:r>
        <w:rPr/>
        <w:t> </w:t>
      </w:r>
    </w:p>
    <w:p>
      <w:pPr>
        <w:pStyle w:val="TextBody"/>
        <w:spacing w:before="0" w:after="0"/>
        <w:ind w:left="0" w:right="0" w:firstLine="720"/>
        <w:jc w:val="left"/>
        <w:rPr>
          <w:rFonts w:ascii="Times New Roman;Times;serif" w:hAnsi="Times New Roman;Times;serif"/>
          <w:sz w:val="20"/>
        </w:rPr>
      </w:pPr>
      <w:r>
        <w:rPr>
          <w:rFonts w:ascii="Times New Roman;Times;serif" w:hAnsi="Times New Roman;Times;serif"/>
          <w:sz w:val="20"/>
        </w:rPr>
        <w:t>The retail revenue increase was primarily the result of the increase in store operating days of corporately-managed stores.</w:t>
      </w:r>
    </w:p>
    <w:p>
      <w:pPr>
        <w:pStyle w:val="TextBody"/>
        <w:spacing w:before="0" w:after="0"/>
        <w:ind w:left="0" w:right="0" w:firstLine="720"/>
        <w:jc w:val="left"/>
        <w:rPr/>
      </w:pPr>
      <w:r>
        <w:rPr/>
        <w:t> </w:t>
      </w:r>
    </w:p>
    <w:p>
      <w:pPr>
        <w:pStyle w:val="TextBody"/>
        <w:spacing w:before="0" w:after="0"/>
        <w:ind w:left="0" w:right="0" w:firstLine="720"/>
        <w:jc w:val="left"/>
        <w:rPr>
          <w:rFonts w:ascii="Times New Roman;Times;serif" w:hAnsi="Times New Roman;Times;serif"/>
          <w:sz w:val="20"/>
        </w:rPr>
      </w:pPr>
      <w:r>
        <w:rPr>
          <w:rFonts w:ascii="Times New Roman;Times;serif" w:hAnsi="Times New Roman;Times;serif"/>
          <w:sz w:val="20"/>
        </w:rPr>
        <w:t>Commercial revenue was $2.9 million for the thirteen weeks ended July 31, 2021 compared to $0.9 million for the thirteen weeks ended August 1, 2020. The $2.0 million increase is the result of increased sales volume from our commercial customers as some stability returned to our third-party retail model.</w:t>
      </w:r>
    </w:p>
    <w:p>
      <w:pPr>
        <w:pStyle w:val="TextBody"/>
        <w:spacing w:before="0" w:after="0"/>
        <w:ind w:left="0" w:right="0" w:firstLine="720"/>
        <w:jc w:val="left"/>
        <w:rPr/>
      </w:pPr>
      <w:r>
        <w:rPr/>
        <w:t> </w:t>
      </w:r>
    </w:p>
    <w:p>
      <w:pPr>
        <w:pStyle w:val="TextBody"/>
        <w:spacing w:before="0" w:after="0"/>
        <w:ind w:left="0" w:right="0" w:firstLine="720"/>
        <w:jc w:val="left"/>
        <w:rPr>
          <w:rFonts w:ascii="Times New Roman;Times;serif" w:hAnsi="Times New Roman;Times;serif"/>
          <w:sz w:val="20"/>
        </w:rPr>
      </w:pPr>
      <w:r>
        <w:rPr>
          <w:rFonts w:ascii="Times New Roman;Times;serif" w:hAnsi="Times New Roman;Times;serif"/>
          <w:sz w:val="20"/>
        </w:rPr>
        <w:t>International franchising revenue was $0.5 million for the thirteen weeks ended July 31, 2021 compared to $0.1 million for the thirteen weeks ended August 1, 2020. The $0.4 million increase is primarily due to temporary closures of stores in 2020 due to mandated government restrictions due to the pandemic.</w:t>
      </w:r>
    </w:p>
    <w:p>
      <w:pPr>
        <w:pStyle w:val="TextBody"/>
        <w:spacing w:before="0" w:after="0"/>
        <w:ind w:left="0" w:right="0" w:firstLine="720"/>
        <w:jc w:val="left"/>
        <w:rPr/>
      </w:pPr>
      <w:r>
        <w:rPr/>
        <w:t> </w:t>
      </w:r>
    </w:p>
    <w:p>
      <w:pPr>
        <w:pStyle w:val="TextBody"/>
        <w:spacing w:before="0" w:after="0"/>
        <w:ind w:left="0" w:right="0" w:firstLine="720"/>
        <w:jc w:val="left"/>
        <w:rPr>
          <w:rFonts w:ascii="Times New Roman;Times;serif" w:hAnsi="Times New Roman;Times;serif"/>
          <w:sz w:val="20"/>
        </w:rPr>
      </w:pPr>
      <w:r>
        <w:rPr>
          <w:rFonts w:ascii="Times New Roman;Times;serif" w:hAnsi="Times New Roman;Times;serif"/>
          <w:i/>
          <w:sz w:val="20"/>
        </w:rPr>
        <w:t xml:space="preserve">Retail gross margin. </w:t>
      </w:r>
      <w:r>
        <w:rPr>
          <w:rFonts w:ascii="Times New Roman;Times;serif" w:hAnsi="Times New Roman;Times;serif"/>
          <w:sz w:val="20"/>
        </w:rPr>
        <w:t>Retail gross margin dollars increased $39.5 million to $48.6 million compared to the thirteen weeks ended August 1, 2020. The retail gross margin rate increased 3,010 basis points primarily driven by an increase in corporately-managed retail sales, increased leverage of fixed occupancy costs as a result of rent negotiations during the prior fiscal year, and expansion of merchandise margin.</w:t>
      </w:r>
    </w:p>
    <w:p>
      <w:pPr>
        <w:pStyle w:val="TextBody"/>
        <w:spacing w:before="0" w:after="0"/>
        <w:ind w:left="0" w:right="0" w:firstLine="720"/>
        <w:jc w:val="left"/>
        <w:rPr/>
      </w:pPr>
      <w:r>
        <w:rPr/>
        <w:t> </w:t>
      </w:r>
    </w:p>
    <w:p>
      <w:pPr>
        <w:pStyle w:val="TextBody"/>
        <w:spacing w:before="0" w:after="0"/>
        <w:ind w:left="0" w:right="0" w:firstLine="720"/>
        <w:jc w:val="left"/>
        <w:rPr>
          <w:rFonts w:ascii="Times New Roman;Times;serif" w:hAnsi="Times New Roman;Times;serif"/>
          <w:sz w:val="20"/>
        </w:rPr>
      </w:pPr>
      <w:r>
        <w:rPr>
          <w:rFonts w:ascii="Times New Roman;Times;serif" w:hAnsi="Times New Roman;Times;serif"/>
          <w:i/>
          <w:sz w:val="20"/>
        </w:rPr>
        <w:t xml:space="preserve">Selling, general and administrative. </w:t>
      </w:r>
      <w:r>
        <w:rPr>
          <w:rFonts w:ascii="Times New Roman;Times;serif" w:hAnsi="Times New Roman;Times;serif"/>
          <w:sz w:val="20"/>
        </w:rPr>
        <w:t>Selling, general and administrative (SG&amp;A) expenses were $40.9 million, or 43% of consolidated revenue, for the thirteen weeks ended July 31, 2021, compared to $21.5 million, or 53% of consolidated revenue, for the thirteen weeks ended August 1, 2020. The increase in overall expense was primarily due to higher labor costs given the re-opening of our store base and the Company recording full corporate salaries in 2021 as opposed to the prior year when pandemic-related cost containment initiatives included temporary wage reductions. Additionally, the change reflects an increase in variable costs driven by sales growth initiatives inclusive of higher marketing spend and funding of performance incentive programs.</w:t>
      </w:r>
    </w:p>
    <w:p>
      <w:pPr>
        <w:pStyle w:val="TextBody"/>
        <w:ind w:left="0" w:right="0" w:firstLine="720"/>
        <w:jc w:val="left"/>
        <w:rPr/>
      </w:pPr>
      <w:r>
        <w:rPr/>
        <w:t> </w:t>
      </w:r>
    </w:p>
    <w:p>
      <w:pPr>
        <w:pStyle w:val="TextBody"/>
        <w:ind w:left="0" w:right="0" w:firstLine="720"/>
        <w:rPr>
          <w:rFonts w:ascii="Times New Roman;Times;serif" w:hAnsi="Times New Roman;Times;serif"/>
          <w:sz w:val="20"/>
        </w:rPr>
      </w:pPr>
      <w:r>
        <w:rPr>
          <w:rFonts w:ascii="Times New Roman;Times;serif" w:hAnsi="Times New Roman;Times;serif"/>
          <w:i/>
          <w:sz w:val="20"/>
        </w:rPr>
        <w:t xml:space="preserve">Interest expense (income), net. </w:t>
      </w:r>
      <w:r>
        <w:rPr>
          <w:rFonts w:ascii="Times New Roman;Times;serif" w:hAnsi="Times New Roman;Times;serif"/>
          <w:sz w:val="20"/>
        </w:rPr>
        <w:t xml:space="preserve">Interest expense was $8,000 for the thirteen weeks ended July 31, 2021 compared to interest income of $7,000 for the thirteen weeks ended August 1, 2020. </w:t>
      </w:r>
    </w:p>
    <w:p>
      <w:pPr>
        <w:pStyle w:val="TextBody"/>
        <w:ind w:left="0" w:right="0" w:firstLine="720"/>
        <w:rPr>
          <w:rFonts w:ascii="Times New Roman;Times;serif" w:hAnsi="Times New Roman;Times;serif"/>
          <w:sz w:val="20"/>
        </w:rPr>
      </w:pPr>
      <w:r>
        <w:rPr>
          <w:rFonts w:ascii="Times New Roman;Times;serif" w:hAnsi="Times New Roman;Times;serif"/>
          <w:i/>
          <w:sz w:val="20"/>
        </w:rPr>
        <w:t>Benefit/Provision for income taxes</w:t>
      </w:r>
      <w:r>
        <w:rPr>
          <w:rFonts w:ascii="Times New Roman;Times;serif" w:hAnsi="Times New Roman;Times;serif"/>
          <w:sz w:val="20"/>
        </w:rPr>
        <w:t>. Income tax expense was $2.6 million with a tax rate of 27.9% for the thirteen weeks ended July 31, 2021 compared to a benefit of less than $0.1 million with a tax rate of 0.5% for the thirteen weeks ended August 1, 2020. In the second quarter of fiscal 2021 the effective tax rate differed from the statutory rate of 21% primarily due to state income tax expense partially offset by the tax impact of equity awards vesting. While the Company is still in a full valuation allowance globally, it recorded tax expense on the pretax income earned in the first quarter of fiscal 2021 based on its projected current tax expense.  In the second quarter of fiscal 2020, the effective tax rate differed from the statutory rate of 21% primarily due to no tax benefit being recorded on the current period pretax loss as a full valuation allowance has now been recorded globally.</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22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Twenty-six weeks ended July 31, 2021 compared to twenty-six weeks ended August 1, 2020</w:t>
      </w:r>
    </w:p>
    <w:p>
      <w:pPr>
        <w:pStyle w:val="TextBody"/>
        <w:spacing w:before="0" w:after="0"/>
        <w:ind w:left="0" w:right="0" w:firstLine="720"/>
        <w:jc w:val="left"/>
        <w:rPr/>
      </w:pPr>
      <w:r>
        <w:rPr/>
        <w:t> </w:t>
      </w:r>
    </w:p>
    <w:p>
      <w:pPr>
        <w:pStyle w:val="TextBody"/>
        <w:spacing w:before="0" w:after="0"/>
        <w:ind w:left="0" w:right="0" w:firstLine="720"/>
        <w:jc w:val="left"/>
        <w:rPr>
          <w:rFonts w:ascii="Times New Roman;Times;serif" w:hAnsi="Times New Roman;Times;serif"/>
          <w:color w:val="000000"/>
          <w:sz w:val="20"/>
        </w:rPr>
      </w:pPr>
      <w:r>
        <w:rPr>
          <w:rFonts w:ascii="Times New Roman;Times;serif" w:hAnsi="Times New Roman;Times;serif"/>
          <w:i/>
          <w:color w:val="000000"/>
          <w:sz w:val="20"/>
        </w:rPr>
        <w:t xml:space="preserve">Total revenues. </w:t>
      </w:r>
      <w:r>
        <w:rPr>
          <w:rFonts w:ascii="Times New Roman;Times;serif" w:hAnsi="Times New Roman;Times;serif"/>
          <w:color w:val="000000"/>
          <w:sz w:val="20"/>
        </w:rPr>
        <w:t>Consolidated revenues increased 114.3%, including a 125.0% increase in North America and a 48.3% increase in Europe. The increase in North America and Europe was primarily driven by increased retail store operating days compared to the same period in the prior year which saw temporary store closures due to the pandemic and e-commerce sales.</w:t>
      </w:r>
    </w:p>
    <w:p>
      <w:pPr>
        <w:pStyle w:val="TextBody"/>
        <w:spacing w:before="0" w:after="0"/>
        <w:ind w:left="0" w:right="0" w:firstLine="720"/>
        <w:jc w:val="left"/>
        <w:rPr/>
      </w:pPr>
      <w:r>
        <w:rPr/>
        <w:t> </w:t>
      </w:r>
    </w:p>
    <w:p>
      <w:pPr>
        <w:pStyle w:val="TextBody"/>
        <w:spacing w:before="0" w:after="0"/>
        <w:ind w:left="0" w:right="0" w:firstLine="720"/>
        <w:jc w:val="left"/>
        <w:rPr>
          <w:rFonts w:ascii="Times New Roman;Times;serif" w:hAnsi="Times New Roman;Times;serif"/>
          <w:sz w:val="20"/>
        </w:rPr>
      </w:pPr>
      <w:r>
        <w:rPr>
          <w:rFonts w:ascii="Times New Roman;Times;serif" w:hAnsi="Times New Roman;Times;serif"/>
          <w:sz w:val="20"/>
        </w:rPr>
        <w:t>Net retail sales for the twenty-six weeks ended July 31, 2021 were $180.5 million, compared to $85.0 million for the twenty-six weeks ended August 1, 2020, an increase of $95.5 million, or 112.4% compared to the prior year period. The components of this increase are as follows (dollars in millions):</w:t>
      </w:r>
    </w:p>
    <w:p>
      <w:pPr>
        <w:pStyle w:val="TextBody"/>
        <w:spacing w:before="0" w:after="0"/>
        <w:ind w:left="144" w:right="144" w:hanging="0"/>
        <w:jc w:val="center"/>
        <w:rPr/>
      </w:pPr>
      <w:r>
        <w:rPr/>
        <w:t> </w:t>
      </w:r>
    </w:p>
    <w:tbl>
      <w:tblPr>
        <w:tblW w:w="4484" w:type="dxa"/>
        <w:jc w:val="left"/>
        <w:tblInd w:w="0" w:type="dxa"/>
        <w:tblCellMar>
          <w:top w:w="0" w:type="dxa"/>
          <w:left w:w="0" w:type="dxa"/>
          <w:bottom w:w="0" w:type="dxa"/>
          <w:right w:w="0" w:type="dxa"/>
        </w:tblCellMar>
      </w:tblPr>
      <w:tblGrid>
        <w:gridCol w:w="2315"/>
        <w:gridCol w:w="60"/>
        <w:gridCol w:w="354"/>
        <w:gridCol w:w="1675"/>
        <w:gridCol w:w="80"/>
      </w:tblGrid>
      <w:tr>
        <w:trPr/>
        <w:tc>
          <w:tcPr>
            <w:tcW w:w="231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029" w:type="dxa"/>
            <w:gridSpan w:val="2"/>
            <w:tcBorders/>
            <w:shd w:fill="FFFFFF"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Twenty-six weeks ended</w:t>
            </w:r>
          </w:p>
        </w:tc>
        <w:tc>
          <w:tcPr>
            <w:tcW w:w="80" w:type="dxa"/>
            <w:tcBorders/>
            <w:shd w:fill="FFFFFF" w:val="clear"/>
            <w:vAlign w:val="center"/>
          </w:tcPr>
          <w:p>
            <w:pPr>
              <w:pStyle w:val="TableContents"/>
              <w:spacing w:before="0" w:after="283"/>
              <w:rPr/>
            </w:pPr>
            <w:r>
              <w:rPr/>
              <w:t> </w:t>
            </w:r>
          </w:p>
        </w:tc>
      </w:tr>
      <w:tr>
        <w:trPr/>
        <w:tc>
          <w:tcPr>
            <w:tcW w:w="231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029"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July 31, 2021</w:t>
            </w:r>
          </w:p>
        </w:tc>
        <w:tc>
          <w:tcPr>
            <w:tcW w:w="80" w:type="dxa"/>
            <w:tcBorders/>
            <w:shd w:fill="FFFFFF" w:val="clear"/>
            <w:vAlign w:val="center"/>
          </w:tcPr>
          <w:p>
            <w:pPr>
              <w:pStyle w:val="TableContents"/>
              <w:spacing w:before="0" w:after="283"/>
              <w:rPr/>
            </w:pPr>
            <w:r>
              <w:rPr/>
              <w:t> </w:t>
            </w:r>
          </w:p>
        </w:tc>
      </w:tr>
      <w:tr>
        <w:trPr/>
        <w:tc>
          <w:tcPr>
            <w:tcW w:w="231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Impact from:</w:t>
            </w:r>
          </w:p>
        </w:tc>
        <w:tc>
          <w:tcPr>
            <w:tcW w:w="60" w:type="dxa"/>
            <w:tcBorders/>
            <w:shd w:fill="FFFFFF" w:val="clear"/>
            <w:vAlign w:val="center"/>
          </w:tcPr>
          <w:p>
            <w:pPr>
              <w:pStyle w:val="TableContents"/>
              <w:spacing w:before="0" w:after="283"/>
              <w:rPr/>
            </w:pPr>
            <w:r>
              <w:rPr/>
              <w:t> </w:t>
            </w:r>
          </w:p>
        </w:tc>
        <w:tc>
          <w:tcPr>
            <w:tcW w:w="354" w:type="dxa"/>
            <w:tcBorders/>
            <w:shd w:fill="FFFFFF" w:val="clear"/>
            <w:vAlign w:val="center"/>
          </w:tcPr>
          <w:p>
            <w:pPr>
              <w:pStyle w:val="TableContents"/>
              <w:spacing w:before="0" w:after="283"/>
              <w:rPr/>
            </w:pPr>
            <w:r>
              <w:rPr/>
              <w:t> </w:t>
            </w:r>
          </w:p>
        </w:tc>
        <w:tc>
          <w:tcPr>
            <w:tcW w:w="1675"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r>
      <w:tr>
        <w:trPr/>
        <w:tc>
          <w:tcPr>
            <w:tcW w:w="231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Existing stores</w:t>
            </w:r>
          </w:p>
        </w:tc>
        <w:tc>
          <w:tcPr>
            <w:tcW w:w="60" w:type="dxa"/>
            <w:tcBorders/>
            <w:shd w:fill="CCEEFF" w:val="clear"/>
            <w:vAlign w:val="center"/>
          </w:tcPr>
          <w:p>
            <w:pPr>
              <w:pStyle w:val="TableContents"/>
              <w:spacing w:before="0" w:after="283"/>
              <w:ind w:left="0" w:right="0" w:hanging="0"/>
              <w:rPr/>
            </w:pPr>
            <w:r>
              <w:rPr/>
              <w:t> </w:t>
            </w:r>
          </w:p>
        </w:tc>
        <w:tc>
          <w:tcPr>
            <w:tcW w:w="354"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67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90,858</w:t>
            </w:r>
          </w:p>
        </w:tc>
        <w:tc>
          <w:tcPr>
            <w:tcW w:w="80" w:type="dxa"/>
            <w:tcBorders/>
            <w:shd w:fill="CCEEFF" w:val="clear"/>
            <w:vAlign w:val="center"/>
          </w:tcPr>
          <w:p>
            <w:pPr>
              <w:pStyle w:val="TableContents"/>
              <w:spacing w:before="0" w:after="283"/>
              <w:rPr/>
            </w:pPr>
            <w:r>
              <w:rPr/>
              <w:t> </w:t>
            </w:r>
          </w:p>
        </w:tc>
      </w:tr>
      <w:tr>
        <w:trPr/>
        <w:tc>
          <w:tcPr>
            <w:tcW w:w="231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E-commerce</w:t>
            </w:r>
          </w:p>
        </w:tc>
        <w:tc>
          <w:tcPr>
            <w:tcW w:w="60" w:type="dxa"/>
            <w:tcBorders/>
            <w:shd w:fill="FFFFFF" w:val="clear"/>
            <w:vAlign w:val="center"/>
          </w:tcPr>
          <w:p>
            <w:pPr>
              <w:pStyle w:val="TableContents"/>
              <w:spacing w:before="0" w:after="283"/>
              <w:ind w:left="0" w:right="0" w:hanging="0"/>
              <w:rPr/>
            </w:pPr>
            <w:r>
              <w:rPr/>
              <w:t> </w:t>
            </w:r>
          </w:p>
        </w:tc>
        <w:tc>
          <w:tcPr>
            <w:tcW w:w="354" w:type="dxa"/>
            <w:tcBorders/>
            <w:shd w:fill="FFFFFF" w:val="clear"/>
            <w:vAlign w:val="center"/>
          </w:tcPr>
          <w:p>
            <w:pPr>
              <w:pStyle w:val="TableContents"/>
              <w:spacing w:before="0" w:after="283"/>
              <w:ind w:left="0" w:right="0" w:hanging="0"/>
              <w:rPr/>
            </w:pPr>
            <w:r>
              <w:rPr/>
              <w:t> </w:t>
            </w:r>
          </w:p>
        </w:tc>
        <w:tc>
          <w:tcPr>
            <w:tcW w:w="167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2,066</w:t>
            </w:r>
          </w:p>
        </w:tc>
        <w:tc>
          <w:tcPr>
            <w:tcW w:w="80" w:type="dxa"/>
            <w:tcBorders/>
            <w:shd w:fill="FFFFFF" w:val="clear"/>
            <w:vAlign w:val="center"/>
          </w:tcPr>
          <w:p>
            <w:pPr>
              <w:pStyle w:val="TableContents"/>
              <w:spacing w:before="0" w:after="283"/>
              <w:rPr/>
            </w:pPr>
            <w:r>
              <w:rPr/>
              <w:t> </w:t>
            </w:r>
          </w:p>
        </w:tc>
      </w:tr>
      <w:tr>
        <w:trPr/>
        <w:tc>
          <w:tcPr>
            <w:tcW w:w="231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New stores</w:t>
            </w:r>
          </w:p>
        </w:tc>
        <w:tc>
          <w:tcPr>
            <w:tcW w:w="60" w:type="dxa"/>
            <w:tcBorders/>
            <w:shd w:fill="CCEEFF" w:val="clear"/>
            <w:vAlign w:val="center"/>
          </w:tcPr>
          <w:p>
            <w:pPr>
              <w:pStyle w:val="TableContents"/>
              <w:spacing w:before="0" w:after="283"/>
              <w:rPr/>
            </w:pPr>
            <w:r>
              <w:rPr/>
              <w:t> </w:t>
            </w:r>
          </w:p>
        </w:tc>
        <w:tc>
          <w:tcPr>
            <w:tcW w:w="354" w:type="dxa"/>
            <w:tcBorders/>
            <w:shd w:fill="CCEEFF" w:val="clear"/>
            <w:vAlign w:val="center"/>
          </w:tcPr>
          <w:p>
            <w:pPr>
              <w:pStyle w:val="TableContents"/>
              <w:spacing w:before="0" w:after="283"/>
              <w:ind w:left="0" w:right="0" w:hanging="0"/>
              <w:rPr/>
            </w:pPr>
            <w:r>
              <w:rPr/>
              <w:t> </w:t>
            </w:r>
          </w:p>
        </w:tc>
        <w:tc>
          <w:tcPr>
            <w:tcW w:w="167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1,375</w:t>
            </w:r>
          </w:p>
        </w:tc>
        <w:tc>
          <w:tcPr>
            <w:tcW w:w="80" w:type="dxa"/>
            <w:tcBorders/>
            <w:shd w:fill="CCEEFF" w:val="clear"/>
            <w:vAlign w:val="center"/>
          </w:tcPr>
          <w:p>
            <w:pPr>
              <w:pStyle w:val="TableContents"/>
              <w:spacing w:before="0" w:after="283"/>
              <w:rPr/>
            </w:pPr>
            <w:r>
              <w:rPr/>
              <w:t> </w:t>
            </w:r>
          </w:p>
        </w:tc>
      </w:tr>
      <w:tr>
        <w:trPr/>
        <w:tc>
          <w:tcPr>
            <w:tcW w:w="231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Store closures</w:t>
            </w:r>
          </w:p>
        </w:tc>
        <w:tc>
          <w:tcPr>
            <w:tcW w:w="60" w:type="dxa"/>
            <w:tcBorders/>
            <w:shd w:fill="FFFFFF" w:val="clear"/>
            <w:vAlign w:val="center"/>
          </w:tcPr>
          <w:p>
            <w:pPr>
              <w:pStyle w:val="TableContents"/>
              <w:spacing w:before="0" w:after="283"/>
              <w:rPr/>
            </w:pPr>
            <w:r>
              <w:rPr/>
              <w:t> </w:t>
            </w:r>
          </w:p>
        </w:tc>
        <w:tc>
          <w:tcPr>
            <w:tcW w:w="354" w:type="dxa"/>
            <w:tcBorders/>
            <w:shd w:fill="FFFFFF" w:val="clear"/>
            <w:vAlign w:val="center"/>
          </w:tcPr>
          <w:p>
            <w:pPr>
              <w:pStyle w:val="TableContents"/>
              <w:spacing w:before="0" w:after="283"/>
              <w:ind w:left="0" w:right="0" w:hanging="0"/>
              <w:rPr/>
            </w:pPr>
            <w:r>
              <w:rPr/>
              <w:t> </w:t>
            </w:r>
          </w:p>
        </w:tc>
        <w:tc>
          <w:tcPr>
            <w:tcW w:w="167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(1,140</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231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Gift card breakage</w:t>
            </w:r>
          </w:p>
        </w:tc>
        <w:tc>
          <w:tcPr>
            <w:tcW w:w="60" w:type="dxa"/>
            <w:tcBorders/>
            <w:shd w:fill="CCEEFF" w:val="clear"/>
            <w:vAlign w:val="center"/>
          </w:tcPr>
          <w:p>
            <w:pPr>
              <w:pStyle w:val="TableContents"/>
              <w:spacing w:before="0" w:after="283"/>
              <w:rPr/>
            </w:pPr>
            <w:r>
              <w:rPr/>
              <w:t> </w:t>
            </w:r>
          </w:p>
        </w:tc>
        <w:tc>
          <w:tcPr>
            <w:tcW w:w="354" w:type="dxa"/>
            <w:tcBorders/>
            <w:shd w:fill="CCEEFF" w:val="clear"/>
            <w:vAlign w:val="center"/>
          </w:tcPr>
          <w:p>
            <w:pPr>
              <w:pStyle w:val="TableContents"/>
              <w:spacing w:before="0" w:after="283"/>
              <w:ind w:left="0" w:right="0" w:hanging="0"/>
              <w:rPr/>
            </w:pPr>
            <w:r>
              <w:rPr/>
              <w:t> </w:t>
            </w:r>
          </w:p>
        </w:tc>
        <w:tc>
          <w:tcPr>
            <w:tcW w:w="167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802</w:t>
            </w:r>
          </w:p>
        </w:tc>
        <w:tc>
          <w:tcPr>
            <w:tcW w:w="80" w:type="dxa"/>
            <w:tcBorders/>
            <w:shd w:fill="CCEEFF" w:val="clear"/>
            <w:vAlign w:val="center"/>
          </w:tcPr>
          <w:p>
            <w:pPr>
              <w:pStyle w:val="TableContents"/>
              <w:spacing w:before="0" w:after="283"/>
              <w:rPr/>
            </w:pPr>
            <w:r>
              <w:rPr/>
              <w:t> </w:t>
            </w:r>
          </w:p>
        </w:tc>
      </w:tr>
      <w:tr>
        <w:trPr/>
        <w:tc>
          <w:tcPr>
            <w:tcW w:w="2315" w:type="dxa"/>
            <w:tcBorders/>
            <w:shd w:fill="FFFF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Foreign currency translation</w:t>
            </w:r>
          </w:p>
        </w:tc>
        <w:tc>
          <w:tcPr>
            <w:tcW w:w="60" w:type="dxa"/>
            <w:tcBorders/>
            <w:shd w:fill="FFFFFF" w:val="clear"/>
            <w:vAlign w:val="center"/>
          </w:tcPr>
          <w:p>
            <w:pPr>
              <w:pStyle w:val="TableContents"/>
              <w:spacing w:before="0" w:after="283"/>
              <w:rPr/>
            </w:pPr>
            <w:r>
              <w:rPr/>
              <w:t> </w:t>
            </w:r>
          </w:p>
        </w:tc>
        <w:tc>
          <w:tcPr>
            <w:tcW w:w="354" w:type="dxa"/>
            <w:tcBorders/>
            <w:shd w:fill="FFFFFF" w:val="clear"/>
            <w:vAlign w:val="center"/>
          </w:tcPr>
          <w:p>
            <w:pPr>
              <w:pStyle w:val="TableContents"/>
              <w:spacing w:before="0" w:after="283"/>
              <w:ind w:left="0" w:right="0" w:hanging="0"/>
              <w:rPr/>
            </w:pPr>
            <w:r>
              <w:rPr/>
              <w:t> </w:t>
            </w:r>
          </w:p>
        </w:tc>
        <w:tc>
          <w:tcPr>
            <w:tcW w:w="167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1,237</w:t>
            </w:r>
          </w:p>
        </w:tc>
        <w:tc>
          <w:tcPr>
            <w:tcW w:w="80" w:type="dxa"/>
            <w:tcBorders/>
            <w:shd w:fill="FFFFFF" w:val="clear"/>
            <w:vAlign w:val="center"/>
          </w:tcPr>
          <w:p>
            <w:pPr>
              <w:pStyle w:val="TableContents"/>
              <w:spacing w:before="0" w:after="283"/>
              <w:rPr/>
            </w:pPr>
            <w:r>
              <w:rPr/>
              <w:t> </w:t>
            </w:r>
          </w:p>
        </w:tc>
      </w:tr>
      <w:tr>
        <w:trPr/>
        <w:tc>
          <w:tcPr>
            <w:tcW w:w="2315" w:type="dxa"/>
            <w:tcBorders/>
            <w:shd w:fill="CCEEFF" w:val="clear"/>
            <w:vAlign w:val="center"/>
          </w:tcPr>
          <w:p>
            <w:pPr>
              <w:pStyle w:val="TableContents"/>
              <w:spacing w:before="0" w:after="0"/>
              <w:rPr>
                <w:rFonts w:ascii="Times New Roman" w:hAnsi="Times New Roman"/>
                <w:caps w:val="false"/>
                <w:smallCaps w:val="false"/>
                <w:sz w:val="20"/>
              </w:rPr>
            </w:pPr>
            <w:r>
              <w:rPr>
                <w:rFonts w:ascii="Times New Roman" w:hAnsi="Times New Roman"/>
                <w:caps w:val="false"/>
                <w:smallCaps w:val="false"/>
                <w:sz w:val="20"/>
              </w:rPr>
              <w:t>Deferred revenue estimates</w:t>
            </w:r>
          </w:p>
        </w:tc>
        <w:tc>
          <w:tcPr>
            <w:tcW w:w="60" w:type="dxa"/>
            <w:tcBorders/>
            <w:shd w:fill="CCEEFF" w:val="clear"/>
            <w:vAlign w:val="center"/>
          </w:tcPr>
          <w:p>
            <w:pPr>
              <w:pStyle w:val="TableContents"/>
              <w:spacing w:before="0" w:after="283"/>
              <w:rPr/>
            </w:pPr>
            <w:r>
              <w:rPr/>
              <w:t> </w:t>
            </w:r>
          </w:p>
        </w:tc>
        <w:tc>
          <w:tcPr>
            <w:tcW w:w="354"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67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317</w:t>
            </w:r>
          </w:p>
        </w:tc>
        <w:tc>
          <w:tcPr>
            <w:tcW w:w="80" w:type="dxa"/>
            <w:tcBorders/>
            <w:shd w:fill="CCEEFF" w:val="clear"/>
            <w:vAlign w:val="center"/>
          </w:tcPr>
          <w:p>
            <w:pPr>
              <w:pStyle w:val="TableContents"/>
              <w:spacing w:before="0" w:after="283"/>
              <w:rPr/>
            </w:pPr>
            <w:r>
              <w:rPr/>
              <w:t> </w:t>
            </w:r>
          </w:p>
        </w:tc>
      </w:tr>
      <w:tr>
        <w:trPr/>
        <w:tc>
          <w:tcPr>
            <w:tcW w:w="2315"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Total Change</w:t>
            </w:r>
          </w:p>
        </w:tc>
        <w:tc>
          <w:tcPr>
            <w:tcW w:w="60" w:type="dxa"/>
            <w:tcBorders/>
            <w:shd w:fill="FFFFFF" w:val="clear"/>
            <w:vAlign w:val="center"/>
          </w:tcPr>
          <w:p>
            <w:pPr>
              <w:pStyle w:val="TableContents"/>
              <w:spacing w:before="0" w:after="283"/>
              <w:ind w:left="0" w:right="0" w:hanging="0"/>
              <w:rPr/>
            </w:pPr>
            <w:r>
              <w:rPr/>
              <w:t> </w:t>
            </w:r>
          </w:p>
        </w:tc>
        <w:tc>
          <w:tcPr>
            <w:tcW w:w="354"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67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95,515</w:t>
            </w:r>
          </w:p>
        </w:tc>
        <w:tc>
          <w:tcPr>
            <w:tcW w:w="80" w:type="dxa"/>
            <w:tcBorders/>
            <w:shd w:fill="FFFFFF" w:val="clear"/>
            <w:vAlign w:val="center"/>
          </w:tcPr>
          <w:p>
            <w:pPr>
              <w:pStyle w:val="TableContents"/>
              <w:spacing w:before="0" w:after="283"/>
              <w:rPr/>
            </w:pPr>
            <w:r>
              <w:rPr/>
              <w:t> </w:t>
            </w:r>
          </w:p>
        </w:tc>
      </w:tr>
    </w:tbl>
    <w:p>
      <w:pPr>
        <w:pStyle w:val="TextBody"/>
        <w:spacing w:before="0" w:after="0"/>
        <w:ind w:left="144" w:right="144" w:hanging="0"/>
        <w:jc w:val="center"/>
        <w:rPr/>
      </w:pPr>
      <w:r>
        <w:rPr/>
        <w:t> </w:t>
      </w:r>
    </w:p>
    <w:p>
      <w:pPr>
        <w:pStyle w:val="TextBody"/>
        <w:spacing w:before="0" w:after="0"/>
        <w:ind w:left="0" w:right="0" w:firstLine="720"/>
        <w:jc w:val="left"/>
        <w:rPr>
          <w:rFonts w:ascii="Times New Roman;Times;serif" w:hAnsi="Times New Roman;Times;serif"/>
          <w:sz w:val="20"/>
        </w:rPr>
      </w:pPr>
      <w:r>
        <w:rPr>
          <w:rFonts w:ascii="Times New Roman;Times;serif" w:hAnsi="Times New Roman;Times;serif"/>
          <w:sz w:val="20"/>
        </w:rPr>
        <w:t>The retail revenue increase was primarily the result of the increase in store operating days of corporately-managed stores and consolidated e-commerce sales.</w:t>
      </w:r>
    </w:p>
    <w:p>
      <w:pPr>
        <w:pStyle w:val="TextBody"/>
        <w:spacing w:before="0" w:after="0"/>
        <w:ind w:left="0" w:right="0" w:firstLine="720"/>
        <w:jc w:val="left"/>
        <w:rPr/>
      </w:pPr>
      <w:r>
        <w:rPr/>
        <w:t> </w:t>
      </w:r>
    </w:p>
    <w:p>
      <w:pPr>
        <w:pStyle w:val="TextBody"/>
        <w:spacing w:before="0" w:after="0"/>
        <w:ind w:left="0" w:right="0" w:firstLine="720"/>
        <w:jc w:val="left"/>
        <w:rPr>
          <w:rFonts w:ascii="Times New Roman;Times;serif" w:hAnsi="Times New Roman;Times;serif"/>
          <w:sz w:val="20"/>
        </w:rPr>
      </w:pPr>
      <w:r>
        <w:rPr>
          <w:rFonts w:ascii="Times New Roman;Times;serif" w:hAnsi="Times New Roman;Times;serif"/>
          <w:sz w:val="20"/>
        </w:rPr>
        <w:t>Commercial revenue was $5.1 million for the twenty-six weeks ended July 31, 2021 compared to $1.2 million for the twenty-six weeks ended August 1, 2020. The $3.9 million increase is the result of increased sales volume from our commercial customers as a result of the prior year effect of the pandemic on third-party retail locations serviced by our commercial customers.</w:t>
      </w:r>
    </w:p>
    <w:p>
      <w:pPr>
        <w:pStyle w:val="TextBody"/>
        <w:spacing w:before="0" w:after="0"/>
        <w:ind w:left="0" w:right="0" w:firstLine="720"/>
        <w:jc w:val="left"/>
        <w:rPr/>
      </w:pPr>
      <w:r>
        <w:rPr/>
        <w:t> </w:t>
      </w:r>
    </w:p>
    <w:p>
      <w:pPr>
        <w:pStyle w:val="TextBody"/>
        <w:spacing w:before="0" w:after="0"/>
        <w:ind w:left="0" w:right="0" w:firstLine="720"/>
        <w:jc w:val="left"/>
        <w:rPr>
          <w:rFonts w:ascii="Times New Roman;Times;serif" w:hAnsi="Times New Roman;Times;serif"/>
          <w:sz w:val="20"/>
        </w:rPr>
      </w:pPr>
      <w:r>
        <w:rPr>
          <w:rFonts w:ascii="Times New Roman;Times;serif" w:hAnsi="Times New Roman;Times;serif"/>
          <w:sz w:val="20"/>
        </w:rPr>
        <w:t>International franchising revenue was $0.9 million for the twenty-six weeks ended July 31, 2021 compared to $0.8 million for the twenty-six weeks ended August 1, 2020. The $0.1 million increase is primarily due to temporary closures of stores due to mandated government restrictions in 2020 due to the pandemic.</w:t>
      </w:r>
    </w:p>
    <w:p>
      <w:pPr>
        <w:pStyle w:val="TextBody"/>
        <w:spacing w:before="0" w:after="0"/>
        <w:ind w:left="0" w:right="0" w:firstLine="720"/>
        <w:jc w:val="left"/>
        <w:rPr/>
      </w:pPr>
      <w:r>
        <w:rPr/>
        <w:t> </w:t>
      </w:r>
    </w:p>
    <w:p>
      <w:pPr>
        <w:pStyle w:val="TextBody"/>
        <w:spacing w:before="0" w:after="0"/>
        <w:ind w:left="0" w:right="0" w:firstLine="720"/>
        <w:jc w:val="left"/>
        <w:rPr>
          <w:rFonts w:ascii="Times New Roman;Times;serif" w:hAnsi="Times New Roman;Times;serif"/>
          <w:sz w:val="20"/>
        </w:rPr>
      </w:pPr>
      <w:r>
        <w:rPr>
          <w:rFonts w:ascii="Times New Roman;Times;serif" w:hAnsi="Times New Roman;Times;serif"/>
          <w:i/>
          <w:sz w:val="20"/>
        </w:rPr>
        <w:t xml:space="preserve">Retail gross margin. </w:t>
      </w:r>
      <w:r>
        <w:rPr>
          <w:rFonts w:ascii="Times New Roman;Times;serif" w:hAnsi="Times New Roman;Times;serif"/>
          <w:sz w:val="20"/>
        </w:rPr>
        <w:t>Retail gross margin dollars increased $74.3 million to $95.7 million compared to the twenty-six weeks ended August 1, 2020. The retail gross margin rate increased 2,785 basis points primarily driven by an increase in corporately-managed retail sales, a decrease in fixed occupancy costs recorded as a result of rent negotiations during the prior fiscal year, and expansion of merchandise margin.</w:t>
      </w:r>
    </w:p>
    <w:p>
      <w:pPr>
        <w:pStyle w:val="TextBody"/>
        <w:spacing w:before="0" w:after="0"/>
        <w:ind w:left="0" w:right="0" w:firstLine="720"/>
        <w:jc w:val="left"/>
        <w:rPr/>
      </w:pPr>
      <w:r>
        <w:rPr/>
        <w:t> </w:t>
      </w:r>
    </w:p>
    <w:p>
      <w:pPr>
        <w:pStyle w:val="TextBody"/>
        <w:spacing w:before="0" w:after="0"/>
        <w:ind w:left="0" w:right="0" w:firstLine="720"/>
        <w:jc w:val="left"/>
        <w:rPr>
          <w:rFonts w:ascii="Times New Roman;Times;serif" w:hAnsi="Times New Roman;Times;serif"/>
          <w:sz w:val="20"/>
        </w:rPr>
      </w:pPr>
      <w:r>
        <w:rPr>
          <w:rFonts w:ascii="Times New Roman;Times;serif" w:hAnsi="Times New Roman;Times;serif"/>
          <w:i/>
          <w:sz w:val="20"/>
        </w:rPr>
        <w:t xml:space="preserve">Selling, general and administrative. </w:t>
      </w:r>
      <w:r>
        <w:rPr>
          <w:rFonts w:ascii="Times New Roman;Times;serif" w:hAnsi="Times New Roman;Times;serif"/>
          <w:sz w:val="20"/>
        </w:rPr>
        <w:t>SG&amp;A expenses were $76.2 million, or 41% of  consolidated revenue, for the twenty-six weeks ended July 31, 2021, compared to $48.2 million, or 55% of consolidated revenue, for the twenty-six weeks ended August 1, 2020. The increase in overall expense was primarily due to higher labor costs given the re-opening of our store base and the Company recording full corporate salaries for the thirteen weeks ended July 31, 2021 as opposed to the prior year when pandemic-related cost containment initiatives included temporary wage reductions. Additionally, the change reflects an increase in variable costs driven by sales growth initiatives inclusive of higher marketing spend and funding of performance incentive programs.</w:t>
      </w:r>
    </w:p>
    <w:p>
      <w:pPr>
        <w:pStyle w:val="TextBody"/>
        <w:ind w:left="0" w:right="0" w:firstLine="720"/>
        <w:jc w:val="left"/>
        <w:rPr/>
      </w:pPr>
      <w:r>
        <w:rPr/>
        <w:t> </w:t>
      </w:r>
    </w:p>
    <w:p>
      <w:pPr>
        <w:pStyle w:val="TextBody"/>
        <w:ind w:left="0" w:right="0" w:firstLine="720"/>
        <w:rPr>
          <w:rFonts w:ascii="Times New Roman;Times;serif" w:hAnsi="Times New Roman;Times;serif"/>
          <w:sz w:val="20"/>
        </w:rPr>
      </w:pPr>
      <w:r>
        <w:rPr>
          <w:rFonts w:ascii="Times New Roman;Times;serif" w:hAnsi="Times New Roman;Times;serif"/>
          <w:i/>
          <w:sz w:val="20"/>
        </w:rPr>
        <w:t xml:space="preserve">Interest expense (income), net. </w:t>
      </w:r>
      <w:r>
        <w:rPr>
          <w:rFonts w:ascii="Times New Roman;Times;serif" w:hAnsi="Times New Roman;Times;serif"/>
          <w:sz w:val="20"/>
        </w:rPr>
        <w:t xml:space="preserve">Interest expense was $13,000 for the twenty-six weeks ended July 31, 2021 compared to interest income of $4,000 for the twenty-six weeks ended August 1, 2020. </w:t>
      </w:r>
    </w:p>
    <w:p>
      <w:pPr>
        <w:pStyle w:val="TextBody"/>
        <w:ind w:left="0" w:right="0" w:firstLine="720"/>
        <w:rPr>
          <w:rFonts w:ascii="Times New Roman;Times;serif" w:hAnsi="Times New Roman;Times;serif"/>
          <w:sz w:val="20"/>
        </w:rPr>
      </w:pPr>
      <w:r>
        <w:rPr>
          <w:rFonts w:ascii="Times New Roman;Times;serif" w:hAnsi="Times New Roman;Times;serif"/>
          <w:i/>
          <w:sz w:val="20"/>
        </w:rPr>
        <w:t>Benefit/Provision for income taxes</w:t>
      </w:r>
      <w:r>
        <w:rPr>
          <w:rFonts w:ascii="Times New Roman;Times;serif" w:hAnsi="Times New Roman;Times;serif"/>
          <w:sz w:val="20"/>
        </w:rPr>
        <w:t>. Income tax expense was $5.4 million with a tax rate of 24.0% for the twenty-six weeks ended July 31, 2021 compared to $2.5 million with a tax rate (7.6)% of for the twenty-six weeks ended August 1, 2020. In the first half of fiscal 2021, the effective tax rate differed from the statutory rate of 21% primarily due to state income tax expense partially offset by the tax impact of equity awards vesting. In the first half of fiscal 2020, the effective tax rate differed from the statutory rate of 21% primarily due to no tax benefit being recorded on the current period pretax loss as a full valuation allowance has now been recorded globally.  In addition, the first half of fiscal 2020 was impacted by the $3.3 million valuation allowance recorded on the beginning balance of the net deferred tax assets in certain jurisdictions, offset by $0.8 million of benefit recognized as a result of the Coronavirus Aid, Relief, and Economic Security (“CARES”) Act.</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23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Seasonality and Quarterly Results </w:t>
      </w:r>
    </w:p>
    <w:p>
      <w:pPr>
        <w:pStyle w:val="TextBody"/>
        <w:spacing w:before="0" w:after="0"/>
        <w:ind w:left="144" w:right="144" w:hanging="0"/>
        <w:jc w:val="left"/>
        <w:rPr/>
      </w:pPr>
      <w:r>
        <w:rPr/>
        <w:t> </w:t>
      </w:r>
    </w:p>
    <w:p>
      <w:pPr>
        <w:pStyle w:val="TextBody"/>
        <w:spacing w:before="0" w:after="0"/>
        <w:ind w:left="0" w:right="0" w:firstLine="720"/>
        <w:jc w:val="left"/>
        <w:rPr>
          <w:rFonts w:ascii="Times New Roman;Times;serif" w:hAnsi="Times New Roman;Times;serif"/>
          <w:sz w:val="20"/>
        </w:rPr>
      </w:pPr>
      <w:r>
        <w:rPr>
          <w:rFonts w:ascii="Times New Roman;Times;serif" w:hAnsi="Times New Roman;Times;serif"/>
          <w:sz w:val="20"/>
        </w:rPr>
        <w:t>Our operating results for one period may not be indicative of results for other periods, and may fluctuate significantly because of a variety of factors, including, but not limited to: (1) changes in general economic conditions (including as a result of the pandemic) and consumer spending patterns; (2) changes in store operations in response to the pandemic apart from its effect on the general economy, including temporary store closures required by local governments; (3) increases or decreases in our existing store and e-commerce sales; (4) fluctuations in the profitability of our stores; (5) the timing and frequency of the sales of licensed products tied to major theatrical releases (including the cancellation or delay of such releases due to the pandemic) and our marketing initiatives, including national media and other public relations events; (6) changes in foreign currency exchange rates; (7) the timing of new store openings, closings, relocations and remodeling and related expenses; (8) changes in consumer preferences; (9) the effectiveness of our inventory management; (10) the actions of our competitors or mall anchors and co-tenants; (11) seasonal shopping patterns and holiday and vacation schedules; (12) disruptions in store operations due to civil unrest; and (13) weather conditions.</w:t>
      </w:r>
    </w:p>
    <w:p>
      <w:pPr>
        <w:pStyle w:val="TextBody"/>
        <w:spacing w:before="0" w:after="0"/>
        <w:ind w:left="0" w:right="0" w:firstLine="720"/>
        <w:jc w:val="left"/>
        <w:rPr/>
      </w:pPr>
      <w:r>
        <w:rPr/>
        <w:t> </w:t>
      </w:r>
    </w:p>
    <w:p>
      <w:pPr>
        <w:pStyle w:val="TextBody"/>
        <w:spacing w:before="0" w:after="0"/>
        <w:ind w:left="0" w:right="0" w:firstLine="720"/>
        <w:jc w:val="left"/>
        <w:rPr>
          <w:rFonts w:ascii="Times New Roman;Times;serif" w:hAnsi="Times New Roman;Times;serif"/>
          <w:sz w:val="20"/>
        </w:rPr>
      </w:pPr>
      <w:r>
        <w:rPr>
          <w:rFonts w:ascii="Times New Roman;Times;serif" w:hAnsi="Times New Roman;Times;serif"/>
          <w:sz w:val="20"/>
        </w:rPr>
        <w:t>The timing of store closures, relocations, remodels and openings (and re-openings) may result in fluctuations in quarterly results based on the revenues and expenses associated with each store location. Expenses related to store closings are typically incurred in stages: when the decision is made to close the store typically associated with a lease event such as an expiration or lease triggered clause; when the closure is communicated to store associates; and at the time of closure. We typically incur most preopening costs for a new store in the three months immediately preceding the store’s opening.</w:t>
      </w:r>
    </w:p>
    <w:p>
      <w:pPr>
        <w:pStyle w:val="TextBody"/>
        <w:spacing w:before="0" w:after="0"/>
        <w:ind w:left="0" w:right="0" w:firstLine="720"/>
        <w:jc w:val="left"/>
        <w:rPr/>
      </w:pPr>
      <w:r>
        <w:rPr/>
        <w:t> </w:t>
      </w:r>
    </w:p>
    <w:p>
      <w:pPr>
        <w:pStyle w:val="TextBody"/>
        <w:spacing w:before="0" w:after="0"/>
        <w:ind w:left="0" w:right="0" w:firstLine="720"/>
        <w:jc w:val="left"/>
        <w:rPr>
          <w:rFonts w:ascii="Times New Roman;Times;serif" w:hAnsi="Times New Roman;Times;serif"/>
          <w:sz w:val="20"/>
        </w:rPr>
      </w:pPr>
      <w:r>
        <w:rPr>
          <w:rFonts w:ascii="Times New Roman;Times;serif" w:hAnsi="Times New Roman;Times;serif"/>
          <w:sz w:val="20"/>
        </w:rPr>
        <w:t>Because our retail operations include toy products which have sales that historically peak in relation to the holiday season as part of our revenue model, our sales have historically been highest in our fourth quarter. The timing of holidays and school vacations can impact our quarterly results. We cannot provide assurance that this will continue to be the case. In addition, for accounting purposes, the quarters of each fiscal year consist of 13 weeks, although we will have a 14-week quarter approximately once every six years. For example, the 2014 fiscal fourth quarter had 14 weeks.</w:t>
      </w:r>
    </w:p>
    <w:p>
      <w:pPr>
        <w:pStyle w:val="TextBody"/>
        <w:spacing w:before="0" w:after="0"/>
        <w:ind w:left="144" w:right="144" w:hanging="0"/>
        <w:jc w:val="left"/>
        <w:rPr/>
      </w:pPr>
      <w:r>
        <w:rPr/>
        <w:t> </w:t>
      </w:r>
    </w:p>
    <w:p>
      <w:pPr>
        <w:pStyle w:val="TextBody"/>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Liquidity and Capital Resources </w:t>
      </w:r>
    </w:p>
    <w:p>
      <w:pPr>
        <w:pStyle w:val="TextBody"/>
        <w:spacing w:before="0" w:after="0"/>
        <w:ind w:left="144" w:right="144" w:hanging="0"/>
        <w:jc w:val="left"/>
        <w:rPr/>
      </w:pPr>
      <w:r>
        <w:rPr/>
        <w:t> </w:t>
      </w:r>
    </w:p>
    <w:p>
      <w:pPr>
        <w:pStyle w:val="TextBody"/>
        <w:spacing w:before="0" w:after="0"/>
        <w:ind w:left="0" w:right="0" w:firstLine="720"/>
        <w:jc w:val="left"/>
        <w:rPr>
          <w:rFonts w:ascii="Times New Roman;Times;serif" w:hAnsi="Times New Roman;Times;serif"/>
          <w:sz w:val="20"/>
        </w:rPr>
      </w:pPr>
      <w:r>
        <w:rPr>
          <w:rFonts w:ascii="Times New Roman;Times;serif" w:hAnsi="Times New Roman;Times;serif"/>
          <w:sz w:val="20"/>
        </w:rPr>
        <w:t>As of July 31, 2021, we had a consolidated cash balance of $51.1 million, approximately 85% of which was domiciled within the United States. Historically, our cash requirements have been primarily for the relocation and remodeling of existing stores in our new design, opening of new stores, investments in information technology infrastructure and working capital. Over the past several years, we have met these requirements through capital generated from cash flow provided by operations.</w:t>
      </w:r>
    </w:p>
    <w:p>
      <w:pPr>
        <w:pStyle w:val="TextBody"/>
        <w:spacing w:before="0" w:after="0"/>
        <w:ind w:left="0" w:right="294" w:firstLine="720"/>
        <w:jc w:val="left"/>
        <w:rPr/>
      </w:pPr>
      <w:r>
        <w:rPr/>
        <w:t> </w:t>
      </w:r>
    </w:p>
    <w:p>
      <w:pPr>
        <w:pStyle w:val="TextBody"/>
        <w:spacing w:before="0" w:after="0"/>
        <w:ind w:left="0" w:right="294" w:firstLine="720"/>
        <w:jc w:val="left"/>
        <w:rPr>
          <w:rFonts w:ascii="Times New Roman;Times;serif" w:hAnsi="Times New Roman;Times;serif"/>
          <w:sz w:val="20"/>
        </w:rPr>
      </w:pPr>
      <w:r>
        <w:rPr>
          <w:rFonts w:ascii="Times New Roman;Times;serif" w:hAnsi="Times New Roman;Times;serif"/>
          <w:sz w:val="20"/>
        </w:rPr>
        <w:t>A summary of our operating, investing and financing activities is shown in the following table (dollars in thousands):</w:t>
      </w:r>
    </w:p>
    <w:p>
      <w:pPr>
        <w:pStyle w:val="TextBody"/>
        <w:spacing w:before="0" w:after="0"/>
        <w:ind w:left="0" w:right="0" w:firstLine="720"/>
        <w:jc w:val="left"/>
        <w:rPr/>
      </w:pPr>
      <w:r>
        <w:rPr/>
        <w:t> </w:t>
      </w:r>
    </w:p>
    <w:p>
      <w:pPr>
        <w:pStyle w:val="TextBody"/>
        <w:spacing w:before="0" w:after="0"/>
        <w:ind w:left="144" w:right="144" w:firstLine="720"/>
        <w:jc w:val="left"/>
        <w:rPr/>
      </w:pPr>
      <w:r>
        <w:rPr/>
        <w:t> </w:t>
      </w:r>
    </w:p>
    <w:tbl>
      <w:tblPr>
        <w:tblW w:w="7717" w:type="dxa"/>
        <w:jc w:val="left"/>
        <w:tblInd w:w="0" w:type="dxa"/>
        <w:tblCellMar>
          <w:top w:w="0" w:type="dxa"/>
          <w:left w:w="0" w:type="dxa"/>
          <w:bottom w:w="0" w:type="dxa"/>
          <w:right w:w="0" w:type="dxa"/>
        </w:tblCellMar>
      </w:tblPr>
      <w:tblGrid>
        <w:gridCol w:w="5375"/>
        <w:gridCol w:w="60"/>
        <w:gridCol w:w="166"/>
        <w:gridCol w:w="785"/>
        <w:gridCol w:w="106"/>
        <w:gridCol w:w="79"/>
        <w:gridCol w:w="166"/>
        <w:gridCol w:w="725"/>
        <w:gridCol w:w="255"/>
      </w:tblGrid>
      <w:tr>
        <w:trPr/>
        <w:tc>
          <w:tcPr>
            <w:tcW w:w="537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027" w:type="dxa"/>
            <w:gridSpan w:val="6"/>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Twenty-six weeks ended</w:t>
            </w:r>
          </w:p>
        </w:tc>
        <w:tc>
          <w:tcPr>
            <w:tcW w:w="255" w:type="dxa"/>
            <w:tcBorders/>
            <w:shd w:fill="FFFFFF" w:val="clear"/>
            <w:vAlign w:val="center"/>
          </w:tcPr>
          <w:p>
            <w:pPr>
              <w:pStyle w:val="TableContents"/>
              <w:spacing w:before="0" w:after="283"/>
              <w:rPr/>
            </w:pPr>
            <w:r>
              <w:rPr/>
              <w:t> </w:t>
            </w:r>
          </w:p>
        </w:tc>
      </w:tr>
      <w:tr>
        <w:trPr/>
        <w:tc>
          <w:tcPr>
            <w:tcW w:w="537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951" w:type="dxa"/>
            <w:gridSpan w:val="2"/>
            <w:tcBorders/>
            <w:shd w:fill="FFFFFF"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July 31,</w:t>
            </w:r>
          </w:p>
        </w:tc>
        <w:tc>
          <w:tcPr>
            <w:tcW w:w="106" w:type="dxa"/>
            <w:tcBorders/>
            <w:shd w:fill="FFFFFF" w:val="clear"/>
            <w:vAlign w:val="center"/>
          </w:tcPr>
          <w:p>
            <w:pPr>
              <w:pStyle w:val="TableContents"/>
              <w:spacing w:before="0" w:after="283"/>
              <w:rPr/>
            </w:pPr>
            <w:r>
              <w:rPr/>
              <w:t> </w:t>
            </w:r>
          </w:p>
        </w:tc>
        <w:tc>
          <w:tcPr>
            <w:tcW w:w="79" w:type="dxa"/>
            <w:tcBorders/>
            <w:shd w:fill="FFFFFF" w:val="clear"/>
            <w:vAlign w:val="center"/>
          </w:tcPr>
          <w:p>
            <w:pPr>
              <w:pStyle w:val="TableContents"/>
              <w:spacing w:before="0" w:after="283"/>
              <w:ind w:left="0" w:right="0" w:hanging="0"/>
              <w:rPr/>
            </w:pPr>
            <w:r>
              <w:rPr/>
              <w:t> </w:t>
            </w:r>
          </w:p>
        </w:tc>
        <w:tc>
          <w:tcPr>
            <w:tcW w:w="891" w:type="dxa"/>
            <w:gridSpan w:val="2"/>
            <w:tcBorders/>
            <w:shd w:fill="FFFFFF"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August 1,</w:t>
            </w:r>
          </w:p>
        </w:tc>
        <w:tc>
          <w:tcPr>
            <w:tcW w:w="255" w:type="dxa"/>
            <w:tcBorders/>
            <w:shd w:fill="FFFFFF" w:val="clear"/>
            <w:vAlign w:val="center"/>
          </w:tcPr>
          <w:p>
            <w:pPr>
              <w:pStyle w:val="TableContents"/>
              <w:spacing w:before="0" w:after="283"/>
              <w:rPr/>
            </w:pPr>
            <w:r>
              <w:rPr/>
              <w:t> </w:t>
            </w:r>
          </w:p>
        </w:tc>
      </w:tr>
      <w:tr>
        <w:trPr/>
        <w:tc>
          <w:tcPr>
            <w:tcW w:w="537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951"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2021</w:t>
            </w:r>
          </w:p>
        </w:tc>
        <w:tc>
          <w:tcPr>
            <w:tcW w:w="106" w:type="dxa"/>
            <w:tcBorders/>
            <w:shd w:fill="FFFFFF" w:val="clear"/>
            <w:vAlign w:val="center"/>
          </w:tcPr>
          <w:p>
            <w:pPr>
              <w:pStyle w:val="TableContents"/>
              <w:spacing w:before="0" w:after="283"/>
              <w:rPr/>
            </w:pPr>
            <w:r>
              <w:rPr/>
              <w:t> </w:t>
            </w:r>
          </w:p>
        </w:tc>
        <w:tc>
          <w:tcPr>
            <w:tcW w:w="79" w:type="dxa"/>
            <w:tcBorders/>
            <w:shd w:fill="FFFFFF" w:val="clear"/>
            <w:vAlign w:val="center"/>
          </w:tcPr>
          <w:p>
            <w:pPr>
              <w:pStyle w:val="TableContents"/>
              <w:spacing w:before="0" w:after="283"/>
              <w:ind w:left="0" w:right="0" w:hanging="0"/>
              <w:rPr/>
            </w:pPr>
            <w:r>
              <w:rPr/>
              <w:t> </w:t>
            </w:r>
          </w:p>
        </w:tc>
        <w:tc>
          <w:tcPr>
            <w:tcW w:w="891" w:type="dxa"/>
            <w:gridSpan w:val="2"/>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2020</w:t>
            </w:r>
          </w:p>
        </w:tc>
        <w:tc>
          <w:tcPr>
            <w:tcW w:w="255" w:type="dxa"/>
            <w:tcBorders/>
            <w:shd w:fill="FFFFFF" w:val="clear"/>
            <w:vAlign w:val="center"/>
          </w:tcPr>
          <w:p>
            <w:pPr>
              <w:pStyle w:val="TableContents"/>
              <w:spacing w:before="0" w:after="283"/>
              <w:rPr/>
            </w:pPr>
            <w:r>
              <w:rPr/>
              <w:t> </w:t>
            </w:r>
          </w:p>
        </w:tc>
      </w:tr>
      <w:tr>
        <w:trPr/>
        <w:tc>
          <w:tcPr>
            <w:tcW w:w="5375" w:type="dxa"/>
            <w:tcBorders/>
            <w:shd w:fill="CCEE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Net cash provided by operating activities</w:t>
            </w:r>
          </w:p>
        </w:tc>
        <w:tc>
          <w:tcPr>
            <w:tcW w:w="60" w:type="dxa"/>
            <w:tcBorders/>
            <w:shd w:fill="CCEEFF" w:val="clear"/>
            <w:vAlign w:val="center"/>
          </w:tcPr>
          <w:p>
            <w:pPr>
              <w:pStyle w:val="TableContents"/>
              <w:spacing w:before="0" w:after="283"/>
              <w:ind w:left="0" w:right="0" w:hanging="0"/>
              <w:rPr/>
            </w:pPr>
            <w:r>
              <w:rPr/>
              <w:t> </w:t>
            </w:r>
          </w:p>
        </w:tc>
        <w:tc>
          <w:tcPr>
            <w:tcW w:w="166" w:type="dxa"/>
            <w:tcBorders/>
            <w:shd w:fill="CCEE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785"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18,394</w:t>
            </w:r>
          </w:p>
        </w:tc>
        <w:tc>
          <w:tcPr>
            <w:tcW w:w="106" w:type="dxa"/>
            <w:tcBorders/>
            <w:shd w:fill="CCEEFF" w:val="clear"/>
            <w:vAlign w:val="center"/>
          </w:tcPr>
          <w:p>
            <w:pPr>
              <w:pStyle w:val="TableContents"/>
              <w:spacing w:before="0" w:after="283"/>
              <w:rPr/>
            </w:pPr>
            <w:r>
              <w:rPr/>
              <w:t> </w:t>
            </w:r>
          </w:p>
        </w:tc>
        <w:tc>
          <w:tcPr>
            <w:tcW w:w="79" w:type="dxa"/>
            <w:tcBorders/>
            <w:shd w:fill="CCEEFF" w:val="clear"/>
            <w:vAlign w:val="center"/>
          </w:tcPr>
          <w:p>
            <w:pPr>
              <w:pStyle w:val="TableContents"/>
              <w:spacing w:before="0" w:after="283"/>
              <w:ind w:left="0" w:right="0" w:hanging="0"/>
              <w:rPr/>
            </w:pPr>
            <w:r>
              <w:rPr/>
              <w:t> </w:t>
            </w:r>
          </w:p>
        </w:tc>
        <w:tc>
          <w:tcPr>
            <w:tcW w:w="166" w:type="dxa"/>
            <w:tcBorders/>
            <w:shd w:fill="CCEE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725"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1,910</w:t>
            </w:r>
          </w:p>
        </w:tc>
        <w:tc>
          <w:tcPr>
            <w:tcW w:w="255" w:type="dxa"/>
            <w:tcBorders/>
            <w:shd w:fill="CCEEFF" w:val="clear"/>
            <w:vAlign w:val="center"/>
          </w:tcPr>
          <w:p>
            <w:pPr>
              <w:pStyle w:val="TableContents"/>
              <w:spacing w:before="0" w:after="283"/>
              <w:rPr/>
            </w:pPr>
            <w:r>
              <w:rPr/>
              <w:t> </w:t>
            </w:r>
          </w:p>
        </w:tc>
      </w:tr>
      <w:tr>
        <w:trPr/>
        <w:tc>
          <w:tcPr>
            <w:tcW w:w="5375" w:type="dxa"/>
            <w:tcBorders/>
            <w:shd w:fill="FFFF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Net cash used in investing activities</w:t>
            </w:r>
          </w:p>
        </w:tc>
        <w:tc>
          <w:tcPr>
            <w:tcW w:w="60" w:type="dxa"/>
            <w:tcBorders/>
            <w:shd w:fill="FFFFFF" w:val="clear"/>
            <w:vAlign w:val="center"/>
          </w:tcPr>
          <w:p>
            <w:pPr>
              <w:pStyle w:val="TableContents"/>
              <w:spacing w:before="0" w:after="283"/>
              <w:rPr/>
            </w:pPr>
            <w:r>
              <w:rPr/>
              <w:t> </w:t>
            </w:r>
          </w:p>
        </w:tc>
        <w:tc>
          <w:tcPr>
            <w:tcW w:w="166" w:type="dxa"/>
            <w:tcBorders/>
            <w:shd w:fill="FFFFFF" w:val="clear"/>
            <w:vAlign w:val="center"/>
          </w:tcPr>
          <w:p>
            <w:pPr>
              <w:pStyle w:val="TableContents"/>
              <w:spacing w:before="0" w:after="283"/>
              <w:ind w:left="0" w:right="0" w:hanging="0"/>
              <w:rPr/>
            </w:pPr>
            <w:r>
              <w:rPr/>
              <w:t> </w:t>
            </w:r>
          </w:p>
        </w:tc>
        <w:tc>
          <w:tcPr>
            <w:tcW w:w="785"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(1,553</w:t>
            </w:r>
          </w:p>
        </w:tc>
        <w:tc>
          <w:tcPr>
            <w:tcW w:w="106"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79" w:type="dxa"/>
            <w:tcBorders/>
            <w:shd w:fill="FFFFFF" w:val="clear"/>
            <w:vAlign w:val="center"/>
          </w:tcPr>
          <w:p>
            <w:pPr>
              <w:pStyle w:val="TableContents"/>
              <w:spacing w:before="0" w:after="283"/>
              <w:rPr/>
            </w:pPr>
            <w:r>
              <w:rPr/>
              <w:t> </w:t>
            </w:r>
          </w:p>
        </w:tc>
        <w:tc>
          <w:tcPr>
            <w:tcW w:w="166" w:type="dxa"/>
            <w:tcBorders/>
            <w:shd w:fill="FFFFFF" w:val="clear"/>
            <w:vAlign w:val="center"/>
          </w:tcPr>
          <w:p>
            <w:pPr>
              <w:pStyle w:val="TableContents"/>
              <w:spacing w:before="0" w:after="283"/>
              <w:ind w:left="0" w:right="0" w:hanging="0"/>
              <w:rPr/>
            </w:pPr>
            <w:r>
              <w:rPr/>
              <w:t> </w:t>
            </w:r>
          </w:p>
        </w:tc>
        <w:tc>
          <w:tcPr>
            <w:tcW w:w="725"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(3,378</w:t>
            </w:r>
          </w:p>
        </w:tc>
        <w:tc>
          <w:tcPr>
            <w:tcW w:w="25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r>
      <w:tr>
        <w:trPr/>
        <w:tc>
          <w:tcPr>
            <w:tcW w:w="5375" w:type="dxa"/>
            <w:tcBorders/>
            <w:shd w:fill="CCEE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Net cash used in financing activities</w:t>
            </w:r>
          </w:p>
        </w:tc>
        <w:tc>
          <w:tcPr>
            <w:tcW w:w="60" w:type="dxa"/>
            <w:tcBorders/>
            <w:shd w:fill="CCEEFF" w:val="clear"/>
            <w:vAlign w:val="center"/>
          </w:tcPr>
          <w:p>
            <w:pPr>
              <w:pStyle w:val="TableContents"/>
              <w:spacing w:before="0" w:after="283"/>
              <w:rPr/>
            </w:pPr>
            <w:r>
              <w:rPr/>
              <w:t> </w:t>
            </w:r>
          </w:p>
        </w:tc>
        <w:tc>
          <w:tcPr>
            <w:tcW w:w="166" w:type="dxa"/>
            <w:tcBorders/>
            <w:shd w:fill="CCEEFF" w:val="clear"/>
            <w:vAlign w:val="center"/>
          </w:tcPr>
          <w:p>
            <w:pPr>
              <w:pStyle w:val="TableContents"/>
              <w:spacing w:before="0" w:after="283"/>
              <w:ind w:left="0" w:right="0" w:hanging="0"/>
              <w:rPr/>
            </w:pPr>
            <w:r>
              <w:rPr/>
              <w:t> </w:t>
            </w:r>
          </w:p>
        </w:tc>
        <w:tc>
          <w:tcPr>
            <w:tcW w:w="785"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(625</w:t>
            </w:r>
          </w:p>
        </w:tc>
        <w:tc>
          <w:tcPr>
            <w:tcW w:w="106"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79" w:type="dxa"/>
            <w:tcBorders/>
            <w:shd w:fill="CCEEFF" w:val="clear"/>
            <w:vAlign w:val="center"/>
          </w:tcPr>
          <w:p>
            <w:pPr>
              <w:pStyle w:val="TableContents"/>
              <w:spacing w:before="0" w:after="283"/>
              <w:rPr/>
            </w:pPr>
            <w:r>
              <w:rPr/>
              <w:t> </w:t>
            </w:r>
          </w:p>
        </w:tc>
        <w:tc>
          <w:tcPr>
            <w:tcW w:w="166" w:type="dxa"/>
            <w:tcBorders/>
            <w:shd w:fill="CCEEFF" w:val="clear"/>
            <w:vAlign w:val="center"/>
          </w:tcPr>
          <w:p>
            <w:pPr>
              <w:pStyle w:val="TableContents"/>
              <w:spacing w:before="0" w:after="283"/>
              <w:ind w:left="0" w:right="0" w:hanging="0"/>
              <w:rPr/>
            </w:pPr>
            <w:r>
              <w:rPr/>
              <w:t> </w:t>
            </w:r>
          </w:p>
        </w:tc>
        <w:tc>
          <w:tcPr>
            <w:tcW w:w="725"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(114</w:t>
            </w:r>
          </w:p>
        </w:tc>
        <w:tc>
          <w:tcPr>
            <w:tcW w:w="255"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r>
      <w:tr>
        <w:trPr/>
        <w:tc>
          <w:tcPr>
            <w:tcW w:w="5375" w:type="dxa"/>
            <w:tcBorders/>
            <w:shd w:fill="FFFF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Effect of exchange rates on cash</w:t>
            </w:r>
          </w:p>
        </w:tc>
        <w:tc>
          <w:tcPr>
            <w:tcW w:w="60" w:type="dxa"/>
            <w:tcBorders/>
            <w:shd w:fill="FFFFFF" w:val="clear"/>
            <w:vAlign w:val="center"/>
          </w:tcPr>
          <w:p>
            <w:pPr>
              <w:pStyle w:val="TableContents"/>
              <w:spacing w:before="0" w:after="283"/>
              <w:rPr/>
            </w:pPr>
            <w:r>
              <w:rPr/>
              <w:t> </w:t>
            </w:r>
          </w:p>
        </w:tc>
        <w:tc>
          <w:tcPr>
            <w:tcW w:w="166"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8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80</w:t>
            </w:r>
          </w:p>
        </w:tc>
        <w:tc>
          <w:tcPr>
            <w:tcW w:w="106" w:type="dxa"/>
            <w:tcBorders/>
            <w:shd w:fill="FFFFFF" w:val="clear"/>
            <w:vAlign w:val="center"/>
          </w:tcPr>
          <w:p>
            <w:pPr>
              <w:pStyle w:val="TableContents"/>
              <w:spacing w:before="0" w:after="283"/>
              <w:rPr/>
            </w:pPr>
            <w:r>
              <w:rPr/>
              <w:t> </w:t>
            </w:r>
          </w:p>
        </w:tc>
        <w:tc>
          <w:tcPr>
            <w:tcW w:w="79" w:type="dxa"/>
            <w:tcBorders/>
            <w:shd w:fill="FFFFFF" w:val="clear"/>
            <w:vAlign w:val="center"/>
          </w:tcPr>
          <w:p>
            <w:pPr>
              <w:pStyle w:val="TableContents"/>
              <w:spacing w:before="0" w:after="283"/>
              <w:rPr/>
            </w:pPr>
            <w:r>
              <w:rPr/>
              <w:t> </w:t>
            </w:r>
          </w:p>
        </w:tc>
        <w:tc>
          <w:tcPr>
            <w:tcW w:w="166"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2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123</w:t>
            </w:r>
          </w:p>
        </w:tc>
        <w:tc>
          <w:tcPr>
            <w:tcW w:w="255" w:type="dxa"/>
            <w:tcBorders/>
            <w:shd w:fill="FFFFFF" w:val="clear"/>
            <w:vAlign w:val="center"/>
          </w:tcPr>
          <w:p>
            <w:pPr>
              <w:pStyle w:val="TableContents"/>
              <w:spacing w:before="0" w:after="283"/>
              <w:ind w:left="0" w:right="0" w:firstLine="180"/>
              <w:rPr/>
            </w:pPr>
            <w:r>
              <w:rPr/>
              <w:t> </w:t>
            </w:r>
          </w:p>
        </w:tc>
      </w:tr>
      <w:tr>
        <w:trPr/>
        <w:tc>
          <w:tcPr>
            <w:tcW w:w="5375" w:type="dxa"/>
            <w:tcBorders/>
            <w:shd w:fill="CCEEFF" w:val="clear"/>
            <w:vAlign w:val="center"/>
          </w:tcPr>
          <w:p>
            <w:pPr>
              <w:pStyle w:val="TableContents"/>
              <w:spacing w:before="0" w:after="0"/>
              <w:ind w:left="0" w:right="0" w:firstLine="180"/>
              <w:rPr>
                <w:rFonts w:ascii="Times New Roman;Times;serif" w:hAnsi="Times New Roman;Times;serif"/>
                <w:sz w:val="20"/>
              </w:rPr>
            </w:pPr>
            <w:r>
              <w:rPr>
                <w:rFonts w:ascii="Times New Roman;Times;serif" w:hAnsi="Times New Roman;Times;serif"/>
                <w:sz w:val="20"/>
              </w:rPr>
              <w:t>Increase (decrease) in cash, cash equivalents, and restricted cash</w:t>
            </w:r>
          </w:p>
        </w:tc>
        <w:tc>
          <w:tcPr>
            <w:tcW w:w="60" w:type="dxa"/>
            <w:tcBorders/>
            <w:shd w:fill="CCEEFF" w:val="clear"/>
            <w:vAlign w:val="center"/>
          </w:tcPr>
          <w:p>
            <w:pPr>
              <w:pStyle w:val="TableContents"/>
              <w:spacing w:before="0" w:after="283"/>
              <w:ind w:left="0" w:right="0" w:hanging="0"/>
              <w:rPr/>
            </w:pPr>
            <w:r>
              <w:rPr/>
              <w:t> </w:t>
            </w:r>
          </w:p>
        </w:tc>
        <w:tc>
          <w:tcPr>
            <w:tcW w:w="16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5" w:type="dxa"/>
            <w:tcBorders>
              <w:bottom w:val="double" w:sz="6"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16,296</w:t>
            </w:r>
          </w:p>
        </w:tc>
        <w:tc>
          <w:tcPr>
            <w:tcW w:w="106" w:type="dxa"/>
            <w:tcBorders/>
            <w:shd w:fill="CCEEFF" w:val="clear"/>
            <w:vAlign w:val="center"/>
          </w:tcPr>
          <w:p>
            <w:pPr>
              <w:pStyle w:val="TableContents"/>
              <w:spacing w:before="0" w:after="283"/>
              <w:rPr/>
            </w:pPr>
            <w:r>
              <w:rPr/>
              <w:t> </w:t>
            </w:r>
          </w:p>
        </w:tc>
        <w:tc>
          <w:tcPr>
            <w:tcW w:w="79" w:type="dxa"/>
            <w:tcBorders/>
            <w:shd w:fill="CCEEFF" w:val="clear"/>
            <w:vAlign w:val="center"/>
          </w:tcPr>
          <w:p>
            <w:pPr>
              <w:pStyle w:val="TableContents"/>
              <w:spacing w:before="0" w:after="283"/>
              <w:ind w:left="0" w:right="0" w:hanging="0"/>
              <w:rPr/>
            </w:pPr>
            <w:r>
              <w:rPr/>
              <w:t> </w:t>
            </w:r>
          </w:p>
        </w:tc>
        <w:tc>
          <w:tcPr>
            <w:tcW w:w="16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25" w:type="dxa"/>
            <w:tcBorders>
              <w:bottom w:val="double" w:sz="6"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(1,459</w:t>
            </w:r>
          </w:p>
        </w:tc>
        <w:tc>
          <w:tcPr>
            <w:tcW w:w="255"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r>
    </w:tbl>
    <w:p>
      <w:pPr>
        <w:pStyle w:val="TextBody"/>
        <w:spacing w:before="0" w:after="0"/>
        <w:ind w:left="0" w:right="0" w:firstLine="720"/>
        <w:jc w:val="left"/>
        <w:rPr/>
      </w:pPr>
      <w:r>
        <w:rPr/>
        <w:t> </w:t>
      </w:r>
    </w:p>
    <w:p>
      <w:pPr>
        <w:pStyle w:val="TextBody"/>
        <w:spacing w:before="0" w:after="0"/>
        <w:ind w:left="0" w:right="0" w:firstLine="720"/>
        <w:jc w:val="left"/>
        <w:rPr>
          <w:rFonts w:ascii="Times New Roman;Times;serif" w:hAnsi="Times New Roman;Times;serif"/>
          <w:sz w:val="20"/>
        </w:rPr>
      </w:pPr>
      <w:r>
        <w:rPr>
          <w:rFonts w:ascii="Times New Roman;Times;serif" w:hAnsi="Times New Roman;Times;serif"/>
          <w:i/>
          <w:sz w:val="20"/>
        </w:rPr>
        <w:t>Operating Activities.</w:t>
      </w:r>
      <w:r>
        <w:rPr>
          <w:rFonts w:ascii="Times New Roman;Times;serif" w:hAnsi="Times New Roman;Times;serif"/>
          <w:sz w:val="20"/>
        </w:rPr>
        <w:t xml:space="preserve"> Cash provided by operating activities increased $16.5 million for the twenty-six weeks ended July 31, 2021, as compared to the twenty-six weeks ended August 1, 2020. This increase in cash from operating activities was primarily driven by increased retail store operating days at corporately-managed stores and sales volume to commercial customers resulting in higher net income offset by an increase cash spend on operating leases with rent deferral paybacks, an increase in cash spend on accounts payable which we deferred in the prior fiscal year as part of cash preservation measures, and an increase in prepaid and other assets for spend related to entertainment production.</w:t>
      </w:r>
    </w:p>
    <w:p>
      <w:pPr>
        <w:pStyle w:val="TextBody"/>
        <w:spacing w:before="0" w:after="0"/>
        <w:ind w:left="0" w:right="0" w:hanging="0"/>
        <w:jc w:val="left"/>
        <w:rPr/>
      </w:pPr>
      <w:r>
        <w:rPr/>
        <w:t> </w:t>
      </w:r>
    </w:p>
    <w:p>
      <w:pPr>
        <w:pStyle w:val="TextBody"/>
        <w:spacing w:before="0" w:after="0"/>
        <w:ind w:left="0" w:right="0" w:firstLine="720"/>
        <w:jc w:val="left"/>
        <w:rPr>
          <w:rFonts w:ascii="Times New Roman;Times;serif" w:hAnsi="Times New Roman;Times;serif"/>
          <w:sz w:val="20"/>
        </w:rPr>
      </w:pPr>
      <w:r>
        <w:rPr>
          <w:rFonts w:ascii="Times New Roman;Times;serif" w:hAnsi="Times New Roman;Times;serif"/>
          <w:i/>
          <w:sz w:val="20"/>
        </w:rPr>
        <w:t>Investing Activities.</w:t>
      </w:r>
      <w:r>
        <w:rPr>
          <w:rFonts w:ascii="Times New Roman;Times;serif" w:hAnsi="Times New Roman;Times;serif"/>
          <w:sz w:val="20"/>
        </w:rPr>
        <w:t xml:space="preserve"> Cash used in investing activities decreased $1.8 million for the twenty-six weeks ended July 31, 2021 as compared to the twenty-six weeks ended August 1, 2020. This decrease in cash from investing activities was primarily driven by timing of planned capital expenditures.</w:t>
      </w:r>
    </w:p>
    <w:p>
      <w:pPr>
        <w:pStyle w:val="TextBody"/>
        <w:spacing w:before="0" w:after="0"/>
        <w:ind w:left="0" w:right="0" w:firstLine="720"/>
        <w:jc w:val="left"/>
        <w:rPr/>
      </w:pPr>
      <w:r>
        <w:rPr/>
        <w:t> </w:t>
      </w:r>
    </w:p>
    <w:p>
      <w:pPr>
        <w:pStyle w:val="TextBody"/>
        <w:spacing w:before="0" w:after="0"/>
        <w:ind w:left="0" w:right="0" w:firstLine="720"/>
        <w:jc w:val="left"/>
        <w:rPr>
          <w:rFonts w:ascii="Times New Roman;Times;serif" w:hAnsi="Times New Roman;Times;serif"/>
          <w:sz w:val="20"/>
        </w:rPr>
      </w:pPr>
      <w:r>
        <w:rPr>
          <w:rFonts w:ascii="Times New Roman;Times;serif" w:hAnsi="Times New Roman;Times;serif"/>
          <w:i/>
          <w:sz w:val="20"/>
        </w:rPr>
        <w:t>Financing Activities.</w:t>
      </w:r>
      <w:r>
        <w:rPr>
          <w:rFonts w:ascii="Times New Roman;Times;serif" w:hAnsi="Times New Roman;Times;serif"/>
          <w:sz w:val="20"/>
        </w:rPr>
        <w:t> Cash used in financing activities increased $0.5 million for the twenty-six weeks ended July 31, 2021, as compared to the twenty-six weeks ended August 1, 2020. This decrease in cash from financing activities was driven by increased stock-based compensation vesting resulting in the need for more shares withheld for taxes offset by proceeds from stock option exercises.</w:t>
      </w:r>
    </w:p>
    <w:p>
      <w:pPr>
        <w:pStyle w:val="TextBody"/>
        <w:spacing w:before="0" w:after="0"/>
        <w:ind w:left="0" w:right="0" w:firstLine="720"/>
        <w:jc w:val="left"/>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24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firstLine="720"/>
        <w:jc w:val="left"/>
        <w:rPr>
          <w:rFonts w:ascii="Times New Roman;Times;serif" w:hAnsi="Times New Roman;Times;serif"/>
          <w:sz w:val="20"/>
        </w:rPr>
      </w:pPr>
      <w:r>
        <w:rPr>
          <w:rFonts w:ascii="Times New Roman;Times;serif" w:hAnsi="Times New Roman;Times;serif"/>
          <w:i/>
          <w:sz w:val="20"/>
        </w:rPr>
        <w:t>Capital Resources:</w:t>
      </w:r>
      <w:r>
        <w:rPr>
          <w:rFonts w:ascii="Times New Roman;Times;serif" w:hAnsi="Times New Roman;Times;serif"/>
          <w:sz w:val="20"/>
        </w:rPr>
        <w:t xml:space="preserve"> We have a revolving credit and security agreement with PNC Bank, as agent, that provides for a secured revolving loan in aggregate principal of up to $25.0 million, subject to a borrowing base formula. Borrowings under the agreement bear interest at (a) a base rate determined under the agreement, or (b) the borrower's option, at a rate based on LIBOR, plus in either case a margin based on average undrawn availability as determined in accordance with the agreement. As of July 31, 2021, our borrowing base was slightly more than $12.4 million. As a result of a $750,000 letter of credit against the line of credit at the end of the fiscal 2021 second quarter, approximately $11.7 million was available for borrowing. We had no outstanding borrowings as of the end of July 31, 2021.</w:t>
      </w:r>
    </w:p>
    <w:p>
      <w:pPr>
        <w:pStyle w:val="TextBody"/>
        <w:spacing w:before="0" w:after="0"/>
        <w:rPr/>
      </w:pPr>
      <w:r>
        <w:rPr/>
        <w:t> </w:t>
      </w:r>
    </w:p>
    <w:p>
      <w:pPr>
        <w:pStyle w:val="TextBody"/>
        <w:spacing w:before="0" w:after="0"/>
        <w:ind w:left="0" w:right="144" w:firstLine="720"/>
        <w:jc w:val="left"/>
        <w:rPr>
          <w:rFonts w:ascii="Times New Roman;Times;serif" w:hAnsi="Times New Roman;Times;serif"/>
          <w:sz w:val="20"/>
        </w:rPr>
      </w:pPr>
      <w:r>
        <w:rPr>
          <w:rFonts w:ascii="Times New Roman;Times;serif" w:hAnsi="Times New Roman;Times;serif"/>
          <w:sz w:val="20"/>
        </w:rPr>
        <w:t>Most of our corporately-managed retail stores are located within shopping malls and all are operated under leases classified as operating leases. Our leases in North America have shifted to shorter term leases, many of which include variable rent structures, to provide flexibility in aligning stores with market trends. Our leases typically require us to pay personal property taxes, our pro rata share of real property taxes of the shopping mall, our own utilities, repairs and maintenance in our store, a pro rata share of the malls’ common area maintenance and, in some instances, merchant association fees and media fund contributions. Many new leases contain incentives to help defray the cost of construction of a new store. Typically, a portion of the incentive must be repaid to the landlord if we choose to terminate the lease before the end of its initial term. In addition, some of these leases contain various restrictions relating to change in control of our company. Our leases also subject us to risks relating to compliance with changing mall rules and the exercise of discretion by our landlords on various matters, including rights of termination in some cases. Rents are invoiced monthly and paid in advance.</w:t>
      </w:r>
    </w:p>
    <w:p>
      <w:pPr>
        <w:pStyle w:val="TextBody"/>
        <w:spacing w:before="0" w:after="0"/>
        <w:ind w:left="0" w:right="0" w:firstLine="720"/>
        <w:jc w:val="left"/>
        <w:rPr/>
      </w:pPr>
      <w:r>
        <w:rPr/>
        <w:t> </w:t>
      </w:r>
    </w:p>
    <w:p>
      <w:pPr>
        <w:pStyle w:val="TextBody"/>
        <w:spacing w:before="0" w:after="0"/>
        <w:ind w:left="0" w:right="144" w:firstLine="720"/>
        <w:jc w:val="left"/>
        <w:rPr>
          <w:rFonts w:ascii="Times New Roman;Times;serif" w:hAnsi="Times New Roman;Times;serif"/>
          <w:sz w:val="20"/>
        </w:rPr>
      </w:pPr>
      <w:r>
        <w:rPr>
          <w:rFonts w:ascii="Times New Roman;Times;serif" w:hAnsi="Times New Roman;Times;serif"/>
          <w:sz w:val="20"/>
        </w:rPr>
        <w:t>Our leases in the U.K. and Ireland typically have terms of ten years and generally contain a provision whereby every fifth year the rental rate can be adjusted to reflect the current market rates. The leases typically provide the lessee with the first right for renewal at the end of the lease. Real estate taxes also change according to government time schedules to reflect current market rental rates for the locations we lease. Rents are invoiced monthly or quarterly and paid in advance.</w:t>
      </w:r>
    </w:p>
    <w:p>
      <w:pPr>
        <w:pStyle w:val="TextBody"/>
        <w:spacing w:before="0" w:after="0"/>
        <w:ind w:left="0" w:right="144" w:firstLine="720"/>
        <w:jc w:val="left"/>
        <w:rPr/>
      </w:pPr>
      <w:r>
        <w:rPr/>
        <w:t> </w:t>
      </w:r>
    </w:p>
    <w:p>
      <w:pPr>
        <w:pStyle w:val="TextBody"/>
        <w:spacing w:before="0" w:after="0"/>
        <w:ind w:left="0" w:right="0" w:firstLine="720"/>
        <w:jc w:val="left"/>
        <w:rPr>
          <w:rFonts w:ascii="Times New Roman;Times;serif" w:hAnsi="Times New Roman;Times;serif"/>
          <w:sz w:val="20"/>
        </w:rPr>
      </w:pPr>
      <w:r>
        <w:rPr>
          <w:rFonts w:ascii="Times New Roman;Times;serif" w:hAnsi="Times New Roman;Times;serif"/>
          <w:sz w:val="20"/>
        </w:rPr>
        <w:t>Capital spending through the twenty-six weeks ended July 31, 2021 totaled $1.6 million and we expect to spend approximately $10 million on capital expenditures for fiscal 2021.</w:t>
      </w:r>
    </w:p>
    <w:p>
      <w:pPr>
        <w:pStyle w:val="TextBody"/>
        <w:spacing w:before="0" w:after="0"/>
        <w:ind w:left="144" w:right="144" w:hanging="0"/>
        <w:jc w:val="left"/>
        <w:rPr/>
      </w:pPr>
      <w:r>
        <w:rPr/>
        <w:t> </w:t>
      </w:r>
    </w:p>
    <w:p>
      <w:pPr>
        <w:pStyle w:val="TextBody"/>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Off-Balance Sheet Arrangements </w:t>
      </w:r>
    </w:p>
    <w:p>
      <w:pPr>
        <w:pStyle w:val="TextBody"/>
        <w:spacing w:before="0" w:after="0"/>
        <w:ind w:left="144" w:right="144" w:hanging="0"/>
        <w:jc w:val="left"/>
        <w:rPr/>
      </w:pPr>
      <w:r>
        <w:rPr/>
        <w:t> </w:t>
      </w:r>
    </w:p>
    <w:p>
      <w:pPr>
        <w:pStyle w:val="TextBody"/>
        <w:spacing w:before="0" w:after="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spacing w:before="0" w:after="0"/>
        <w:ind w:left="144" w:right="144" w:hanging="0"/>
        <w:jc w:val="left"/>
        <w:rPr/>
      </w:pPr>
      <w:r>
        <w:rPr/>
        <w:t> </w:t>
      </w:r>
    </w:p>
    <w:p>
      <w:pPr>
        <w:pStyle w:val="TextBody"/>
        <w:spacing w:before="0" w:after="0"/>
        <w:ind w:left="0" w:right="0" w:hanging="0"/>
        <w:jc w:val="left"/>
        <w:rPr>
          <w:rFonts w:ascii="Times New Roman;Times;serif" w:hAnsi="Times New Roman;Times;serif"/>
          <w:b/>
          <w:sz w:val="20"/>
        </w:rPr>
      </w:pPr>
      <w:r>
        <w:rPr>
          <w:rFonts w:ascii="Times New Roman;Times;serif" w:hAnsi="Times New Roman;Times;serif"/>
          <w:b/>
          <w:sz w:val="20"/>
        </w:rPr>
        <w:t>Inflation</w:t>
      </w:r>
    </w:p>
    <w:p>
      <w:pPr>
        <w:pStyle w:val="TextBody"/>
        <w:spacing w:before="0" w:after="0"/>
        <w:ind w:left="144" w:right="144" w:hanging="0"/>
        <w:jc w:val="left"/>
        <w:rPr/>
      </w:pPr>
      <w:r>
        <w:rPr/>
        <w:t> </w:t>
      </w:r>
    </w:p>
    <w:p>
      <w:pPr>
        <w:pStyle w:val="TextBody"/>
        <w:spacing w:before="0" w:after="0"/>
        <w:ind w:left="0" w:right="0" w:firstLine="720"/>
        <w:jc w:val="left"/>
        <w:rPr>
          <w:rFonts w:ascii="Times New Roman;Times;serif" w:hAnsi="Times New Roman;Times;serif"/>
          <w:sz w:val="20"/>
        </w:rPr>
      </w:pPr>
      <w:r>
        <w:rPr>
          <w:rFonts w:ascii="Times New Roman;Times;serif" w:hAnsi="Times New Roman;Times;serif"/>
          <w:sz w:val="20"/>
        </w:rPr>
        <w:t>We do not believe that inflation has had a material adverse impact on our business or operating results during the periods presented, however, we do expect cost inflation impact in the remainder of fiscal 2021. We cannot provide an estimate or range of impact such cost inflations may have on our results of operations.</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Critical Accounting Estimates </w:t>
      </w:r>
    </w:p>
    <w:p>
      <w:pPr>
        <w:pStyle w:val="TextBody"/>
        <w:spacing w:before="0" w:after="0"/>
        <w:ind w:left="144" w:right="144" w:firstLine="720"/>
        <w:jc w:val="left"/>
        <w:rPr/>
      </w:pPr>
      <w:r>
        <w:rPr/>
        <w:t> </w:t>
      </w:r>
    </w:p>
    <w:p>
      <w:pPr>
        <w:pStyle w:val="TextBody"/>
        <w:spacing w:before="0" w:after="0"/>
        <w:ind w:left="0" w:right="0" w:firstLine="720"/>
        <w:jc w:val="left"/>
        <w:rPr>
          <w:rFonts w:ascii="Times New Roman;Times;serif" w:hAnsi="Times New Roman;Times;serif"/>
          <w:sz w:val="20"/>
        </w:rPr>
      </w:pPr>
      <w:r>
        <w:rPr>
          <w:rFonts w:ascii="Times New Roman;Times;serif" w:hAnsi="Times New Roman;Times;serif"/>
          <w:sz w:val="20"/>
        </w:rPr>
        <w:t>The preparation of financial statements in conformity with U.S. GAAP requires the appropriate application of certain accounting policies, which require us to make estimates and assumptions about future events and their impact on amounts reported in our financial statements and related notes. Since future events and their impact cannot be determined with certainty, the actual results will inevitably differ from our estimates. Such differences could be material to the financial statements.</w:t>
      </w:r>
    </w:p>
    <w:p>
      <w:pPr>
        <w:pStyle w:val="TextBody"/>
        <w:spacing w:before="0" w:after="0"/>
        <w:ind w:left="0" w:right="0" w:firstLine="720"/>
        <w:jc w:val="left"/>
        <w:rPr/>
      </w:pPr>
      <w:r>
        <w:rPr/>
        <w:t> </w:t>
      </w:r>
    </w:p>
    <w:p>
      <w:pPr>
        <w:pStyle w:val="TextBody"/>
        <w:spacing w:before="0" w:after="0"/>
        <w:ind w:left="0" w:right="0" w:firstLine="720"/>
        <w:jc w:val="left"/>
        <w:rPr>
          <w:rFonts w:ascii="Times New Roman;Times;serif" w:hAnsi="Times New Roman;Times;serif"/>
          <w:sz w:val="20"/>
        </w:rPr>
      </w:pPr>
      <w:r>
        <w:rPr>
          <w:rFonts w:ascii="Times New Roman;Times;serif" w:hAnsi="Times New Roman;Times;serif"/>
          <w:sz w:val="20"/>
        </w:rPr>
        <w:t>We believe application of accounting policies, and the estimates inherently required therein, are reasonable. These accounting policies and estimates, including those related to long-lived assets, leases, revenue recognition and income taxes, are reevaluated on an ongoing basis, and adjustments are made when facts and circumstances dictate a change.</w:t>
      </w:r>
    </w:p>
    <w:p>
      <w:pPr>
        <w:pStyle w:val="TextBody"/>
        <w:spacing w:before="0" w:after="0"/>
        <w:ind w:left="144" w:right="144" w:firstLine="720"/>
        <w:jc w:val="left"/>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25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sz w:val="20"/>
        </w:rPr>
        <w:t>Historically, we have found our application of accounting policies to be appropriate, and actual results have not differed materially from those determined using necessary estimates. Our critical accounting policies and estimates are discussed in and should be read in conjunction with our Annual Report on Form 10-K, as filed with the Securities and Exchange Commission (SEC) on April 15, 2021, which includes audited consolidated financial statements for our 2020 and 2019 fiscal years. There have been no material changes to the critical accounting estimates disclosed in the 2020 Form 10-K. </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Recent Accounting Pronouncements </w:t>
      </w:r>
    </w:p>
    <w:p>
      <w:pPr>
        <w:pStyle w:val="TextBody"/>
        <w:spacing w:before="0" w:after="0"/>
        <w:ind w:left="144" w:right="144" w:hanging="0"/>
        <w:jc w:val="left"/>
        <w:rPr/>
      </w:pPr>
      <w:r>
        <w:rPr/>
        <w:t> </w:t>
      </w:r>
    </w:p>
    <w:p>
      <w:pPr>
        <w:pStyle w:val="TextBody"/>
        <w:spacing w:before="0" w:after="0"/>
        <w:ind w:left="0" w:right="0" w:firstLine="720"/>
        <w:jc w:val="left"/>
        <w:rPr>
          <w:rFonts w:ascii="Times New Roman;Times;serif" w:hAnsi="Times New Roman;Times;serif"/>
          <w:sz w:val="20"/>
        </w:rPr>
      </w:pPr>
      <w:r>
        <w:rPr>
          <w:rFonts w:ascii="Times New Roman;Times;serif" w:hAnsi="Times New Roman;Times;serif"/>
          <w:sz w:val="20"/>
        </w:rPr>
        <w:t>See Note 1 to the Condensed Consolidated Financial Statements — Basis of Presentation — Recent Accounting Pronouncements – Adopted in the Current Year</w:t>
      </w:r>
    </w:p>
    <w:p>
      <w:pPr>
        <w:pStyle w:val="TextBody"/>
        <w:spacing w:before="0" w:after="0"/>
        <w:ind w:left="144" w:right="144" w:hanging="0"/>
        <w:jc w:val="left"/>
        <w:rPr/>
      </w:pPr>
      <w:r>
        <w:rPr/>
        <w:t> </w:t>
      </w:r>
    </w:p>
    <w:p>
      <w:pPr>
        <w:pStyle w:val="TextBody"/>
        <w:spacing w:before="0" w:after="0"/>
        <w:ind w:left="0" w:right="0" w:hanging="0"/>
        <w:jc w:val="left"/>
        <w:rPr>
          <w:rFonts w:ascii="Times New Roman;Times;serif" w:hAnsi="Times New Roman;Times;serif"/>
          <w:b/>
          <w:sz w:val="20"/>
        </w:rPr>
      </w:pPr>
      <w:bookmarkStart w:id="8" w:name="Item_3._Quantitative_and_Qualitative_Dis"/>
      <w:bookmarkEnd w:id="8"/>
      <w:r>
        <w:rPr>
          <w:rFonts w:ascii="Times New Roman;Times;serif" w:hAnsi="Times New Roman;Times;serif"/>
          <w:b/>
          <w:sz w:val="20"/>
        </w:rPr>
        <w:t xml:space="preserve">Item 3. Quantitative and Qualitative Disclosures About Market Risk. </w:t>
      </w:r>
    </w:p>
    <w:p>
      <w:pPr>
        <w:pStyle w:val="TextBody"/>
        <w:spacing w:before="0" w:after="0"/>
        <w:ind w:left="144" w:right="144" w:hanging="0"/>
        <w:jc w:val="left"/>
        <w:rPr/>
      </w:pPr>
      <w:r>
        <w:rPr/>
        <w:t> </w:t>
      </w:r>
    </w:p>
    <w:p>
      <w:pPr>
        <w:pStyle w:val="TextBody"/>
        <w:spacing w:before="0" w:after="0"/>
        <w:ind w:left="0" w:right="0" w:firstLine="720"/>
        <w:jc w:val="left"/>
        <w:rPr>
          <w:rFonts w:ascii="Times New Roman;Times;serif" w:hAnsi="Times New Roman;Times;serif"/>
          <w:sz w:val="20"/>
        </w:rPr>
      </w:pPr>
      <w:r>
        <w:rPr>
          <w:rFonts w:ascii="Times New Roman;Times;serif" w:hAnsi="Times New Roman;Times;serif"/>
          <w:sz w:val="20"/>
        </w:rPr>
        <w:t>There have been no material changes to our Quantitative and Qualitative Disclosures About Market Risk as disclosed in our Annual Report on Form 10-K for the year ended January 30, 2021 as filed with the SEC on April 15, 2021.</w:t>
      </w:r>
    </w:p>
    <w:p>
      <w:pPr>
        <w:pStyle w:val="TextBody"/>
        <w:spacing w:before="0" w:after="0"/>
        <w:ind w:left="144" w:right="144" w:hanging="0"/>
        <w:jc w:val="left"/>
        <w:rPr/>
      </w:pPr>
      <w:r>
        <w:rPr/>
        <w:t> </w:t>
      </w:r>
    </w:p>
    <w:p>
      <w:pPr>
        <w:pStyle w:val="TextBody"/>
        <w:spacing w:before="0" w:after="0"/>
        <w:ind w:left="0" w:right="0" w:hanging="0"/>
        <w:jc w:val="left"/>
        <w:rPr>
          <w:rFonts w:ascii="Times New Roman;Times;serif" w:hAnsi="Times New Roman;Times;serif"/>
          <w:b/>
          <w:sz w:val="20"/>
        </w:rPr>
      </w:pPr>
      <w:bookmarkStart w:id="9" w:name="Item_4._Controls_and_Procedures"/>
      <w:bookmarkEnd w:id="9"/>
      <w:r>
        <w:rPr>
          <w:rFonts w:ascii="Times New Roman;Times;serif" w:hAnsi="Times New Roman;Times;serif"/>
          <w:b/>
          <w:sz w:val="20"/>
        </w:rPr>
        <w:t>Item 4. Controls and Procedures.</w:t>
      </w:r>
    </w:p>
    <w:p>
      <w:pPr>
        <w:pStyle w:val="TextBody"/>
        <w:spacing w:before="0" w:after="0"/>
        <w:ind w:left="144" w:right="144" w:hanging="0"/>
        <w:jc w:val="left"/>
        <w:rPr/>
      </w:pPr>
      <w:r>
        <w:rPr/>
        <w:t> </w:t>
      </w:r>
    </w:p>
    <w:p>
      <w:pPr>
        <w:pStyle w:val="TextBody"/>
        <w:spacing w:before="0" w:after="0"/>
        <w:ind w:left="0" w:right="0" w:firstLine="720"/>
        <w:jc w:val="left"/>
        <w:rPr>
          <w:rFonts w:ascii="Times New Roman;Times;serif" w:hAnsi="Times New Roman;Times;serif"/>
          <w:sz w:val="20"/>
        </w:rPr>
      </w:pPr>
      <w:r>
        <w:rPr>
          <w:rFonts w:ascii="Times New Roman;Times;serif" w:hAnsi="Times New Roman;Times;serif"/>
          <w:sz w:val="20"/>
        </w:rPr>
        <w:t>Our management, with the participation of our President and Chief Executive Officer and Chief Financial Officer, has evaluated the effectiveness of our disclosure controls and procedures, as of the end of the period covered by this report. Our disclosure controls and procedures are designed to ensure that information required to be disclosed by us in the reports filed or submitted under the Exchange Act is recorded, processed, summarized and reported within the time periods specified in the SEC’s rules and forms and is accumulated and communicated to management, including our certifying officers, as appropriate to allow timely decisions regarding required disclosure. Based on the foregoing evaluation, our management, including the President and Chief Executive Officer and Chief Financial Officer, concluded that our disclosure controls and procedures were effective as of July 31, 2021, the end of the period covered by this Quarterly Report.</w:t>
      </w:r>
    </w:p>
    <w:p>
      <w:pPr>
        <w:pStyle w:val="TextBody"/>
        <w:spacing w:before="0" w:after="0"/>
        <w:ind w:left="0" w:right="0" w:firstLine="720"/>
        <w:jc w:val="left"/>
        <w:rPr/>
      </w:pPr>
      <w:r>
        <w:rPr/>
        <w:t> </w:t>
      </w:r>
    </w:p>
    <w:p>
      <w:pPr>
        <w:pStyle w:val="TextBody"/>
        <w:spacing w:before="0" w:after="0"/>
        <w:ind w:left="0" w:right="0" w:firstLine="720"/>
        <w:jc w:val="left"/>
        <w:rPr>
          <w:rFonts w:ascii="Times New Roman;Times;serif" w:hAnsi="Times New Roman;Times;serif"/>
          <w:sz w:val="20"/>
        </w:rPr>
      </w:pPr>
      <w:r>
        <w:rPr>
          <w:rFonts w:ascii="Times New Roman;Times;serif" w:hAnsi="Times New Roman;Times;serif"/>
          <w:sz w:val="20"/>
        </w:rPr>
        <w:t>It should be noted that our management, including the President and Chief Executive Officer and the Chief Financial Officer, does not expect that our disclosure controls and procedures or internal controls will prevent all error and all fraud. A control system, no matter how well conceived or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controls.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pStyle w:val="TextBody"/>
        <w:spacing w:before="0" w:after="0"/>
        <w:ind w:left="0" w:right="0" w:firstLine="720"/>
        <w:jc w:val="left"/>
        <w:rPr/>
      </w:pPr>
      <w:r>
        <w:rPr/>
        <w:t> </w:t>
      </w:r>
    </w:p>
    <w:p>
      <w:pPr>
        <w:pStyle w:val="TextBody"/>
        <w:spacing w:before="0" w:after="0"/>
        <w:ind w:left="0" w:right="0" w:firstLine="720"/>
        <w:jc w:val="left"/>
        <w:rPr>
          <w:rFonts w:ascii="Times New Roman;Times;serif" w:hAnsi="Times New Roman;Times;serif"/>
          <w:sz w:val="20"/>
        </w:rPr>
      </w:pPr>
      <w:r>
        <w:rPr>
          <w:rFonts w:ascii="Times New Roman;Times;serif" w:hAnsi="Times New Roman;Times;serif"/>
          <w:i/>
          <w:sz w:val="20"/>
        </w:rPr>
        <w:t>Changes in Internal Control Over Financial Reporting.</w:t>
      </w:r>
      <w:r>
        <w:rPr>
          <w:rFonts w:ascii="Times New Roman;Times;serif" w:hAnsi="Times New Roman;Times;serif"/>
          <w:sz w:val="20"/>
        </w:rPr>
        <w:t xml:space="preserve"> The Company’s management, with the participation of the Company’s President and Chief Executive Officer and Chief Financial Officer, also conducted an evaluation of the Company’s internal control over financial reporting to determine whether any changes occurred during the period covered by this report that have materially affected, or are reasonably likely to materially affect, the Company’s internal control over financial reporting. There have been no changes in our internal control over financial reporting during the quarter covered by this report that has materially affected, or is reasonably likely to materially affect, our internal control over financial reporting.</w:t>
      </w:r>
    </w:p>
    <w:p>
      <w:pPr>
        <w:pStyle w:val="TextBody"/>
        <w:spacing w:before="0" w:after="0"/>
        <w:ind w:left="144" w:right="144" w:firstLine="720"/>
        <w:jc w:val="left"/>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26 </w:t>
      </w:r>
    </w:p>
    <w:p>
      <w:pPr>
        <w:pStyle w:val="HorizontalLine"/>
        <w:rPr/>
      </w:pPr>
      <w:r>
        <w:rPr/>
      </w:r>
    </w:p>
    <w:p>
      <w:pPr>
        <w:pStyle w:val="TextBody"/>
        <w:jc w:val="left"/>
        <w:rPr/>
      </w:pPr>
      <w:hyperlink w:anchor="toc">
        <w:r>
          <w:rPr>
            <w:rStyle w:val="InternetLink"/>
            <w:rFonts w:ascii="Times New Roman;Times;serif" w:hAnsi="Times New Roman;Times;serif"/>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PART II – OTHER INFORMATION</w:t>
      </w:r>
    </w:p>
    <w:p>
      <w:pPr>
        <w:pStyle w:val="TextBody"/>
        <w:spacing w:before="0" w:after="0"/>
        <w:ind w:left="144" w:right="144" w:hanging="0"/>
        <w:jc w:val="left"/>
        <w:rPr/>
      </w:pPr>
      <w:r>
        <w:rPr/>
        <w:t> </w:t>
      </w:r>
    </w:p>
    <w:p>
      <w:pPr>
        <w:pStyle w:val="TextBody"/>
        <w:spacing w:before="0" w:after="0"/>
        <w:ind w:left="0" w:right="0" w:hanging="0"/>
        <w:jc w:val="left"/>
        <w:rPr>
          <w:rFonts w:ascii="Times New Roman;Times;serif" w:hAnsi="Times New Roman;Times;serif"/>
          <w:b/>
          <w:sz w:val="20"/>
        </w:rPr>
      </w:pPr>
      <w:bookmarkStart w:id="10" w:name="Item_1A._Risk_Factors"/>
      <w:bookmarkEnd w:id="10"/>
      <w:r>
        <w:rPr>
          <w:rFonts w:ascii="Times New Roman;Times;serif" w:hAnsi="Times New Roman;Times;serif"/>
          <w:b/>
          <w:sz w:val="20"/>
        </w:rPr>
        <w:t>Item 1A. Risk Factors</w:t>
      </w:r>
    </w:p>
    <w:p>
      <w:pPr>
        <w:pStyle w:val="TextBody"/>
        <w:spacing w:before="0" w:after="0"/>
        <w:ind w:left="144" w:right="144" w:hanging="0"/>
        <w:jc w:val="left"/>
        <w:rPr/>
      </w:pPr>
      <w:r>
        <w:rPr/>
        <w:t> </w:t>
      </w:r>
    </w:p>
    <w:p>
      <w:pPr>
        <w:pStyle w:val="TextBody"/>
        <w:spacing w:before="0" w:after="0"/>
        <w:ind w:left="0" w:right="0" w:firstLine="720"/>
        <w:jc w:val="left"/>
        <w:rPr>
          <w:rFonts w:ascii="Times New Roman;Times;serif" w:hAnsi="Times New Roman;Times;serif"/>
          <w:sz w:val="20"/>
        </w:rPr>
      </w:pPr>
      <w:r>
        <w:rPr>
          <w:rFonts w:ascii="Times New Roman;Times;serif" w:hAnsi="Times New Roman;Times;serif"/>
          <w:sz w:val="20"/>
        </w:rPr>
        <w:t>There have been no material changes to our risk factors as disclosed in our Annual Report on Form 10-K for the year ended January 30, 2021 as filed with the SEC on April 15, 2021.</w:t>
      </w:r>
    </w:p>
    <w:p>
      <w:pPr>
        <w:pStyle w:val="TextBody"/>
        <w:spacing w:before="0" w:after="0"/>
        <w:ind w:left="144" w:right="144" w:hanging="0"/>
        <w:jc w:val="left"/>
        <w:rPr/>
      </w:pPr>
      <w:r>
        <w:rPr/>
        <w:t> </w:t>
      </w:r>
    </w:p>
    <w:p>
      <w:pPr>
        <w:pStyle w:val="TextBody"/>
        <w:spacing w:before="0" w:after="0"/>
        <w:ind w:left="0" w:right="0" w:hanging="0"/>
        <w:jc w:val="left"/>
        <w:rPr>
          <w:rFonts w:ascii="Times New Roman;Times;serif" w:hAnsi="Times New Roman;Times;serif"/>
          <w:b/>
          <w:sz w:val="20"/>
        </w:rPr>
      </w:pPr>
      <w:bookmarkStart w:id="11" w:name="Item_2._Unregistered_Sales_of_Equity_Sec"/>
      <w:bookmarkEnd w:id="11"/>
      <w:r>
        <w:rPr>
          <w:rFonts w:ascii="Times New Roman;Times;serif" w:hAnsi="Times New Roman;Times;serif"/>
          <w:b/>
          <w:sz w:val="20"/>
        </w:rPr>
        <w:t xml:space="preserve">Item 2. Unregistered Sales of Equity Securities and Use of Proceeds </w:t>
      </w:r>
    </w:p>
    <w:p>
      <w:pPr>
        <w:pStyle w:val="TextBody"/>
        <w:spacing w:before="0" w:after="0"/>
        <w:ind w:left="144" w:right="144" w:hanging="0"/>
        <w:jc w:val="left"/>
        <w:rPr/>
      </w:pPr>
      <w:r>
        <w:rPr/>
        <w:t> </w:t>
      </w:r>
    </w:p>
    <w:p>
      <w:pPr>
        <w:pStyle w:val="TextBody"/>
        <w:spacing w:before="0" w:after="0"/>
        <w:ind w:left="0" w:right="0" w:hanging="0"/>
        <w:jc w:val="center"/>
        <w:rPr>
          <w:rFonts w:ascii="Times New Roman;Times;serif" w:hAnsi="Times New Roman;Times;serif"/>
          <w:b/>
          <w:sz w:val="20"/>
          <w:u w:val="single"/>
        </w:rPr>
      </w:pPr>
      <w:r>
        <w:rPr>
          <w:rFonts w:ascii="Times New Roman;Times;serif" w:hAnsi="Times New Roman;Times;serif"/>
          <w:b/>
          <w:sz w:val="20"/>
          <w:u w:val="single"/>
        </w:rPr>
        <w:t xml:space="preserve">ISSUER PURCHASES OF EQUITY SECURITIES </w:t>
      </w:r>
    </w:p>
    <w:p>
      <w:pPr>
        <w:pStyle w:val="TextBody"/>
        <w:spacing w:before="0" w:after="0"/>
        <w:ind w:left="0" w:right="0" w:hanging="0"/>
        <w:jc w:val="center"/>
        <w:rPr/>
      </w:pPr>
      <w:r>
        <w:rPr/>
        <w:t> </w:t>
      </w:r>
    </w:p>
    <w:tbl>
      <w:tblPr>
        <w:tblW w:w="10205" w:type="dxa"/>
        <w:jc w:val="left"/>
        <w:tblInd w:w="0" w:type="dxa"/>
        <w:tblCellMar>
          <w:top w:w="0" w:type="dxa"/>
          <w:left w:w="0" w:type="dxa"/>
          <w:bottom w:w="0" w:type="dxa"/>
          <w:right w:w="0" w:type="dxa"/>
        </w:tblCellMar>
      </w:tblPr>
      <w:tblGrid>
        <w:gridCol w:w="976"/>
        <w:gridCol w:w="60"/>
        <w:gridCol w:w="1453"/>
        <w:gridCol w:w="60"/>
        <w:gridCol w:w="60"/>
        <w:gridCol w:w="1192"/>
        <w:gridCol w:w="60"/>
        <w:gridCol w:w="60"/>
        <w:gridCol w:w="2583"/>
        <w:gridCol w:w="60"/>
        <w:gridCol w:w="60"/>
        <w:gridCol w:w="3338"/>
        <w:gridCol w:w="243"/>
      </w:tblGrid>
      <w:tr>
        <w:trPr/>
        <w:tc>
          <w:tcPr>
            <w:tcW w:w="976" w:type="dxa"/>
            <w:tcBorders/>
            <w:shd w:fill="FFFFFF" w:val="clear"/>
            <w:vAlign w:val="center"/>
          </w:tcPr>
          <w:p>
            <w:pPr>
              <w:pStyle w:val="TableContents"/>
              <w:spacing w:before="0" w:after="0"/>
              <w:rPr>
                <w:rFonts w:ascii="Times New Roman;Times;serif" w:hAnsi="Times New Roman;Times;serif"/>
                <w:b/>
                <w:sz w:val="20"/>
              </w:rPr>
            </w:pPr>
            <w:r>
              <w:rPr>
                <w:rFonts w:ascii="Times New Roman;Times;serif" w:hAnsi="Times New Roman;Times;serif"/>
                <w:b/>
                <w:sz w:val="20"/>
              </w:rPr>
              <w:t>Period</w:t>
            </w:r>
          </w:p>
        </w:tc>
        <w:tc>
          <w:tcPr>
            <w:tcW w:w="60" w:type="dxa"/>
            <w:tcBorders/>
            <w:shd w:fill="FFFFFF" w:val="clear"/>
            <w:vAlign w:val="center"/>
          </w:tcPr>
          <w:p>
            <w:pPr>
              <w:pStyle w:val="TableContents"/>
              <w:spacing w:before="0" w:after="283"/>
              <w:ind w:left="0" w:right="0" w:hanging="0"/>
              <w:rPr/>
            </w:pPr>
            <w:r>
              <w:rPr/>
              <w:t> </w:t>
            </w:r>
          </w:p>
        </w:tc>
        <w:tc>
          <w:tcPr>
            <w:tcW w:w="1453" w:type="dxa"/>
            <w:tcBorders>
              <w:bottom w:val="single" w:sz="2" w:space="0" w:color="000000"/>
            </w:tcBorders>
            <w:shd w:fill="FFFFFF" w:val="clear"/>
            <w:tcMar>
              <w:bottom w:w="28"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(a) Total Number of Shares (or Units) Purchased</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192" w:type="dxa"/>
            <w:tcBorders>
              <w:bottom w:val="single" w:sz="2" w:space="0" w:color="000000"/>
            </w:tcBorders>
            <w:shd w:fill="FFFFFF" w:val="clear"/>
            <w:tcMar>
              <w:bottom w:w="28"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(b) Average Price Paid Per Share (or Unit)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583" w:type="dxa"/>
            <w:tcBorders>
              <w:bottom w:val="single" w:sz="2" w:space="0" w:color="000000"/>
            </w:tcBorders>
            <w:shd w:fill="FFFFFF" w:val="clear"/>
            <w:tcMar>
              <w:bottom w:w="28"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(c) Total Number of Shares (or Units) Purchased as Part of Publicly Announced Plans or Programs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3338" w:type="dxa"/>
            <w:tcBorders>
              <w:bottom w:val="single" w:sz="2" w:space="0" w:color="000000"/>
            </w:tcBorders>
            <w:shd w:fill="FFFFFF" w:val="clear"/>
            <w:tcMar>
              <w:bottom w:w="28"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(d) Maximum Number (or Approximate Dollar Value) of Shares (or Units) that May Yet Be Purchased Under the Plans or Programs</w:t>
            </w:r>
          </w:p>
        </w:tc>
        <w:tc>
          <w:tcPr>
            <w:tcW w:w="243" w:type="dxa"/>
            <w:tcBorders/>
            <w:shd w:fill="FFFFFF" w:val="clear"/>
            <w:vAlign w:val="center"/>
          </w:tcPr>
          <w:p>
            <w:pPr>
              <w:pStyle w:val="TableContents"/>
              <w:spacing w:before="0" w:after="283"/>
              <w:ind w:left="0" w:right="0" w:hanging="0"/>
              <w:rPr/>
            </w:pPr>
            <w:r>
              <w:rPr/>
              <w:t> </w:t>
            </w:r>
          </w:p>
        </w:tc>
      </w:tr>
      <w:tr>
        <w:trPr/>
        <w:tc>
          <w:tcPr>
            <w:tcW w:w="97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May 2, 2021 - May 29, 2021</w:t>
            </w:r>
          </w:p>
        </w:tc>
        <w:tc>
          <w:tcPr>
            <w:tcW w:w="60" w:type="dxa"/>
            <w:tcBorders/>
            <w:shd w:fill="CCEEFF" w:val="clear"/>
            <w:vAlign w:val="center"/>
          </w:tcPr>
          <w:p>
            <w:pPr>
              <w:pStyle w:val="TableContents"/>
              <w:spacing w:before="0" w:after="0"/>
              <w:ind w:left="0" w:right="0" w:hanging="0"/>
              <w:rPr/>
            </w:pPr>
            <w:r>
              <w:rPr/>
              <w:t> </w:t>
            </w:r>
          </w:p>
        </w:tc>
        <w:tc>
          <w:tcPr>
            <w:tcW w:w="1453"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spacing w:before="0" w:after="0"/>
              <w:ind w:left="0" w:right="0" w:hanging="0"/>
              <w:rPr/>
            </w:pPr>
            <w:r>
              <w:rPr/>
              <w:t> </w:t>
            </w:r>
          </w:p>
        </w:tc>
        <w:tc>
          <w:tcPr>
            <w:tcW w:w="60" w:type="dxa"/>
            <w:tcBorders/>
            <w:shd w:fill="CCEEFF" w:val="clear"/>
            <w:vAlign w:val="center"/>
          </w:tcPr>
          <w:p>
            <w:pPr>
              <w:pStyle w:val="TableContents"/>
              <w:spacing w:before="0" w:after="0"/>
              <w:ind w:left="0" w:right="0" w:hanging="0"/>
              <w:rPr/>
            </w:pPr>
            <w:r>
              <w:rPr/>
              <w:t> </w:t>
            </w:r>
          </w:p>
        </w:tc>
        <w:tc>
          <w:tcPr>
            <w:tcW w:w="1192"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spacing w:before="0" w:after="0"/>
              <w:ind w:left="0" w:right="0" w:hanging="0"/>
              <w:rPr/>
            </w:pPr>
            <w:r>
              <w:rPr/>
              <w:t> </w:t>
            </w:r>
          </w:p>
        </w:tc>
        <w:tc>
          <w:tcPr>
            <w:tcW w:w="60" w:type="dxa"/>
            <w:tcBorders/>
            <w:shd w:fill="CCEEFF" w:val="clear"/>
            <w:vAlign w:val="center"/>
          </w:tcPr>
          <w:p>
            <w:pPr>
              <w:pStyle w:val="TableContents"/>
              <w:spacing w:before="0" w:after="0"/>
              <w:ind w:left="0" w:right="0" w:hanging="0"/>
              <w:rPr/>
            </w:pPr>
            <w:r>
              <w:rPr/>
              <w:t> </w:t>
            </w:r>
          </w:p>
        </w:tc>
        <w:tc>
          <w:tcPr>
            <w:tcW w:w="2583"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spacing w:before="0" w:after="0"/>
              <w:ind w:left="0" w:right="0" w:hanging="0"/>
              <w:rPr/>
            </w:pPr>
            <w:r>
              <w:rPr/>
              <w:t> </w:t>
            </w:r>
          </w:p>
        </w:tc>
        <w:tc>
          <w:tcPr>
            <w:tcW w:w="60" w:type="dxa"/>
            <w:tcBorders/>
            <w:shd w:fill="CCEEFF" w:val="clear"/>
            <w:vAlign w:val="center"/>
          </w:tcPr>
          <w:p>
            <w:pPr>
              <w:pStyle w:val="TableContents"/>
              <w:spacing w:before="0" w:after="0"/>
              <w:ind w:left="0" w:right="0" w:hanging="0"/>
              <w:rPr/>
            </w:pPr>
            <w:r>
              <w:rPr/>
              <w:t> </w:t>
            </w:r>
          </w:p>
        </w:tc>
        <w:tc>
          <w:tcPr>
            <w:tcW w:w="3338"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243" w:type="dxa"/>
            <w:tcBorders/>
            <w:shd w:fill="CCEEFF" w:val="clear"/>
            <w:vAlign w:val="center"/>
          </w:tcPr>
          <w:p>
            <w:pPr>
              <w:pStyle w:val="TableContents"/>
              <w:spacing w:before="0" w:after="0"/>
              <w:ind w:left="0" w:right="0" w:firstLine="180"/>
              <w:rPr/>
            </w:pPr>
            <w:r>
              <w:rPr/>
              <w:t> </w:t>
            </w:r>
          </w:p>
        </w:tc>
      </w:tr>
      <w:tr>
        <w:trPr/>
        <w:tc>
          <w:tcPr>
            <w:tcW w:w="976" w:type="dxa"/>
            <w:tcBorders/>
            <w:shd w:fill="FFFF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May 28, 2021 - July 3, 2021</w:t>
            </w:r>
          </w:p>
        </w:tc>
        <w:tc>
          <w:tcPr>
            <w:tcW w:w="60" w:type="dxa"/>
            <w:tcBorders/>
            <w:shd w:fill="FFFFFF" w:val="clear"/>
            <w:vAlign w:val="center"/>
          </w:tcPr>
          <w:p>
            <w:pPr>
              <w:pStyle w:val="TableContents"/>
              <w:spacing w:before="0" w:after="0"/>
              <w:ind w:left="0" w:right="0" w:hanging="0"/>
              <w:rPr/>
            </w:pPr>
            <w:r>
              <w:rPr/>
              <w:t> </w:t>
            </w:r>
          </w:p>
        </w:tc>
        <w:tc>
          <w:tcPr>
            <w:tcW w:w="1453" w:type="dxa"/>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spacing w:before="0" w:after="0"/>
              <w:ind w:left="0" w:right="0" w:hanging="0"/>
              <w:rPr/>
            </w:pPr>
            <w:r>
              <w:rPr/>
              <w:t> </w:t>
            </w:r>
          </w:p>
        </w:tc>
        <w:tc>
          <w:tcPr>
            <w:tcW w:w="60" w:type="dxa"/>
            <w:tcBorders/>
            <w:shd w:fill="FFFFFF" w:val="clear"/>
            <w:vAlign w:val="center"/>
          </w:tcPr>
          <w:p>
            <w:pPr>
              <w:pStyle w:val="TableContents"/>
              <w:spacing w:before="0" w:after="0"/>
              <w:ind w:left="0" w:right="0" w:hanging="0"/>
              <w:rPr/>
            </w:pPr>
            <w:r>
              <w:rPr/>
              <w:t> </w:t>
            </w:r>
          </w:p>
        </w:tc>
        <w:tc>
          <w:tcPr>
            <w:tcW w:w="1192" w:type="dxa"/>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spacing w:before="0" w:after="0"/>
              <w:ind w:left="0" w:right="0" w:hanging="0"/>
              <w:rPr/>
            </w:pPr>
            <w:r>
              <w:rPr/>
              <w:t> </w:t>
            </w:r>
          </w:p>
        </w:tc>
        <w:tc>
          <w:tcPr>
            <w:tcW w:w="60" w:type="dxa"/>
            <w:tcBorders/>
            <w:shd w:fill="FFFFFF" w:val="clear"/>
            <w:vAlign w:val="center"/>
          </w:tcPr>
          <w:p>
            <w:pPr>
              <w:pStyle w:val="TableContents"/>
              <w:spacing w:before="0" w:after="0"/>
              <w:ind w:left="0" w:right="0" w:hanging="0"/>
              <w:rPr/>
            </w:pPr>
            <w:r>
              <w:rPr/>
              <w:t> </w:t>
            </w:r>
          </w:p>
        </w:tc>
        <w:tc>
          <w:tcPr>
            <w:tcW w:w="2583" w:type="dxa"/>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spacing w:before="0" w:after="0"/>
              <w:ind w:left="0" w:right="0" w:hanging="0"/>
              <w:rPr/>
            </w:pPr>
            <w:r>
              <w:rPr/>
              <w:t> </w:t>
            </w:r>
          </w:p>
        </w:tc>
        <w:tc>
          <w:tcPr>
            <w:tcW w:w="60" w:type="dxa"/>
            <w:tcBorders/>
            <w:shd w:fill="FFFFFF" w:val="clear"/>
            <w:vAlign w:val="center"/>
          </w:tcPr>
          <w:p>
            <w:pPr>
              <w:pStyle w:val="TableContents"/>
              <w:spacing w:before="0" w:after="0"/>
              <w:ind w:left="0" w:right="0" w:hanging="0"/>
              <w:rPr/>
            </w:pPr>
            <w:r>
              <w:rPr/>
              <w:t> </w:t>
            </w:r>
          </w:p>
        </w:tc>
        <w:tc>
          <w:tcPr>
            <w:tcW w:w="3338" w:type="dxa"/>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243" w:type="dxa"/>
            <w:tcBorders/>
            <w:shd w:fill="FFFFFF" w:val="clear"/>
            <w:vAlign w:val="center"/>
          </w:tcPr>
          <w:p>
            <w:pPr>
              <w:pStyle w:val="TableContents"/>
              <w:spacing w:before="0" w:after="0"/>
              <w:rPr/>
            </w:pPr>
            <w:r>
              <w:rPr/>
              <w:t> </w:t>
            </w:r>
          </w:p>
        </w:tc>
      </w:tr>
      <w:tr>
        <w:trPr/>
        <w:tc>
          <w:tcPr>
            <w:tcW w:w="976" w:type="dxa"/>
            <w:tcBorders/>
            <w:shd w:fill="CCEEFF"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July 4, 2021 - July 31, 2021</w:t>
            </w:r>
          </w:p>
        </w:tc>
        <w:tc>
          <w:tcPr>
            <w:tcW w:w="60" w:type="dxa"/>
            <w:tcBorders/>
            <w:shd w:fill="CCEEFF" w:val="clear"/>
            <w:vAlign w:val="center"/>
          </w:tcPr>
          <w:p>
            <w:pPr>
              <w:pStyle w:val="TableContents"/>
              <w:spacing w:before="0" w:after="283"/>
              <w:ind w:left="0" w:right="0" w:hanging="0"/>
              <w:rPr/>
            </w:pPr>
            <w:r>
              <w:rPr/>
              <w:t> </w:t>
            </w:r>
          </w:p>
        </w:tc>
        <w:tc>
          <w:tcPr>
            <w:tcW w:w="1453" w:type="dxa"/>
            <w:tcBorders/>
            <w:shd w:fill="CCEEFF" w:val="cle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192" w:type="dxa"/>
            <w:tcBorders/>
            <w:shd w:fill="CCEEFF" w:val="cle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583" w:type="dxa"/>
            <w:tcBorders/>
            <w:shd w:fill="CCEEFF" w:val="cle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3338" w:type="dxa"/>
            <w:tcBorders/>
            <w:shd w:fill="CCEEFF" w:val="clear"/>
            <w:vAlign w:val="center"/>
          </w:tcPr>
          <w:p>
            <w:pPr>
              <w:pStyle w:val="TableContents"/>
              <w:spacing w:before="0" w:after="0"/>
              <w:jc w:val="center"/>
              <w:rPr>
                <w:rFonts w:ascii="Times New Roman;Times;serif" w:hAnsi="Times New Roman;Times;serif"/>
                <w:sz w:val="20"/>
              </w:rPr>
            </w:pPr>
            <w:r>
              <w:rPr>
                <w:rFonts w:ascii="Times New Roman;Times;serif" w:hAnsi="Times New Roman;Times;serif"/>
                <w:sz w:val="20"/>
              </w:rPr>
              <w:t>-</w:t>
            </w:r>
          </w:p>
        </w:tc>
        <w:tc>
          <w:tcPr>
            <w:tcW w:w="243" w:type="dxa"/>
            <w:tcBorders/>
            <w:shd w:fill="CCEEFF" w:val="clear"/>
            <w:vAlign w:val="center"/>
          </w:tcPr>
          <w:p>
            <w:pPr>
              <w:pStyle w:val="TableContents"/>
              <w:spacing w:before="0" w:after="283"/>
              <w:ind w:left="0" w:right="0" w:firstLine="180"/>
              <w:rPr/>
            </w:pPr>
            <w:r>
              <w:rPr/>
              <w:t> </w:t>
            </w:r>
          </w:p>
        </w:tc>
      </w:tr>
      <w:tr>
        <w:trPr/>
        <w:tc>
          <w:tcPr>
            <w:tcW w:w="976" w:type="dxa"/>
            <w:tcBorders/>
            <w:shd w:fill="FFFF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w:t>
            </w:r>
          </w:p>
        </w:tc>
        <w:tc>
          <w:tcPr>
            <w:tcW w:w="60" w:type="dxa"/>
            <w:tcBorders/>
            <w:shd w:fill="FFFFFF" w:val="clear"/>
            <w:vAlign w:val="center"/>
          </w:tcPr>
          <w:p>
            <w:pPr>
              <w:pStyle w:val="TableContents"/>
              <w:spacing w:before="0" w:after="0"/>
              <w:ind w:left="0" w:right="0" w:hanging="0"/>
              <w:rPr/>
            </w:pPr>
            <w:r>
              <w:rPr/>
              <w:t> </w:t>
            </w:r>
          </w:p>
        </w:tc>
        <w:tc>
          <w:tcPr>
            <w:tcW w:w="1453" w:type="dxa"/>
            <w:tcBorders>
              <w:bottom w:val="double" w:sz="6" w:space="0" w:color="000000"/>
            </w:tcBorders>
            <w:shd w:fill="FFFFFF"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spacing w:before="0" w:after="0"/>
              <w:ind w:left="0" w:right="0" w:hanging="0"/>
              <w:rPr/>
            </w:pPr>
            <w:r>
              <w:rPr/>
              <w:t> </w:t>
            </w:r>
          </w:p>
        </w:tc>
        <w:tc>
          <w:tcPr>
            <w:tcW w:w="60" w:type="dxa"/>
            <w:tcBorders/>
            <w:shd w:fill="FFFFFF" w:val="clear"/>
            <w:vAlign w:val="center"/>
          </w:tcPr>
          <w:p>
            <w:pPr>
              <w:pStyle w:val="TableContents"/>
              <w:spacing w:before="0" w:after="0"/>
              <w:ind w:left="0" w:right="0" w:hanging="0"/>
              <w:rPr/>
            </w:pPr>
            <w:r>
              <w:rPr/>
              <w:t> </w:t>
            </w:r>
          </w:p>
        </w:tc>
        <w:tc>
          <w:tcPr>
            <w:tcW w:w="1192" w:type="dxa"/>
            <w:tcBorders>
              <w:bottom w:val="double" w:sz="6" w:space="0" w:color="000000"/>
            </w:tcBorders>
            <w:shd w:fill="FFFFFF"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spacing w:before="0" w:after="0"/>
              <w:ind w:left="0" w:right="0" w:hanging="0"/>
              <w:rPr/>
            </w:pPr>
            <w:r>
              <w:rPr/>
              <w:t> </w:t>
            </w:r>
          </w:p>
        </w:tc>
        <w:tc>
          <w:tcPr>
            <w:tcW w:w="60" w:type="dxa"/>
            <w:tcBorders/>
            <w:shd w:fill="FFFFFF" w:val="clear"/>
            <w:vAlign w:val="center"/>
          </w:tcPr>
          <w:p>
            <w:pPr>
              <w:pStyle w:val="TableContents"/>
              <w:spacing w:before="0" w:after="0"/>
              <w:ind w:left="0" w:right="0" w:hanging="0"/>
              <w:rPr/>
            </w:pPr>
            <w:r>
              <w:rPr/>
              <w:t> </w:t>
            </w:r>
          </w:p>
        </w:tc>
        <w:tc>
          <w:tcPr>
            <w:tcW w:w="2583" w:type="dxa"/>
            <w:tcBorders>
              <w:bottom w:val="double" w:sz="6" w:space="0" w:color="000000"/>
            </w:tcBorders>
            <w:shd w:fill="FFFFFF"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spacing w:before="0" w:after="0"/>
              <w:ind w:left="0" w:right="0" w:hanging="0"/>
              <w:rPr/>
            </w:pPr>
            <w:r>
              <w:rPr/>
              <w:t> </w:t>
            </w:r>
          </w:p>
        </w:tc>
        <w:tc>
          <w:tcPr>
            <w:tcW w:w="60" w:type="dxa"/>
            <w:tcBorders/>
            <w:shd w:fill="FFFFFF" w:val="clear"/>
            <w:vAlign w:val="center"/>
          </w:tcPr>
          <w:p>
            <w:pPr>
              <w:pStyle w:val="TableContents"/>
              <w:spacing w:before="0" w:after="0"/>
              <w:ind w:left="0" w:right="0" w:hanging="0"/>
              <w:rPr/>
            </w:pPr>
            <w:r>
              <w:rPr/>
              <w:t> </w:t>
            </w:r>
          </w:p>
        </w:tc>
        <w:tc>
          <w:tcPr>
            <w:tcW w:w="3338" w:type="dxa"/>
            <w:tcBorders>
              <w:bottom w:val="double" w:sz="6" w:space="0" w:color="000000"/>
            </w:tcBorders>
            <w:shd w:fill="FFFFFF"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243" w:type="dxa"/>
            <w:tcBorders/>
            <w:shd w:fill="FFFFFF" w:val="clear"/>
            <w:vAlign w:val="center"/>
          </w:tcPr>
          <w:p>
            <w:pPr>
              <w:pStyle w:val="TableContents"/>
              <w:spacing w:before="0" w:after="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27 </w:t>
      </w:r>
    </w:p>
    <w:p>
      <w:pPr>
        <w:pStyle w:val="HorizontalLine"/>
        <w:rPr/>
      </w:pPr>
      <w:r>
        <w:rPr/>
      </w:r>
    </w:p>
    <w:p>
      <w:pPr>
        <w:pStyle w:val="TextBody"/>
        <w:jc w:val="left"/>
        <w:rPr/>
      </w:pPr>
      <w:hyperlink w:anchor="Table_of_Contents">
        <w:r>
          <w:rPr>
            <w:rStyle w:val="InternetLink"/>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b/>
          <w:sz w:val="20"/>
        </w:rPr>
      </w:pPr>
      <w:bookmarkStart w:id="12" w:name="Item_6._Exhibits"/>
      <w:bookmarkEnd w:id="12"/>
      <w:r>
        <w:rPr>
          <w:rFonts w:ascii="Times New Roman;Times;serif" w:hAnsi="Times New Roman;Times;serif"/>
          <w:b/>
          <w:sz w:val="20"/>
        </w:rPr>
        <w:t xml:space="preserve">Item 6. Exhibits </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is a list of exhibits filed as a part of the quarterly report on Form 10-Q:</w:t>
      </w:r>
    </w:p>
    <w:p>
      <w:pPr>
        <w:pStyle w:val="TextBody"/>
        <w:spacing w:before="0" w:after="0"/>
        <w:ind w:left="144" w:right="144" w:hanging="0"/>
        <w:jc w:val="left"/>
        <w:rPr/>
      </w:pPr>
      <w:r>
        <w:rPr/>
        <w:t> </w:t>
      </w:r>
    </w:p>
    <w:tbl>
      <w:tblPr>
        <w:tblW w:w="10205" w:type="dxa"/>
        <w:jc w:val="left"/>
        <w:tblInd w:w="0" w:type="dxa"/>
        <w:tblCellMar>
          <w:top w:w="0" w:type="dxa"/>
          <w:left w:w="0" w:type="dxa"/>
          <w:bottom w:w="28" w:type="dxa"/>
          <w:right w:w="0" w:type="dxa"/>
        </w:tblCellMar>
      </w:tblPr>
      <w:tblGrid>
        <w:gridCol w:w="980"/>
        <w:gridCol w:w="60"/>
        <w:gridCol w:w="9165"/>
      </w:tblGrid>
      <w:tr>
        <w:trPr/>
        <w:tc>
          <w:tcPr>
            <w:tcW w:w="980" w:type="dxa"/>
            <w:tcBorders>
              <w:bottom w:val="single" w:sz="2" w:space="0" w:color="000000"/>
            </w:tcBorders>
            <w:shd w:fill="auto" w:val="clear"/>
            <w:vAlign w:val="center"/>
          </w:tcPr>
          <w:p>
            <w:pPr>
              <w:pStyle w:val="TableContents"/>
              <w:spacing w:before="0" w:after="0"/>
              <w:ind w:left="0" w:right="0" w:hanging="0"/>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shd w:fill="auto" w:val="clear"/>
            <w:tcMar>
              <w:bottom w:w="0" w:type="dxa"/>
            </w:tcMar>
            <w:vAlign w:val="center"/>
          </w:tcPr>
          <w:p>
            <w:pPr>
              <w:pStyle w:val="TableContents"/>
              <w:spacing w:before="0" w:after="0"/>
              <w:ind w:left="0" w:right="0" w:hanging="0"/>
              <w:jc w:val="left"/>
              <w:rPr/>
            </w:pPr>
            <w:r>
              <w:rPr/>
              <w:t> </w:t>
            </w:r>
          </w:p>
        </w:tc>
        <w:tc>
          <w:tcPr>
            <w:tcW w:w="9165" w:type="dxa"/>
            <w:tcBorders>
              <w:bottom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Description</w:t>
            </w:r>
          </w:p>
        </w:tc>
      </w:tr>
      <w:tr>
        <w:trPr/>
        <w:tc>
          <w:tcPr>
            <w:tcW w:w="980" w:type="dxa"/>
            <w:tcBorders/>
            <w:shd w:fill="auto" w:val="clear"/>
            <w:tcMar>
              <w:bottom w:w="0" w:type="dxa"/>
            </w:tcMar>
            <w:vAlign w:val="center"/>
          </w:tcPr>
          <w:p>
            <w:pPr>
              <w:pStyle w:val="TableContents"/>
              <w:spacing w:before="0" w:after="0"/>
              <w:ind w:left="0" w:right="0" w:hanging="0"/>
              <w:jc w:val="left"/>
              <w:rPr/>
            </w:pPr>
            <w:r>
              <w:rPr/>
              <w:t> </w:t>
            </w:r>
          </w:p>
        </w:tc>
        <w:tc>
          <w:tcPr>
            <w:tcW w:w="60" w:type="dxa"/>
            <w:tcBorders/>
            <w:shd w:fill="auto" w:val="clear"/>
            <w:tcMar>
              <w:bottom w:w="0" w:type="dxa"/>
            </w:tcMar>
            <w:vAlign w:val="center"/>
          </w:tcPr>
          <w:p>
            <w:pPr>
              <w:pStyle w:val="TableContents"/>
              <w:spacing w:before="0" w:after="0"/>
              <w:ind w:left="0" w:right="0" w:hanging="0"/>
              <w:jc w:val="left"/>
              <w:rPr/>
            </w:pPr>
            <w:r>
              <w:rPr/>
              <w:t> </w:t>
            </w:r>
          </w:p>
        </w:tc>
        <w:tc>
          <w:tcPr>
            <w:tcW w:w="9165" w:type="dxa"/>
            <w:tcBorders/>
            <w:shd w:fill="auto" w:val="clear"/>
            <w:tcMar>
              <w:bottom w:w="0" w:type="dxa"/>
            </w:tcMar>
            <w:vAlign w:val="center"/>
          </w:tcPr>
          <w:p>
            <w:pPr>
              <w:pStyle w:val="TableContents"/>
              <w:spacing w:before="0" w:after="0"/>
              <w:ind w:left="0" w:right="0" w:hanging="0"/>
              <w:jc w:val="left"/>
              <w:rPr/>
            </w:pPr>
            <w:r>
              <w:rPr/>
              <w:t> </w:t>
            </w:r>
          </w:p>
        </w:tc>
      </w:tr>
      <w:tr>
        <w:trPr/>
        <w:tc>
          <w:tcPr>
            <w:tcW w:w="980" w:type="dxa"/>
            <w:tcBorders/>
            <w:shd w:fill="auto" w:val="clear"/>
            <w:tcMar>
              <w:bottom w:w="0" w:type="dxa"/>
            </w:tcM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2.1</w:t>
            </w:r>
          </w:p>
        </w:tc>
        <w:tc>
          <w:tcPr>
            <w:tcW w:w="60" w:type="dxa"/>
            <w:tcBorders/>
            <w:shd w:fill="auto" w:val="clear"/>
            <w:tcMar>
              <w:bottom w:w="0" w:type="dxa"/>
            </w:tcMar>
            <w:vAlign w:val="center"/>
          </w:tcPr>
          <w:p>
            <w:pPr>
              <w:pStyle w:val="TableContents"/>
              <w:spacing w:before="0" w:after="0"/>
              <w:ind w:left="0" w:right="0" w:hanging="0"/>
              <w:jc w:val="left"/>
              <w:rPr/>
            </w:pPr>
            <w:r>
              <w:rPr/>
              <w:t> </w:t>
            </w:r>
          </w:p>
        </w:tc>
        <w:tc>
          <w:tcPr>
            <w:tcW w:w="9165" w:type="dxa"/>
            <w:tcBorders/>
            <w:shd w:fill="auto" w:val="clear"/>
            <w:tcMar>
              <w:bottom w:w="0" w:type="dxa"/>
            </w:tcMar>
            <w:vAlign w:val="center"/>
          </w:tcPr>
          <w:p>
            <w:pPr>
              <w:pStyle w:val="TableContents"/>
              <w:spacing w:before="0" w:after="0"/>
              <w:ind w:left="0" w:right="0" w:hanging="0"/>
              <w:jc w:val="left"/>
              <w:rPr/>
            </w:pPr>
            <w:hyperlink r:id="rId2">
              <w:r>
                <w:rPr>
                  <w:rStyle w:val="InternetLink"/>
                  <w:rFonts w:ascii="Times New Roman;Times;serif" w:hAnsi="Times New Roman;Times;serif"/>
                  <w:sz w:val="20"/>
                  <w:u w:val="single"/>
                </w:rPr>
                <w:t>Agreement and Plan of Merger dated April 3, 2000 between Build-A-Bear Workshop, L.L.C. and the Registrant (incorporated by reference from Exhibit 2.1 to our Registration Statement on Form S-1, filed on August 12, 2004, Registration No. 333-118142)</w:t>
              </w:r>
            </w:hyperlink>
          </w:p>
        </w:tc>
      </w:tr>
      <w:tr>
        <w:trPr/>
        <w:tc>
          <w:tcPr>
            <w:tcW w:w="980" w:type="dxa"/>
            <w:tcBorders/>
            <w:shd w:fill="auto" w:val="clear"/>
            <w:tcMar>
              <w:bottom w:w="0" w:type="dxa"/>
            </w:tcMar>
            <w:vAlign w:val="center"/>
          </w:tcPr>
          <w:p>
            <w:pPr>
              <w:pStyle w:val="TableContents"/>
              <w:spacing w:before="0" w:after="0"/>
              <w:ind w:left="0" w:right="0" w:hanging="0"/>
              <w:jc w:val="left"/>
              <w:rPr/>
            </w:pPr>
            <w:r>
              <w:rPr/>
              <w:t> </w:t>
            </w:r>
          </w:p>
        </w:tc>
        <w:tc>
          <w:tcPr>
            <w:tcW w:w="60" w:type="dxa"/>
            <w:tcBorders/>
            <w:shd w:fill="auto" w:val="clear"/>
            <w:tcMar>
              <w:bottom w:w="0" w:type="dxa"/>
            </w:tcMar>
            <w:vAlign w:val="center"/>
          </w:tcPr>
          <w:p>
            <w:pPr>
              <w:pStyle w:val="TableContents"/>
              <w:spacing w:before="0" w:after="0"/>
              <w:ind w:left="0" w:right="0" w:hanging="0"/>
              <w:jc w:val="left"/>
              <w:rPr/>
            </w:pPr>
            <w:r>
              <w:rPr/>
              <w:t> </w:t>
            </w:r>
          </w:p>
        </w:tc>
        <w:tc>
          <w:tcPr>
            <w:tcW w:w="9165" w:type="dxa"/>
            <w:tcBorders/>
            <w:shd w:fill="auto" w:val="clear"/>
            <w:tcMar>
              <w:bottom w:w="0" w:type="dxa"/>
            </w:tcMar>
            <w:vAlign w:val="center"/>
          </w:tcPr>
          <w:p>
            <w:pPr>
              <w:pStyle w:val="TableContents"/>
              <w:spacing w:before="0" w:after="0"/>
              <w:ind w:left="0" w:right="0" w:hanging="0"/>
              <w:jc w:val="left"/>
              <w:rPr/>
            </w:pPr>
            <w:r>
              <w:rPr/>
              <w:t> </w:t>
            </w:r>
          </w:p>
        </w:tc>
      </w:tr>
      <w:tr>
        <w:trPr/>
        <w:tc>
          <w:tcPr>
            <w:tcW w:w="980" w:type="dxa"/>
            <w:tcBorders/>
            <w:shd w:fill="auto" w:val="clear"/>
            <w:tcMar>
              <w:bottom w:w="0" w:type="dxa"/>
            </w:tcM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3.1</w:t>
            </w:r>
          </w:p>
        </w:tc>
        <w:tc>
          <w:tcPr>
            <w:tcW w:w="60" w:type="dxa"/>
            <w:tcBorders/>
            <w:shd w:fill="auto" w:val="clear"/>
            <w:tcMar>
              <w:bottom w:w="0" w:type="dxa"/>
            </w:tcMar>
            <w:vAlign w:val="center"/>
          </w:tcPr>
          <w:p>
            <w:pPr>
              <w:pStyle w:val="TableContents"/>
              <w:spacing w:before="0" w:after="0"/>
              <w:ind w:left="0" w:right="0" w:hanging="0"/>
              <w:jc w:val="left"/>
              <w:rPr/>
            </w:pPr>
            <w:r>
              <w:rPr/>
              <w:t> </w:t>
            </w:r>
          </w:p>
        </w:tc>
        <w:tc>
          <w:tcPr>
            <w:tcW w:w="9165" w:type="dxa"/>
            <w:tcBorders/>
            <w:shd w:fill="auto" w:val="clear"/>
            <w:tcMar>
              <w:bottom w:w="0" w:type="dxa"/>
            </w:tcMar>
            <w:vAlign w:val="center"/>
          </w:tcPr>
          <w:p>
            <w:pPr>
              <w:pStyle w:val="TableContents"/>
              <w:spacing w:before="0" w:after="0"/>
              <w:ind w:left="0" w:right="0" w:hanging="0"/>
              <w:jc w:val="left"/>
              <w:rPr/>
            </w:pPr>
            <w:hyperlink r:id="rId3">
              <w:r>
                <w:rPr>
                  <w:rStyle w:val="InternetLink"/>
                  <w:rFonts w:ascii="Times New Roman;Times;serif" w:hAnsi="Times New Roman;Times;serif"/>
                  <w:sz w:val="20"/>
                  <w:u w:val="single"/>
                </w:rPr>
                <w:t>Third Amended and Restated Certificate of Incorporation (incorporated by reference from Exhibit 3.1 of our Current Report on Form 8-K, filed on November 11, 2004)</w:t>
              </w:r>
            </w:hyperlink>
          </w:p>
        </w:tc>
      </w:tr>
      <w:tr>
        <w:trPr/>
        <w:tc>
          <w:tcPr>
            <w:tcW w:w="980" w:type="dxa"/>
            <w:tcBorders/>
            <w:shd w:fill="auto" w:val="clear"/>
            <w:tcMar>
              <w:bottom w:w="0" w:type="dxa"/>
            </w:tcMar>
            <w:vAlign w:val="center"/>
          </w:tcPr>
          <w:p>
            <w:pPr>
              <w:pStyle w:val="TableContents"/>
              <w:spacing w:before="0" w:after="0"/>
              <w:ind w:left="0" w:right="0" w:hanging="0"/>
              <w:jc w:val="left"/>
              <w:rPr/>
            </w:pPr>
            <w:r>
              <w:rPr/>
              <w:t> </w:t>
            </w:r>
          </w:p>
        </w:tc>
        <w:tc>
          <w:tcPr>
            <w:tcW w:w="60" w:type="dxa"/>
            <w:tcBorders/>
            <w:shd w:fill="auto" w:val="clear"/>
            <w:tcMar>
              <w:bottom w:w="0" w:type="dxa"/>
            </w:tcMar>
            <w:vAlign w:val="center"/>
          </w:tcPr>
          <w:p>
            <w:pPr>
              <w:pStyle w:val="TableContents"/>
              <w:spacing w:before="0" w:after="0"/>
              <w:ind w:left="0" w:right="0" w:hanging="0"/>
              <w:jc w:val="left"/>
              <w:rPr/>
            </w:pPr>
            <w:r>
              <w:rPr/>
              <w:t> </w:t>
            </w:r>
          </w:p>
        </w:tc>
        <w:tc>
          <w:tcPr>
            <w:tcW w:w="9165" w:type="dxa"/>
            <w:tcBorders/>
            <w:shd w:fill="auto" w:val="clear"/>
            <w:tcMar>
              <w:bottom w:w="0" w:type="dxa"/>
            </w:tcMar>
            <w:vAlign w:val="center"/>
          </w:tcPr>
          <w:p>
            <w:pPr>
              <w:pStyle w:val="TableContents"/>
              <w:spacing w:before="0" w:after="0"/>
              <w:ind w:left="0" w:right="0" w:hanging="0"/>
              <w:jc w:val="left"/>
              <w:rPr/>
            </w:pPr>
            <w:r>
              <w:rPr/>
              <w:t> </w:t>
            </w:r>
          </w:p>
        </w:tc>
      </w:tr>
      <w:tr>
        <w:trPr/>
        <w:tc>
          <w:tcPr>
            <w:tcW w:w="980" w:type="dxa"/>
            <w:tcBorders/>
            <w:shd w:fill="auto" w:val="clear"/>
            <w:tcMar>
              <w:bottom w:w="0" w:type="dxa"/>
            </w:tcM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60" w:type="dxa"/>
            <w:tcBorders/>
            <w:shd w:fill="auto" w:val="clear"/>
            <w:tcMar>
              <w:bottom w:w="0" w:type="dxa"/>
            </w:tcMar>
            <w:vAlign w:val="center"/>
          </w:tcPr>
          <w:p>
            <w:pPr>
              <w:pStyle w:val="TableContents"/>
              <w:spacing w:before="0" w:after="0"/>
              <w:ind w:left="0" w:right="0" w:hanging="0"/>
              <w:jc w:val="left"/>
              <w:rPr/>
            </w:pPr>
            <w:r>
              <w:rPr/>
              <w:t> </w:t>
            </w:r>
          </w:p>
        </w:tc>
        <w:tc>
          <w:tcPr>
            <w:tcW w:w="9165" w:type="dxa"/>
            <w:tcBorders/>
            <w:shd w:fill="auto" w:val="clear"/>
            <w:tcMar>
              <w:bottom w:w="0" w:type="dxa"/>
            </w:tcMar>
            <w:vAlign w:val="center"/>
          </w:tcPr>
          <w:p>
            <w:pPr>
              <w:pStyle w:val="TableContents"/>
              <w:spacing w:before="0" w:after="0"/>
              <w:ind w:left="0" w:right="0" w:hanging="0"/>
              <w:jc w:val="left"/>
              <w:rPr/>
            </w:pPr>
            <w:hyperlink r:id="rId4">
              <w:r>
                <w:rPr>
                  <w:rStyle w:val="InternetLink"/>
                  <w:rFonts w:ascii="Times New Roman;Times;serif" w:hAnsi="Times New Roman;Times;serif"/>
                  <w:sz w:val="20"/>
                  <w:u w:val="single"/>
                </w:rPr>
                <w:t>Amended and Restated Bylaws, as amended through February 23, 2016 (incorporated by reference from Exhibit 3.1 of our Current Report on Form 8-K, filed on February 24, 2016)</w:t>
              </w:r>
            </w:hyperlink>
          </w:p>
        </w:tc>
      </w:tr>
      <w:tr>
        <w:trPr/>
        <w:tc>
          <w:tcPr>
            <w:tcW w:w="980" w:type="dxa"/>
            <w:tcBorders/>
            <w:shd w:fill="auto" w:val="clear"/>
            <w:tcMar>
              <w:bottom w:w="0" w:type="dxa"/>
            </w:tcMar>
            <w:vAlign w:val="center"/>
          </w:tcPr>
          <w:p>
            <w:pPr>
              <w:pStyle w:val="TableContents"/>
              <w:spacing w:before="0" w:after="0"/>
              <w:ind w:left="0" w:right="0" w:hanging="0"/>
              <w:jc w:val="left"/>
              <w:rPr/>
            </w:pPr>
            <w:r>
              <w:rPr/>
              <w:t> </w:t>
            </w:r>
          </w:p>
        </w:tc>
        <w:tc>
          <w:tcPr>
            <w:tcW w:w="60" w:type="dxa"/>
            <w:tcBorders/>
            <w:shd w:fill="auto" w:val="clear"/>
            <w:tcMar>
              <w:bottom w:w="0" w:type="dxa"/>
            </w:tcMar>
            <w:vAlign w:val="center"/>
          </w:tcPr>
          <w:p>
            <w:pPr>
              <w:pStyle w:val="TableContents"/>
              <w:spacing w:before="0" w:after="0"/>
              <w:ind w:left="0" w:right="0" w:hanging="0"/>
              <w:jc w:val="left"/>
              <w:rPr/>
            </w:pPr>
            <w:r>
              <w:rPr/>
              <w:t> </w:t>
            </w:r>
          </w:p>
        </w:tc>
        <w:tc>
          <w:tcPr>
            <w:tcW w:w="9165" w:type="dxa"/>
            <w:tcBorders/>
            <w:shd w:fill="auto" w:val="clear"/>
            <w:tcMar>
              <w:bottom w:w="0" w:type="dxa"/>
            </w:tcMar>
            <w:vAlign w:val="center"/>
          </w:tcPr>
          <w:p>
            <w:pPr>
              <w:pStyle w:val="TableContents"/>
              <w:spacing w:before="0" w:after="0"/>
              <w:ind w:left="0" w:right="0" w:hanging="0"/>
              <w:jc w:val="left"/>
              <w:rPr/>
            </w:pPr>
            <w:r>
              <w:rPr/>
              <w:t> </w:t>
            </w:r>
          </w:p>
        </w:tc>
      </w:tr>
      <w:tr>
        <w:trPr/>
        <w:tc>
          <w:tcPr>
            <w:tcW w:w="980" w:type="dxa"/>
            <w:tcBorders/>
            <w:shd w:fill="auto" w:val="clear"/>
            <w:tcMar>
              <w:bottom w:w="0" w:type="dxa"/>
            </w:tcM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4.1</w:t>
            </w:r>
          </w:p>
        </w:tc>
        <w:tc>
          <w:tcPr>
            <w:tcW w:w="60" w:type="dxa"/>
            <w:tcBorders/>
            <w:shd w:fill="auto" w:val="clear"/>
            <w:tcMar>
              <w:bottom w:w="0" w:type="dxa"/>
            </w:tcMar>
            <w:vAlign w:val="center"/>
          </w:tcPr>
          <w:p>
            <w:pPr>
              <w:pStyle w:val="TableContents"/>
              <w:spacing w:before="0" w:after="0"/>
              <w:ind w:left="0" w:right="0" w:hanging="0"/>
              <w:jc w:val="left"/>
              <w:rPr/>
            </w:pPr>
            <w:r>
              <w:rPr/>
              <w:t> </w:t>
            </w:r>
          </w:p>
        </w:tc>
        <w:tc>
          <w:tcPr>
            <w:tcW w:w="9165" w:type="dxa"/>
            <w:tcBorders/>
            <w:shd w:fill="auto" w:val="clear"/>
            <w:tcMar>
              <w:bottom w:w="0" w:type="dxa"/>
            </w:tcMar>
            <w:vAlign w:val="center"/>
          </w:tcPr>
          <w:p>
            <w:pPr>
              <w:pStyle w:val="TableContents"/>
              <w:spacing w:before="0" w:after="0"/>
              <w:ind w:left="0" w:right="0" w:hanging="0"/>
              <w:jc w:val="left"/>
              <w:rPr/>
            </w:pPr>
            <w:hyperlink r:id="rId5">
              <w:r>
                <w:rPr>
                  <w:rStyle w:val="InternetLink"/>
                  <w:rFonts w:ascii="Times New Roman;Times;serif" w:hAnsi="Times New Roman;Times;serif"/>
                  <w:sz w:val="20"/>
                  <w:u w:val="single"/>
                </w:rPr>
                <w:t>Specimen Stock Certificate (incorporated by reference from Exhibit 4.1 to Amendment No. 3 to our Registration Statement on Form S-1, filed on October 1, 2004, Registration No. 333-118142)</w:t>
              </w:r>
            </w:hyperlink>
          </w:p>
        </w:tc>
      </w:tr>
      <w:tr>
        <w:trPr/>
        <w:tc>
          <w:tcPr>
            <w:tcW w:w="98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9165" w:type="dxa"/>
            <w:tcBorders/>
            <w:shd w:fill="auto" w:val="clear"/>
            <w:tcMar>
              <w:bottom w:w="0" w:type="dxa"/>
            </w:tcMar>
            <w:vAlign w:val="center"/>
          </w:tcPr>
          <w:p>
            <w:pPr>
              <w:pStyle w:val="TableContents"/>
              <w:spacing w:before="0" w:after="283"/>
              <w:rPr/>
            </w:pPr>
            <w:r>
              <w:rPr/>
              <w:t> </w:t>
            </w:r>
          </w:p>
        </w:tc>
      </w:tr>
      <w:tr>
        <w:trPr/>
        <w:tc>
          <w:tcPr>
            <w:tcW w:w="980" w:type="dxa"/>
            <w:tcBorders/>
            <w:shd w:fill="auto" w:val="clear"/>
            <w:tcMar>
              <w:bottom w:w="0" w:type="dxa"/>
            </w:tcM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60" w:type="dxa"/>
            <w:tcBorders/>
            <w:shd w:fill="auto" w:val="clear"/>
            <w:tcMar>
              <w:bottom w:w="0" w:type="dxa"/>
            </w:tcMar>
            <w:vAlign w:val="center"/>
          </w:tcPr>
          <w:p>
            <w:pPr>
              <w:pStyle w:val="TableContents"/>
              <w:spacing w:before="0" w:after="0"/>
              <w:ind w:left="0" w:right="0" w:hanging="0"/>
              <w:jc w:val="left"/>
              <w:rPr/>
            </w:pPr>
            <w:r>
              <w:rPr/>
              <w:t> </w:t>
            </w:r>
          </w:p>
        </w:tc>
        <w:tc>
          <w:tcPr>
            <w:tcW w:w="9165" w:type="dxa"/>
            <w:tcBorders/>
            <w:shd w:fill="auto" w:val="clear"/>
            <w:tcMar>
              <w:bottom w:w="0" w:type="dxa"/>
            </w:tcMar>
            <w:vAlign w:val="center"/>
          </w:tcPr>
          <w:p>
            <w:pPr>
              <w:pStyle w:val="TableContents"/>
              <w:spacing w:before="0" w:after="0"/>
              <w:ind w:left="0" w:right="0" w:hanging="0"/>
              <w:jc w:val="left"/>
              <w:rPr/>
            </w:pPr>
            <w:hyperlink w:anchor="ex_262835.htm">
              <w:r>
                <w:rPr>
                  <w:rStyle w:val="InternetLink"/>
                  <w:rFonts w:ascii="Times New Roman;Times;serif" w:hAnsi="Times New Roman;Times;serif"/>
                  <w:sz w:val="20"/>
                  <w:u w:val="single"/>
                </w:rPr>
                <w:t>Rule 13a-14(a)/15d-14(a) certification (pursuant to Section 302 of the Sarbanes-Oxley Act of 2002, executed by the President and Chief Executive Officer)</w:t>
              </w:r>
            </w:hyperlink>
          </w:p>
        </w:tc>
      </w:tr>
      <w:tr>
        <w:trPr/>
        <w:tc>
          <w:tcPr>
            <w:tcW w:w="980" w:type="dxa"/>
            <w:tcBorders/>
            <w:shd w:fill="auto" w:val="clear"/>
            <w:tcMar>
              <w:bottom w:w="0" w:type="dxa"/>
            </w:tcMar>
            <w:vAlign w:val="center"/>
          </w:tcPr>
          <w:p>
            <w:pPr>
              <w:pStyle w:val="TableContents"/>
              <w:spacing w:before="0" w:after="0"/>
              <w:ind w:left="0" w:right="0" w:hanging="0"/>
              <w:jc w:val="left"/>
              <w:rPr/>
            </w:pPr>
            <w:r>
              <w:rPr/>
              <w:t> </w:t>
            </w:r>
          </w:p>
        </w:tc>
        <w:tc>
          <w:tcPr>
            <w:tcW w:w="60" w:type="dxa"/>
            <w:tcBorders/>
            <w:shd w:fill="auto" w:val="clear"/>
            <w:tcMar>
              <w:bottom w:w="0" w:type="dxa"/>
            </w:tcMar>
            <w:vAlign w:val="center"/>
          </w:tcPr>
          <w:p>
            <w:pPr>
              <w:pStyle w:val="TableContents"/>
              <w:spacing w:before="0" w:after="0"/>
              <w:ind w:left="0" w:right="0" w:hanging="0"/>
              <w:jc w:val="left"/>
              <w:rPr/>
            </w:pPr>
            <w:r>
              <w:rPr/>
              <w:t> </w:t>
            </w:r>
          </w:p>
        </w:tc>
        <w:tc>
          <w:tcPr>
            <w:tcW w:w="9165" w:type="dxa"/>
            <w:tcBorders/>
            <w:shd w:fill="auto" w:val="clear"/>
            <w:tcMar>
              <w:bottom w:w="0" w:type="dxa"/>
            </w:tcMar>
            <w:vAlign w:val="center"/>
          </w:tcPr>
          <w:p>
            <w:pPr>
              <w:pStyle w:val="TableContents"/>
              <w:spacing w:before="0" w:after="0"/>
              <w:ind w:left="0" w:right="0" w:hanging="0"/>
              <w:jc w:val="left"/>
              <w:rPr/>
            </w:pPr>
            <w:r>
              <w:rPr/>
              <w:t> </w:t>
            </w:r>
          </w:p>
        </w:tc>
      </w:tr>
      <w:tr>
        <w:trPr/>
        <w:tc>
          <w:tcPr>
            <w:tcW w:w="980" w:type="dxa"/>
            <w:tcBorders/>
            <w:shd w:fill="auto" w:val="clear"/>
            <w:tcMar>
              <w:bottom w:w="0" w:type="dxa"/>
            </w:tcM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60" w:type="dxa"/>
            <w:tcBorders/>
            <w:shd w:fill="auto" w:val="clear"/>
            <w:tcMar>
              <w:bottom w:w="0" w:type="dxa"/>
            </w:tcMar>
            <w:vAlign w:val="center"/>
          </w:tcPr>
          <w:p>
            <w:pPr>
              <w:pStyle w:val="TableContents"/>
              <w:spacing w:before="0" w:after="0"/>
              <w:ind w:left="0" w:right="0" w:hanging="0"/>
              <w:jc w:val="left"/>
              <w:rPr/>
            </w:pPr>
            <w:r>
              <w:rPr/>
              <w:t> </w:t>
            </w:r>
          </w:p>
        </w:tc>
        <w:tc>
          <w:tcPr>
            <w:tcW w:w="9165" w:type="dxa"/>
            <w:tcBorders/>
            <w:shd w:fill="auto" w:val="clear"/>
            <w:tcMar>
              <w:bottom w:w="0" w:type="dxa"/>
            </w:tcMar>
            <w:vAlign w:val="center"/>
          </w:tcPr>
          <w:p>
            <w:pPr>
              <w:pStyle w:val="TableContents"/>
              <w:spacing w:before="0" w:after="0"/>
              <w:ind w:left="0" w:right="0" w:hanging="0"/>
              <w:jc w:val="left"/>
              <w:rPr/>
            </w:pPr>
            <w:hyperlink w:anchor="ex_262836.htm">
              <w:r>
                <w:rPr>
                  <w:rStyle w:val="InternetLink"/>
                  <w:rFonts w:ascii="Times New Roman;Times;serif" w:hAnsi="Times New Roman;Times;serif"/>
                  <w:sz w:val="20"/>
                  <w:u w:val="single"/>
                </w:rPr>
                <w:t>Rule 13a-14(a)/15d-14(a) certification (pursuant to Section 302 of the Sarbanes-Oxley Act of 2002, executed by the Chief Financial Officer)</w:t>
              </w:r>
            </w:hyperlink>
          </w:p>
        </w:tc>
      </w:tr>
      <w:tr>
        <w:trPr/>
        <w:tc>
          <w:tcPr>
            <w:tcW w:w="980" w:type="dxa"/>
            <w:tcBorders/>
            <w:shd w:fill="auto" w:val="clear"/>
            <w:tcMar>
              <w:bottom w:w="0" w:type="dxa"/>
            </w:tcMar>
            <w:vAlign w:val="center"/>
          </w:tcPr>
          <w:p>
            <w:pPr>
              <w:pStyle w:val="TableContents"/>
              <w:spacing w:before="0" w:after="0"/>
              <w:ind w:left="0" w:right="0" w:hanging="0"/>
              <w:jc w:val="left"/>
              <w:rPr/>
            </w:pPr>
            <w:r>
              <w:rPr/>
              <w:t> </w:t>
            </w:r>
          </w:p>
        </w:tc>
        <w:tc>
          <w:tcPr>
            <w:tcW w:w="60" w:type="dxa"/>
            <w:tcBorders/>
            <w:shd w:fill="auto" w:val="clear"/>
            <w:tcMar>
              <w:bottom w:w="0" w:type="dxa"/>
            </w:tcMar>
            <w:vAlign w:val="center"/>
          </w:tcPr>
          <w:p>
            <w:pPr>
              <w:pStyle w:val="TableContents"/>
              <w:spacing w:before="0" w:after="0"/>
              <w:ind w:left="0" w:right="0" w:hanging="0"/>
              <w:jc w:val="left"/>
              <w:rPr/>
            </w:pPr>
            <w:r>
              <w:rPr/>
              <w:t> </w:t>
            </w:r>
          </w:p>
        </w:tc>
        <w:tc>
          <w:tcPr>
            <w:tcW w:w="9165" w:type="dxa"/>
            <w:tcBorders/>
            <w:shd w:fill="auto" w:val="clear"/>
            <w:tcMar>
              <w:bottom w:w="0" w:type="dxa"/>
            </w:tcMar>
            <w:vAlign w:val="center"/>
          </w:tcPr>
          <w:p>
            <w:pPr>
              <w:pStyle w:val="TableContents"/>
              <w:spacing w:before="0" w:after="0"/>
              <w:ind w:left="0" w:right="0" w:hanging="0"/>
              <w:jc w:val="left"/>
              <w:rPr/>
            </w:pPr>
            <w:r>
              <w:rPr/>
              <w:t> </w:t>
            </w:r>
          </w:p>
        </w:tc>
      </w:tr>
      <w:tr>
        <w:trPr/>
        <w:tc>
          <w:tcPr>
            <w:tcW w:w="980" w:type="dxa"/>
            <w:tcBorders/>
            <w:shd w:fill="auto" w:val="clear"/>
            <w:tcMar>
              <w:bottom w:w="0" w:type="dxa"/>
            </w:tcM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60" w:type="dxa"/>
            <w:tcBorders/>
            <w:shd w:fill="auto" w:val="clear"/>
            <w:tcMar>
              <w:bottom w:w="0" w:type="dxa"/>
            </w:tcMar>
            <w:vAlign w:val="center"/>
          </w:tcPr>
          <w:p>
            <w:pPr>
              <w:pStyle w:val="TableContents"/>
              <w:spacing w:before="0" w:after="0"/>
              <w:ind w:left="0" w:right="0" w:hanging="0"/>
              <w:jc w:val="left"/>
              <w:rPr/>
            </w:pPr>
            <w:r>
              <w:rPr/>
              <w:t> </w:t>
            </w:r>
          </w:p>
        </w:tc>
        <w:tc>
          <w:tcPr>
            <w:tcW w:w="9165" w:type="dxa"/>
            <w:tcBorders/>
            <w:shd w:fill="auto" w:val="clear"/>
            <w:tcMar>
              <w:bottom w:w="0" w:type="dxa"/>
            </w:tcMar>
            <w:vAlign w:val="center"/>
          </w:tcPr>
          <w:p>
            <w:pPr>
              <w:pStyle w:val="TableContents"/>
              <w:spacing w:before="0" w:after="0"/>
              <w:ind w:left="0" w:right="0" w:hanging="0"/>
              <w:jc w:val="left"/>
              <w:rPr/>
            </w:pPr>
            <w:hyperlink w:anchor="ex_262837.htm">
              <w:r>
                <w:rPr>
                  <w:rStyle w:val="InternetLink"/>
                  <w:rFonts w:ascii="Times New Roman;Times;serif" w:hAnsi="Times New Roman;Times;serif"/>
                  <w:sz w:val="20"/>
                  <w:u w:val="single"/>
                </w:rPr>
                <w:t>Section 1350 Certification (pursuant to Section 906 of the Sarbanes-Oxley Act of 2002, executed by the President and Chief Executive Officer)</w:t>
              </w:r>
            </w:hyperlink>
          </w:p>
        </w:tc>
      </w:tr>
      <w:tr>
        <w:trPr/>
        <w:tc>
          <w:tcPr>
            <w:tcW w:w="98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9165" w:type="dxa"/>
            <w:tcBorders/>
            <w:shd w:fill="auto" w:val="clear"/>
            <w:tcMar>
              <w:bottom w:w="0" w:type="dxa"/>
            </w:tcMar>
            <w:vAlign w:val="center"/>
          </w:tcPr>
          <w:p>
            <w:pPr>
              <w:pStyle w:val="TableContents"/>
              <w:spacing w:before="0" w:after="283"/>
              <w:rPr/>
            </w:pPr>
            <w:r>
              <w:rPr/>
              <w:t> </w:t>
            </w:r>
          </w:p>
        </w:tc>
      </w:tr>
    </w:tbl>
    <w:tbl>
      <w:tblPr>
        <w:tblW w:w="10205" w:type="dxa"/>
        <w:jc w:val="left"/>
        <w:tblInd w:w="0" w:type="dxa"/>
        <w:tblCellMar>
          <w:top w:w="0" w:type="dxa"/>
          <w:left w:w="0" w:type="dxa"/>
          <w:bottom w:w="0" w:type="dxa"/>
          <w:right w:w="0" w:type="dxa"/>
        </w:tblCellMar>
      </w:tblPr>
      <w:tblGrid>
        <w:gridCol w:w="626"/>
        <w:gridCol w:w="60"/>
        <w:gridCol w:w="9519"/>
      </w:tblGrid>
      <w:tr>
        <w:trPr/>
        <w:tc>
          <w:tcPr>
            <w:tcW w:w="626"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32.2</w:t>
            </w:r>
          </w:p>
        </w:tc>
        <w:tc>
          <w:tcPr>
            <w:tcW w:w="60" w:type="dxa"/>
            <w:tcBorders/>
            <w:shd w:fill="auto" w:val="clear"/>
            <w:vAlign w:val="center"/>
          </w:tcPr>
          <w:p>
            <w:pPr>
              <w:pStyle w:val="TableContents"/>
              <w:spacing w:before="0" w:after="0"/>
              <w:ind w:left="0" w:right="0" w:hanging="0"/>
              <w:jc w:val="left"/>
              <w:rPr/>
            </w:pPr>
            <w:r>
              <w:rPr/>
              <w:t> </w:t>
            </w:r>
          </w:p>
        </w:tc>
        <w:tc>
          <w:tcPr>
            <w:tcW w:w="9519" w:type="dxa"/>
            <w:tcBorders/>
            <w:shd w:fill="auto" w:val="clear"/>
            <w:vAlign w:val="center"/>
          </w:tcPr>
          <w:p>
            <w:pPr>
              <w:pStyle w:val="TableContents"/>
              <w:spacing w:before="0" w:after="0"/>
              <w:ind w:left="0" w:right="0" w:hanging="0"/>
              <w:jc w:val="left"/>
              <w:rPr/>
            </w:pPr>
            <w:hyperlink w:anchor="ex_262838.htm">
              <w:r>
                <w:rPr>
                  <w:rStyle w:val="InternetLink"/>
                  <w:rFonts w:ascii="Times New Roman;Times;serif" w:hAnsi="Times New Roman;Times;serif"/>
                  <w:sz w:val="20"/>
                  <w:u w:val="single"/>
                </w:rPr>
                <w:t>Section 1350 Certification (pursuant to Section 906 of the Sarbanes-Oxley Act of 2002, executed by the Chief Financial Officer)</w:t>
              </w:r>
            </w:hyperlink>
          </w:p>
        </w:tc>
      </w:tr>
      <w:tr>
        <w:trPr/>
        <w:tc>
          <w:tcPr>
            <w:tcW w:w="626" w:type="dxa"/>
            <w:tcBorders/>
            <w:shd w:fill="auto" w:val="clear"/>
            <w:vAlign w:val="center"/>
          </w:tcPr>
          <w:p>
            <w:pPr>
              <w:pStyle w:val="TableContents"/>
              <w:spacing w:before="0" w:after="0"/>
              <w:ind w:left="0" w:right="0" w:hanging="0"/>
              <w:jc w:val="left"/>
              <w:rPr/>
            </w:pPr>
            <w:r>
              <w:rPr/>
              <w:t> </w:t>
            </w:r>
          </w:p>
        </w:tc>
        <w:tc>
          <w:tcPr>
            <w:tcW w:w="60" w:type="dxa"/>
            <w:tcBorders/>
            <w:shd w:fill="auto" w:val="clear"/>
            <w:vAlign w:val="center"/>
          </w:tcPr>
          <w:p>
            <w:pPr>
              <w:pStyle w:val="TableContents"/>
              <w:spacing w:before="0" w:after="0"/>
              <w:ind w:left="0" w:right="0" w:hanging="0"/>
              <w:jc w:val="left"/>
              <w:rPr/>
            </w:pPr>
            <w:r>
              <w:rPr/>
              <w:t> </w:t>
            </w:r>
          </w:p>
        </w:tc>
        <w:tc>
          <w:tcPr>
            <w:tcW w:w="9519" w:type="dxa"/>
            <w:tcBorders/>
            <w:shd w:fill="auto" w:val="clear"/>
            <w:vAlign w:val="center"/>
          </w:tcPr>
          <w:p>
            <w:pPr>
              <w:pStyle w:val="TableContents"/>
              <w:spacing w:before="0" w:after="0"/>
              <w:ind w:left="0" w:right="0" w:hanging="0"/>
              <w:jc w:val="left"/>
              <w:rPr/>
            </w:pPr>
            <w:r>
              <w:rPr/>
              <w:t> </w:t>
            </w:r>
          </w:p>
        </w:tc>
      </w:tr>
      <w:tr>
        <w:trPr/>
        <w:tc>
          <w:tcPr>
            <w:tcW w:w="626"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60" w:type="dxa"/>
            <w:tcBorders/>
            <w:shd w:fill="auto" w:val="clear"/>
            <w:vAlign w:val="center"/>
          </w:tcPr>
          <w:p>
            <w:pPr>
              <w:pStyle w:val="TableContents"/>
              <w:spacing w:before="0" w:after="0"/>
              <w:ind w:left="0" w:right="0" w:hanging="0"/>
              <w:jc w:val="left"/>
              <w:rPr/>
            </w:pPr>
            <w:r>
              <w:rPr/>
              <w:t> </w:t>
            </w:r>
          </w:p>
        </w:tc>
        <w:tc>
          <w:tcPr>
            <w:tcW w:w="9519"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 - the instance document does not appear in the Interactive Data File because its XBRL tags are embedded within the Inline XBRL document.</w:t>
            </w:r>
          </w:p>
        </w:tc>
      </w:tr>
      <w:tr>
        <w:trPr/>
        <w:tc>
          <w:tcPr>
            <w:tcW w:w="626" w:type="dxa"/>
            <w:tcBorders/>
            <w:shd w:fill="auto" w:val="clear"/>
            <w:vAlign w:val="center"/>
          </w:tcPr>
          <w:p>
            <w:pPr>
              <w:pStyle w:val="TableContents"/>
              <w:spacing w:before="0" w:after="0"/>
              <w:ind w:left="0" w:right="0" w:hanging="0"/>
              <w:jc w:val="left"/>
              <w:rPr/>
            </w:pPr>
            <w:r>
              <w:rPr/>
              <w:t> </w:t>
            </w:r>
          </w:p>
        </w:tc>
        <w:tc>
          <w:tcPr>
            <w:tcW w:w="60" w:type="dxa"/>
            <w:tcBorders/>
            <w:shd w:fill="auto" w:val="clear"/>
            <w:vAlign w:val="center"/>
          </w:tcPr>
          <w:p>
            <w:pPr>
              <w:pStyle w:val="TableContents"/>
              <w:spacing w:before="0" w:after="0"/>
              <w:ind w:left="0" w:right="0" w:hanging="0"/>
              <w:jc w:val="left"/>
              <w:rPr/>
            </w:pPr>
            <w:r>
              <w:rPr/>
              <w:t> </w:t>
            </w:r>
          </w:p>
        </w:tc>
        <w:tc>
          <w:tcPr>
            <w:tcW w:w="9519" w:type="dxa"/>
            <w:tcBorders/>
            <w:shd w:fill="auto" w:val="clear"/>
            <w:vAlign w:val="center"/>
          </w:tcPr>
          <w:p>
            <w:pPr>
              <w:pStyle w:val="TableContents"/>
              <w:spacing w:before="0" w:after="0"/>
              <w:ind w:left="0" w:right="0" w:hanging="0"/>
              <w:jc w:val="left"/>
              <w:rPr/>
            </w:pPr>
            <w:r>
              <w:rPr/>
              <w:t> </w:t>
            </w:r>
          </w:p>
        </w:tc>
      </w:tr>
      <w:tr>
        <w:trPr/>
        <w:tc>
          <w:tcPr>
            <w:tcW w:w="626"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60" w:type="dxa"/>
            <w:tcBorders/>
            <w:shd w:fill="auto" w:val="clear"/>
            <w:vAlign w:val="center"/>
          </w:tcPr>
          <w:p>
            <w:pPr>
              <w:pStyle w:val="TableContents"/>
              <w:spacing w:before="0" w:after="0"/>
              <w:ind w:left="0" w:right="0" w:hanging="0"/>
              <w:jc w:val="left"/>
              <w:rPr/>
            </w:pPr>
            <w:r>
              <w:rPr/>
              <w:t> </w:t>
            </w:r>
          </w:p>
        </w:tc>
        <w:tc>
          <w:tcPr>
            <w:tcW w:w="9519"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r>
    </w:tbl>
    <w:tbl>
      <w:tblPr>
        <w:tblW w:w="9415" w:type="dxa"/>
        <w:jc w:val="left"/>
        <w:tblInd w:w="0" w:type="dxa"/>
        <w:tblCellMar>
          <w:top w:w="0" w:type="dxa"/>
          <w:left w:w="0" w:type="dxa"/>
          <w:bottom w:w="0" w:type="dxa"/>
          <w:right w:w="0" w:type="dxa"/>
        </w:tblCellMar>
      </w:tblPr>
      <w:tblGrid>
        <w:gridCol w:w="770"/>
        <w:gridCol w:w="60"/>
        <w:gridCol w:w="8585"/>
      </w:tblGrid>
      <w:tr>
        <w:trPr/>
        <w:tc>
          <w:tcPr>
            <w:tcW w:w="770" w:type="dxa"/>
            <w:tcBorders/>
            <w:shd w:fill="auto" w:val="clear"/>
            <w:vAlign w:val="center"/>
          </w:tcPr>
          <w:p>
            <w:pPr>
              <w:pStyle w:val="TableContents"/>
              <w:spacing w:before="0" w:after="0"/>
              <w:ind w:left="0" w:right="0" w:hanging="0"/>
              <w:jc w:val="left"/>
              <w:rPr/>
            </w:pPr>
            <w:r>
              <w:rPr/>
              <w:t> </w:t>
            </w:r>
          </w:p>
        </w:tc>
        <w:tc>
          <w:tcPr>
            <w:tcW w:w="60" w:type="dxa"/>
            <w:tcBorders/>
            <w:shd w:fill="auto" w:val="clear"/>
            <w:vAlign w:val="center"/>
          </w:tcPr>
          <w:p>
            <w:pPr>
              <w:pStyle w:val="TableContents"/>
              <w:spacing w:before="0" w:after="0"/>
              <w:ind w:left="0" w:right="0" w:hanging="0"/>
              <w:jc w:val="left"/>
              <w:rPr/>
            </w:pPr>
            <w:r>
              <w:rPr/>
              <w:t> </w:t>
            </w:r>
          </w:p>
        </w:tc>
        <w:tc>
          <w:tcPr>
            <w:tcW w:w="8585" w:type="dxa"/>
            <w:tcBorders/>
            <w:shd w:fill="auto" w:val="clear"/>
            <w:vAlign w:val="center"/>
          </w:tcPr>
          <w:p>
            <w:pPr>
              <w:pStyle w:val="TableContents"/>
              <w:spacing w:before="0" w:after="0"/>
              <w:ind w:left="0" w:right="0" w:hanging="0"/>
              <w:jc w:val="left"/>
              <w:rPr/>
            </w:pPr>
            <w:r>
              <w:rPr/>
              <w:t> </w:t>
            </w:r>
          </w:p>
        </w:tc>
      </w:tr>
      <w:tr>
        <w:trPr/>
        <w:tc>
          <w:tcPr>
            <w:tcW w:w="770"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60" w:type="dxa"/>
            <w:tcBorders/>
            <w:shd w:fill="auto" w:val="clear"/>
            <w:vAlign w:val="center"/>
          </w:tcPr>
          <w:p>
            <w:pPr>
              <w:pStyle w:val="TableContents"/>
              <w:spacing w:before="0" w:after="0"/>
              <w:ind w:left="0" w:right="0" w:hanging="0"/>
              <w:jc w:val="left"/>
              <w:rPr/>
            </w:pPr>
            <w:r>
              <w:rPr/>
              <w:t> </w:t>
            </w:r>
          </w:p>
        </w:tc>
        <w:tc>
          <w:tcPr>
            <w:tcW w:w="8585"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Inline XBRL Extension Calculation Linkbase Document</w:t>
            </w:r>
          </w:p>
        </w:tc>
      </w:tr>
      <w:tr>
        <w:trPr/>
        <w:tc>
          <w:tcPr>
            <w:tcW w:w="770" w:type="dxa"/>
            <w:tcBorders/>
            <w:shd w:fill="auto" w:val="clear"/>
            <w:vAlign w:val="center"/>
          </w:tcPr>
          <w:p>
            <w:pPr>
              <w:pStyle w:val="TableContents"/>
              <w:spacing w:before="0" w:after="0"/>
              <w:ind w:left="0" w:right="0" w:hanging="0"/>
              <w:jc w:val="left"/>
              <w:rPr/>
            </w:pPr>
            <w:r>
              <w:rPr/>
              <w:t> </w:t>
            </w:r>
          </w:p>
        </w:tc>
        <w:tc>
          <w:tcPr>
            <w:tcW w:w="60" w:type="dxa"/>
            <w:tcBorders/>
            <w:shd w:fill="auto" w:val="clear"/>
            <w:vAlign w:val="center"/>
          </w:tcPr>
          <w:p>
            <w:pPr>
              <w:pStyle w:val="TableContents"/>
              <w:spacing w:before="0" w:after="0"/>
              <w:ind w:left="0" w:right="0" w:hanging="0"/>
              <w:jc w:val="left"/>
              <w:rPr/>
            </w:pPr>
            <w:r>
              <w:rPr/>
              <w:t> </w:t>
            </w:r>
          </w:p>
        </w:tc>
        <w:tc>
          <w:tcPr>
            <w:tcW w:w="8585" w:type="dxa"/>
            <w:tcBorders/>
            <w:shd w:fill="auto" w:val="clear"/>
            <w:vAlign w:val="center"/>
          </w:tcPr>
          <w:p>
            <w:pPr>
              <w:pStyle w:val="TableContents"/>
              <w:spacing w:before="0" w:after="0"/>
              <w:ind w:left="0" w:right="0" w:hanging="0"/>
              <w:jc w:val="left"/>
              <w:rPr/>
            </w:pPr>
            <w:r>
              <w:rPr/>
              <w:t> </w:t>
            </w:r>
          </w:p>
        </w:tc>
      </w:tr>
      <w:tr>
        <w:trPr/>
        <w:tc>
          <w:tcPr>
            <w:tcW w:w="770"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60" w:type="dxa"/>
            <w:tcBorders/>
            <w:shd w:fill="auto" w:val="clear"/>
            <w:vAlign w:val="center"/>
          </w:tcPr>
          <w:p>
            <w:pPr>
              <w:pStyle w:val="TableContents"/>
              <w:spacing w:before="0" w:after="0"/>
              <w:ind w:left="0" w:right="0" w:hanging="0"/>
              <w:jc w:val="left"/>
              <w:rPr/>
            </w:pPr>
            <w:r>
              <w:rPr/>
              <w:t> </w:t>
            </w:r>
          </w:p>
        </w:tc>
        <w:tc>
          <w:tcPr>
            <w:tcW w:w="8585"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Inline XBRL Extension Definition Linkbase Document</w:t>
            </w:r>
          </w:p>
        </w:tc>
      </w:tr>
      <w:tr>
        <w:trPr/>
        <w:tc>
          <w:tcPr>
            <w:tcW w:w="770" w:type="dxa"/>
            <w:tcBorders/>
            <w:shd w:fill="auto" w:val="clear"/>
            <w:vAlign w:val="center"/>
          </w:tcPr>
          <w:p>
            <w:pPr>
              <w:pStyle w:val="TableContents"/>
              <w:spacing w:before="0" w:after="0"/>
              <w:ind w:left="0" w:right="0" w:hanging="0"/>
              <w:jc w:val="left"/>
              <w:rPr/>
            </w:pPr>
            <w:r>
              <w:rPr/>
              <w:t> </w:t>
            </w:r>
          </w:p>
        </w:tc>
        <w:tc>
          <w:tcPr>
            <w:tcW w:w="60" w:type="dxa"/>
            <w:tcBorders/>
            <w:shd w:fill="auto" w:val="clear"/>
            <w:vAlign w:val="center"/>
          </w:tcPr>
          <w:p>
            <w:pPr>
              <w:pStyle w:val="TableContents"/>
              <w:spacing w:before="0" w:after="0"/>
              <w:ind w:left="0" w:right="0" w:hanging="0"/>
              <w:jc w:val="left"/>
              <w:rPr/>
            </w:pPr>
            <w:r>
              <w:rPr/>
              <w:t> </w:t>
            </w:r>
          </w:p>
        </w:tc>
        <w:tc>
          <w:tcPr>
            <w:tcW w:w="8585" w:type="dxa"/>
            <w:tcBorders/>
            <w:shd w:fill="auto" w:val="clear"/>
            <w:vAlign w:val="center"/>
          </w:tcPr>
          <w:p>
            <w:pPr>
              <w:pStyle w:val="TableContents"/>
              <w:spacing w:before="0" w:after="0"/>
              <w:ind w:left="0" w:right="0" w:hanging="0"/>
              <w:jc w:val="left"/>
              <w:rPr/>
            </w:pPr>
            <w:r>
              <w:rPr/>
              <w:t> </w:t>
            </w:r>
          </w:p>
        </w:tc>
      </w:tr>
      <w:tr>
        <w:trPr/>
        <w:tc>
          <w:tcPr>
            <w:tcW w:w="770"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60" w:type="dxa"/>
            <w:tcBorders/>
            <w:shd w:fill="auto" w:val="clear"/>
            <w:vAlign w:val="center"/>
          </w:tcPr>
          <w:p>
            <w:pPr>
              <w:pStyle w:val="TableContents"/>
              <w:spacing w:before="0" w:after="0"/>
              <w:ind w:left="0" w:right="0" w:hanging="0"/>
              <w:jc w:val="left"/>
              <w:rPr/>
            </w:pPr>
            <w:r>
              <w:rPr/>
              <w:t> </w:t>
            </w:r>
          </w:p>
        </w:tc>
        <w:tc>
          <w:tcPr>
            <w:tcW w:w="8585"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Inline XBRL Extension Label Linkbase Document</w:t>
            </w:r>
          </w:p>
        </w:tc>
      </w:tr>
      <w:tr>
        <w:trPr/>
        <w:tc>
          <w:tcPr>
            <w:tcW w:w="770" w:type="dxa"/>
            <w:tcBorders/>
            <w:shd w:fill="auto" w:val="clear"/>
            <w:vAlign w:val="center"/>
          </w:tcPr>
          <w:p>
            <w:pPr>
              <w:pStyle w:val="TableContents"/>
              <w:spacing w:before="0" w:after="0"/>
              <w:ind w:left="0" w:right="0" w:hanging="0"/>
              <w:jc w:val="left"/>
              <w:rPr/>
            </w:pPr>
            <w:r>
              <w:rPr/>
              <w:t> </w:t>
            </w:r>
          </w:p>
        </w:tc>
        <w:tc>
          <w:tcPr>
            <w:tcW w:w="60" w:type="dxa"/>
            <w:tcBorders/>
            <w:shd w:fill="auto" w:val="clear"/>
            <w:vAlign w:val="center"/>
          </w:tcPr>
          <w:p>
            <w:pPr>
              <w:pStyle w:val="TableContents"/>
              <w:spacing w:before="0" w:after="0"/>
              <w:ind w:left="0" w:right="0" w:hanging="0"/>
              <w:jc w:val="left"/>
              <w:rPr/>
            </w:pPr>
            <w:r>
              <w:rPr/>
              <w:t> </w:t>
            </w:r>
          </w:p>
        </w:tc>
        <w:tc>
          <w:tcPr>
            <w:tcW w:w="8585" w:type="dxa"/>
            <w:tcBorders/>
            <w:shd w:fill="auto" w:val="clear"/>
            <w:vAlign w:val="center"/>
          </w:tcPr>
          <w:p>
            <w:pPr>
              <w:pStyle w:val="TableContents"/>
              <w:spacing w:before="0" w:after="0"/>
              <w:ind w:left="0" w:right="0" w:hanging="0"/>
              <w:jc w:val="left"/>
              <w:rPr/>
            </w:pPr>
            <w:r>
              <w:rPr/>
              <w:t> </w:t>
            </w:r>
          </w:p>
        </w:tc>
      </w:tr>
      <w:tr>
        <w:trPr/>
        <w:tc>
          <w:tcPr>
            <w:tcW w:w="770"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60" w:type="dxa"/>
            <w:tcBorders/>
            <w:shd w:fill="auto" w:val="clear"/>
            <w:vAlign w:val="center"/>
          </w:tcPr>
          <w:p>
            <w:pPr>
              <w:pStyle w:val="TableContents"/>
              <w:spacing w:before="0" w:after="0"/>
              <w:ind w:left="0" w:right="0" w:hanging="0"/>
              <w:jc w:val="left"/>
              <w:rPr/>
            </w:pPr>
            <w:r>
              <w:rPr/>
              <w:t> </w:t>
            </w:r>
          </w:p>
        </w:tc>
        <w:tc>
          <w:tcPr>
            <w:tcW w:w="8585"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Inline XBRL Extension Presentation Linkbase Document</w:t>
            </w:r>
          </w:p>
        </w:tc>
      </w:tr>
      <w:tr>
        <w:trPr/>
        <w:tc>
          <w:tcPr>
            <w:tcW w:w="77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585" w:type="dxa"/>
            <w:tcBorders/>
            <w:shd w:fill="auto" w:val="clear"/>
            <w:vAlign w:val="center"/>
          </w:tcPr>
          <w:p>
            <w:pPr>
              <w:pStyle w:val="TableContents"/>
              <w:spacing w:before="0" w:after="283"/>
              <w:rPr/>
            </w:pPr>
            <w:r>
              <w:rPr/>
              <w:t> </w:t>
            </w:r>
          </w:p>
        </w:tc>
      </w:tr>
      <w:tr>
        <w:trPr/>
        <w:tc>
          <w:tcPr>
            <w:tcW w:w="770" w:type="dxa"/>
            <w:tcBorders/>
            <w:shd w:fill="auto" w:val="clear"/>
            <w:vAlign w:val="center"/>
          </w:tcPr>
          <w:p>
            <w:pPr>
              <w:pStyle w:val="TableContents"/>
              <w:spacing w:before="0" w:after="283"/>
              <w:rPr/>
            </w:pPr>
            <w:r>
              <w:rPr/>
              <w:t>104</w:t>
            </w:r>
          </w:p>
        </w:tc>
        <w:tc>
          <w:tcPr>
            <w:tcW w:w="60" w:type="dxa"/>
            <w:tcBorders/>
            <w:shd w:fill="auto" w:val="clear"/>
            <w:vAlign w:val="center"/>
          </w:tcPr>
          <w:p>
            <w:pPr>
              <w:pStyle w:val="TableContents"/>
              <w:spacing w:before="0" w:after="283"/>
              <w:rPr/>
            </w:pPr>
            <w:r>
              <w:rPr/>
              <w:t> </w:t>
            </w:r>
          </w:p>
        </w:tc>
        <w:tc>
          <w:tcPr>
            <w:tcW w:w="8585" w:type="dxa"/>
            <w:tcBorders/>
            <w:shd w:fill="auto" w:val="clear"/>
            <w:vAlign w:val="center"/>
          </w:tcPr>
          <w:p>
            <w:pPr>
              <w:pStyle w:val="TableContents"/>
              <w:spacing w:before="0" w:after="283"/>
              <w:rPr/>
            </w:pPr>
            <w:r>
              <w:rPr/>
              <w:t>Cover Page Interactive Data File (formatted as Inline XBRL and contained in Exhibit 101)</w:t>
            </w:r>
          </w:p>
        </w:tc>
      </w:tr>
    </w:tbl>
    <w:p>
      <w:pPr>
        <w:pStyle w:val="TextBody"/>
        <w:spacing w:before="0" w:after="0"/>
        <w:ind w:left="144" w:right="144" w:hanging="0"/>
        <w:jc w:val="left"/>
        <w:rPr/>
      </w:pPr>
      <w:r>
        <w:rPr/>
        <w:t> </w:t>
      </w:r>
    </w:p>
    <w:p>
      <w:pPr>
        <w:pStyle w:val="TextBody"/>
        <w:spacing w:before="0" w:after="0"/>
        <w:ind w:left="144" w:right="144" w:hanging="0"/>
        <w:jc w:val="left"/>
        <w:rPr>
          <w:rFonts w:ascii="Times New Roman;Times;serif" w:hAnsi="Times New Roman;Times;serif"/>
          <w:sz w:val="20"/>
        </w:rPr>
      </w:pPr>
      <w:r>
        <w:rPr>
          <w:rFonts w:ascii="Times New Roman;Times;serif" w:hAnsi="Times New Roman;Times;serif"/>
          <w:sz w:val="20"/>
        </w:rPr>
        <w:t>* Management contract or compensatory plan or arrangement.</w:t>
      </w:r>
    </w:p>
    <w:p>
      <w:pPr>
        <w:pStyle w:val="TextBody"/>
        <w:spacing w:before="0" w:after="0"/>
        <w:ind w:left="144" w:right="144" w:hanging="0"/>
        <w:jc w:val="left"/>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28 </w:t>
      </w:r>
    </w:p>
    <w:p>
      <w:pPr>
        <w:pStyle w:val="HorizontalLine"/>
        <w:rPr/>
      </w:pPr>
      <w:r>
        <w:rPr/>
      </w:r>
    </w:p>
    <w:p>
      <w:pPr>
        <w:pStyle w:val="TextBody"/>
        <w:jc w:val="left"/>
        <w:rPr/>
      </w:pPr>
      <w:hyperlink w:anchor="Table_of_Contents">
        <w:r>
          <w:rPr>
            <w:rStyle w:val="InternetLink"/>
            <w:sz w:val="20"/>
          </w:rPr>
          <w:t>Table of Contents</w:t>
        </w:r>
      </w:hyperlink>
      <w:r>
        <w:rPr/>
        <w:t xml:space="preserve"> </w:t>
      </w:r>
    </w:p>
    <w:p>
      <w:pPr>
        <w:pStyle w:val="TextBody"/>
        <w:spacing w:before="0" w:after="0"/>
        <w:ind w:left="0" w:right="0" w:hanging="0"/>
        <w:jc w:val="left"/>
        <w:rPr/>
      </w:pPr>
      <w:r>
        <w:rPr/>
        <w:t> </w:t>
      </w:r>
    </w:p>
    <w:p>
      <w:pPr>
        <w:pStyle w:val="TextBody"/>
        <w:spacing w:before="0" w:after="0"/>
        <w:ind w:left="144" w:right="144" w:hanging="0"/>
        <w:jc w:val="center"/>
        <w:rPr>
          <w:rFonts w:ascii="Times New Roman;Times;serif" w:hAnsi="Times New Roman;Times;serif"/>
          <w:b/>
          <w:sz w:val="20"/>
        </w:rPr>
      </w:pPr>
      <w:bookmarkStart w:id="13" w:name="Signatures"/>
      <w:bookmarkEnd w:id="13"/>
      <w:r>
        <w:rPr>
          <w:rFonts w:ascii="Times New Roman;Times;serif" w:hAnsi="Times New Roman;Times;serif"/>
          <w:b/>
          <w:sz w:val="20"/>
        </w:rPr>
        <w:t xml:space="preserve">SIGNATURES </w:t>
      </w:r>
    </w:p>
    <w:p>
      <w:pPr>
        <w:pStyle w:val="TextBody"/>
        <w:spacing w:before="0" w:after="0"/>
        <w:ind w:left="144" w:right="144" w:hanging="0"/>
        <w:jc w:val="left"/>
        <w:rPr/>
      </w:pPr>
      <w:r>
        <w:rPr/>
        <w:t> </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sz w:val="20"/>
        </w:rPr>
        <w:t>Date: September 9, 2021</w:t>
      </w:r>
    </w:p>
    <w:p>
      <w:pPr>
        <w:pStyle w:val="TextBody"/>
        <w:spacing w:before="0" w:after="0"/>
        <w:ind w:left="144" w:right="144" w:hanging="0"/>
        <w:jc w:val="left"/>
        <w:rPr/>
      </w:pPr>
      <w:r>
        <w:rPr/>
        <w:t> </w:t>
      </w:r>
    </w:p>
    <w:p>
      <w:pPr>
        <w:pStyle w:val="TextBody"/>
        <w:spacing w:before="0" w:after="0"/>
        <w:ind w:left="144" w:right="144" w:hanging="0"/>
        <w:jc w:val="left"/>
        <w:rPr/>
      </w:pPr>
      <w:r>
        <w:rPr/>
        <w:t> </w:t>
      </w:r>
    </w:p>
    <w:tbl>
      <w:tblPr>
        <w:tblW w:w="4570" w:type="dxa"/>
        <w:jc w:val="left"/>
        <w:tblInd w:w="0" w:type="dxa"/>
        <w:tblCellMar>
          <w:top w:w="0" w:type="dxa"/>
          <w:left w:w="0" w:type="dxa"/>
          <w:bottom w:w="0" w:type="dxa"/>
          <w:right w:w="0" w:type="dxa"/>
        </w:tblCellMar>
      </w:tblPr>
      <w:tblGrid>
        <w:gridCol w:w="75"/>
        <w:gridCol w:w="320"/>
        <w:gridCol w:w="4175"/>
      </w:tblGrid>
      <w:tr>
        <w:trPr/>
        <w:tc>
          <w:tcPr>
            <w:tcW w:w="75" w:type="dxa"/>
            <w:tcBorders/>
            <w:shd w:fill="auto" w:val="clear"/>
            <w:vAlign w:val="center"/>
          </w:tcPr>
          <w:p>
            <w:pPr>
              <w:pStyle w:val="TableContents"/>
              <w:spacing w:before="0" w:after="0"/>
              <w:ind w:left="0" w:right="0" w:hanging="0"/>
              <w:jc w:val="left"/>
              <w:rPr/>
            </w:pPr>
            <w:r>
              <w:rPr/>
              <w:t> </w:t>
            </w:r>
          </w:p>
        </w:tc>
        <w:tc>
          <w:tcPr>
            <w:tcW w:w="4495" w:type="dxa"/>
            <w:gridSpan w:val="2"/>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BUILD-A-BEAR WORKSHOP, INC.</w:t>
            </w:r>
          </w:p>
        </w:tc>
      </w:tr>
      <w:tr>
        <w:trPr/>
        <w:tc>
          <w:tcPr>
            <w:tcW w:w="75" w:type="dxa"/>
            <w:tcBorders/>
            <w:shd w:fill="auto" w:val="clear"/>
            <w:vAlign w:val="center"/>
          </w:tcPr>
          <w:p>
            <w:pPr>
              <w:pStyle w:val="TableContents"/>
              <w:spacing w:before="0" w:after="0"/>
              <w:ind w:left="0" w:right="0" w:hanging="0"/>
              <w:jc w:val="left"/>
              <w:rPr/>
            </w:pPr>
            <w:r>
              <w:rPr/>
              <w:t> </w:t>
            </w:r>
          </w:p>
        </w:tc>
        <w:tc>
          <w:tcPr>
            <w:tcW w:w="4495" w:type="dxa"/>
            <w:gridSpan w:val="2"/>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(Registrant)</w:t>
            </w:r>
          </w:p>
        </w:tc>
      </w:tr>
      <w:tr>
        <w:trPr/>
        <w:tc>
          <w:tcPr>
            <w:tcW w:w="75" w:type="dxa"/>
            <w:tcBorders/>
            <w:shd w:fill="auto" w:val="clear"/>
            <w:vAlign w:val="center"/>
          </w:tcPr>
          <w:p>
            <w:pPr>
              <w:pStyle w:val="TableContents"/>
              <w:spacing w:before="0" w:after="0"/>
              <w:ind w:left="0" w:right="0" w:hanging="0"/>
              <w:jc w:val="left"/>
              <w:rPr/>
            </w:pPr>
            <w:r>
              <w:rPr/>
              <w:t> </w:t>
            </w:r>
          </w:p>
        </w:tc>
        <w:tc>
          <w:tcPr>
            <w:tcW w:w="320" w:type="dxa"/>
            <w:tcBorders/>
            <w:shd w:fill="auto" w:val="clear"/>
            <w:vAlign w:val="center"/>
          </w:tcPr>
          <w:p>
            <w:pPr>
              <w:pStyle w:val="TableContents"/>
              <w:spacing w:before="0" w:after="0"/>
              <w:ind w:left="0" w:right="0" w:hanging="0"/>
              <w:jc w:val="left"/>
              <w:rPr/>
            </w:pPr>
            <w:r>
              <w:rPr/>
              <w:t>  </w:t>
            </w:r>
          </w:p>
        </w:tc>
        <w:tc>
          <w:tcPr>
            <w:tcW w:w="4175" w:type="dxa"/>
            <w:tcBorders/>
            <w:shd w:fill="auto" w:val="clear"/>
            <w:vAlign w:val="center"/>
          </w:tcPr>
          <w:p>
            <w:pPr>
              <w:pStyle w:val="TableContents"/>
              <w:spacing w:before="0" w:after="0"/>
              <w:ind w:left="0" w:right="0" w:hanging="0"/>
              <w:jc w:val="left"/>
              <w:rPr/>
            </w:pPr>
            <w:r>
              <w:rPr/>
              <w:t>  </w:t>
            </w:r>
          </w:p>
        </w:tc>
      </w:tr>
      <w:tr>
        <w:trPr/>
        <w:tc>
          <w:tcPr>
            <w:tcW w:w="75" w:type="dxa"/>
            <w:tcBorders/>
            <w:shd w:fill="auto" w:val="clear"/>
            <w:vAlign w:val="center"/>
          </w:tcPr>
          <w:p>
            <w:pPr>
              <w:pStyle w:val="TableContents"/>
              <w:spacing w:before="0" w:after="0"/>
              <w:ind w:left="0" w:right="0" w:hanging="0"/>
              <w:jc w:val="left"/>
              <w:rPr/>
            </w:pPr>
            <w:r>
              <w:rPr/>
              <w:t> </w:t>
            </w:r>
          </w:p>
        </w:tc>
        <w:tc>
          <w:tcPr>
            <w:tcW w:w="320"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175" w:type="dxa"/>
            <w:tcBorders>
              <w:bottom w:val="single" w:sz="2" w:space="0" w:color="000000"/>
            </w:tcBorders>
            <w:shd w:fill="auto" w:val="clear"/>
            <w:tcMar>
              <w:bottom w:w="28" w:type="dxa"/>
            </w:tcM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/s/ Sharon John</w:t>
            </w:r>
          </w:p>
        </w:tc>
      </w:tr>
      <w:tr>
        <w:trPr/>
        <w:tc>
          <w:tcPr>
            <w:tcW w:w="75" w:type="dxa"/>
            <w:tcBorders/>
            <w:shd w:fill="auto" w:val="clear"/>
            <w:vAlign w:val="center"/>
          </w:tcPr>
          <w:p>
            <w:pPr>
              <w:pStyle w:val="TableContents"/>
              <w:spacing w:before="0" w:after="0"/>
              <w:ind w:left="0" w:right="0" w:hanging="0"/>
              <w:jc w:val="left"/>
              <w:rPr/>
            </w:pPr>
            <w:r>
              <w:rPr/>
              <w:t> </w:t>
            </w:r>
          </w:p>
        </w:tc>
        <w:tc>
          <w:tcPr>
            <w:tcW w:w="320" w:type="dxa"/>
            <w:tcBorders/>
            <w:shd w:fill="auto" w:val="clear"/>
            <w:vAlign w:val="center"/>
          </w:tcPr>
          <w:p>
            <w:pPr>
              <w:pStyle w:val="TableContents"/>
              <w:spacing w:before="0" w:after="0"/>
              <w:ind w:left="0" w:right="0" w:hanging="0"/>
              <w:jc w:val="left"/>
              <w:rPr/>
            </w:pPr>
            <w:r>
              <w:rPr/>
              <w:t> </w:t>
            </w:r>
          </w:p>
        </w:tc>
        <w:tc>
          <w:tcPr>
            <w:tcW w:w="4175"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Sharon John</w:t>
            </w:r>
          </w:p>
        </w:tc>
      </w:tr>
      <w:tr>
        <w:trPr/>
        <w:tc>
          <w:tcPr>
            <w:tcW w:w="75" w:type="dxa"/>
            <w:tcBorders/>
            <w:shd w:fill="auto" w:val="clear"/>
            <w:vAlign w:val="center"/>
          </w:tcPr>
          <w:p>
            <w:pPr>
              <w:pStyle w:val="TableContents"/>
              <w:spacing w:before="0" w:after="0"/>
              <w:ind w:left="0" w:right="0" w:hanging="0"/>
              <w:jc w:val="left"/>
              <w:rPr/>
            </w:pPr>
            <w:r>
              <w:rPr/>
              <w:t> </w:t>
            </w:r>
          </w:p>
        </w:tc>
        <w:tc>
          <w:tcPr>
            <w:tcW w:w="320" w:type="dxa"/>
            <w:tcBorders/>
            <w:shd w:fill="auto" w:val="clear"/>
            <w:vAlign w:val="center"/>
          </w:tcPr>
          <w:p>
            <w:pPr>
              <w:pStyle w:val="TableContents"/>
              <w:spacing w:before="0" w:after="0"/>
              <w:ind w:left="0" w:right="0" w:hanging="0"/>
              <w:jc w:val="left"/>
              <w:rPr/>
            </w:pPr>
            <w:r>
              <w:rPr/>
              <w:t> </w:t>
            </w:r>
          </w:p>
        </w:tc>
        <w:tc>
          <w:tcPr>
            <w:tcW w:w="4175"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 (on behalf of</w:t>
            </w:r>
          </w:p>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 and as principal executive officer)</w:t>
            </w:r>
          </w:p>
        </w:tc>
      </w:tr>
      <w:tr>
        <w:trPr/>
        <w:tc>
          <w:tcPr>
            <w:tcW w:w="75" w:type="dxa"/>
            <w:tcBorders/>
            <w:shd w:fill="auto" w:val="clear"/>
            <w:vAlign w:val="center"/>
          </w:tcPr>
          <w:p>
            <w:pPr>
              <w:pStyle w:val="TableContents"/>
              <w:spacing w:before="0" w:after="0"/>
              <w:ind w:left="0" w:right="0" w:hanging="0"/>
              <w:jc w:val="left"/>
              <w:rPr/>
            </w:pPr>
            <w:r>
              <w:rPr/>
              <w:t> </w:t>
            </w:r>
          </w:p>
        </w:tc>
        <w:tc>
          <w:tcPr>
            <w:tcW w:w="320" w:type="dxa"/>
            <w:tcBorders/>
            <w:shd w:fill="auto" w:val="clear"/>
            <w:vAlign w:val="center"/>
          </w:tcPr>
          <w:p>
            <w:pPr>
              <w:pStyle w:val="TableContents"/>
              <w:spacing w:before="0" w:after="0"/>
              <w:ind w:left="0" w:right="0" w:hanging="0"/>
              <w:jc w:val="left"/>
              <w:rPr/>
            </w:pPr>
            <w:r>
              <w:rPr/>
              <w:t>  </w:t>
            </w:r>
          </w:p>
        </w:tc>
        <w:tc>
          <w:tcPr>
            <w:tcW w:w="4175" w:type="dxa"/>
            <w:tcBorders/>
            <w:shd w:fill="auto" w:val="clear"/>
            <w:vAlign w:val="center"/>
          </w:tcPr>
          <w:p>
            <w:pPr>
              <w:pStyle w:val="TableContents"/>
              <w:spacing w:before="0" w:after="0"/>
              <w:ind w:left="0" w:right="0" w:hanging="0"/>
              <w:jc w:val="left"/>
              <w:rPr/>
            </w:pPr>
            <w:r>
              <w:rPr/>
              <w:t>  </w:t>
            </w:r>
          </w:p>
        </w:tc>
      </w:tr>
      <w:tr>
        <w:trPr/>
        <w:tc>
          <w:tcPr>
            <w:tcW w:w="75" w:type="dxa"/>
            <w:tcBorders/>
            <w:shd w:fill="auto" w:val="clear"/>
            <w:vAlign w:val="center"/>
          </w:tcPr>
          <w:p>
            <w:pPr>
              <w:pStyle w:val="TableContents"/>
              <w:spacing w:before="0" w:after="0"/>
              <w:ind w:left="0" w:right="0" w:hanging="0"/>
              <w:jc w:val="left"/>
              <w:rPr/>
            </w:pPr>
            <w:r>
              <w:rPr/>
              <w:t> </w:t>
            </w:r>
          </w:p>
        </w:tc>
        <w:tc>
          <w:tcPr>
            <w:tcW w:w="320"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175" w:type="dxa"/>
            <w:tcBorders>
              <w:bottom w:val="single" w:sz="2" w:space="0" w:color="000000"/>
            </w:tcBorders>
            <w:shd w:fill="auto" w:val="clear"/>
            <w:tcMar>
              <w:bottom w:w="28" w:type="dxa"/>
            </w:tcM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/s/ Voin Todorovic</w:t>
            </w:r>
          </w:p>
        </w:tc>
      </w:tr>
      <w:tr>
        <w:trPr/>
        <w:tc>
          <w:tcPr>
            <w:tcW w:w="75" w:type="dxa"/>
            <w:tcBorders/>
            <w:shd w:fill="auto" w:val="clear"/>
            <w:vAlign w:val="center"/>
          </w:tcPr>
          <w:p>
            <w:pPr>
              <w:pStyle w:val="TableContents"/>
              <w:spacing w:before="0" w:after="0"/>
              <w:ind w:left="0" w:right="0" w:hanging="0"/>
              <w:jc w:val="left"/>
              <w:rPr/>
            </w:pPr>
            <w:r>
              <w:rPr/>
              <w:t> </w:t>
            </w:r>
          </w:p>
        </w:tc>
        <w:tc>
          <w:tcPr>
            <w:tcW w:w="320" w:type="dxa"/>
            <w:tcBorders/>
            <w:shd w:fill="auto" w:val="clear"/>
            <w:vAlign w:val="center"/>
          </w:tcPr>
          <w:p>
            <w:pPr>
              <w:pStyle w:val="TableContents"/>
              <w:spacing w:before="0" w:after="0"/>
              <w:ind w:left="0" w:right="0" w:hanging="0"/>
              <w:jc w:val="left"/>
              <w:rPr/>
            </w:pPr>
            <w:r>
              <w:rPr/>
              <w:t> </w:t>
            </w:r>
          </w:p>
        </w:tc>
        <w:tc>
          <w:tcPr>
            <w:tcW w:w="4175"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Voin Todorovic</w:t>
            </w:r>
          </w:p>
        </w:tc>
      </w:tr>
      <w:tr>
        <w:trPr/>
        <w:tc>
          <w:tcPr>
            <w:tcW w:w="75" w:type="dxa"/>
            <w:tcBorders/>
            <w:shd w:fill="auto" w:val="clear"/>
            <w:vAlign w:val="center"/>
          </w:tcPr>
          <w:p>
            <w:pPr>
              <w:pStyle w:val="TableContents"/>
              <w:spacing w:before="0" w:after="0"/>
              <w:ind w:left="0" w:right="0" w:hanging="0"/>
              <w:jc w:val="left"/>
              <w:rPr/>
            </w:pPr>
            <w:r>
              <w:rPr/>
              <w:t> </w:t>
            </w:r>
          </w:p>
        </w:tc>
        <w:tc>
          <w:tcPr>
            <w:tcW w:w="320" w:type="dxa"/>
            <w:tcBorders/>
            <w:shd w:fill="auto" w:val="clear"/>
            <w:vAlign w:val="center"/>
          </w:tcPr>
          <w:p>
            <w:pPr>
              <w:pStyle w:val="TableContents"/>
              <w:spacing w:before="0" w:after="0"/>
              <w:ind w:left="0" w:right="0" w:hanging="0"/>
              <w:jc w:val="left"/>
              <w:rPr/>
            </w:pPr>
            <w:r>
              <w:rPr/>
              <w:t> </w:t>
            </w:r>
          </w:p>
        </w:tc>
        <w:tc>
          <w:tcPr>
            <w:tcW w:w="4175"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(on behalf of the registrant and as principal</w:t>
            </w:r>
          </w:p>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financial officer)</w:t>
            </w:r>
          </w:p>
        </w:tc>
      </w:tr>
    </w:tbl>
    <w:p>
      <w:pPr>
        <w:pStyle w:val="TextBody"/>
        <w:spacing w:before="0" w:after="0"/>
        <w:ind w:left="144" w:right="144" w:hanging="0"/>
        <w:jc w:val="left"/>
        <w:rPr/>
      </w:pPr>
      <w:r>
        <w:rPr/>
        <w:t> </w:t>
      </w:r>
    </w:p>
    <w:p>
      <w:pPr>
        <w:pStyle w:val="TextBody"/>
        <w:spacing w:before="0" w:after="0"/>
        <w:ind w:left="144" w:right="144" w:hanging="0"/>
        <w:jc w:val="center"/>
        <w:rPr/>
      </w:pPr>
      <w:r>
        <w:rPr/>
        <w:t> </w:t>
      </w:r>
    </w:p>
    <w:p>
      <w:pPr>
        <w:pStyle w:val="TextBody"/>
        <w:spacing w:before="0" w:after="0"/>
        <w:jc w:val="center"/>
        <w:rPr>
          <w:rFonts w:ascii="Times New Roman" w:hAnsi="Times New Roman"/>
          <w:sz w:val="20"/>
        </w:rPr>
      </w:pPr>
      <w:r>
        <w:rPr>
          <w:rFonts w:ascii="Times New Roman" w:hAnsi="Times New Roman"/>
          <w:sz w:val="20"/>
        </w:rPr>
        <w:t xml:space="preserve">29 </w:t>
      </w:r>
    </w:p>
    <w:p>
      <w:pPr>
        <w:pStyle w:val="HorizontalLine"/>
        <w:rPr/>
      </w:pPr>
      <w:r>
        <w:rPr/>
      </w:r>
      <w:r>
        <w:br w:type="page"/>
      </w:r>
    </w:p>
    <w:p>
      <w:pPr>
        <w:pStyle w:val="TextBody"/>
        <w:spacing w:before="0" w:after="0"/>
        <w:ind w:left="0" w:right="0" w:hanging="0"/>
        <w:jc w:val="right"/>
        <w:rPr>
          <w:rFonts w:ascii="Times New Roman;Times;serif" w:hAnsi="Times New Roman;Times;serif"/>
          <w:b/>
          <w:sz w:val="20"/>
        </w:rPr>
      </w:pPr>
      <w:bookmarkStart w:id="14" w:name="ex_262835.htm"/>
      <w:bookmarkStart w:id="15" w:name="ksex_262835"/>
      <w:bookmarkEnd w:id="14"/>
      <w:bookmarkEnd w:id="15"/>
      <w:r>
        <w:rPr>
          <w:rFonts w:ascii="Times New Roman;Times;serif" w:hAnsi="Times New Roman;Times;serif"/>
          <w:b/>
          <w:sz w:val="20"/>
        </w:rPr>
        <w:t xml:space="preserve">Exhibit 31.1 </w:t>
      </w:r>
    </w:p>
    <w:p>
      <w:pPr>
        <w:pStyle w:val="TextBody"/>
        <w:spacing w:before="0" w:after="0"/>
        <w:ind w:left="288" w:right="288" w:hanging="0"/>
        <w:jc w:val="left"/>
        <w:rPr/>
      </w:pPr>
      <w:r>
        <w:rPr/>
        <w:t> </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CERTIFICATION PURSUANT TO </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SECTION 302 OF THE SARBANES-OXLEY ACT OF 2002 </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AND RULE 13a-14(a) OF </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THE SECURITIES EXCHANGE ACT OF 1934 </w:t>
      </w:r>
    </w:p>
    <w:p>
      <w:pPr>
        <w:pStyle w:val="TextBody"/>
        <w:spacing w:before="0" w:after="0"/>
        <w:ind w:left="288" w:right="288" w:hanging="0"/>
        <w:jc w:val="left"/>
        <w:rPr/>
      </w:pPr>
      <w:r>
        <w:rPr/>
        <w:t> </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sz w:val="20"/>
        </w:rPr>
        <w:t>I, Sharon John, certify that:</w:t>
      </w:r>
    </w:p>
    <w:p>
      <w:pPr>
        <w:pStyle w:val="TextBody"/>
        <w:spacing w:before="0" w:after="0"/>
        <w:ind w:left="288" w:right="288" w:hanging="0"/>
        <w:jc w:val="left"/>
        <w:rPr/>
      </w:pPr>
      <w:r>
        <w:rPr/>
        <w:t> </w:t>
      </w:r>
    </w:p>
    <w:tbl>
      <w:tblPr>
        <w:tblW w:w="7030" w:type="dxa"/>
        <w:jc w:val="left"/>
        <w:tblInd w:w="0" w:type="dxa"/>
        <w:tblCellMar>
          <w:top w:w="0" w:type="dxa"/>
          <w:left w:w="0" w:type="dxa"/>
          <w:bottom w:w="0" w:type="dxa"/>
          <w:right w:w="0" w:type="dxa"/>
        </w:tblCellMar>
      </w:tblPr>
      <w:tblGrid>
        <w:gridCol w:w="60"/>
        <w:gridCol w:w="170"/>
        <w:gridCol w:w="680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6800"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I have reviewed this quarterly report on Form 10-Q of Build-A-Bear Workshop, Inc.;</w:t>
            </w:r>
          </w:p>
        </w:tc>
      </w:tr>
    </w:tbl>
    <w:p>
      <w:pPr>
        <w:pStyle w:val="TextBody"/>
        <w:spacing w:before="0" w:after="0"/>
        <w:ind w:left="288" w:right="288" w:hanging="0"/>
        <w:jc w:val="left"/>
        <w:rPr/>
      </w:pPr>
      <w:r>
        <w:rPr/>
        <w:t> </w:t>
      </w:r>
    </w:p>
    <w:tbl>
      <w:tblPr>
        <w:tblW w:w="10205" w:type="dxa"/>
        <w:jc w:val="left"/>
        <w:tblInd w:w="0" w:type="dxa"/>
        <w:tblCellMar>
          <w:top w:w="0" w:type="dxa"/>
          <w:left w:w="0" w:type="dxa"/>
          <w:bottom w:w="0" w:type="dxa"/>
          <w:right w:w="0" w:type="dxa"/>
        </w:tblCellMar>
      </w:tblPr>
      <w:tblGrid>
        <w:gridCol w:w="60"/>
        <w:gridCol w:w="142"/>
        <w:gridCol w:w="10003"/>
      </w:tblGrid>
      <w:tr>
        <w:trPr/>
        <w:tc>
          <w:tcPr>
            <w:tcW w:w="60" w:type="dxa"/>
            <w:tcBorders/>
            <w:shd w:fill="auto" w:val="clear"/>
            <w:vAlign w:val="center"/>
          </w:tcPr>
          <w:p>
            <w:pPr>
              <w:pStyle w:val="TableContents"/>
              <w:spacing w:before="0" w:after="283"/>
              <w:rPr/>
            </w:pPr>
            <w:r>
              <w:rPr/>
              <w:t> </w:t>
            </w:r>
          </w:p>
        </w:tc>
        <w:tc>
          <w:tcPr>
            <w:tcW w:w="142"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10003"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ind w:left="288" w:right="288" w:hanging="0"/>
        <w:jc w:val="left"/>
        <w:rPr/>
      </w:pPr>
      <w:r>
        <w:rPr/>
        <w:t> </w:t>
      </w:r>
    </w:p>
    <w:tbl>
      <w:tblPr>
        <w:tblW w:w="10205" w:type="dxa"/>
        <w:jc w:val="left"/>
        <w:tblInd w:w="0" w:type="dxa"/>
        <w:tblCellMar>
          <w:top w:w="0" w:type="dxa"/>
          <w:left w:w="0" w:type="dxa"/>
          <w:bottom w:w="0" w:type="dxa"/>
          <w:right w:w="0" w:type="dxa"/>
        </w:tblCellMar>
      </w:tblPr>
      <w:tblGrid>
        <w:gridCol w:w="60"/>
        <w:gridCol w:w="144"/>
        <w:gridCol w:w="10001"/>
      </w:tblGrid>
      <w:tr>
        <w:trPr/>
        <w:tc>
          <w:tcPr>
            <w:tcW w:w="60" w:type="dxa"/>
            <w:tcBorders/>
            <w:shd w:fill="auto" w:val="clear"/>
            <w:vAlign w:val="center"/>
          </w:tcPr>
          <w:p>
            <w:pPr>
              <w:pStyle w:val="TableContents"/>
              <w:spacing w:before="0" w:after="283"/>
              <w:rPr/>
            </w:pPr>
            <w:r>
              <w:rPr/>
              <w:t> </w:t>
            </w:r>
          </w:p>
        </w:tc>
        <w:tc>
          <w:tcPr>
            <w:tcW w:w="144"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10001"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before="0" w:after="0"/>
        <w:ind w:left="288" w:right="288" w:hanging="0"/>
        <w:jc w:val="left"/>
        <w:rPr/>
      </w:pPr>
      <w:r>
        <w:rPr/>
        <w:t> </w:t>
      </w:r>
    </w:p>
    <w:tbl>
      <w:tblPr>
        <w:tblW w:w="10205" w:type="dxa"/>
        <w:jc w:val="left"/>
        <w:tblInd w:w="0" w:type="dxa"/>
        <w:tblCellMar>
          <w:top w:w="0" w:type="dxa"/>
          <w:left w:w="0" w:type="dxa"/>
          <w:bottom w:w="0" w:type="dxa"/>
          <w:right w:w="0" w:type="dxa"/>
        </w:tblCellMar>
      </w:tblPr>
      <w:tblGrid>
        <w:gridCol w:w="60"/>
        <w:gridCol w:w="141"/>
        <w:gridCol w:w="10004"/>
      </w:tblGrid>
      <w:tr>
        <w:trPr/>
        <w:tc>
          <w:tcPr>
            <w:tcW w:w="6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4.</w:t>
            </w:r>
          </w:p>
        </w:tc>
        <w:tc>
          <w:tcPr>
            <w:tcW w:w="10004"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spacing w:before="0" w:after="0"/>
        <w:ind w:left="288" w:right="288" w:hanging="0"/>
        <w:jc w:val="left"/>
        <w:rPr/>
      </w:pPr>
      <w:r>
        <w:rPr/>
        <w:t> </w:t>
      </w:r>
    </w:p>
    <w:tbl>
      <w:tblPr>
        <w:tblW w:w="10205" w:type="dxa"/>
        <w:jc w:val="left"/>
        <w:tblInd w:w="0" w:type="dxa"/>
        <w:tblCellMar>
          <w:top w:w="0" w:type="dxa"/>
          <w:left w:w="0" w:type="dxa"/>
          <w:bottom w:w="0" w:type="dxa"/>
          <w:right w:w="0" w:type="dxa"/>
        </w:tblCellMar>
      </w:tblPr>
      <w:tblGrid>
        <w:gridCol w:w="60"/>
        <w:gridCol w:w="188"/>
        <w:gridCol w:w="9957"/>
      </w:tblGrid>
      <w:tr>
        <w:trPr/>
        <w:tc>
          <w:tcPr>
            <w:tcW w:w="60" w:type="dxa"/>
            <w:tcBorders/>
            <w:shd w:fill="auto" w:val="clear"/>
            <w:vAlign w:val="center"/>
          </w:tcPr>
          <w:p>
            <w:pPr>
              <w:pStyle w:val="TableContents"/>
              <w:spacing w:before="0" w:after="283"/>
              <w:rPr/>
            </w:pPr>
            <w:r>
              <w:rPr/>
              <w:t> </w:t>
            </w:r>
          </w:p>
        </w:tc>
        <w:tc>
          <w:tcPr>
            <w:tcW w:w="188"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9957"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spacing w:before="0" w:after="0"/>
        <w:ind w:left="288" w:right="288" w:hanging="0"/>
        <w:jc w:val="left"/>
        <w:rPr/>
      </w:pPr>
      <w:r>
        <w:rPr/>
        <w:t> </w:t>
      </w:r>
    </w:p>
    <w:tbl>
      <w:tblPr>
        <w:tblW w:w="10205" w:type="dxa"/>
        <w:jc w:val="left"/>
        <w:tblInd w:w="0" w:type="dxa"/>
        <w:tblCellMar>
          <w:top w:w="0" w:type="dxa"/>
          <w:left w:w="0" w:type="dxa"/>
          <w:bottom w:w="0" w:type="dxa"/>
          <w:right w:w="0" w:type="dxa"/>
        </w:tblCellMar>
      </w:tblPr>
      <w:tblGrid>
        <w:gridCol w:w="60"/>
        <w:gridCol w:w="204"/>
        <w:gridCol w:w="9941"/>
      </w:tblGrid>
      <w:tr>
        <w:trPr/>
        <w:tc>
          <w:tcPr>
            <w:tcW w:w="60" w:type="dxa"/>
            <w:tcBorders/>
            <w:shd w:fill="auto" w:val="clear"/>
            <w:vAlign w:val="center"/>
          </w:tcPr>
          <w:p>
            <w:pPr>
              <w:pStyle w:val="TableContents"/>
              <w:spacing w:before="0" w:after="283"/>
              <w:rPr/>
            </w:pPr>
            <w:r>
              <w:rPr/>
              <w:t> </w:t>
            </w:r>
          </w:p>
        </w:tc>
        <w:tc>
          <w:tcPr>
            <w:tcW w:w="204"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941"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spacing w:before="0" w:after="0"/>
        <w:ind w:left="288" w:right="288" w:hanging="0"/>
        <w:jc w:val="left"/>
        <w:rPr/>
      </w:pPr>
      <w:r>
        <w:rPr/>
        <w:t> </w:t>
      </w:r>
    </w:p>
    <w:tbl>
      <w:tblPr>
        <w:tblW w:w="10205" w:type="dxa"/>
        <w:jc w:val="left"/>
        <w:tblInd w:w="0" w:type="dxa"/>
        <w:tblCellMar>
          <w:top w:w="0" w:type="dxa"/>
          <w:left w:w="0" w:type="dxa"/>
          <w:bottom w:w="0" w:type="dxa"/>
          <w:right w:w="0" w:type="dxa"/>
        </w:tblCellMar>
      </w:tblPr>
      <w:tblGrid>
        <w:gridCol w:w="60"/>
        <w:gridCol w:w="195"/>
        <w:gridCol w:w="9950"/>
      </w:tblGrid>
      <w:tr>
        <w:trPr/>
        <w:tc>
          <w:tcPr>
            <w:tcW w:w="6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(c)</w:t>
            </w:r>
          </w:p>
        </w:tc>
        <w:tc>
          <w:tcPr>
            <w:tcW w:w="9950"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before="0" w:after="0"/>
        <w:ind w:left="288" w:right="288" w:hanging="0"/>
        <w:jc w:val="left"/>
        <w:rPr/>
      </w:pPr>
      <w:r>
        <w:rPr/>
        <w:t> </w:t>
      </w:r>
    </w:p>
    <w:tbl>
      <w:tblPr>
        <w:tblW w:w="10205" w:type="dxa"/>
        <w:jc w:val="left"/>
        <w:tblInd w:w="0" w:type="dxa"/>
        <w:tblCellMar>
          <w:top w:w="0" w:type="dxa"/>
          <w:left w:w="0" w:type="dxa"/>
          <w:bottom w:w="0" w:type="dxa"/>
          <w:right w:w="0" w:type="dxa"/>
        </w:tblCellMar>
      </w:tblPr>
      <w:tblGrid>
        <w:gridCol w:w="60"/>
        <w:gridCol w:w="204"/>
        <w:gridCol w:w="9941"/>
      </w:tblGrid>
      <w:tr>
        <w:trPr/>
        <w:tc>
          <w:tcPr>
            <w:tcW w:w="60" w:type="dxa"/>
            <w:tcBorders/>
            <w:shd w:fill="auto" w:val="clear"/>
            <w:vAlign w:val="center"/>
          </w:tcPr>
          <w:p>
            <w:pPr>
              <w:pStyle w:val="TableContents"/>
              <w:spacing w:before="0" w:after="283"/>
              <w:rPr/>
            </w:pPr>
            <w:r>
              <w:rPr/>
              <w:t> </w:t>
            </w:r>
          </w:p>
        </w:tc>
        <w:tc>
          <w:tcPr>
            <w:tcW w:w="204"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(d)</w:t>
            </w:r>
          </w:p>
        </w:tc>
        <w:tc>
          <w:tcPr>
            <w:tcW w:w="9941"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spacing w:before="0" w:after="0"/>
        <w:ind w:left="288" w:right="288" w:hanging="0"/>
        <w:jc w:val="left"/>
        <w:rPr/>
      </w:pPr>
      <w:r>
        <w:rPr/>
        <w:t> </w:t>
      </w:r>
    </w:p>
    <w:tbl>
      <w:tblPr>
        <w:tblW w:w="10205" w:type="dxa"/>
        <w:jc w:val="left"/>
        <w:tblInd w:w="0" w:type="dxa"/>
        <w:tblCellMar>
          <w:top w:w="0" w:type="dxa"/>
          <w:left w:w="0" w:type="dxa"/>
          <w:bottom w:w="0" w:type="dxa"/>
          <w:right w:w="0" w:type="dxa"/>
        </w:tblCellMar>
      </w:tblPr>
      <w:tblGrid>
        <w:gridCol w:w="60"/>
        <w:gridCol w:w="143"/>
        <w:gridCol w:w="10002"/>
      </w:tblGrid>
      <w:tr>
        <w:trPr/>
        <w:tc>
          <w:tcPr>
            <w:tcW w:w="60" w:type="dxa"/>
            <w:tcBorders/>
            <w:shd w:fill="auto" w:val="clear"/>
            <w:vAlign w:val="center"/>
          </w:tcPr>
          <w:p>
            <w:pPr>
              <w:pStyle w:val="TableContents"/>
              <w:spacing w:before="0" w:after="283"/>
              <w:rPr/>
            </w:pPr>
            <w:r>
              <w:rPr/>
              <w:t> </w:t>
            </w:r>
          </w:p>
        </w:tc>
        <w:tc>
          <w:tcPr>
            <w:tcW w:w="143"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5.</w:t>
            </w:r>
          </w:p>
        </w:tc>
        <w:tc>
          <w:tcPr>
            <w:tcW w:w="10002"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spacing w:before="0" w:after="0"/>
        <w:ind w:left="288" w:right="288" w:hanging="0"/>
        <w:jc w:val="left"/>
        <w:rPr/>
      </w:pPr>
      <w:r>
        <w:rPr/>
        <w:t> </w:t>
      </w:r>
    </w:p>
    <w:tbl>
      <w:tblPr>
        <w:tblW w:w="10205" w:type="dxa"/>
        <w:jc w:val="left"/>
        <w:tblInd w:w="0" w:type="dxa"/>
        <w:tblCellMar>
          <w:top w:w="0" w:type="dxa"/>
          <w:left w:w="0" w:type="dxa"/>
          <w:bottom w:w="0" w:type="dxa"/>
          <w:right w:w="0" w:type="dxa"/>
        </w:tblCellMar>
      </w:tblPr>
      <w:tblGrid>
        <w:gridCol w:w="60"/>
        <w:gridCol w:w="196"/>
        <w:gridCol w:w="9949"/>
      </w:tblGrid>
      <w:tr>
        <w:trPr/>
        <w:tc>
          <w:tcPr>
            <w:tcW w:w="60" w:type="dxa"/>
            <w:tcBorders/>
            <w:shd w:fill="auto" w:val="clear"/>
            <w:vAlign w:val="center"/>
          </w:tcPr>
          <w:p>
            <w:pPr>
              <w:pStyle w:val="TableContents"/>
              <w:spacing w:before="0" w:after="283"/>
              <w:rPr/>
            </w:pPr>
            <w:r>
              <w:rPr/>
              <w:t> </w:t>
            </w:r>
          </w:p>
        </w:tc>
        <w:tc>
          <w:tcPr>
            <w:tcW w:w="196"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9949"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before="0" w:after="0"/>
        <w:ind w:left="288" w:right="288" w:hanging="0"/>
        <w:jc w:val="left"/>
        <w:rPr/>
      </w:pPr>
      <w:r>
        <w:rPr/>
        <w:t> </w:t>
      </w:r>
    </w:p>
    <w:tbl>
      <w:tblPr>
        <w:tblW w:w="10205" w:type="dxa"/>
        <w:jc w:val="left"/>
        <w:tblInd w:w="0" w:type="dxa"/>
        <w:tblCellMar>
          <w:top w:w="0" w:type="dxa"/>
          <w:left w:w="0" w:type="dxa"/>
          <w:bottom w:w="0" w:type="dxa"/>
          <w:right w:w="0" w:type="dxa"/>
        </w:tblCellMar>
      </w:tblPr>
      <w:tblGrid>
        <w:gridCol w:w="60"/>
        <w:gridCol w:w="227"/>
        <w:gridCol w:w="9918"/>
      </w:tblGrid>
      <w:tr>
        <w:trPr/>
        <w:tc>
          <w:tcPr>
            <w:tcW w:w="60" w:type="dxa"/>
            <w:tcBorders/>
            <w:shd w:fill="auto" w:val="clear"/>
            <w:vAlign w:val="center"/>
          </w:tcPr>
          <w:p>
            <w:pPr>
              <w:pStyle w:val="TableContents"/>
              <w:spacing w:before="0" w:after="283"/>
              <w:rPr/>
            </w:pPr>
            <w:r>
              <w:rPr/>
              <w:t> </w:t>
            </w:r>
          </w:p>
        </w:tc>
        <w:tc>
          <w:tcPr>
            <w:tcW w:w="227"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918"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spacing w:before="0" w:after="0"/>
        <w:ind w:left="288" w:right="288" w:hanging="0"/>
        <w:jc w:val="left"/>
        <w:rPr/>
      </w:pPr>
      <w:r>
        <w:rPr/>
        <w:t> </w:t>
      </w:r>
    </w:p>
    <w:tbl>
      <w:tblPr>
        <w:tblW w:w="3140" w:type="dxa"/>
        <w:jc w:val="left"/>
        <w:tblInd w:w="0" w:type="dxa"/>
        <w:tblCellMar>
          <w:top w:w="0" w:type="dxa"/>
          <w:left w:w="0" w:type="dxa"/>
          <w:bottom w:w="0" w:type="dxa"/>
          <w:right w:w="0" w:type="dxa"/>
        </w:tblCellMar>
      </w:tblPr>
      <w:tblGrid>
        <w:gridCol w:w="60"/>
        <w:gridCol w:w="3080"/>
      </w:tblGrid>
      <w:tr>
        <w:trPr/>
        <w:tc>
          <w:tcPr>
            <w:tcW w:w="60" w:type="dxa"/>
            <w:tcBorders/>
            <w:shd w:fill="auto" w:val="clear"/>
            <w:vAlign w:val="center"/>
          </w:tcPr>
          <w:p>
            <w:pPr>
              <w:pStyle w:val="TableContents"/>
              <w:spacing w:before="0" w:after="283"/>
              <w:rPr/>
            </w:pPr>
            <w:r>
              <w:rPr/>
              <w:t> </w:t>
            </w:r>
          </w:p>
        </w:tc>
        <w:tc>
          <w:tcPr>
            <w:tcW w:w="308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3080" w:type="dxa"/>
            <w:tcBorders>
              <w:bottom w:val="single" w:sz="2" w:space="0" w:color="000000"/>
            </w:tcBorders>
            <w:shd w:fill="auto" w:val="clear"/>
            <w:tcMar>
              <w:bottom w:w="28" w:type="dxa"/>
            </w:tcM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/s/ Sharon John</w:t>
            </w:r>
          </w:p>
        </w:tc>
      </w:tr>
      <w:tr>
        <w:trPr/>
        <w:tc>
          <w:tcPr>
            <w:tcW w:w="60" w:type="dxa"/>
            <w:tcBorders/>
            <w:shd w:fill="auto" w:val="clear"/>
            <w:vAlign w:val="center"/>
          </w:tcPr>
          <w:p>
            <w:pPr>
              <w:pStyle w:val="TableContents"/>
              <w:spacing w:before="0" w:after="283"/>
              <w:rPr/>
            </w:pPr>
            <w:r>
              <w:rPr/>
              <w:t> </w:t>
            </w:r>
          </w:p>
        </w:tc>
        <w:tc>
          <w:tcPr>
            <w:tcW w:w="3080"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Sharon John</w:t>
            </w:r>
          </w:p>
        </w:tc>
      </w:tr>
      <w:tr>
        <w:trPr/>
        <w:tc>
          <w:tcPr>
            <w:tcW w:w="60" w:type="dxa"/>
            <w:tcBorders/>
            <w:shd w:fill="auto" w:val="clear"/>
            <w:vAlign w:val="center"/>
          </w:tcPr>
          <w:p>
            <w:pPr>
              <w:pStyle w:val="TableContents"/>
              <w:spacing w:before="0" w:after="283"/>
              <w:rPr/>
            </w:pPr>
            <w:r>
              <w:rPr/>
              <w:t> </w:t>
            </w:r>
          </w:p>
        </w:tc>
        <w:tc>
          <w:tcPr>
            <w:tcW w:w="3080"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Build-A-Bear Workshop, Inc.</w:t>
            </w:r>
          </w:p>
        </w:tc>
      </w:tr>
      <w:tr>
        <w:trPr/>
        <w:tc>
          <w:tcPr>
            <w:tcW w:w="60" w:type="dxa"/>
            <w:tcBorders/>
            <w:shd w:fill="auto" w:val="clear"/>
            <w:vAlign w:val="center"/>
          </w:tcPr>
          <w:p>
            <w:pPr>
              <w:pStyle w:val="TableContents"/>
              <w:spacing w:before="0" w:after="283"/>
              <w:rPr/>
            </w:pPr>
            <w:r>
              <w:rPr/>
              <w:t> </w:t>
            </w:r>
          </w:p>
        </w:tc>
        <w:tc>
          <w:tcPr>
            <w:tcW w:w="3080"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spacing w:before="0" w:after="0"/>
        <w:ind w:left="288" w:right="288" w:hanging="0"/>
        <w:jc w:val="left"/>
        <w:rPr/>
      </w:pPr>
      <w:r>
        <w:rPr/>
        <w:t> </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Date: September 9, </w:t>
      </w:r>
      <w:bookmarkStart w:id="16" w:name="led58637F20216121626107378373"/>
      <w:bookmarkEnd w:id="16"/>
      <w:r>
        <w:rPr>
          <w:rFonts w:ascii="Times New Roman;Times;serif" w:hAnsi="Times New Roman;Times;serif"/>
          <w:sz w:val="20"/>
        </w:rPr>
        <w:t>2021</w:t>
      </w:r>
    </w:p>
    <w:p>
      <w:pPr>
        <w:pStyle w:val="TextBody"/>
        <w:rPr/>
      </w:pPr>
      <w:r>
        <w:rPr/>
        <w:t> </w:t>
      </w:r>
      <w:r>
        <w:br w:type="page"/>
      </w:r>
    </w:p>
    <w:p>
      <w:pPr>
        <w:pStyle w:val="TextBody"/>
        <w:spacing w:before="0" w:after="0"/>
        <w:ind w:left="0" w:right="0" w:hanging="0"/>
        <w:jc w:val="right"/>
        <w:rPr>
          <w:rFonts w:ascii="Times New Roman;Times;serif" w:hAnsi="Times New Roman;Times;serif"/>
          <w:b/>
          <w:sz w:val="20"/>
        </w:rPr>
      </w:pPr>
      <w:bookmarkStart w:id="17" w:name="ex_262836.htm"/>
      <w:bookmarkStart w:id="18" w:name="ksex_262836"/>
      <w:bookmarkEnd w:id="17"/>
      <w:bookmarkEnd w:id="18"/>
      <w:r>
        <w:rPr>
          <w:rFonts w:ascii="Times New Roman;Times;serif" w:hAnsi="Times New Roman;Times;serif"/>
          <w:b/>
          <w:sz w:val="20"/>
        </w:rPr>
        <w:t xml:space="preserve">Exhibit 31.2 </w:t>
      </w:r>
    </w:p>
    <w:p>
      <w:pPr>
        <w:pStyle w:val="TextBody"/>
        <w:spacing w:before="0" w:after="0"/>
        <w:ind w:left="432" w:right="432" w:hanging="0"/>
        <w:jc w:val="left"/>
        <w:rPr/>
      </w:pPr>
      <w:r>
        <w:rPr/>
        <w:t> </w:t>
      </w:r>
    </w:p>
    <w:p>
      <w:pPr>
        <w:pStyle w:val="TextBody"/>
        <w:spacing w:before="0" w:after="0"/>
        <w:ind w:left="432" w:right="432" w:hanging="0"/>
        <w:jc w:val="center"/>
        <w:rPr>
          <w:rFonts w:ascii="Times New Roman;Times;serif" w:hAnsi="Times New Roman;Times;serif"/>
          <w:b/>
          <w:sz w:val="20"/>
        </w:rPr>
      </w:pPr>
      <w:r>
        <w:rPr>
          <w:rFonts w:ascii="Times New Roman;Times;serif" w:hAnsi="Times New Roman;Times;serif"/>
          <w:b/>
          <w:sz w:val="20"/>
        </w:rPr>
        <w:t xml:space="preserve">CERTIFICATION PURSUANT TO </w:t>
      </w:r>
    </w:p>
    <w:p>
      <w:pPr>
        <w:pStyle w:val="TextBody"/>
        <w:spacing w:before="0" w:after="0"/>
        <w:ind w:left="432" w:right="432" w:hanging="0"/>
        <w:jc w:val="center"/>
        <w:rPr>
          <w:rFonts w:ascii="Times New Roman;Times;serif" w:hAnsi="Times New Roman;Times;serif"/>
          <w:b/>
          <w:sz w:val="20"/>
        </w:rPr>
      </w:pPr>
      <w:r>
        <w:rPr>
          <w:rFonts w:ascii="Times New Roman;Times;serif" w:hAnsi="Times New Roman;Times;serif"/>
          <w:b/>
          <w:sz w:val="20"/>
        </w:rPr>
        <w:t xml:space="preserve">SECTION 302 OF THE SARBANES-OXLEY ACT OF 2002 </w:t>
      </w:r>
    </w:p>
    <w:p>
      <w:pPr>
        <w:pStyle w:val="TextBody"/>
        <w:spacing w:before="0" w:after="0"/>
        <w:ind w:left="432" w:right="432" w:hanging="0"/>
        <w:jc w:val="center"/>
        <w:rPr>
          <w:rFonts w:ascii="Times New Roman;Times;serif" w:hAnsi="Times New Roman;Times;serif"/>
          <w:b/>
          <w:sz w:val="20"/>
        </w:rPr>
      </w:pPr>
      <w:r>
        <w:rPr>
          <w:rFonts w:ascii="Times New Roman;Times;serif" w:hAnsi="Times New Roman;Times;serif"/>
          <w:b/>
          <w:sz w:val="20"/>
        </w:rPr>
        <w:t xml:space="preserve">AND RULE 13a-14(a) OF </w:t>
      </w:r>
    </w:p>
    <w:p>
      <w:pPr>
        <w:pStyle w:val="TextBody"/>
        <w:spacing w:before="0" w:after="0"/>
        <w:ind w:left="432" w:right="432" w:hanging="0"/>
        <w:jc w:val="center"/>
        <w:rPr>
          <w:rFonts w:ascii="Times New Roman;Times;serif" w:hAnsi="Times New Roman;Times;serif"/>
          <w:b/>
          <w:sz w:val="20"/>
        </w:rPr>
      </w:pPr>
      <w:r>
        <w:rPr>
          <w:rFonts w:ascii="Times New Roman;Times;serif" w:hAnsi="Times New Roman;Times;serif"/>
          <w:b/>
          <w:sz w:val="20"/>
        </w:rPr>
        <w:t xml:space="preserve">THE SECURITIES EXCHANGE ACT OF 1934 </w:t>
      </w:r>
    </w:p>
    <w:p>
      <w:pPr>
        <w:pStyle w:val="TextBody"/>
        <w:spacing w:before="0" w:after="0"/>
        <w:ind w:left="432" w:right="432" w:hanging="0"/>
        <w:jc w:val="left"/>
        <w:rPr/>
      </w:pPr>
      <w:r>
        <w:rPr/>
        <w:t> </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sz w:val="20"/>
        </w:rPr>
        <w:t>I, Voin Todorovic, certify that:</w:t>
      </w:r>
    </w:p>
    <w:p>
      <w:pPr>
        <w:pStyle w:val="TextBody"/>
        <w:spacing w:before="0" w:after="0"/>
        <w:ind w:left="432" w:right="432" w:hanging="0"/>
        <w:jc w:val="left"/>
        <w:rPr/>
      </w:pPr>
      <w:r>
        <w:rPr/>
        <w:t> </w:t>
      </w:r>
    </w:p>
    <w:tbl>
      <w:tblPr>
        <w:tblW w:w="7030" w:type="dxa"/>
        <w:jc w:val="left"/>
        <w:tblInd w:w="0" w:type="dxa"/>
        <w:tblCellMar>
          <w:top w:w="0" w:type="dxa"/>
          <w:left w:w="0" w:type="dxa"/>
          <w:bottom w:w="0" w:type="dxa"/>
          <w:right w:w="0" w:type="dxa"/>
        </w:tblCellMar>
      </w:tblPr>
      <w:tblGrid>
        <w:gridCol w:w="60"/>
        <w:gridCol w:w="170"/>
        <w:gridCol w:w="680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6800"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I have reviewed this quarterly report on Form 10-Q of Build-A-Bear Workshop, Inc.;</w:t>
            </w:r>
          </w:p>
        </w:tc>
      </w:tr>
    </w:tbl>
    <w:p>
      <w:pPr>
        <w:pStyle w:val="TextBody"/>
        <w:spacing w:before="0" w:after="0"/>
        <w:ind w:left="432" w:right="432" w:hanging="0"/>
        <w:jc w:val="left"/>
        <w:rPr/>
      </w:pPr>
      <w:r>
        <w:rPr/>
        <w:t> </w:t>
      </w:r>
    </w:p>
    <w:tbl>
      <w:tblPr>
        <w:tblW w:w="10205" w:type="dxa"/>
        <w:jc w:val="left"/>
        <w:tblInd w:w="0" w:type="dxa"/>
        <w:tblCellMar>
          <w:top w:w="0" w:type="dxa"/>
          <w:left w:w="0" w:type="dxa"/>
          <w:bottom w:w="0" w:type="dxa"/>
          <w:right w:w="0" w:type="dxa"/>
        </w:tblCellMar>
      </w:tblPr>
      <w:tblGrid>
        <w:gridCol w:w="60"/>
        <w:gridCol w:w="142"/>
        <w:gridCol w:w="10003"/>
      </w:tblGrid>
      <w:tr>
        <w:trPr/>
        <w:tc>
          <w:tcPr>
            <w:tcW w:w="60" w:type="dxa"/>
            <w:tcBorders/>
            <w:shd w:fill="auto" w:val="clear"/>
            <w:vAlign w:val="center"/>
          </w:tcPr>
          <w:p>
            <w:pPr>
              <w:pStyle w:val="TableContents"/>
              <w:spacing w:before="0" w:after="283"/>
              <w:rPr/>
            </w:pPr>
            <w:r>
              <w:rPr/>
              <w:t> </w:t>
            </w:r>
          </w:p>
        </w:tc>
        <w:tc>
          <w:tcPr>
            <w:tcW w:w="142"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10003"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ind w:left="432" w:right="432" w:hanging="0"/>
        <w:jc w:val="left"/>
        <w:rPr/>
      </w:pPr>
      <w:r>
        <w:rPr/>
        <w:t> </w:t>
      </w:r>
    </w:p>
    <w:tbl>
      <w:tblPr>
        <w:tblW w:w="10205" w:type="dxa"/>
        <w:jc w:val="left"/>
        <w:tblInd w:w="0" w:type="dxa"/>
        <w:tblCellMar>
          <w:top w:w="0" w:type="dxa"/>
          <w:left w:w="0" w:type="dxa"/>
          <w:bottom w:w="0" w:type="dxa"/>
          <w:right w:w="0" w:type="dxa"/>
        </w:tblCellMar>
      </w:tblPr>
      <w:tblGrid>
        <w:gridCol w:w="60"/>
        <w:gridCol w:w="144"/>
        <w:gridCol w:w="10001"/>
      </w:tblGrid>
      <w:tr>
        <w:trPr/>
        <w:tc>
          <w:tcPr>
            <w:tcW w:w="60" w:type="dxa"/>
            <w:tcBorders/>
            <w:shd w:fill="auto" w:val="clear"/>
            <w:vAlign w:val="center"/>
          </w:tcPr>
          <w:p>
            <w:pPr>
              <w:pStyle w:val="TableContents"/>
              <w:spacing w:before="0" w:after="283"/>
              <w:rPr/>
            </w:pPr>
            <w:r>
              <w:rPr/>
              <w:t> </w:t>
            </w:r>
          </w:p>
        </w:tc>
        <w:tc>
          <w:tcPr>
            <w:tcW w:w="144"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10001"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before="0" w:after="0"/>
        <w:ind w:left="432" w:right="432" w:hanging="0"/>
        <w:jc w:val="left"/>
        <w:rPr/>
      </w:pPr>
      <w:r>
        <w:rPr/>
        <w:t> </w:t>
      </w:r>
    </w:p>
    <w:tbl>
      <w:tblPr>
        <w:tblW w:w="10205" w:type="dxa"/>
        <w:jc w:val="left"/>
        <w:tblInd w:w="0" w:type="dxa"/>
        <w:tblCellMar>
          <w:top w:w="0" w:type="dxa"/>
          <w:left w:w="0" w:type="dxa"/>
          <w:bottom w:w="0" w:type="dxa"/>
          <w:right w:w="0" w:type="dxa"/>
        </w:tblCellMar>
      </w:tblPr>
      <w:tblGrid>
        <w:gridCol w:w="60"/>
        <w:gridCol w:w="141"/>
        <w:gridCol w:w="10004"/>
      </w:tblGrid>
      <w:tr>
        <w:trPr/>
        <w:tc>
          <w:tcPr>
            <w:tcW w:w="6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4.</w:t>
            </w:r>
          </w:p>
        </w:tc>
        <w:tc>
          <w:tcPr>
            <w:tcW w:w="10004"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spacing w:before="0" w:after="0"/>
        <w:ind w:left="432" w:right="432" w:hanging="0"/>
        <w:jc w:val="left"/>
        <w:rPr/>
      </w:pPr>
      <w:r>
        <w:rPr/>
        <w:t> </w:t>
      </w:r>
    </w:p>
    <w:tbl>
      <w:tblPr>
        <w:tblW w:w="10205" w:type="dxa"/>
        <w:jc w:val="left"/>
        <w:tblInd w:w="0" w:type="dxa"/>
        <w:tblCellMar>
          <w:top w:w="0" w:type="dxa"/>
          <w:left w:w="0" w:type="dxa"/>
          <w:bottom w:w="0" w:type="dxa"/>
          <w:right w:w="0" w:type="dxa"/>
        </w:tblCellMar>
      </w:tblPr>
      <w:tblGrid>
        <w:gridCol w:w="60"/>
        <w:gridCol w:w="188"/>
        <w:gridCol w:w="9957"/>
      </w:tblGrid>
      <w:tr>
        <w:trPr/>
        <w:tc>
          <w:tcPr>
            <w:tcW w:w="60" w:type="dxa"/>
            <w:tcBorders/>
            <w:shd w:fill="auto" w:val="clear"/>
            <w:vAlign w:val="center"/>
          </w:tcPr>
          <w:p>
            <w:pPr>
              <w:pStyle w:val="TableContents"/>
              <w:spacing w:before="0" w:after="283"/>
              <w:rPr/>
            </w:pPr>
            <w:r>
              <w:rPr/>
              <w:t> </w:t>
            </w:r>
          </w:p>
        </w:tc>
        <w:tc>
          <w:tcPr>
            <w:tcW w:w="188"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9957"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spacing w:before="0" w:after="0"/>
        <w:ind w:left="432" w:right="432" w:hanging="0"/>
        <w:jc w:val="left"/>
        <w:rPr/>
      </w:pPr>
      <w:r>
        <w:rPr/>
        <w:t> </w:t>
      </w:r>
    </w:p>
    <w:tbl>
      <w:tblPr>
        <w:tblW w:w="10205" w:type="dxa"/>
        <w:jc w:val="left"/>
        <w:tblInd w:w="0" w:type="dxa"/>
        <w:tblCellMar>
          <w:top w:w="0" w:type="dxa"/>
          <w:left w:w="0" w:type="dxa"/>
          <w:bottom w:w="0" w:type="dxa"/>
          <w:right w:w="0" w:type="dxa"/>
        </w:tblCellMar>
      </w:tblPr>
      <w:tblGrid>
        <w:gridCol w:w="60"/>
        <w:gridCol w:w="204"/>
        <w:gridCol w:w="9941"/>
      </w:tblGrid>
      <w:tr>
        <w:trPr/>
        <w:tc>
          <w:tcPr>
            <w:tcW w:w="60" w:type="dxa"/>
            <w:tcBorders/>
            <w:shd w:fill="auto" w:val="clear"/>
            <w:vAlign w:val="center"/>
          </w:tcPr>
          <w:p>
            <w:pPr>
              <w:pStyle w:val="TableContents"/>
              <w:spacing w:before="0" w:after="283"/>
              <w:rPr/>
            </w:pPr>
            <w:r>
              <w:rPr/>
              <w:t> </w:t>
            </w:r>
          </w:p>
        </w:tc>
        <w:tc>
          <w:tcPr>
            <w:tcW w:w="204"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941"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spacing w:before="0" w:after="0"/>
        <w:ind w:left="432" w:right="432" w:hanging="0"/>
        <w:jc w:val="left"/>
        <w:rPr/>
      </w:pPr>
      <w:r>
        <w:rPr/>
        <w:t> </w:t>
      </w:r>
    </w:p>
    <w:tbl>
      <w:tblPr>
        <w:tblW w:w="10205" w:type="dxa"/>
        <w:jc w:val="left"/>
        <w:tblInd w:w="0" w:type="dxa"/>
        <w:tblCellMar>
          <w:top w:w="0" w:type="dxa"/>
          <w:left w:w="0" w:type="dxa"/>
          <w:bottom w:w="0" w:type="dxa"/>
          <w:right w:w="0" w:type="dxa"/>
        </w:tblCellMar>
      </w:tblPr>
      <w:tblGrid>
        <w:gridCol w:w="60"/>
        <w:gridCol w:w="195"/>
        <w:gridCol w:w="9950"/>
      </w:tblGrid>
      <w:tr>
        <w:trPr/>
        <w:tc>
          <w:tcPr>
            <w:tcW w:w="6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(c)</w:t>
            </w:r>
          </w:p>
        </w:tc>
        <w:tc>
          <w:tcPr>
            <w:tcW w:w="9950"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before="0" w:after="0"/>
        <w:ind w:left="432" w:right="432" w:hanging="0"/>
        <w:jc w:val="left"/>
        <w:rPr/>
      </w:pPr>
      <w:r>
        <w:rPr/>
        <w:t> </w:t>
      </w:r>
    </w:p>
    <w:tbl>
      <w:tblPr>
        <w:tblW w:w="10205" w:type="dxa"/>
        <w:jc w:val="left"/>
        <w:tblInd w:w="0" w:type="dxa"/>
        <w:tblCellMar>
          <w:top w:w="0" w:type="dxa"/>
          <w:left w:w="0" w:type="dxa"/>
          <w:bottom w:w="0" w:type="dxa"/>
          <w:right w:w="0" w:type="dxa"/>
        </w:tblCellMar>
      </w:tblPr>
      <w:tblGrid>
        <w:gridCol w:w="60"/>
        <w:gridCol w:w="204"/>
        <w:gridCol w:w="9941"/>
      </w:tblGrid>
      <w:tr>
        <w:trPr/>
        <w:tc>
          <w:tcPr>
            <w:tcW w:w="60" w:type="dxa"/>
            <w:tcBorders/>
            <w:shd w:fill="auto" w:val="clear"/>
            <w:vAlign w:val="center"/>
          </w:tcPr>
          <w:p>
            <w:pPr>
              <w:pStyle w:val="TableContents"/>
              <w:spacing w:before="0" w:after="283"/>
              <w:rPr/>
            </w:pPr>
            <w:r>
              <w:rPr/>
              <w:t> </w:t>
            </w:r>
          </w:p>
        </w:tc>
        <w:tc>
          <w:tcPr>
            <w:tcW w:w="204"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(d)</w:t>
            </w:r>
          </w:p>
        </w:tc>
        <w:tc>
          <w:tcPr>
            <w:tcW w:w="9941"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spacing w:before="0" w:after="0"/>
        <w:ind w:left="432" w:right="432" w:hanging="0"/>
        <w:jc w:val="left"/>
        <w:rPr/>
      </w:pPr>
      <w:r>
        <w:rPr/>
        <w:t> </w:t>
      </w:r>
    </w:p>
    <w:tbl>
      <w:tblPr>
        <w:tblW w:w="10205" w:type="dxa"/>
        <w:jc w:val="left"/>
        <w:tblInd w:w="0" w:type="dxa"/>
        <w:tblCellMar>
          <w:top w:w="0" w:type="dxa"/>
          <w:left w:w="0" w:type="dxa"/>
          <w:bottom w:w="0" w:type="dxa"/>
          <w:right w:w="0" w:type="dxa"/>
        </w:tblCellMar>
      </w:tblPr>
      <w:tblGrid>
        <w:gridCol w:w="60"/>
        <w:gridCol w:w="143"/>
        <w:gridCol w:w="10002"/>
      </w:tblGrid>
      <w:tr>
        <w:trPr/>
        <w:tc>
          <w:tcPr>
            <w:tcW w:w="60" w:type="dxa"/>
            <w:tcBorders/>
            <w:shd w:fill="auto" w:val="clear"/>
            <w:vAlign w:val="center"/>
          </w:tcPr>
          <w:p>
            <w:pPr>
              <w:pStyle w:val="TableContents"/>
              <w:spacing w:before="0" w:after="283"/>
              <w:rPr/>
            </w:pPr>
            <w:r>
              <w:rPr/>
              <w:t> </w:t>
            </w:r>
          </w:p>
        </w:tc>
        <w:tc>
          <w:tcPr>
            <w:tcW w:w="143"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5.</w:t>
            </w:r>
          </w:p>
        </w:tc>
        <w:tc>
          <w:tcPr>
            <w:tcW w:w="10002"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spacing w:before="0" w:after="0"/>
        <w:ind w:left="432" w:right="432" w:hanging="0"/>
        <w:jc w:val="left"/>
        <w:rPr/>
      </w:pPr>
      <w:r>
        <w:rPr/>
        <w:t> </w:t>
      </w:r>
    </w:p>
    <w:tbl>
      <w:tblPr>
        <w:tblW w:w="10205" w:type="dxa"/>
        <w:jc w:val="left"/>
        <w:tblInd w:w="0" w:type="dxa"/>
        <w:tblCellMar>
          <w:top w:w="0" w:type="dxa"/>
          <w:left w:w="0" w:type="dxa"/>
          <w:bottom w:w="0" w:type="dxa"/>
          <w:right w:w="0" w:type="dxa"/>
        </w:tblCellMar>
      </w:tblPr>
      <w:tblGrid>
        <w:gridCol w:w="60"/>
        <w:gridCol w:w="196"/>
        <w:gridCol w:w="9949"/>
      </w:tblGrid>
      <w:tr>
        <w:trPr/>
        <w:tc>
          <w:tcPr>
            <w:tcW w:w="60" w:type="dxa"/>
            <w:tcBorders/>
            <w:shd w:fill="auto" w:val="clear"/>
            <w:vAlign w:val="center"/>
          </w:tcPr>
          <w:p>
            <w:pPr>
              <w:pStyle w:val="TableContents"/>
              <w:spacing w:before="0" w:after="283"/>
              <w:rPr/>
            </w:pPr>
            <w:r>
              <w:rPr/>
              <w:t> </w:t>
            </w:r>
          </w:p>
        </w:tc>
        <w:tc>
          <w:tcPr>
            <w:tcW w:w="196"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9949"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before="0" w:after="0"/>
        <w:ind w:left="432" w:right="432" w:hanging="0"/>
        <w:jc w:val="left"/>
        <w:rPr/>
      </w:pPr>
      <w:r>
        <w:rPr/>
        <w:t> </w:t>
      </w:r>
    </w:p>
    <w:tbl>
      <w:tblPr>
        <w:tblW w:w="10205" w:type="dxa"/>
        <w:jc w:val="left"/>
        <w:tblInd w:w="0" w:type="dxa"/>
        <w:tblCellMar>
          <w:top w:w="0" w:type="dxa"/>
          <w:left w:w="0" w:type="dxa"/>
          <w:bottom w:w="0" w:type="dxa"/>
          <w:right w:w="0" w:type="dxa"/>
        </w:tblCellMar>
      </w:tblPr>
      <w:tblGrid>
        <w:gridCol w:w="60"/>
        <w:gridCol w:w="227"/>
        <w:gridCol w:w="9918"/>
      </w:tblGrid>
      <w:tr>
        <w:trPr/>
        <w:tc>
          <w:tcPr>
            <w:tcW w:w="60" w:type="dxa"/>
            <w:tcBorders/>
            <w:shd w:fill="auto" w:val="clear"/>
            <w:vAlign w:val="center"/>
          </w:tcPr>
          <w:p>
            <w:pPr>
              <w:pStyle w:val="TableContents"/>
              <w:spacing w:before="0" w:after="283"/>
              <w:rPr/>
            </w:pPr>
            <w:r>
              <w:rPr/>
              <w:t> </w:t>
            </w:r>
          </w:p>
        </w:tc>
        <w:tc>
          <w:tcPr>
            <w:tcW w:w="227"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918"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spacing w:before="0" w:after="0"/>
        <w:ind w:left="432" w:right="432" w:hanging="0"/>
        <w:jc w:val="left"/>
        <w:rPr/>
      </w:pPr>
      <w:r>
        <w:rPr/>
        <w:t> </w:t>
      </w:r>
    </w:p>
    <w:tbl>
      <w:tblPr>
        <w:tblW w:w="2450" w:type="dxa"/>
        <w:jc w:val="left"/>
        <w:tblInd w:w="0" w:type="dxa"/>
        <w:tblCellMar>
          <w:top w:w="0" w:type="dxa"/>
          <w:left w:w="0" w:type="dxa"/>
          <w:bottom w:w="0" w:type="dxa"/>
          <w:right w:w="0" w:type="dxa"/>
        </w:tblCellMar>
      </w:tblPr>
      <w:tblGrid>
        <w:gridCol w:w="60"/>
        <w:gridCol w:w="2390"/>
      </w:tblGrid>
      <w:tr>
        <w:trPr/>
        <w:tc>
          <w:tcPr>
            <w:tcW w:w="60" w:type="dxa"/>
            <w:tcBorders/>
            <w:shd w:fill="auto" w:val="clear"/>
            <w:vAlign w:val="center"/>
          </w:tcPr>
          <w:p>
            <w:pPr>
              <w:pStyle w:val="TableContents"/>
              <w:spacing w:before="0" w:after="283"/>
              <w:rPr/>
            </w:pPr>
            <w:r>
              <w:rPr/>
              <w:t> </w:t>
            </w:r>
          </w:p>
        </w:tc>
        <w:tc>
          <w:tcPr>
            <w:tcW w:w="239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2390" w:type="dxa"/>
            <w:tcBorders>
              <w:bottom w:val="single" w:sz="2" w:space="0" w:color="000000"/>
            </w:tcBorders>
            <w:shd w:fill="auto" w:val="clear"/>
            <w:tcMar>
              <w:bottom w:w="28" w:type="dxa"/>
            </w:tcM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/s/ Voin Todorovic</w:t>
            </w:r>
          </w:p>
        </w:tc>
      </w:tr>
      <w:tr>
        <w:trPr/>
        <w:tc>
          <w:tcPr>
            <w:tcW w:w="60" w:type="dxa"/>
            <w:tcBorders/>
            <w:shd w:fill="auto" w:val="clear"/>
            <w:vAlign w:val="center"/>
          </w:tcPr>
          <w:p>
            <w:pPr>
              <w:pStyle w:val="TableContents"/>
              <w:spacing w:before="0" w:after="283"/>
              <w:rPr/>
            </w:pPr>
            <w:r>
              <w:rPr/>
              <w:t> </w:t>
            </w:r>
          </w:p>
        </w:tc>
        <w:tc>
          <w:tcPr>
            <w:tcW w:w="2390"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Voin Todorovic</w:t>
            </w:r>
          </w:p>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Build-A-Bear Workshop, Inc.</w:t>
            </w:r>
          </w:p>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spacing w:before="0" w:after="0"/>
        <w:ind w:left="432" w:right="432" w:hanging="0"/>
        <w:jc w:val="left"/>
        <w:rPr/>
      </w:pPr>
      <w:r>
        <w:rPr/>
        <w:t> </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Date: September 9, </w:t>
      </w:r>
      <w:bookmarkStart w:id="19" w:name="led58637F20216121626107405749"/>
      <w:bookmarkEnd w:id="19"/>
      <w:r>
        <w:rPr>
          <w:rFonts w:ascii="Times New Roman;Times;serif" w:hAnsi="Times New Roman;Times;serif"/>
          <w:sz w:val="20"/>
        </w:rPr>
        <w:t>2021</w:t>
      </w:r>
    </w:p>
    <w:p>
      <w:pPr>
        <w:pStyle w:val="TextBody"/>
        <w:rPr/>
      </w:pPr>
      <w:r>
        <w:rPr/>
        <w:t> </w:t>
      </w:r>
      <w:r>
        <w:br w:type="page"/>
      </w:r>
    </w:p>
    <w:p>
      <w:pPr>
        <w:pStyle w:val="TextBody"/>
        <w:spacing w:before="0" w:after="0"/>
        <w:ind w:left="0" w:right="0" w:hanging="0"/>
        <w:jc w:val="right"/>
        <w:rPr>
          <w:rFonts w:ascii="Times New Roman;Times;serif" w:hAnsi="Times New Roman;Times;serif"/>
          <w:b/>
          <w:sz w:val="20"/>
        </w:rPr>
      </w:pPr>
      <w:bookmarkStart w:id="20" w:name="ex_262837.htm"/>
      <w:bookmarkStart w:id="21" w:name="ksex_262837"/>
      <w:bookmarkEnd w:id="20"/>
      <w:bookmarkEnd w:id="21"/>
      <w:r>
        <w:rPr>
          <w:rFonts w:ascii="Times New Roman;Times;serif" w:hAnsi="Times New Roman;Times;serif"/>
          <w:b/>
          <w:sz w:val="20"/>
        </w:rPr>
        <w:t xml:space="preserve">Exhibit 32.1 </w:t>
      </w:r>
    </w:p>
    <w:p>
      <w:pPr>
        <w:pStyle w:val="TextBody"/>
        <w:spacing w:before="0" w:after="0"/>
        <w:ind w:left="576" w:right="576" w:hanging="0"/>
        <w:jc w:val="left"/>
        <w:rPr/>
      </w:pPr>
      <w:r>
        <w:rPr/>
        <w:t> </w:t>
      </w:r>
    </w:p>
    <w:p>
      <w:pPr>
        <w:pStyle w:val="TextBody"/>
        <w:spacing w:before="0" w:after="0"/>
        <w:ind w:left="576" w:right="576" w:hanging="0"/>
        <w:jc w:val="center"/>
        <w:rPr>
          <w:rFonts w:ascii="Times New Roman;Times;serif" w:hAnsi="Times New Roman;Times;serif"/>
          <w:b/>
          <w:sz w:val="20"/>
        </w:rPr>
      </w:pPr>
      <w:r>
        <w:rPr>
          <w:rFonts w:ascii="Times New Roman;Times;serif" w:hAnsi="Times New Roman;Times;serif"/>
          <w:b/>
          <w:sz w:val="20"/>
        </w:rPr>
        <w:t xml:space="preserve">CERTIFICATION PURSUANT TO 18 U.S.C. SECTION 1350, </w:t>
      </w:r>
    </w:p>
    <w:p>
      <w:pPr>
        <w:pStyle w:val="TextBody"/>
        <w:spacing w:before="0" w:after="0"/>
        <w:ind w:left="576" w:right="576" w:hanging="0"/>
        <w:jc w:val="center"/>
        <w:rPr>
          <w:rFonts w:ascii="Times New Roman;Times;serif" w:hAnsi="Times New Roman;Times;serif"/>
          <w:b/>
          <w:sz w:val="20"/>
        </w:rPr>
      </w:pPr>
      <w:r>
        <w:rPr>
          <w:rFonts w:ascii="Times New Roman;Times;serif" w:hAnsi="Times New Roman;Times;serif"/>
          <w:b/>
          <w:sz w:val="20"/>
        </w:rPr>
        <w:t xml:space="preserve">AS ADOPTED PURSUANT TO </w:t>
      </w:r>
    </w:p>
    <w:p>
      <w:pPr>
        <w:pStyle w:val="TextBody"/>
        <w:spacing w:before="0" w:after="0"/>
        <w:ind w:left="576" w:right="576" w:hanging="0"/>
        <w:jc w:val="center"/>
        <w:rPr>
          <w:rFonts w:ascii="Times New Roman;Times;serif" w:hAnsi="Times New Roman;Times;serif"/>
          <w:b/>
          <w:sz w:val="20"/>
        </w:rPr>
      </w:pPr>
      <w:r>
        <w:rPr>
          <w:rFonts w:ascii="Times New Roman;Times;serif" w:hAnsi="Times New Roman;Times;serif"/>
          <w:b/>
          <w:sz w:val="20"/>
        </w:rPr>
        <w:t xml:space="preserve">SECTION 906 OF THE SARBANES-OXLEY ACT OF 2002 </w:t>
      </w:r>
    </w:p>
    <w:p>
      <w:pPr>
        <w:pStyle w:val="TextBody"/>
        <w:spacing w:before="0" w:after="0"/>
        <w:ind w:left="576" w:right="576" w:hanging="0"/>
        <w:jc w:val="left"/>
        <w:rPr/>
      </w:pPr>
      <w:r>
        <w:rPr/>
        <w:t> </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sz w:val="20"/>
        </w:rPr>
        <w:t>In connection with the quarterly report of Build-A-Bear Workshop, Inc. (the “Company”) on Form 10-Q for the period ended </w:t>
      </w:r>
      <w:bookmarkStart w:id="22" w:name="led58638F2020531591149503798"/>
      <w:bookmarkEnd w:id="22"/>
      <w:r>
        <w:rPr>
          <w:rFonts w:ascii="Times New Roman;Times;serif" w:hAnsi="Times New Roman;Times;serif"/>
          <w:sz w:val="20"/>
        </w:rPr>
        <w:t>July 31, 2021 filed with the Securities and Exchange Commission on the date hereof (the “Report”), I, Sharon John, President and Chief Executive Officer of the Company, certify, to the best of my knowledge, pursuant to Rule 13a-14(b) and Section 1350 of Chapter 63 of Title 18 of the United States Code, as adopted pursuant to Section 906 of the Sarbanes-Oxley Act of 2002, that:</w:t>
      </w:r>
    </w:p>
    <w:p>
      <w:pPr>
        <w:pStyle w:val="TextBody"/>
        <w:spacing w:before="0" w:after="0"/>
        <w:ind w:left="576" w:right="576" w:hanging="0"/>
        <w:jc w:val="left"/>
        <w:rPr/>
      </w:pPr>
      <w:r>
        <w:rPr/>
        <w:t> </w:t>
      </w:r>
    </w:p>
    <w:p>
      <w:pPr>
        <w:pStyle w:val="TextBody"/>
        <w:spacing w:before="0" w:after="0"/>
        <w:ind w:left="0" w:right="0" w:firstLine="720"/>
        <w:jc w:val="left"/>
        <w:rPr>
          <w:rFonts w:ascii="Times New Roman;Times;serif" w:hAnsi="Times New Roman;Times;serif"/>
          <w:sz w:val="20"/>
        </w:rPr>
      </w:pPr>
      <w:r>
        <w:rPr>
          <w:rFonts w:ascii="Times New Roman;Times;serif" w:hAnsi="Times New Roman;Times;serif"/>
          <w:sz w:val="20"/>
        </w:rPr>
        <w:t>(1) The Report fully complies with the requirements of Section 13(a) or 15(d) of the Securities Exchange Act of 1934; and</w:t>
      </w:r>
    </w:p>
    <w:p>
      <w:pPr>
        <w:pStyle w:val="TextBody"/>
        <w:spacing w:before="0" w:after="0"/>
        <w:ind w:left="0" w:right="0" w:firstLine="720"/>
        <w:jc w:val="left"/>
        <w:rPr/>
      </w:pPr>
      <w:r>
        <w:rPr/>
        <w:t> </w:t>
      </w:r>
    </w:p>
    <w:p>
      <w:pPr>
        <w:pStyle w:val="TextBody"/>
        <w:spacing w:before="0" w:after="0"/>
        <w:ind w:left="0" w:right="0" w:firstLine="720"/>
        <w:jc w:val="left"/>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results of operations of the Company.</w:t>
      </w:r>
    </w:p>
    <w:p>
      <w:pPr>
        <w:pStyle w:val="TextBody"/>
        <w:spacing w:before="0" w:after="0"/>
        <w:ind w:left="576" w:right="576" w:hanging="0"/>
        <w:jc w:val="left"/>
        <w:rPr/>
      </w:pPr>
      <w:r>
        <w:rPr/>
        <w:t> </w:t>
      </w:r>
    </w:p>
    <w:tbl>
      <w:tblPr>
        <w:tblW w:w="3140" w:type="dxa"/>
        <w:jc w:val="left"/>
        <w:tblInd w:w="0" w:type="dxa"/>
        <w:tblCellMar>
          <w:top w:w="0" w:type="dxa"/>
          <w:left w:w="0" w:type="dxa"/>
          <w:bottom w:w="0" w:type="dxa"/>
          <w:right w:w="0" w:type="dxa"/>
        </w:tblCellMar>
      </w:tblPr>
      <w:tblGrid>
        <w:gridCol w:w="60"/>
        <w:gridCol w:w="3080"/>
      </w:tblGrid>
      <w:tr>
        <w:trPr/>
        <w:tc>
          <w:tcPr>
            <w:tcW w:w="60" w:type="dxa"/>
            <w:tcBorders/>
            <w:shd w:fill="auto" w:val="clear"/>
            <w:vAlign w:val="center"/>
          </w:tcPr>
          <w:p>
            <w:pPr>
              <w:pStyle w:val="TableContents"/>
              <w:spacing w:before="0" w:after="283"/>
              <w:rPr/>
            </w:pPr>
            <w:r>
              <w:rPr/>
              <w:t> </w:t>
            </w:r>
          </w:p>
        </w:tc>
        <w:tc>
          <w:tcPr>
            <w:tcW w:w="308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3080" w:type="dxa"/>
            <w:tcBorders>
              <w:bottom w:val="single" w:sz="2" w:space="0" w:color="000000"/>
            </w:tcBorders>
            <w:shd w:fill="auto" w:val="clear"/>
            <w:tcMar>
              <w:bottom w:w="28" w:type="dxa"/>
            </w:tcM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/s/ Sharon John</w:t>
            </w:r>
          </w:p>
        </w:tc>
      </w:tr>
      <w:tr>
        <w:trPr/>
        <w:tc>
          <w:tcPr>
            <w:tcW w:w="60" w:type="dxa"/>
            <w:tcBorders/>
            <w:shd w:fill="auto" w:val="clear"/>
            <w:vAlign w:val="center"/>
          </w:tcPr>
          <w:p>
            <w:pPr>
              <w:pStyle w:val="TableContents"/>
              <w:spacing w:before="0" w:after="283"/>
              <w:rPr/>
            </w:pPr>
            <w:r>
              <w:rPr/>
              <w:t> </w:t>
            </w:r>
          </w:p>
        </w:tc>
        <w:tc>
          <w:tcPr>
            <w:tcW w:w="3080"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Sharon John</w:t>
            </w:r>
          </w:p>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Build-A-Bear Workshop, Inc.</w:t>
            </w:r>
          </w:p>
        </w:tc>
      </w:tr>
      <w:tr>
        <w:trPr/>
        <w:tc>
          <w:tcPr>
            <w:tcW w:w="60" w:type="dxa"/>
            <w:tcBorders/>
            <w:shd w:fill="auto" w:val="clear"/>
            <w:vAlign w:val="center"/>
          </w:tcPr>
          <w:p>
            <w:pPr>
              <w:pStyle w:val="TableContents"/>
              <w:spacing w:before="0" w:after="283"/>
              <w:rPr/>
            </w:pPr>
            <w:r>
              <w:rPr/>
              <w:t> </w:t>
            </w:r>
          </w:p>
        </w:tc>
        <w:tc>
          <w:tcPr>
            <w:tcW w:w="3080"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spacing w:before="0" w:after="0"/>
        <w:ind w:left="576" w:right="576" w:hanging="0"/>
        <w:jc w:val="left"/>
        <w:rPr/>
      </w:pPr>
      <w:r>
        <w:rPr/>
        <w:t> </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Date: September 9, </w:t>
      </w:r>
      <w:bookmarkStart w:id="23" w:name="led58637F20216121626107431178"/>
      <w:bookmarkEnd w:id="23"/>
      <w:r>
        <w:rPr>
          <w:rFonts w:ascii="Times New Roman;Times;serif" w:hAnsi="Times New Roman;Times;serif"/>
          <w:sz w:val="20"/>
        </w:rPr>
        <w:t>2021</w:t>
      </w:r>
    </w:p>
    <w:p>
      <w:pPr>
        <w:pStyle w:val="TextBody"/>
        <w:rPr/>
      </w:pPr>
      <w:r>
        <w:rPr/>
        <w:t> </w:t>
      </w:r>
      <w:r>
        <w:br w:type="page"/>
      </w:r>
    </w:p>
    <w:p>
      <w:pPr>
        <w:pStyle w:val="TextBody"/>
        <w:spacing w:before="0" w:after="0"/>
        <w:ind w:left="0" w:right="0" w:hanging="0"/>
        <w:jc w:val="right"/>
        <w:rPr>
          <w:rFonts w:ascii="Times New Roman;Times;serif" w:hAnsi="Times New Roman;Times;serif"/>
          <w:b/>
          <w:sz w:val="20"/>
        </w:rPr>
      </w:pPr>
      <w:bookmarkStart w:id="24" w:name="ex_262838.htm"/>
      <w:bookmarkStart w:id="25" w:name="ksex_262838"/>
      <w:bookmarkEnd w:id="24"/>
      <w:bookmarkEnd w:id="25"/>
      <w:r>
        <w:rPr>
          <w:rFonts w:ascii="Times New Roman;Times;serif" w:hAnsi="Times New Roman;Times;serif"/>
          <w:b/>
          <w:sz w:val="20"/>
        </w:rPr>
        <w:t xml:space="preserve">Exhibit 32.2 </w:t>
      </w:r>
    </w:p>
    <w:p>
      <w:pPr>
        <w:pStyle w:val="TextBody"/>
        <w:spacing w:before="0" w:after="0"/>
        <w:ind w:left="720" w:right="720" w:hanging="0"/>
        <w:jc w:val="left"/>
        <w:rPr/>
      </w:pPr>
      <w:r>
        <w:rPr/>
        <w:t> </w:t>
      </w:r>
    </w:p>
    <w:p>
      <w:pPr>
        <w:pStyle w:val="TextBody"/>
        <w:spacing w:before="0" w:after="0"/>
        <w:ind w:left="720" w:right="720" w:hanging="0"/>
        <w:jc w:val="center"/>
        <w:rPr>
          <w:rFonts w:ascii="Times New Roman;Times;serif" w:hAnsi="Times New Roman;Times;serif"/>
          <w:b/>
          <w:sz w:val="20"/>
        </w:rPr>
      </w:pPr>
      <w:r>
        <w:rPr>
          <w:rFonts w:ascii="Times New Roman;Times;serif" w:hAnsi="Times New Roman;Times;serif"/>
          <w:b/>
          <w:sz w:val="20"/>
        </w:rPr>
        <w:t xml:space="preserve">CERTIFICATION PURSUANT TO 18 U.S.C. SECTION 1350, </w:t>
      </w:r>
    </w:p>
    <w:p>
      <w:pPr>
        <w:pStyle w:val="TextBody"/>
        <w:spacing w:before="0" w:after="0"/>
        <w:ind w:left="720" w:right="720" w:hanging="0"/>
        <w:jc w:val="center"/>
        <w:rPr>
          <w:rFonts w:ascii="Times New Roman;Times;serif" w:hAnsi="Times New Roman;Times;serif"/>
          <w:b/>
          <w:sz w:val="20"/>
        </w:rPr>
      </w:pPr>
      <w:r>
        <w:rPr>
          <w:rFonts w:ascii="Times New Roman;Times;serif" w:hAnsi="Times New Roman;Times;serif"/>
          <w:b/>
          <w:sz w:val="20"/>
        </w:rPr>
        <w:t xml:space="preserve">AS ADOPTED PURSUANT TO </w:t>
      </w:r>
    </w:p>
    <w:p>
      <w:pPr>
        <w:pStyle w:val="TextBody"/>
        <w:spacing w:before="0" w:after="0"/>
        <w:ind w:left="720" w:right="720" w:hanging="0"/>
        <w:jc w:val="center"/>
        <w:rPr>
          <w:rFonts w:ascii="Times New Roman;Times;serif" w:hAnsi="Times New Roman;Times;serif"/>
          <w:b/>
          <w:sz w:val="20"/>
        </w:rPr>
      </w:pPr>
      <w:r>
        <w:rPr>
          <w:rFonts w:ascii="Times New Roman;Times;serif" w:hAnsi="Times New Roman;Times;serif"/>
          <w:b/>
          <w:sz w:val="20"/>
        </w:rPr>
        <w:t xml:space="preserve">SECTION 906 OF THE SARBANES-OXLEY ACT OF 2002 </w:t>
      </w:r>
    </w:p>
    <w:p>
      <w:pPr>
        <w:pStyle w:val="TextBody"/>
        <w:spacing w:before="0" w:after="0"/>
        <w:ind w:left="720" w:right="720" w:hanging="0"/>
        <w:jc w:val="left"/>
        <w:rPr/>
      </w:pPr>
      <w:r>
        <w:rPr/>
        <w:t> </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sz w:val="20"/>
        </w:rPr>
        <w:t>In connection with the quarterly report of Build-A-Bear Workshop, Inc. (the “Company”) on Form 10-Q for the period ended </w:t>
      </w:r>
      <w:bookmarkStart w:id="26" w:name="led58638F2020531591149539964"/>
      <w:bookmarkEnd w:id="26"/>
      <w:r>
        <w:rPr>
          <w:rFonts w:ascii="Times New Roman;Times;serif" w:hAnsi="Times New Roman;Times;serif"/>
          <w:sz w:val="20"/>
        </w:rPr>
        <w:t>July 31, 2021 as filed with the Securities and Exchange Commission on the date hereof (the “Report”), I, Voin Todorovic, Chief Financial Officer of the Company, certify, to the best of my knowledge, pursuant to Rule 13a-14(b) and Section 1350 of Chapter 63 of Title 18 of the United States Code, as adopted pursuant to Section 906 of the Sarbanes-Oxley Act of 2002, that:</w:t>
      </w:r>
    </w:p>
    <w:p>
      <w:pPr>
        <w:pStyle w:val="TextBody"/>
        <w:spacing w:before="0" w:after="0"/>
        <w:ind w:left="720" w:right="720" w:hanging="0"/>
        <w:jc w:val="left"/>
        <w:rPr/>
      </w:pPr>
      <w:r>
        <w:rPr/>
        <w:t> </w:t>
      </w:r>
    </w:p>
    <w:p>
      <w:pPr>
        <w:pStyle w:val="TextBody"/>
        <w:spacing w:before="0" w:after="0"/>
        <w:ind w:left="0" w:right="0" w:firstLine="720"/>
        <w:jc w:val="left"/>
        <w:rPr>
          <w:rFonts w:ascii="Times New Roman;Times;serif" w:hAnsi="Times New Roman;Times;serif"/>
          <w:sz w:val="20"/>
        </w:rPr>
      </w:pPr>
      <w:r>
        <w:rPr>
          <w:rFonts w:ascii="Times New Roman;Times;serif" w:hAnsi="Times New Roman;Times;serif"/>
          <w:sz w:val="20"/>
        </w:rPr>
        <w:t>(1) The Report fully complies with the requirements of Section 13(a) or 15(d) of the Securities Exchange Act of 1934; and</w:t>
      </w:r>
    </w:p>
    <w:p>
      <w:pPr>
        <w:pStyle w:val="TextBody"/>
        <w:spacing w:before="0" w:after="0"/>
        <w:ind w:left="0" w:right="0" w:firstLine="720"/>
        <w:jc w:val="left"/>
        <w:rPr/>
      </w:pPr>
      <w:r>
        <w:rPr/>
        <w:t> </w:t>
      </w:r>
    </w:p>
    <w:p>
      <w:pPr>
        <w:pStyle w:val="TextBody"/>
        <w:spacing w:before="0" w:after="0"/>
        <w:ind w:left="0" w:right="0" w:firstLine="720"/>
        <w:jc w:val="left"/>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results of operations of the Company.</w:t>
      </w:r>
    </w:p>
    <w:p>
      <w:pPr>
        <w:pStyle w:val="TextBody"/>
        <w:spacing w:before="0" w:after="0"/>
        <w:ind w:left="720" w:right="720" w:hanging="0"/>
        <w:jc w:val="left"/>
        <w:rPr/>
      </w:pPr>
      <w:r>
        <w:rPr/>
        <w:t> </w:t>
      </w:r>
    </w:p>
    <w:tbl>
      <w:tblPr>
        <w:tblW w:w="2450" w:type="dxa"/>
        <w:jc w:val="left"/>
        <w:tblInd w:w="0" w:type="dxa"/>
        <w:tblCellMar>
          <w:top w:w="0" w:type="dxa"/>
          <w:left w:w="0" w:type="dxa"/>
          <w:bottom w:w="0" w:type="dxa"/>
          <w:right w:w="0" w:type="dxa"/>
        </w:tblCellMar>
      </w:tblPr>
      <w:tblGrid>
        <w:gridCol w:w="60"/>
        <w:gridCol w:w="2390"/>
      </w:tblGrid>
      <w:tr>
        <w:trPr/>
        <w:tc>
          <w:tcPr>
            <w:tcW w:w="60" w:type="dxa"/>
            <w:tcBorders/>
            <w:shd w:fill="auto" w:val="clear"/>
            <w:vAlign w:val="center"/>
          </w:tcPr>
          <w:p>
            <w:pPr>
              <w:pStyle w:val="TableContents"/>
              <w:spacing w:before="0" w:after="283"/>
              <w:rPr/>
            </w:pPr>
            <w:r>
              <w:rPr/>
              <w:t> </w:t>
            </w:r>
          </w:p>
        </w:tc>
        <w:tc>
          <w:tcPr>
            <w:tcW w:w="239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2390" w:type="dxa"/>
            <w:tcBorders>
              <w:bottom w:val="single" w:sz="2" w:space="0" w:color="000000"/>
            </w:tcBorders>
            <w:shd w:fill="auto" w:val="clear"/>
            <w:tcMar>
              <w:bottom w:w="28" w:type="dxa"/>
            </w:tcM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/s/ Voin Todorovic</w:t>
            </w:r>
          </w:p>
        </w:tc>
      </w:tr>
      <w:tr>
        <w:trPr/>
        <w:tc>
          <w:tcPr>
            <w:tcW w:w="60" w:type="dxa"/>
            <w:tcBorders/>
            <w:shd w:fill="auto" w:val="clear"/>
            <w:vAlign w:val="center"/>
          </w:tcPr>
          <w:p>
            <w:pPr>
              <w:pStyle w:val="TableContents"/>
              <w:spacing w:before="0" w:after="283"/>
              <w:rPr/>
            </w:pPr>
            <w:r>
              <w:rPr/>
              <w:t> </w:t>
            </w:r>
          </w:p>
        </w:tc>
        <w:tc>
          <w:tcPr>
            <w:tcW w:w="2390"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Voin Todorovic</w:t>
            </w:r>
          </w:p>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Build-A-Bear Workshop, Inc</w:t>
            </w:r>
            <w:r>
              <w:rPr>
                <w:rFonts w:ascii="Times New Roman;Times;serif" w:hAnsi="Times New Roman;Times;serif"/>
                <w:i/>
                <w:sz w:val="20"/>
              </w:rPr>
              <w:t>.</w:t>
            </w:r>
          </w:p>
        </w:tc>
      </w:tr>
      <w:tr>
        <w:trPr/>
        <w:tc>
          <w:tcPr>
            <w:tcW w:w="60" w:type="dxa"/>
            <w:tcBorders/>
            <w:shd w:fill="auto" w:val="clear"/>
            <w:vAlign w:val="center"/>
          </w:tcPr>
          <w:p>
            <w:pPr>
              <w:pStyle w:val="TableContents"/>
              <w:spacing w:before="0" w:after="283"/>
              <w:rPr/>
            </w:pPr>
            <w:r>
              <w:rPr/>
              <w:t> </w:t>
            </w:r>
          </w:p>
        </w:tc>
        <w:tc>
          <w:tcPr>
            <w:tcW w:w="2390"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spacing w:before="0" w:after="0"/>
        <w:ind w:left="720" w:right="720" w:hanging="0"/>
        <w:jc w:val="left"/>
        <w:rPr/>
      </w:pPr>
      <w:r>
        <w:rPr/>
        <w:t> </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Date: September 9, </w:t>
      </w:r>
      <w:bookmarkStart w:id="27" w:name="led58637F20216121626107455704"/>
      <w:bookmarkEnd w:id="27"/>
      <w:r>
        <w:rPr>
          <w:rFonts w:ascii="Times New Roman;Times;serif" w:hAnsi="Times New Roman;Times;serif"/>
          <w:sz w:val="20"/>
        </w:rPr>
        <w:t>2021</w:t>
      </w:r>
    </w:p>
    <w:p>
      <w:pPr>
        <w:pStyle w:val="TextBody"/>
        <w:spacing w:before="0" w:after="283"/>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113809/000095013704006634/c86750exv2w1.txt" TargetMode="External"/><Relationship Id="rId3" Type="http://schemas.openxmlformats.org/officeDocument/2006/relationships/hyperlink" Target="http://www.sec.gov/Archives/edgar/data/1113809/000095013804000748/exh3-1.htm" TargetMode="External"/><Relationship Id="rId4" Type="http://schemas.openxmlformats.org/officeDocument/2006/relationships/hyperlink" Target="http://www.sec.gov/Archives/edgar/data/1113809/000115752316004713/a51286063ex3_1.htm" TargetMode="External"/><Relationship Id="rId5" Type="http://schemas.openxmlformats.org/officeDocument/2006/relationships/hyperlink" Target="http://www.sec.gov/Archives/edgar/data/1113809/000095013704008227/c86750a3exv4w1.txt"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Pages>
  <Words>14736</Words>
  <CharactersWithSpaces>96939</CharactersWithSpaces>
  <Paragraphs>5549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