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0"/>
        </w:rPr>
      </w:pPr>
      <w:bookmarkStart w:id="0" w:name="bbw20260904_8k.htm"/>
      <w:bookmarkStart w:id="1" w:name="ksbbw20260904_8k"/>
      <w:bookmarkEnd w:id="0"/>
      <w:bookmarkEnd w:id="1"/>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FORM 8-K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September 9,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Build-A-Bear Workshop,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995" w:type="dxa"/>
        <w:jc w:val="left"/>
        <w:tblInd w:w="0" w:type="dxa"/>
        <w:tblLayout w:type="fixed"/>
        <w:tblCellMar>
          <w:top w:w="0" w:type="dxa"/>
          <w:left w:w="0" w:type="dxa"/>
          <w:bottom w:w="0" w:type="dxa"/>
          <w:right w:w="0" w:type="dxa"/>
        </w:tblCellMar>
      </w:tblPr>
      <w:tblGrid>
        <w:gridCol w:w="2195"/>
        <w:gridCol w:w="1160"/>
        <w:gridCol w:w="1640"/>
      </w:tblGrid>
      <w:tr>
        <w:trPr/>
        <w:tc>
          <w:tcPr>
            <w:tcW w:w="21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11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001-32320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16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43-1883836</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r>
        <w:trPr/>
        <w:tc>
          <w:tcPr>
            <w:tcW w:w="2195" w:type="dxa"/>
            <w:tcBorders/>
            <w:vAlign w:val="center"/>
          </w:tcPr>
          <w:p>
            <w:pPr>
              <w:pStyle w:val="TableContents"/>
              <w:bidi w:val="0"/>
              <w:spacing w:before="0" w:after="0"/>
              <w:ind w:left="0" w:right="0" w:hanging="0"/>
              <w:jc w:val="left"/>
              <w:rPr/>
            </w:pPr>
            <w:r>
              <w:rPr/>
              <w:t> </w:t>
            </w:r>
          </w:p>
        </w:tc>
        <w:tc>
          <w:tcPr>
            <w:tcW w:w="1160" w:type="dxa"/>
            <w:tcBorders/>
            <w:vAlign w:val="center"/>
          </w:tcPr>
          <w:p>
            <w:pPr>
              <w:pStyle w:val="TableContents"/>
              <w:bidi w:val="0"/>
              <w:spacing w:before="0" w:after="0"/>
              <w:ind w:left="0" w:right="0" w:hanging="0"/>
              <w:jc w:val="left"/>
              <w:rPr/>
            </w:pPr>
            <w:r>
              <w:rPr/>
              <w:t> </w:t>
            </w:r>
          </w:p>
        </w:tc>
        <w:tc>
          <w:tcPr>
            <w:tcW w:w="1640" w:type="dxa"/>
            <w:tcBorders/>
            <w:vAlign w:val="center"/>
          </w:tcPr>
          <w:p>
            <w:pPr>
              <w:pStyle w:val="TableContents"/>
              <w:bidi w:val="0"/>
              <w:spacing w:before="0" w:after="0"/>
              <w:ind w:left="0" w:right="0" w:hanging="0"/>
              <w:jc w:val="left"/>
              <w:rPr/>
            </w:pPr>
            <w:r>
              <w:rPr/>
              <w:t> </w:t>
            </w:r>
          </w:p>
        </w:tc>
      </w:tr>
      <w:tr>
        <w:trPr/>
        <w:tc>
          <w:tcPr>
            <w:tcW w:w="335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415 South 18th St., St. Louis, Missouri</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16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63103</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(314) 423-8000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 xml:space="preserve">see </w:t>
      </w:r>
      <w:r>
        <w:rPr>
          <w:rFonts w:ascii="Times New Roman" w:hAnsi="Times New Roman"/>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658" w:type="dxa"/>
        <w:jc w:val="left"/>
        <w:tblInd w:w="0" w:type="dxa"/>
        <w:tblLayout w:type="fixed"/>
        <w:tblCellMar>
          <w:top w:w="28" w:type="dxa"/>
          <w:left w:w="28" w:type="dxa"/>
          <w:bottom w:w="28" w:type="dxa"/>
          <w:right w:w="28" w:type="dxa"/>
        </w:tblCellMar>
      </w:tblPr>
      <w:tblGrid>
        <w:gridCol w:w="161"/>
        <w:gridCol w:w="316"/>
        <w:gridCol w:w="918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05" w:type="dxa"/>
        <w:jc w:val="left"/>
        <w:tblInd w:w="0" w:type="dxa"/>
        <w:tblLayout w:type="fixed"/>
        <w:tblCellMar>
          <w:top w:w="28" w:type="dxa"/>
          <w:left w:w="28" w:type="dxa"/>
          <w:bottom w:w="28" w:type="dxa"/>
          <w:right w:w="28" w:type="dxa"/>
        </w:tblCellMar>
      </w:tblPr>
      <w:tblGrid>
        <w:gridCol w:w="3395"/>
        <w:gridCol w:w="1535"/>
        <w:gridCol w:w="3575"/>
      </w:tblGrid>
      <w:tr>
        <w:trPr/>
        <w:tc>
          <w:tcPr>
            <w:tcW w:w="33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par value $0.01 per share</w:t>
            </w:r>
          </w:p>
        </w:tc>
        <w:tc>
          <w:tcPr>
            <w:tcW w:w="153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BBW</w:t>
            </w:r>
          </w:p>
        </w:tc>
        <w:tc>
          <w:tcPr>
            <w:tcW w:w="35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Item 8.01         </w:t>
      </w:r>
      <w:r>
        <w:rPr>
          <w:rFonts w:ascii="Times New Roman" w:hAnsi="Times New Roman"/>
          <w:caps w:val="false"/>
          <w:smallCaps w:val="false"/>
          <w:sz w:val="20"/>
          <w:u w:val="single"/>
        </w:rPr>
        <w:t>Other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9, 2026, the Board of Directors of Build-A-Bear Workshop, Inc. (the “Company”) declared a quarterly cash dividend of $0.23 per share to be paid on October 8, 2026, to all holders of record of issued and outstanding shares of the Company’s common stock as of the close of business on September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9, 2026, the Company issued a press release announcing the quarterly dividend. A copy of the press release has been filed as Exhibit 99.1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4003" w:type="dxa"/>
        <w:jc w:val="left"/>
        <w:tblInd w:w="0" w:type="dxa"/>
        <w:tblLayout w:type="fixed"/>
        <w:tblCellMar>
          <w:top w:w="28" w:type="dxa"/>
          <w:left w:w="28" w:type="dxa"/>
          <w:bottom w:w="28" w:type="dxa"/>
          <w:right w:w="28" w:type="dxa"/>
        </w:tblCellMar>
      </w:tblPr>
      <w:tblGrid>
        <w:gridCol w:w="886"/>
        <w:gridCol w:w="146"/>
        <w:gridCol w:w="2971"/>
      </w:tblGrid>
      <w:tr>
        <w:trPr/>
        <w:tc>
          <w:tcPr>
            <w:tcW w:w="8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Item 9.01</w:t>
            </w:r>
          </w:p>
        </w:tc>
        <w:tc>
          <w:tcPr>
            <w:tcW w:w="1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u w:val="single"/>
              </w:rPr>
              <w:t>Financial Statements and Exhibits</w:t>
            </w:r>
            <w:r>
              <w:rPr>
                <w:rFonts w:ascii="Times New Roman" w:hAnsi="Times New Roman"/>
                <w:sz w:val="20"/>
              </w:rPr>
              <w:t>.</w:t>
            </w:r>
          </w:p>
        </w:tc>
      </w:tr>
      <w:tr>
        <w:trPr/>
        <w:tc>
          <w:tcPr>
            <w:tcW w:w="8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pPr>
            <w:r>
              <w:rPr/>
              <w:t> </w:t>
            </w:r>
          </w:p>
        </w:tc>
      </w:tr>
      <w:tr>
        <w:trPr/>
        <w:tc>
          <w:tcPr>
            <w:tcW w:w="88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(d)</w:t>
            </w:r>
          </w:p>
        </w:tc>
        <w:tc>
          <w:tcPr>
            <w:tcW w:w="146" w:type="dxa"/>
            <w:tcBorders/>
            <w:vAlign w:val="center"/>
          </w:tcPr>
          <w:p>
            <w:pPr>
              <w:pStyle w:val="TableContents"/>
              <w:bidi w:val="0"/>
              <w:spacing w:before="0" w:after="0"/>
              <w:ind w:left="0" w:right="0" w:hanging="0"/>
              <w:jc w:val="left"/>
              <w:rPr/>
            </w:pPr>
            <w:r>
              <w:rPr/>
              <w:t> </w:t>
            </w:r>
          </w:p>
        </w:tc>
        <w:tc>
          <w:tcPr>
            <w:tcW w:w="29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1325"/>
        <w:gridCol w:w="6470"/>
      </w:tblGrid>
      <w:tr>
        <w:trPr/>
        <w:tc>
          <w:tcPr>
            <w:tcW w:w="1325"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Exhibit Number</w:t>
            </w:r>
          </w:p>
        </w:tc>
        <w:tc>
          <w:tcPr>
            <w:tcW w:w="6470" w:type="dxa"/>
            <w:tcBorders/>
            <w:vAlign w:val="center"/>
          </w:tcPr>
          <w:p>
            <w:pPr>
              <w:pStyle w:val="TableContents"/>
              <w:bidi w:val="0"/>
              <w:spacing w:before="0" w:after="0"/>
              <w:ind w:left="0" w:right="0" w:firstLine="180"/>
              <w:jc w:val="left"/>
              <w:rPr>
                <w:rFonts w:ascii="Times New Roman" w:hAnsi="Times New Roman"/>
                <w:sz w:val="20"/>
                <w:u w:val="single"/>
              </w:rPr>
            </w:pPr>
            <w:r>
              <w:rPr>
                <w:rFonts w:ascii="Times New Roman" w:hAnsi="Times New Roman"/>
                <w:sz w:val="20"/>
                <w:u w:val="single"/>
              </w:rPr>
              <w:t>Description of Exhibit</w:t>
            </w:r>
          </w:p>
        </w:tc>
      </w:tr>
      <w:tr>
        <w:trPr/>
        <w:tc>
          <w:tcPr>
            <w:tcW w:w="1325" w:type="dxa"/>
            <w:tcBorders/>
            <w:vAlign w:val="center"/>
          </w:tcPr>
          <w:p>
            <w:pPr>
              <w:pStyle w:val="TableContents"/>
              <w:bidi w:val="0"/>
              <w:spacing w:before="0" w:after="0"/>
              <w:ind w:left="0" w:right="0" w:hanging="0"/>
              <w:jc w:val="left"/>
              <w:rPr/>
            </w:pPr>
            <w:r>
              <w:rPr/>
              <w:t> </w:t>
            </w:r>
          </w:p>
        </w:tc>
        <w:tc>
          <w:tcPr>
            <w:tcW w:w="6470" w:type="dxa"/>
            <w:tcBorders/>
            <w:vAlign w:val="center"/>
          </w:tcPr>
          <w:p>
            <w:pPr>
              <w:pStyle w:val="TableContents"/>
              <w:bidi w:val="0"/>
              <w:spacing w:before="0" w:after="0"/>
              <w:ind w:left="0" w:right="0" w:hanging="0"/>
              <w:jc w:val="left"/>
              <w:rPr/>
            </w:pPr>
            <w:r>
              <w:rPr/>
              <w:t> </w:t>
            </w:r>
          </w:p>
        </w:tc>
      </w:tr>
      <w:tr>
        <w:trPr/>
        <w:tc>
          <w:tcPr>
            <w:tcW w:w="132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470" w:type="dxa"/>
            <w:tcBorders/>
            <w:vAlign w:val="center"/>
          </w:tcPr>
          <w:p>
            <w:pPr>
              <w:pStyle w:val="TableContents"/>
              <w:bidi w:val="0"/>
              <w:spacing w:before="0" w:after="0"/>
              <w:ind w:left="0" w:right="0" w:hanging="0"/>
              <w:jc w:val="left"/>
              <w:rPr/>
            </w:pPr>
            <w:hyperlink w:anchor="ex_1012917.htm">
              <w:r>
                <w:rPr>
                  <w:rStyle w:val="InternetLink"/>
                  <w:rFonts w:ascii="Times New Roman" w:hAnsi="Times New Roman"/>
                  <w:caps w:val="false"/>
                  <w:smallCaps w:val="false"/>
                  <w:sz w:val="20"/>
                </w:rPr>
                <w:t>Press release, dated September 9, 2026</w:t>
              </w:r>
            </w:hyperlink>
          </w:p>
        </w:tc>
      </w:tr>
      <w:tr>
        <w:trPr/>
        <w:tc>
          <w:tcPr>
            <w:tcW w:w="1325" w:type="dxa"/>
            <w:tcBorders/>
            <w:vAlign w:val="center"/>
          </w:tcPr>
          <w:p>
            <w:pPr>
              <w:pStyle w:val="TableContents"/>
              <w:bidi w:val="0"/>
              <w:spacing w:before="0" w:after="0"/>
              <w:ind w:left="180" w:right="0" w:hanging="0"/>
              <w:jc w:val="left"/>
              <w:rPr/>
            </w:pPr>
            <w:r>
              <w:rPr/>
              <w:t> </w:t>
            </w:r>
          </w:p>
        </w:tc>
        <w:tc>
          <w:tcPr>
            <w:tcW w:w="6470" w:type="dxa"/>
            <w:tcBorders/>
            <w:vAlign w:val="center"/>
          </w:tcPr>
          <w:p>
            <w:pPr>
              <w:pStyle w:val="TableContents"/>
              <w:bidi w:val="0"/>
              <w:spacing w:before="0" w:after="0"/>
              <w:ind w:left="0" w:right="0" w:hanging="0"/>
              <w:jc w:val="left"/>
              <w:rPr/>
            </w:pPr>
            <w:r>
              <w:rPr/>
              <w:t> </w:t>
            </w:r>
          </w:p>
        </w:tc>
      </w:tr>
      <w:tr>
        <w:trPr/>
        <w:tc>
          <w:tcPr>
            <w:tcW w:w="132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signature-table"/>
      <w:bookmarkStart w:id="3" w:name="signature-table"/>
      <w:bookmarkEnd w:id="3"/>
    </w:p>
    <w:tbl>
      <w:tblPr>
        <w:tblW w:w="5019" w:type="dxa"/>
        <w:jc w:val="left"/>
        <w:tblInd w:w="0" w:type="dxa"/>
        <w:tblLayout w:type="fixed"/>
        <w:tblCellMar>
          <w:top w:w="0" w:type="dxa"/>
          <w:left w:w="0" w:type="dxa"/>
          <w:bottom w:w="0" w:type="dxa"/>
          <w:right w:w="0" w:type="dxa"/>
        </w:tblCellMar>
      </w:tblPr>
      <w:tblGrid>
        <w:gridCol w:w="2060"/>
        <w:gridCol w:w="665"/>
        <w:gridCol w:w="2294"/>
      </w:tblGrid>
      <w:tr>
        <w:trPr/>
        <w:tc>
          <w:tcPr>
            <w:tcW w:w="2060" w:type="dxa"/>
            <w:tcBorders/>
            <w:vAlign w:val="center"/>
          </w:tcPr>
          <w:p>
            <w:pPr>
              <w:pStyle w:val="TableContents"/>
              <w:bidi w:val="0"/>
              <w:spacing w:before="0" w:after="0"/>
              <w:ind w:left="0" w:right="0" w:hanging="0"/>
              <w:jc w:val="left"/>
              <w:rPr/>
            </w:pPr>
            <w:r>
              <w:rPr/>
              <w:t> </w:t>
            </w:r>
          </w:p>
        </w:tc>
        <w:tc>
          <w:tcPr>
            <w:tcW w:w="2959" w:type="dxa"/>
            <w:gridSpan w:val="2"/>
            <w:tcBorders/>
          </w:tcPr>
          <w:p>
            <w:pPr>
              <w:pStyle w:val="TableContents"/>
              <w:bidi w:val="0"/>
              <w:spacing w:before="0" w:after="0"/>
              <w:jc w:val="left"/>
              <w:rPr>
                <w:rFonts w:ascii="Times New Roman" w:hAnsi="Times New Roman"/>
                <w:sz w:val="20"/>
              </w:rPr>
            </w:pPr>
            <w:r>
              <w:rPr>
                <w:rFonts w:ascii="Times New Roman" w:hAnsi="Times New Roman"/>
                <w:sz w:val="20"/>
              </w:rPr>
              <w:t>BUILD-A-BEAR WORKSHOP, INC.</w:t>
            </w:r>
          </w:p>
        </w:tc>
      </w:tr>
      <w:tr>
        <w:trPr/>
        <w:tc>
          <w:tcPr>
            <w:tcW w:w="2060" w:type="dxa"/>
            <w:tcBorders/>
            <w:vAlign w:val="center"/>
          </w:tcPr>
          <w:p>
            <w:pPr>
              <w:pStyle w:val="TableContents"/>
              <w:bidi w:val="0"/>
              <w:spacing w:before="0" w:after="0"/>
              <w:ind w:left="0" w:right="0" w:hanging="0"/>
              <w:jc w:val="left"/>
              <w:rPr/>
            </w:pPr>
            <w:r>
              <w:rPr/>
              <w:t> </w:t>
            </w:r>
          </w:p>
        </w:tc>
        <w:tc>
          <w:tcPr>
            <w:tcW w:w="2959" w:type="dxa"/>
            <w:gridSpan w:val="2"/>
            <w:tcBorders/>
            <w:vAlign w:val="center"/>
          </w:tcPr>
          <w:p>
            <w:pPr>
              <w:pStyle w:val="TableContents"/>
              <w:bidi w:val="0"/>
              <w:spacing w:before="0" w:after="0"/>
              <w:ind w:left="0" w:right="0" w:hanging="0"/>
              <w:jc w:val="left"/>
              <w:rPr/>
            </w:pPr>
            <w:r>
              <w:rPr/>
              <w:t> </w:t>
            </w:r>
          </w:p>
        </w:tc>
      </w:tr>
      <w:tr>
        <w:trPr/>
        <w:tc>
          <w:tcPr>
            <w:tcW w:w="2060" w:type="dxa"/>
            <w:tcBorders/>
            <w:vAlign w:val="center"/>
          </w:tcPr>
          <w:p>
            <w:pPr>
              <w:pStyle w:val="TableContents"/>
              <w:bidi w:val="0"/>
              <w:spacing w:before="0" w:after="0"/>
              <w:ind w:left="0" w:right="0" w:hanging="0"/>
              <w:jc w:val="left"/>
              <w:rPr/>
            </w:pPr>
            <w:r>
              <w:rPr/>
              <w:t> </w:t>
            </w:r>
          </w:p>
        </w:tc>
        <w:tc>
          <w:tcPr>
            <w:tcW w:w="2959" w:type="dxa"/>
            <w:gridSpan w:val="2"/>
            <w:tcBorders/>
            <w:vAlign w:val="center"/>
          </w:tcPr>
          <w:p>
            <w:pPr>
              <w:pStyle w:val="TableContents"/>
              <w:bidi w:val="0"/>
              <w:spacing w:before="0" w:after="0"/>
              <w:ind w:left="0" w:right="0" w:hanging="0"/>
              <w:jc w:val="left"/>
              <w:rPr/>
            </w:pPr>
            <w:r>
              <w:rPr/>
              <w:t> </w:t>
            </w:r>
          </w:p>
        </w:tc>
      </w:tr>
      <w:tr>
        <w:trPr/>
        <w:tc>
          <w:tcPr>
            <w:tcW w:w="2060" w:type="dxa"/>
            <w:tcBorders/>
            <w:vAlign w:val="center"/>
          </w:tcPr>
          <w:p>
            <w:pPr>
              <w:pStyle w:val="TableContents"/>
              <w:bidi w:val="0"/>
              <w:spacing w:before="0" w:after="0"/>
              <w:ind w:left="0" w:right="0" w:hanging="0"/>
              <w:jc w:val="left"/>
              <w:rPr/>
            </w:pPr>
            <w:r>
              <w:rPr/>
              <w:t> </w:t>
            </w:r>
          </w:p>
        </w:tc>
        <w:tc>
          <w:tcPr>
            <w:tcW w:w="2959" w:type="dxa"/>
            <w:gridSpan w:val="2"/>
            <w:tcBorders/>
            <w:vAlign w:val="center"/>
          </w:tcPr>
          <w:p>
            <w:pPr>
              <w:pStyle w:val="TableContents"/>
              <w:bidi w:val="0"/>
              <w:spacing w:before="0" w:after="0"/>
              <w:ind w:left="0" w:right="0" w:hanging="0"/>
              <w:jc w:val="left"/>
              <w:rPr/>
            </w:pPr>
            <w:r>
              <w:rPr/>
              <w:t> </w:t>
            </w:r>
          </w:p>
        </w:tc>
      </w:tr>
      <w:tr>
        <w:trPr/>
        <w:tc>
          <w:tcPr>
            <w:tcW w:w="20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September 9, 2026 </w:t>
            </w:r>
          </w:p>
        </w:tc>
        <w:tc>
          <w:tcPr>
            <w:tcW w:w="66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294"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Voin Todorovic</w:t>
            </w:r>
          </w:p>
        </w:tc>
      </w:tr>
      <w:tr>
        <w:trPr/>
        <w:tc>
          <w:tcPr>
            <w:tcW w:w="2060"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229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Voin Todorovic</w:t>
            </w:r>
          </w:p>
        </w:tc>
      </w:tr>
      <w:tr>
        <w:trPr/>
        <w:tc>
          <w:tcPr>
            <w:tcW w:w="2060" w:type="dxa"/>
            <w:tcBorders/>
            <w:vAlign w:val="center"/>
          </w:tcPr>
          <w:p>
            <w:pPr>
              <w:pStyle w:val="TableContents"/>
              <w:bidi w:val="0"/>
              <w:spacing w:before="0" w:after="0"/>
              <w:ind w:left="0" w:right="0" w:hanging="0"/>
              <w:jc w:val="left"/>
              <w:rPr/>
            </w:pPr>
            <w:r>
              <w:rPr/>
              <w:t> </w:t>
            </w:r>
          </w:p>
        </w:tc>
        <w:tc>
          <w:tcPr>
            <w:tcW w:w="6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229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ind w:left="0" w:right="0" w:firstLine="126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3</w:t>
      </w:r>
    </w:p>
    <w:p>
      <w:pPr>
        <w:pStyle w:val="TextBody"/>
        <w:bidi w:val="0"/>
        <w:spacing w:before="0" w:after="0"/>
        <w:ind w:left="0" w:right="0" w:hanging="0"/>
        <w:jc w:val="right"/>
        <w:rPr>
          <w:rFonts w:ascii="Times New Roman;Times;serif" w:hAnsi="Times New Roman;Times;serif"/>
          <w:b/>
          <w:sz w:val="20"/>
        </w:rPr>
      </w:pPr>
      <w:bookmarkStart w:id="4" w:name="ex_1012917.htm"/>
      <w:bookmarkStart w:id="5" w:name="ksex_1012917"/>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Build-A-Bear Workshop, Inc. Announces Quarterly Cash Dividend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ST. LOUIS</w:t>
      </w:r>
      <w:r>
        <w:rPr>
          <w:rFonts w:ascii="Times New Roman" w:hAnsi="Times New Roman"/>
          <w:caps w:val="false"/>
          <w:smallCaps w:val="false"/>
          <w:sz w:val="20"/>
        </w:rPr>
        <w:t xml:space="preserve"> (September 9, 2026) Build-A-Bear Workshop, Inc. (NYSE: BBW) announced today that its Board of Directors declared a quarterly cash dividend of $0.23 per share of issued and outstanding common stock. The dividend will be paid on October 8, 2026, to all stockholders of record as of September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Build-A-Bear</w:t>
      </w:r>
      <w:r>
        <w:rPr>
          <w:rFonts w:ascii="Times New Roman" w:hAnsi="Times New Roman"/>
          <w:caps w:val="false"/>
          <w:smallCaps w:val="false"/>
          <w:sz w:val="20"/>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Founded in 1997, Build</w:t>
        <w:noBreakHyphen/>
        <w:t>A</w:t>
        <w:noBreakHyphen/>
        <w:t>Bear is a leading global retailtainment brand on a mission to add a little more heart to life. At Build-A-Bear, guests are invited to create personalized furry friends through a unique stuffing, dressing, accessorizing and naming process, accentuated by a memorable "heart ceremony" that creates moments of connection for people of all ages.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Over the years, Build</w:t>
        <w:noBreakHyphen/>
        <w:t>A</w:t>
        <w:noBreakHyphen/>
        <w:t>Bear has grown into a multi</w:t>
        <w:noBreakHyphen/>
        <w:t>generational phenomenon, positioned at the intersection of pop</w:t>
        <w:noBreakHyphen/>
        <w:t>culture trends. Beyond its signature retail experience, the brand also offers pre</w:t>
        <w:noBreakHyphen/>
        <w:t>stuffed plush, gifting, partnerships with best</w:t>
        <w:noBreakHyphen/>
        <w:t>in</w:t>
        <w:noBreakHyphen/>
        <w:t>class licensed and collectible characters, and original storytelling through Build</w:t>
        <w:noBreakHyphen/>
        <w:t>A</w:t>
        <w:noBreakHyphen/>
        <w:t>Bear Entertainment, LLC.  Build</w:t>
        <w:noBreakHyphen/>
        <w:t>A</w:t>
        <w:noBreakHyphen/>
        <w:t>Bear’s current brand platform and message, “The Stuff You Love,” crosses ages and cultures while celebrating nearly 30 years of helping people mark life’s meaningful moments.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Today, Build</w:t>
        <w:noBreakHyphen/>
        <w:t>A</w:t>
        <w:noBreakHyphen/>
        <w:t>Bear operates more than 650 company-owned, partner-operated, and franchise experience locations across more than 30 countries, complemented by buildabear.com. Build</w:t>
        <w:noBreakHyphen/>
        <w:t>A</w:t>
        <w:noBreakHyphen/>
        <w:t>Bear Workshop, Inc. (NYSE: BBW) reported $529.8 million in total revenues for fiscal 2025, representing the Company's 5th consecutive year of record results. Learn more at the Investor Relations section of buildabear.com.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press release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or “continue,” the negative or any derivative of these terms and other comparable terminology. All the information concerning our future liquidity, future revenues, margins and other future financial performance and results, achievement of operating or financial plans or forecasts for future periods, sources and availability of credit and liquidity, future cash flows and cash needs, success and results of strategic initiatives and other future financial performance or financial position, as well as our assumptions underlying such information, constitute forward-looking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statements are based only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captions entitled “Risk Factors” and “Forward-Looking Statements” in our Annual Report on Form 10-K filed with the Securities and Exchange Commission (“SEC”) on April 16, 2026, and other periodic reports filed with the SEC which are incorporated herein.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our forward-looking statements are as of the date of this Press Release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other risks and uncertainties referred to in this Press Release or included in our other public disclosures or our other periodic reports or other documents or filings filed with or furnished to the SEC could materially and adversely affect our continuing operations and our future financial results, cash flows, available credit, prospects, and liquidity. Except as required by law, the Company does not undertake to publicly update or revise its forward-looking statements, whether as a result of new information, future events or otherwise.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brand names, product names, or trademarks belong to their respective 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Relations</w:t>
      </w:r>
      <w:r>
        <w:rPr>
          <w:rFonts w:ascii="Times New Roman" w:hAnsi="Times New Roman"/>
          <w:caps w:val="false"/>
          <w:smallCaps w:val="false"/>
          <w:sz w:val="20"/>
        </w:rPr>
        <w:t> </w:t>
      </w:r>
      <w:r>
        <w:rPr>
          <w:rFonts w:ascii="Times New Roman" w:hAnsi="Times New Roman"/>
          <w:b/>
          <w:caps w:val="false"/>
          <w:smallCaps w:val="false"/>
          <w:sz w:val="20"/>
        </w:rPr>
        <w:t>Contact</w:t>
      </w:r>
      <w:r>
        <w:rPr>
          <w:rFonts w:ascii="Times New Roman" w:hAnsi="Times New Roman"/>
          <w:caps w:val="false"/>
          <w:smallCaps w:val="false"/>
          <w:sz w:val="20"/>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Gary Schnierow, Vice President, Investor Relations &amp; Corporate Finance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garys@buildabear.com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Media Relations Contact</w:t>
      </w:r>
      <w:r>
        <w:rPr>
          <w:rFonts w:ascii="Times New Roman" w:hAnsi="Times New Roman"/>
          <w:caps w:val="false"/>
          <w:smallCaps w:val="false"/>
          <w:sz w:val="20"/>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pr@buildabear.com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caps w:val="false"/>
          <w:smallCaps w:val="false"/>
          <w:sz w:val="20"/>
        </w:rPr>
      </w:pPr>
      <w:r>
        <w:rPr>
          <w:rFonts w:ascii="Times New Roman" w:hAnsi="Times New Roman"/>
          <w:caps w:val="false"/>
          <w:smallCaps w:val="false"/>
          <w:sz w:val="2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1145</Words>
  <Characters>6847</Characters>
  <CharactersWithSpaces>8034</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