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89165"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5969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470535</wp:posOffset>
            </wp:positionV>
            <wp:extent cx="7289165"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59690"/>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3062605</wp:posOffset>
            </wp:positionH>
            <wp:positionV relativeFrom="paragraph">
              <wp:posOffset>215265</wp:posOffset>
            </wp:positionV>
            <wp:extent cx="113157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59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3062605</wp:posOffset>
            </wp:positionH>
            <wp:positionV relativeFrom="paragraph">
              <wp:posOffset>234315</wp:posOffset>
            </wp:positionV>
            <wp:extent cx="113157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59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020" w:hanging="432"/>
        <w:spacing w:after="0" w:line="524" w:lineRule="auto"/>
        <w:tabs>
          <w:tab w:leader="none" w:pos="4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29, 2013</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3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0" w:lineRule="exact"/>
        <w:rPr>
          <w:sz w:val="24"/>
          <w:szCs w:val="24"/>
          <w:color w:val="auto"/>
        </w:rPr>
      </w:pP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3062605</wp:posOffset>
            </wp:positionH>
            <wp:positionV relativeFrom="paragraph">
              <wp:posOffset>352425</wp:posOffset>
            </wp:positionV>
            <wp:extent cx="113157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59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3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6540" w:type="dxa"/>
            <w:vAlign w:val="bottom"/>
          </w:tcPr>
          <w:p>
            <w:pPr>
              <w:jc w:val="center"/>
              <w:ind w:right="333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41"/>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3062605</wp:posOffset>
            </wp:positionH>
            <wp:positionV relativeFrom="paragraph">
              <wp:posOffset>347345</wp:posOffset>
            </wp:positionV>
            <wp:extent cx="113157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1570" cy="59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right="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180"/>
          </w:cols>
          <w:pgMar w:left="240" w:top="1368" w:right="479" w:bottom="0" w:gutter="0" w:footer="0" w:header="0"/>
        </w:sectPr>
      </w:pPr>
    </w:p>
    <w:p>
      <w:pPr>
        <w:spacing w:after="0" w:line="200" w:lineRule="exact"/>
        <w:rPr>
          <w:sz w:val="24"/>
          <w:szCs w:val="24"/>
          <w:color w:val="auto"/>
        </w:rPr>
      </w:pPr>
    </w:p>
    <w:p>
      <w:pPr>
        <w:spacing w:after="0" w:line="238"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3060" w:space="80"/>
            <w:col w:w="3420" w:space="720"/>
            <w:col w:w="3900"/>
          </w:cols>
          <w:pgMar w:left="240" w:top="1368" w:right="479" w:bottom="0" w:gutter="0" w:footer="0" w:header="0"/>
          <w:type w:val="continuous"/>
        </w:sectPr>
      </w:pPr>
    </w:p>
    <w:p>
      <w:pPr>
        <w:spacing w:after="0" w:line="16" w:lineRule="exact"/>
        <w:rPr>
          <w:sz w:val="24"/>
          <w:szCs w:val="24"/>
          <w:color w:val="auto"/>
        </w:rPr>
      </w:pPr>
    </w:p>
    <w:p>
      <w:pPr>
        <w:ind w:left="1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2">
            <w:col w:w="6560" w:space="720"/>
            <w:col w:w="3900"/>
          </w:cols>
          <w:pgMar w:left="240" w:top="1368" w:right="479" w:bottom="0" w:gutter="0" w:footer="0" w:header="0"/>
          <w:type w:val="continuous"/>
        </w:sectPr>
      </w:pPr>
    </w:p>
    <w:bookmarkStart w:id="1" w:name="page2"/>
    <w:bookmarkEnd w:id="1"/>
    <w:p>
      <w:pPr>
        <w:ind w:left="1000"/>
        <w:spacing w:after="0"/>
        <w:rPr>
          <w:sz w:val="20"/>
          <w:szCs w:val="20"/>
          <w:color w:val="auto"/>
        </w:rPr>
      </w:pPr>
      <w:r>
        <w:rPr>
          <w:rFonts w:ascii="Arial" w:cs="Arial" w:eastAsia="Arial" w:hAnsi="Arial"/>
          <w:sz w:val="18"/>
          <w:szCs w:val="18"/>
          <w:color w:val="auto"/>
        </w:rPr>
        <w:t>(Do not check if a smaller reporting company)</w:t>
      </w:r>
    </w:p>
    <w:p>
      <w:pPr>
        <w:spacing w:after="0" w:line="220"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August 5, 2013, there were 17,260,007 issued and outstanding shares of the registrant’s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225425</wp:posOffset>
            </wp:positionV>
            <wp:extent cx="7289165"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779"/>
          </w:cols>
          <w:pgMar w:left="680" w:top="125"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60" w:type="dxa"/>
            <w:vAlign w:val="bottom"/>
            <w:gridSpan w:val="2"/>
            <w:vMerge w:val="restart"/>
          </w:tcPr>
          <w:p>
            <w:pPr>
              <w:ind w:left="180"/>
              <w:spacing w:after="0"/>
              <w:rPr>
                <w:sz w:val="20"/>
                <w:szCs w:val="20"/>
                <w:color w:val="auto"/>
              </w:rPr>
            </w:pPr>
            <w:r>
              <w:rPr>
                <w:rFonts w:ascii="Arial" w:cs="Arial" w:eastAsia="Arial" w:hAnsi="Arial"/>
                <w:sz w:val="18"/>
                <w:szCs w:val="18"/>
                <w:color w:val="auto"/>
              </w:rPr>
              <w:t>Part I Financial Information</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37"/>
        </w:trPr>
        <w:tc>
          <w:tcPr>
            <w:tcW w:w="10960" w:type="dxa"/>
            <w:vAlign w:val="bottom"/>
            <w:gridSpan w:val="2"/>
            <w:vMerge w:val="continue"/>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tcPr>
          <w:p>
            <w:pPr>
              <w:ind w:left="380"/>
              <w:spacing w:after="0"/>
              <w:rPr>
                <w:sz w:val="20"/>
                <w:szCs w:val="20"/>
                <w:color w:val="auto"/>
              </w:rPr>
            </w:pPr>
            <w:r>
              <w:rPr>
                <w:rFonts w:ascii="Arial" w:cs="Arial" w:eastAsia="Arial" w:hAnsi="Arial"/>
                <w:sz w:val="18"/>
                <w:szCs w:val="18"/>
                <w:color w:val="auto"/>
              </w:rPr>
              <w:t>Item 1.</w:t>
            </w:r>
          </w:p>
        </w:tc>
        <w:tc>
          <w:tcPr>
            <w:tcW w:w="9840" w:type="dxa"/>
            <w:vAlign w:val="bottom"/>
          </w:tcPr>
          <w:p>
            <w:pPr>
              <w:ind w:left="100"/>
              <w:spacing w:after="0"/>
              <w:rPr>
                <w:sz w:val="20"/>
                <w:szCs w:val="20"/>
                <w:color w:val="auto"/>
              </w:rPr>
            </w:pPr>
            <w:r>
              <w:rPr>
                <w:rFonts w:ascii="Arial" w:cs="Arial" w:eastAsia="Arial" w:hAnsi="Arial"/>
                <w:sz w:val="18"/>
                <w:szCs w:val="18"/>
                <w:color w:val="auto"/>
              </w:rPr>
              <w:t>Financial Statements (Unaudited)</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40" w:type="dxa"/>
            <w:vAlign w:val="bottom"/>
          </w:tcPr>
          <w:p>
            <w:pPr>
              <w:ind w:left="520"/>
              <w:spacing w:after="0"/>
              <w:rPr>
                <w:sz w:val="20"/>
                <w:szCs w:val="20"/>
                <w:color w:val="auto"/>
              </w:rPr>
            </w:pPr>
            <w:r>
              <w:rPr>
                <w:rFonts w:ascii="Arial" w:cs="Arial" w:eastAsia="Arial" w:hAnsi="Arial"/>
                <w:sz w:val="18"/>
                <w:szCs w:val="18"/>
                <w:color w:val="auto"/>
              </w:rPr>
              <w:t>Consolidated Balance Sheets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40" w:type="dxa"/>
            <w:vAlign w:val="bottom"/>
          </w:tcPr>
          <w:p>
            <w:pPr>
              <w:ind w:left="520"/>
              <w:spacing w:after="0"/>
              <w:rPr>
                <w:sz w:val="20"/>
                <w:szCs w:val="20"/>
                <w:color w:val="auto"/>
              </w:rPr>
            </w:pPr>
            <w:r>
              <w:rPr>
                <w:rFonts w:ascii="Arial" w:cs="Arial" w:eastAsia="Arial" w:hAnsi="Arial"/>
                <w:sz w:val="18"/>
                <w:szCs w:val="18"/>
                <w:color w:val="auto"/>
              </w:rPr>
              <w:t>Consolidated Statements of Operations and Comprehensive (Loss) Income</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40" w:type="dxa"/>
            <w:vAlign w:val="bottom"/>
          </w:tcPr>
          <w:p>
            <w:pPr>
              <w:ind w:left="520"/>
              <w:spacing w:after="0"/>
              <w:rPr>
                <w:sz w:val="20"/>
                <w:szCs w:val="20"/>
                <w:color w:val="auto"/>
              </w:rPr>
            </w:pPr>
            <w:r>
              <w:rPr>
                <w:rFonts w:ascii="Arial" w:cs="Arial" w:eastAsia="Arial" w:hAnsi="Arial"/>
                <w:sz w:val="18"/>
                <w:szCs w:val="18"/>
                <w:color w:val="auto"/>
              </w:rPr>
              <w:t>Consolidated Statements of Cash Flows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9840" w:type="dxa"/>
            <w:vAlign w:val="bottom"/>
          </w:tcPr>
          <w:p>
            <w:pPr>
              <w:ind w:left="520"/>
              <w:spacing w:after="0"/>
              <w:rPr>
                <w:sz w:val="20"/>
                <w:szCs w:val="20"/>
                <w:color w:val="auto"/>
              </w:rPr>
            </w:pPr>
            <w:r>
              <w:rPr>
                <w:rFonts w:ascii="Arial" w:cs="Arial" w:eastAsia="Arial" w:hAnsi="Arial"/>
                <w:sz w:val="18"/>
                <w:szCs w:val="18"/>
                <w:color w:val="auto"/>
              </w:rPr>
              <w:t>Notes to Consolidated Financial Statements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120" w:type="dxa"/>
            <w:vAlign w:val="bottom"/>
          </w:tcPr>
          <w:p>
            <w:pPr>
              <w:ind w:left="380"/>
              <w:spacing w:after="0"/>
              <w:rPr>
                <w:sz w:val="20"/>
                <w:szCs w:val="20"/>
                <w:color w:val="auto"/>
              </w:rPr>
            </w:pPr>
            <w:r>
              <w:rPr>
                <w:rFonts w:ascii="Arial" w:cs="Arial" w:eastAsia="Arial" w:hAnsi="Arial"/>
                <w:sz w:val="18"/>
                <w:szCs w:val="18"/>
                <w:color w:val="auto"/>
              </w:rPr>
              <w:t>Item 2.</w:t>
            </w:r>
          </w:p>
        </w:tc>
        <w:tc>
          <w:tcPr>
            <w:tcW w:w="984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120" w:type="dxa"/>
            <w:vAlign w:val="bottom"/>
          </w:tcPr>
          <w:p>
            <w:pPr>
              <w:ind w:left="380"/>
              <w:spacing w:after="0"/>
              <w:rPr>
                <w:sz w:val="20"/>
                <w:szCs w:val="20"/>
                <w:color w:val="auto"/>
              </w:rPr>
            </w:pPr>
            <w:r>
              <w:rPr>
                <w:rFonts w:ascii="Arial" w:cs="Arial" w:eastAsia="Arial" w:hAnsi="Arial"/>
                <w:sz w:val="18"/>
                <w:szCs w:val="18"/>
                <w:color w:val="auto"/>
              </w:rPr>
              <w:t>Item 3.</w:t>
            </w:r>
          </w:p>
        </w:tc>
        <w:tc>
          <w:tcPr>
            <w:tcW w:w="984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120" w:type="dxa"/>
            <w:vAlign w:val="bottom"/>
          </w:tcPr>
          <w:p>
            <w:pPr>
              <w:ind w:left="380"/>
              <w:spacing w:after="0"/>
              <w:rPr>
                <w:sz w:val="20"/>
                <w:szCs w:val="20"/>
                <w:color w:val="auto"/>
              </w:rPr>
            </w:pPr>
            <w:r>
              <w:rPr>
                <w:rFonts w:ascii="Arial" w:cs="Arial" w:eastAsia="Arial" w:hAnsi="Arial"/>
                <w:sz w:val="18"/>
                <w:szCs w:val="18"/>
                <w:color w:val="auto"/>
              </w:rPr>
              <w:t>Item 4.</w:t>
            </w:r>
          </w:p>
        </w:tc>
        <w:tc>
          <w:tcPr>
            <w:tcW w:w="984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0960" w:type="dxa"/>
            <w:vAlign w:val="bottom"/>
            <w:gridSpan w:val="2"/>
          </w:tcPr>
          <w:p>
            <w:pPr>
              <w:ind w:left="180"/>
              <w:spacing w:after="0"/>
              <w:rPr>
                <w:sz w:val="20"/>
                <w:szCs w:val="20"/>
                <w:color w:val="auto"/>
              </w:rPr>
            </w:pPr>
            <w:r>
              <w:rPr>
                <w:rFonts w:ascii="Arial" w:cs="Arial" w:eastAsia="Arial" w:hAnsi="Arial"/>
                <w:sz w:val="18"/>
                <w:szCs w:val="18"/>
                <w:color w:val="auto"/>
              </w:rPr>
              <w:t>Part II Other Information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20" w:type="dxa"/>
            <w:vAlign w:val="bottom"/>
          </w:tcPr>
          <w:p>
            <w:pPr>
              <w:ind w:left="380"/>
              <w:spacing w:after="0"/>
              <w:rPr>
                <w:sz w:val="20"/>
                <w:szCs w:val="20"/>
                <w:color w:val="auto"/>
              </w:rPr>
            </w:pPr>
            <w:r>
              <w:rPr>
                <w:rFonts w:ascii="Arial" w:cs="Arial" w:eastAsia="Arial" w:hAnsi="Arial"/>
                <w:sz w:val="18"/>
                <w:szCs w:val="18"/>
                <w:color w:val="auto"/>
              </w:rPr>
              <w:t>Item 1A.</w:t>
            </w:r>
          </w:p>
        </w:tc>
        <w:tc>
          <w:tcPr>
            <w:tcW w:w="98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20" w:type="dxa"/>
            <w:vAlign w:val="bottom"/>
          </w:tcPr>
          <w:p>
            <w:pPr>
              <w:ind w:left="380"/>
              <w:spacing w:after="0"/>
              <w:rPr>
                <w:sz w:val="20"/>
                <w:szCs w:val="20"/>
                <w:color w:val="auto"/>
              </w:rPr>
            </w:pPr>
            <w:r>
              <w:rPr>
                <w:rFonts w:ascii="Arial" w:cs="Arial" w:eastAsia="Arial" w:hAnsi="Arial"/>
                <w:sz w:val="18"/>
                <w:szCs w:val="18"/>
                <w:color w:val="auto"/>
              </w:rPr>
              <w:t>Item 2.</w:t>
            </w:r>
          </w:p>
        </w:tc>
        <w:tc>
          <w:tcPr>
            <w:tcW w:w="984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120" w:type="dxa"/>
            <w:vAlign w:val="bottom"/>
          </w:tcPr>
          <w:p>
            <w:pPr>
              <w:ind w:left="380"/>
              <w:spacing w:after="0"/>
              <w:rPr>
                <w:sz w:val="20"/>
                <w:szCs w:val="20"/>
                <w:color w:val="auto"/>
              </w:rPr>
            </w:pPr>
            <w:r>
              <w:rPr>
                <w:rFonts w:ascii="Arial" w:cs="Arial" w:eastAsia="Arial" w:hAnsi="Arial"/>
                <w:sz w:val="18"/>
                <w:szCs w:val="18"/>
                <w:color w:val="auto"/>
              </w:rPr>
              <w:t>Item 6.</w:t>
            </w:r>
          </w:p>
        </w:tc>
        <w:tc>
          <w:tcPr>
            <w:tcW w:w="9840" w:type="dxa"/>
            <w:vAlign w:val="bottom"/>
          </w:tcPr>
          <w:p>
            <w:pPr>
              <w:ind w:left="100"/>
              <w:spacing w:after="0"/>
              <w:rPr>
                <w:sz w:val="20"/>
                <w:szCs w:val="20"/>
                <w:color w:val="auto"/>
              </w:rPr>
            </w:pPr>
            <w:r>
              <w:rPr>
                <w:rFonts w:ascii="Arial" w:cs="Arial" w:eastAsia="Arial" w:hAnsi="Arial"/>
                <w:sz w:val="18"/>
                <w:szCs w:val="18"/>
                <w:color w:val="auto"/>
              </w:rPr>
              <w:t>Exhibits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1120" w:type="dxa"/>
            <w:vAlign w:val="bottom"/>
          </w:tcPr>
          <w:p>
            <w:pPr>
              <w:ind w:left="180"/>
              <w:spacing w:after="0"/>
              <w:rPr>
                <w:sz w:val="20"/>
                <w:szCs w:val="20"/>
                <w:color w:val="auto"/>
              </w:rPr>
            </w:pPr>
            <w:r>
              <w:rPr>
                <w:rFonts w:ascii="Arial" w:cs="Arial" w:eastAsia="Arial" w:hAnsi="Arial"/>
                <w:sz w:val="18"/>
                <w:szCs w:val="18"/>
                <w:color w:val="auto"/>
              </w:rPr>
              <w:t>Signatures</w:t>
            </w:r>
          </w:p>
        </w:tc>
        <w:tc>
          <w:tcPr>
            <w:tcW w:w="98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918"/>
        </w:trPr>
        <w:tc>
          <w:tcPr>
            <w:tcW w:w="1120" w:type="dxa"/>
            <w:vAlign w:val="bottom"/>
          </w:tcPr>
          <w:p>
            <w:pPr>
              <w:spacing w:after="0"/>
              <w:rPr>
                <w:sz w:val="24"/>
                <w:szCs w:val="24"/>
                <w:color w:val="auto"/>
              </w:rPr>
            </w:pPr>
          </w:p>
        </w:tc>
        <w:tc>
          <w:tcPr>
            <w:tcW w:w="9840" w:type="dxa"/>
            <w:vAlign w:val="bottom"/>
          </w:tcPr>
          <w:p>
            <w:pPr>
              <w:ind w:left="45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20" w:type="dxa"/>
            <w:vAlign w:val="bottom"/>
            <w:shd w:val="clear" w:color="auto" w:fill="808080"/>
          </w:tcPr>
          <w:p>
            <w:pPr>
              <w:spacing w:after="0"/>
              <w:rPr>
                <w:sz w:val="5"/>
                <w:szCs w:val="5"/>
                <w:color w:val="auto"/>
              </w:rPr>
            </w:pPr>
          </w:p>
        </w:tc>
        <w:tc>
          <w:tcPr>
            <w:tcW w:w="98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23"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29,</w:t>
            </w:r>
          </w:p>
        </w:tc>
        <w:tc>
          <w:tcPr>
            <w:tcW w:w="2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29,</w:t>
            </w: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48,134</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46,904</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9,428</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14,216</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96,445</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116,706</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2"/>
              </w:rPr>
              <w:t>Property and equipment, net of accumulated depreciation of $180,364, $189,134 and</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$181,892, respectively</w:t>
            </w:r>
          </w:p>
        </w:tc>
        <w:tc>
          <w:tcPr>
            <w:tcW w:w="3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68,273</w:t>
            </w:r>
          </w:p>
        </w:tc>
        <w:tc>
          <w:tcPr>
            <w:tcW w:w="2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71,459</w:t>
            </w:r>
          </w:p>
        </w:tc>
        <w:tc>
          <w:tcPr>
            <w:tcW w:w="3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3,304</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168,587</w:t>
            </w: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192,102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205,947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18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33,897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38,984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11,570</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Gift cards and customer deposits</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24,744</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30,849</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72,080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86,203</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59,896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20,843</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Preferred stock, par value $0.01, Shares authorized: 15,000,000; No shares issued or</w:t>
            </w:r>
          </w:p>
        </w:tc>
        <w:tc>
          <w:tcPr>
            <w:tcW w:w="34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June 29, 2013, December 29, 2012 and June 30, 2012</w:t>
            </w:r>
          </w:p>
        </w:tc>
        <w:tc>
          <w:tcPr>
            <w:tcW w:w="34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50,000,000;Issued and</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w w:val="98"/>
              </w:rPr>
              <w:t>outstanding: 17,271,671, 17,068,182 and 17,386,393 shares, respectively</w:t>
            </w:r>
          </w:p>
        </w:tc>
        <w:tc>
          <w:tcPr>
            <w:tcW w:w="3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67,225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66,112</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(8,949)</w:t>
            </w: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(7,683)</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18,332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24,537</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76,781</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83,137</w:t>
            </w:r>
          </w:p>
        </w:tc>
        <w:tc>
          <w:tcPr>
            <w:tcW w:w="3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122,418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205,947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Thirteen weeks ended</w:t>
            </w:r>
          </w:p>
        </w:tc>
        <w:tc>
          <w:tcPr>
            <w:tcW w:w="320" w:type="dxa"/>
            <w:vAlign w:val="bottom"/>
          </w:tcPr>
          <w:p>
            <w:pPr>
              <w:spacing w:after="0"/>
              <w:rPr>
                <w:sz w:val="20"/>
                <w:szCs w:val="20"/>
                <w:color w:val="auto"/>
              </w:rPr>
            </w:pPr>
          </w:p>
        </w:tc>
        <w:tc>
          <w:tcPr>
            <w:tcW w:w="23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2"/>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29, 2013</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 2012</w:t>
            </w:r>
          </w:p>
        </w:tc>
        <w:tc>
          <w:tcPr>
            <w:tcW w:w="10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29, 2013</w:t>
            </w:r>
          </w:p>
        </w:tc>
        <w:tc>
          <w:tcPr>
            <w:tcW w:w="13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June 30,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80,395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78,989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183,326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1,618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176,783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51,169</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51,704</w:t>
            </w: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111,640</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37,075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80,636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(6,147</w:t>
            </w:r>
            <w:r>
              <w:rPr>
                <w:rFonts w:ascii="Arial" w:cs="Arial" w:eastAsia="Arial" w:hAnsi="Arial"/>
                <w:sz w:val="24"/>
                <w:szCs w:val="24"/>
                <w:color w:val="auto"/>
                <w:vertAlign w:val="subscript"/>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(8,944</w:t>
            </w:r>
            <w:r>
              <w:rPr>
                <w:rFonts w:ascii="Arial" w:cs="Arial" w:eastAsia="Arial" w:hAnsi="Arial"/>
                <w:sz w:val="24"/>
                <w:szCs w:val="24"/>
                <w:color w:val="auto"/>
                <w:vertAlign w:val="subscript"/>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(7,471</w:t>
            </w:r>
            <w:r>
              <w:rPr>
                <w:rFonts w:ascii="Arial" w:cs="Arial" w:eastAsia="Arial" w:hAnsi="Arial"/>
                <w:sz w:val="24"/>
                <w:szCs w:val="24"/>
                <w:color w:val="auto"/>
                <w:vertAlign w:val="subscript"/>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per common share:</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4"/>
                <w:szCs w:val="14"/>
                <w:color w:val="auto"/>
              </w:rPr>
              <w:t>(0.38</w:t>
            </w:r>
            <w:r>
              <w:rPr>
                <w:rFonts w:ascii="Arial" w:cs="Arial" w:eastAsia="Arial" w:hAnsi="Arial"/>
                <w:sz w:val="25"/>
                <w:szCs w:val="25"/>
                <w:color w:val="auto"/>
                <w:vertAlign w:val="subscript"/>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4"/>
                <w:szCs w:val="14"/>
                <w:color w:val="auto"/>
              </w:rPr>
              <w:t>(0.46</w:t>
            </w:r>
            <w:r>
              <w:rPr>
                <w:rFonts w:ascii="Arial" w:cs="Arial" w:eastAsia="Arial" w:hAnsi="Arial"/>
                <w:sz w:val="25"/>
                <w:szCs w:val="25"/>
                <w:color w:val="auto"/>
                <w:vertAlign w:val="subscript"/>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4"/>
                <w:szCs w:val="14"/>
                <w:color w:val="auto"/>
              </w:rPr>
              <w:t>(0.38</w:t>
            </w:r>
            <w:r>
              <w:rPr>
                <w:rFonts w:ascii="Arial" w:cs="Arial" w:eastAsia="Arial" w:hAnsi="Arial"/>
                <w:sz w:val="25"/>
                <w:szCs w:val="25"/>
                <w:color w:val="auto"/>
                <w:vertAlign w:val="subscript"/>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7" w:lineRule="exact"/>
              <w:rPr>
                <w:sz w:val="20"/>
                <w:szCs w:val="20"/>
                <w:color w:val="auto"/>
              </w:rPr>
            </w:pPr>
            <w:r>
              <w:rPr>
                <w:rFonts w:ascii="Arial" w:cs="Arial" w:eastAsia="Arial" w:hAnsi="Arial"/>
                <w:sz w:val="13"/>
                <w:szCs w:val="13"/>
                <w:color w:val="auto"/>
              </w:rPr>
              <w:t>(0.38</w:t>
            </w:r>
            <w:r>
              <w:rPr>
                <w:rFonts w:ascii="Arial" w:cs="Arial" w:eastAsia="Arial" w:hAnsi="Arial"/>
                <w:sz w:val="22"/>
                <w:szCs w:val="22"/>
                <w:color w:val="auto"/>
                <w:vertAlign w:val="subscript"/>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97" w:lineRule="exact"/>
              <w:rPr>
                <w:sz w:val="20"/>
                <w:szCs w:val="20"/>
                <w:color w:val="auto"/>
              </w:rPr>
            </w:pPr>
            <w:r>
              <w:rPr>
                <w:rFonts w:ascii="Arial" w:cs="Arial" w:eastAsia="Arial" w:hAnsi="Arial"/>
                <w:sz w:val="13"/>
                <w:szCs w:val="13"/>
                <w:color w:val="auto"/>
              </w:rPr>
              <w:t>(0.46</w:t>
            </w:r>
            <w:r>
              <w:rPr>
                <w:rFonts w:ascii="Arial" w:cs="Arial" w:eastAsia="Arial" w:hAnsi="Arial"/>
                <w:sz w:val="22"/>
                <w:szCs w:val="22"/>
                <w:color w:val="auto"/>
                <w:vertAlign w:val="subscript"/>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97" w:lineRule="exact"/>
              <w:rPr>
                <w:sz w:val="20"/>
                <w:szCs w:val="20"/>
                <w:color w:val="auto"/>
              </w:rPr>
            </w:pPr>
            <w:r>
              <w:rPr>
                <w:rFonts w:ascii="Arial" w:cs="Arial" w:eastAsia="Arial" w:hAnsi="Arial"/>
                <w:sz w:val="13"/>
                <w:szCs w:val="13"/>
                <w:color w:val="auto"/>
              </w:rPr>
              <w:t>(0.38</w:t>
            </w:r>
            <w:r>
              <w:rPr>
                <w:rFonts w:ascii="Arial" w:cs="Arial" w:eastAsia="Arial" w:hAnsi="Arial"/>
                <w:sz w:val="22"/>
                <w:szCs w:val="22"/>
                <w:color w:val="auto"/>
                <w:vertAlign w:val="subscript"/>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16,460,474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16,458,889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16,345,882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16,248,884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16,460,474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16,458,889</w:t>
            </w:r>
          </w:p>
        </w:tc>
        <w:tc>
          <w:tcPr>
            <w:tcW w:w="3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16,345,882</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16,248,884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29, 2013</w:t>
            </w:r>
          </w:p>
        </w:tc>
        <w:tc>
          <w:tcPr>
            <w:tcW w:w="2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(6,205)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investment in affiliate</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Impairment of store assets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credit utilization</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(1,733)</w:t>
            </w: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Lease related liabilities</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(2,635)</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Gift cards and customer deposits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(5,960)</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maturitiy of short term investments</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Investment in unconsolidated affiliate</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 of employee stock options and employee stock purchases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64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(17,110)</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29, 2012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As a toy retailer, the Company’s sales are highest in the fourth quarter, followed by the first quarter. The timing of holidays and school vacations can impact quarterly results.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29, 2012 that were included in the Company’s annual report on Form 10-K filed with the SEC on March 14, 2013.</w:t>
      </w:r>
    </w:p>
    <w:p>
      <w:pPr>
        <w:spacing w:after="0" w:line="1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first quarter of fiscal 2013, the Company adopted new accounting guidance with regard to the presentation and disclosure of accumulated other comprehensive income (loss) in accordance with Accounting Standards Update 2013-02. The adoption of this guidance impacted only the presentation and disclosure of accumulated other comprehensive income (loss).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Prepaid income taxes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14,216</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13,604</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2012, the Company initiated a turnaround plan that includes the closure of a number of stores. The Company considers a more likely than not assessment that an individual location will close as a triggering event to review the store asset group for recoverability. As a result of this review for the first and second quarters of fiscal 2013,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$0.2 million and $0.6 million were recorded in the thirteen weeks and twenty-six ended June 29, 2013, respectively, which are included in selling, general and administrative expenses as a component of loss before income taxes in the Retail segment. The inputs used to determine the fair value of the assets are Level 3 inputs as defined by ASC section 820-10. Any remaining net book value is depreciated over the shortened expected life. The thirteen and twenty-six weeks ended June 30, 2012, included similar impairment charges of $0.2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balances and activity for restricted stock and stock options for the twenty-six weeks ended June 29, 2013:</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23" w:right="279" w:bottom="1440" w:gutter="0" w:footer="0" w:header="0"/>
        </w:sectPr>
      </w:pPr>
    </w:p>
    <w:bookmarkStart w:id="7" w:name="page8"/>
    <w:bookmarkEnd w:id="7"/>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Options</w:t>
            </w: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860,325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1,155,239</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321,540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195,512</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395,614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19,327</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14,967</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Canceled or expired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41,150</w:t>
            </w: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29, 2013</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765,173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1,275,307</w:t>
            </w:r>
          </w:p>
        </w:tc>
      </w:tr>
    </w:tbl>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thirteen and twenty-six weeks ended June 29, 2013, selling, general and administrative expense includes $0.8 million and $1.6 million, respectively, of stock-based compensation expense. For the thirteen and twenty-six weeks ended June 30, 2012, selling, general and administrative expense includes $1.0 million and $2.0 million, respectively, of stock-based compensation expense. As of June 29, 2013, there was $4.7 million of total unrecognized compensation expense related to nonvested restricted stock and option awards which is expected to be recognized over a weighted-average period of 1.7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shares vested during the twenty-six weeks ended June 29, 2013 and June 30, 2012 was $2.2 million and $4.0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(Loss) per Share</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or loss per common share. In periods of net loss, no effect is given to the Company’s participating securities as they do not contractually participate in losses of the Company. The following table sets forth the computation of basic and diluted loss per share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Thirteen weeks ended</w:t>
            </w:r>
          </w:p>
        </w:tc>
        <w:tc>
          <w:tcPr>
            <w:tcW w:w="220" w:type="dxa"/>
            <w:vAlign w:val="bottom"/>
          </w:tcPr>
          <w:p>
            <w:pPr>
              <w:spacing w:after="0"/>
              <w:rPr>
                <w:sz w:val="20"/>
                <w:szCs w:val="20"/>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2"/>
              </w:rPr>
              <w:t>June 29, 2013</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2012</w:t>
            </w:r>
          </w:p>
        </w:tc>
        <w:tc>
          <w:tcPr>
            <w:tcW w:w="200" w:type="dxa"/>
            <w:vAlign w:val="bottom"/>
          </w:tcPr>
          <w:p>
            <w:pPr>
              <w:spacing w:after="0"/>
              <w:rPr>
                <w:sz w:val="18"/>
                <w:szCs w:val="18"/>
                <w:color w:val="auto"/>
              </w:rPr>
            </w:pPr>
          </w:p>
        </w:tc>
        <w:tc>
          <w:tcPr>
            <w:tcW w:w="128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2"/>
              </w:rPr>
              <w:t>June 29, 2013</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Net loss before allocation of earnings to participating securities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(6,218)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(6,205)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Net loss after allocation of earnings to participating securities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(6,218)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(6,205)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16,458,889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16,345,882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16,248,884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16,460,474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16,458,889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16,345,882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16,248,884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ind w:left="320"/>
              <w:spacing w:after="0" w:line="182" w:lineRule="exact"/>
              <w:rPr>
                <w:sz w:val="20"/>
                <w:szCs w:val="20"/>
                <w:color w:val="auto"/>
              </w:rPr>
            </w:pPr>
            <w:r>
              <w:rPr>
                <w:rFonts w:ascii="Arial" w:cs="Arial" w:eastAsia="Arial" w:hAnsi="Arial"/>
                <w:sz w:val="18"/>
                <w:szCs w:val="18"/>
                <w:color w:val="auto"/>
                <w:w w:val="95"/>
              </w:rPr>
              <w:t>Basic loss per common share attributable to Build-A-Bear Workshop, Inc.</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(0.38)</w:t>
            </w:r>
          </w:p>
        </w:tc>
        <w:tc>
          <w:tcPr>
            <w:tcW w:w="3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(0.46)</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(0.38)</w:t>
            </w:r>
          </w:p>
        </w:tc>
        <w:tc>
          <w:tcPr>
            <w:tcW w:w="2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20" w:type="dxa"/>
            <w:vAlign w:val="bottom"/>
          </w:tcPr>
          <w:p>
            <w:pPr>
              <w:ind w:left="320"/>
              <w:spacing w:after="0" w:line="190" w:lineRule="exact"/>
              <w:rPr>
                <w:sz w:val="20"/>
                <w:szCs w:val="20"/>
                <w:color w:val="auto"/>
              </w:rPr>
            </w:pPr>
            <w:r>
              <w:rPr>
                <w:rFonts w:ascii="Arial" w:cs="Arial" w:eastAsia="Arial" w:hAnsi="Arial"/>
                <w:sz w:val="18"/>
                <w:szCs w:val="18"/>
                <w:color w:val="auto"/>
              </w:rPr>
              <w:t>stockholders:</w:t>
            </w:r>
          </w:p>
        </w:tc>
        <w:tc>
          <w:tcPr>
            <w:tcW w:w="3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320"/>
              <w:spacing w:after="0" w:line="182" w:lineRule="exact"/>
              <w:rPr>
                <w:sz w:val="20"/>
                <w:szCs w:val="20"/>
                <w:color w:val="auto"/>
              </w:rPr>
            </w:pPr>
            <w:r>
              <w:rPr>
                <w:rFonts w:ascii="Arial" w:cs="Arial" w:eastAsia="Arial" w:hAnsi="Arial"/>
                <w:sz w:val="18"/>
                <w:szCs w:val="18"/>
                <w:color w:val="auto"/>
                <w:w w:val="93"/>
              </w:rPr>
              <w:t>Diluted loss per common share attributable to Build-A-Bear Workshop, Inc.</w:t>
            </w:r>
          </w:p>
        </w:tc>
        <w:tc>
          <w:tcPr>
            <w:tcW w:w="3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2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stockholders</w:t>
            </w:r>
          </w:p>
        </w:tc>
        <w:tc>
          <w:tcPr>
            <w:tcW w:w="3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calculating diluted earnings per share for the thirteen and twenty-six week periods ended June 29, 2013, options to purchase 1,275,307 shares of common shares that were outstanding at the end of the period were not included in the computation of diluted earnings per share due to their anti-dilutive effect. For the thirteen and twenty-six week periods ended June 30, 2012, the number of options to purchase common shares that were excluded from the calculation was 1,184,189.</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to the net loss for the thirteen and twenty-six week periods ended June 29, 2013 and June 30, 2012, the denominator for diluted loss per common share is the same as the denominator for basic loss per common share for those periods because the inclusion of stock options and unvested restricted shares would be anti-dilutive.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6. Income Taxes</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prior years, the Company recorded a valuation allowance on substantially all of its deferred tax assets. The effective tax rate was (1.7)% and (3.4)% for the thirteen and twenty-six weeks ended June 29, 2013, respectively compared to 9.1% and 9.2% for the thirteen and twenty-six weeks ended June 30, 2012, respectively.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Loss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June 29, 2013 and December 29, 2012 is comprised entirely of foreign currency translation. For the thirteen and twenty-six weeks ended June 29, 2013 and June 30, 2012, there were no reclassifications out of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5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commercial and international franchising. The retail segment includes the operating activities of company-owned stores in the United States, Canada, the United Kingdom and Ireland and other retail delivery operations, including the Company’s web store, pop-up stores and non-traditional store locations such as baseball stadiums.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United Kingdom and Ireland; Asia; Australia; the Middle East; Africa; Mexico and South America. Each operating segments has discrete sources of revenue, different capital and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represents one reportable segment. The reportable segments follow the same accounting policies used for the Company’s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International</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Retail</w:t>
            </w:r>
          </w:p>
        </w:tc>
        <w:tc>
          <w:tcPr>
            <w:tcW w:w="2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Franchising</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June 29, 2013</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80,395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5,164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June 30, 2012</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78,989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4,492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29, 2013</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183,326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8,943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30, 2012</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174,189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176,783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8,257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June 29, 2013</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159,111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168,587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2012</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193,660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10" w:name="page11"/>
    <w:bookmarkEnd w:id="10"/>
    <w:p>
      <w:pPr>
        <w:ind w:right="160" w:firstLine="486"/>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7"/>
              </w:rPr>
              <w:t xml:space="preserve">America </w:t>
            </w:r>
            <w:r>
              <w:rPr>
                <w:rFonts w:ascii="Arial" w:cs="Arial" w:eastAsia="Arial" w:hAnsi="Arial"/>
                <w:sz w:val="30"/>
                <w:szCs w:val="30"/>
                <w:b w:val="1"/>
                <w:bCs w:val="1"/>
                <w:color w:val="auto"/>
                <w:w w:val="87"/>
                <w:vertAlign w:val="superscript"/>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60"/>
              <w:spacing w:after="0" w:line="271"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30"/>
                <w:szCs w:val="30"/>
                <w:b w:val="1"/>
                <w:bCs w:val="1"/>
                <w:color w:val="auto"/>
                <w:vertAlign w:val="superscript"/>
              </w:rPr>
              <w:t>(2)</w:t>
            </w:r>
          </w:p>
        </w:tc>
        <w:tc>
          <w:tcPr>
            <w:tcW w:w="160" w:type="dxa"/>
            <w:vAlign w:val="bottom"/>
          </w:tcPr>
          <w:p>
            <w:pPr>
              <w:spacing w:after="0"/>
              <w:rPr>
                <w:sz w:val="23"/>
                <w:szCs w:val="23"/>
                <w:color w:val="auto"/>
              </w:rPr>
            </w:pPr>
          </w:p>
        </w:tc>
        <w:tc>
          <w:tcPr>
            <w:tcW w:w="1080" w:type="dxa"/>
            <w:vAlign w:val="bottom"/>
            <w:gridSpan w:val="2"/>
          </w:tcPr>
          <w:p>
            <w:pPr>
              <w:jc w:val="right"/>
              <w:ind w:right="320"/>
              <w:spacing w:after="0" w:line="271" w:lineRule="exact"/>
              <w:rPr>
                <w:sz w:val="20"/>
                <w:szCs w:val="20"/>
                <w:color w:val="auto"/>
              </w:rPr>
            </w:pPr>
            <w:r>
              <w:rPr>
                <w:rFonts w:ascii="Arial" w:cs="Arial" w:eastAsia="Arial" w:hAnsi="Arial"/>
                <w:sz w:val="18"/>
                <w:szCs w:val="18"/>
                <w:b w:val="1"/>
                <w:bCs w:val="1"/>
                <w:color w:val="auto"/>
                <w:w w:val="95"/>
              </w:rPr>
              <w:t xml:space="preserve">Other </w:t>
            </w:r>
            <w:r>
              <w:rPr>
                <w:rFonts w:ascii="Arial" w:cs="Arial" w:eastAsia="Arial" w:hAnsi="Arial"/>
                <w:sz w:val="30"/>
                <w:szCs w:val="30"/>
                <w:b w:val="1"/>
                <w:bCs w:val="1"/>
                <w:color w:val="auto"/>
                <w:w w:val="95"/>
                <w:vertAlign w:val="superscript"/>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June 29, 2013</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66,701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14,752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Thirteen weeks ended June 30, 2012</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62,672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10,846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Twenty-six weeks ended June 29, 2013</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152,907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60,042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8,231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30, 2012</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145,611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30,285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assess approximately £1.2 million, or approximately USD$2 million,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June 29, 2013, $0.7 million had been paid in respect of the disputed duty and is included in receivables.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and we undertake no obligation to update these statements except as required by federal securities laws. These risks and uncertainties include, without limitation, those detailed under the captions “Risk Factors” and "Forward-Looking Statements" in our annual report on Form 10-K for the year ended December 29, 2012, as filed with the SEC on March 14, 2013, and the following:</w:t>
      </w:r>
    </w:p>
    <w:p>
      <w:pPr>
        <w:spacing w:after="0" w:line="188" w:lineRule="exact"/>
        <w:rPr>
          <w:sz w:val="20"/>
          <w:szCs w:val="20"/>
          <w:color w:val="auto"/>
        </w:rPr>
      </w:pPr>
    </w:p>
    <w:p>
      <w:pPr>
        <w:ind w:left="820" w:right="560" w:hanging="407"/>
        <w:spacing w:after="0" w:line="25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continue to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820" w:right="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store sales growth;</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company-owned stores in the United Kingdom and Ireland profitably;</w:t>
      </w:r>
    </w:p>
    <w:p>
      <w:pPr>
        <w:spacing w:after="0" w:line="9" w:lineRule="exact"/>
        <w:rPr>
          <w:rFonts w:ascii="Arial" w:cs="Arial" w:eastAsia="Arial" w:hAnsi="Arial"/>
          <w:sz w:val="18"/>
          <w:szCs w:val="18"/>
          <w:color w:val="auto"/>
        </w:rPr>
      </w:pPr>
    </w:p>
    <w:p>
      <w:pPr>
        <w:ind w:left="820" w:right="34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820" w:right="28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820" w:right="4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adversely affect our profitability;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820" w:right="80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improperly obtain or be unable to adequately protect customer information in violation of privacy or security laws or customer expectations;</w:t>
      </w: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suffer negative publicity or be sued due to violations of labor laws or unethical practices by manufacturers of our merchandise;</w:t>
      </w:r>
    </w:p>
    <w:p>
      <w:pPr>
        <w:spacing w:after="0" w:line="20" w:lineRule="exact"/>
        <w:rPr>
          <w:rFonts w:ascii="Arial" w:cs="Arial" w:eastAsia="Arial" w:hAnsi="Arial"/>
          <w:sz w:val="17"/>
          <w:szCs w:val="17"/>
          <w:color w:val="auto"/>
        </w:rPr>
      </w:pPr>
    </w:p>
    <w:p>
      <w:pPr>
        <w:ind w:left="820" w:right="58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820" w:right="4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operate our company-owned distribution center efficiently or our third-party distribution center providers may perform poorly;</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820" w:right="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820" w:right="40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the times or in the amounts we currently anticipate or the results of the share repurchase program may not be as beneficial as we currently anticipate; and</w:t>
      </w:r>
    </w:p>
    <w:p>
      <w:pPr>
        <w:ind w:left="820" w:hanging="407"/>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corporate structure and Delaware law may prevent or frustrate attempts to replace or remove our current management by our stockholders.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823" w:right="319" w:bottom="1440" w:gutter="0" w:footer="0" w:header="0"/>
        </w:sectPr>
      </w:pPr>
    </w:p>
    <w:bookmarkStart w:id="12" w:name="page13"/>
    <w:bookmarkEnd w:id="12"/>
    <w:p>
      <w:pPr>
        <w:ind w:right="80"/>
        <w:spacing w:after="0" w:line="273" w:lineRule="auto"/>
        <w:rPr>
          <w:sz w:val="20"/>
          <w:szCs w:val="20"/>
          <w:color w:val="auto"/>
        </w:rPr>
      </w:pPr>
      <w:r>
        <w:rPr>
          <w:rFonts w:ascii="Arial" w:cs="Arial" w:eastAsia="Arial" w:hAnsi="Arial"/>
          <w:sz w:val="17"/>
          <w:szCs w:val="17"/>
          <w:color w:val="auto"/>
        </w:rPr>
        <w:t>Build-A-Bear Workshop is in a turnaround phase as we work to improve store productivity and profitability. We are taking actions to change our business dynamics with a reinvented store design, aggressive repositioning of our portfolio of stores, including closures and remodels that will reduce square footage, and a rebalancing of our marketing to include higher levels of brand advertising. We currently expect our optimal consolidated store count to be 285 to 310 company-owned stores. This includes 225 to 250 stores in North America and approximately 60 stores in the United Kingdom and Ireland. We believe the actions we are taking will result in improvements in productivity and profitability and, ultimately, stakeholder value. We also believe there are additional international growth opportunities, primarily through existing and new franchises.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29, 2013, we operated 257 traditional stores and six non-traditional stores in United States, Canada and Puerto Rico (collectively, North America), 60 traditional stores in the United Kingdom and Ireland (collectively, Europe) and had 90 franchised stores operating internationally under the Build-A-Bear Workshop brand. Non-traditional store locations include stores in a Major League Baseball® stadium, a zoo and an airport, as well as temporary pop-up locations. In order to capitalize on short-term opportunities in specific locations, we have selectively opened temporary, pop-up locations. In addition to our stores, we market our products and build our brand through our Web sites.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operate in three reportable segments (retail, commercial and international franchising) that share the same infrastructure, including management, systems, merchandising and marketing, and generate revenues as follows:</w:t>
      </w:r>
    </w:p>
    <w:p>
      <w:pPr>
        <w:spacing w:after="0" w:line="197" w:lineRule="exact"/>
        <w:rPr>
          <w:sz w:val="20"/>
          <w:szCs w:val="20"/>
          <w:color w:val="auto"/>
        </w:rPr>
      </w:pPr>
    </w:p>
    <w:p>
      <w:pPr>
        <w:ind w:left="880" w:right="280" w:hanging="318"/>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 Company-owned retail stores located in the United States, Canada, Puerto Rico, the United Kingdom, and Ireland, all non-traditional store locations and e-commerce websites or “web stores”;</w:t>
      </w:r>
    </w:p>
    <w:p>
      <w:pPr>
        <w:spacing w:after="0" w:line="170" w:lineRule="exact"/>
        <w:rPr>
          <w:rFonts w:ascii="Arial" w:cs="Arial" w:eastAsia="Arial" w:hAnsi="Arial"/>
          <w:sz w:val="18"/>
          <w:szCs w:val="18"/>
          <w:color w:val="auto"/>
        </w:rPr>
      </w:pPr>
    </w:p>
    <w:p>
      <w:pPr>
        <w:ind w:left="880" w:right="580" w:hanging="318"/>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licensing our intellectual property, including entertainment properties, for third-party use and wholesale product sales; and</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International stores operated under franchise agreements.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weeks ended June 29, 2013 and June 30, 2012 are set forth in the notes to our condensed consolidated financial statements included elsewhere in this quarterly report on Form 10-Q.</w:t>
      </w:r>
    </w:p>
    <w:p>
      <w:pPr>
        <w:spacing w:after="0" w:line="19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use comparable store sales as one of the performance measures for our business. Comparable store sales percentage changes are based on net retail sales, excluding our web store and temporary,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June 29, 2013</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June 30, 2012</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June 29, 2013</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June 30,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changes in comparable store sales for the periods presented are primarily attributable to the following factors:</w:t>
      </w:r>
    </w:p>
    <w:p>
      <w:pPr>
        <w:spacing w:after="0" w:line="225" w:lineRule="exact"/>
        <w:rPr>
          <w:sz w:val="20"/>
          <w:szCs w:val="20"/>
          <w:color w:val="auto"/>
        </w:rPr>
      </w:pPr>
    </w:p>
    <w:p>
      <w:pPr>
        <w:ind w:left="740" w:right="520" w:hanging="367"/>
        <w:spacing w:after="0" w:line="308"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believe our brand building marketing campaign and intensified communication with moms along with a good balance of proprietary and licensed product drove improved comparable store sales across the Company in both the second quarter and first half of 2013;</w:t>
      </w:r>
    </w:p>
    <w:p>
      <w:pPr>
        <w:spacing w:after="0" w:line="146" w:lineRule="exact"/>
        <w:rPr>
          <w:rFonts w:ascii="Arial" w:cs="Arial" w:eastAsia="Arial" w:hAnsi="Arial"/>
          <w:sz w:val="17"/>
          <w:szCs w:val="17"/>
          <w:color w:val="auto"/>
        </w:rPr>
      </w:pPr>
    </w:p>
    <w:p>
      <w:pPr>
        <w:ind w:left="740" w:right="460" w:hanging="36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that our strategic closures, primarily in North American multi-store markets, have transferred approximately 20% of their sales to remaining stores in the market in both the second quarter and first half of 2013; and</w:t>
      </w:r>
    </w:p>
    <w:p>
      <w:pPr>
        <w:spacing w:after="0" w:line="170" w:lineRule="exact"/>
        <w:rPr>
          <w:rFonts w:ascii="Arial" w:cs="Arial" w:eastAsia="Arial" w:hAnsi="Arial"/>
          <w:sz w:val="18"/>
          <w:szCs w:val="18"/>
          <w:color w:val="auto"/>
        </w:rPr>
      </w:pPr>
    </w:p>
    <w:p>
      <w:pPr>
        <w:ind w:left="740" w:right="180" w:hanging="367"/>
        <w:spacing w:after="0" w:line="308"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Additionally, the 30% increase in the issuance of gift cards on a consolidated basis during the 2012 fourth quarter, followed by a 20% increase in the first six months of 2013, contributed to increased retail sales in the first half of 2013 as the cards were redeemed.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working to build on this positive trend in comparable store sales with the following key initiatives:</w:t>
      </w:r>
    </w:p>
    <w:p>
      <w:pPr>
        <w:spacing w:after="0" w:line="225" w:lineRule="exact"/>
        <w:rPr>
          <w:sz w:val="20"/>
          <w:szCs w:val="20"/>
          <w:color w:val="auto"/>
        </w:rPr>
      </w:pPr>
    </w:p>
    <w:p>
      <w:pPr>
        <w:ind w:left="740" w:hanging="36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aggressively working to increase store traffic and the destination appeal of our stores by:</w:t>
      </w:r>
    </w:p>
    <w:p>
      <w:pPr>
        <w:spacing w:after="0" w:line="225" w:lineRule="exact"/>
        <w:rPr>
          <w:rFonts w:ascii="Arial" w:cs="Arial" w:eastAsia="Arial" w:hAnsi="Arial"/>
          <w:sz w:val="18"/>
          <w:szCs w:val="18"/>
          <w:color w:val="auto"/>
        </w:rPr>
      </w:pPr>
    </w:p>
    <w:p>
      <w:pPr>
        <w:ind w:left="1160" w:hanging="382"/>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enhancing our experience with a new store design;</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13" w:name="page14"/>
    <w:bookmarkEnd w:id="13"/>
    <w:p>
      <w:pPr>
        <w:ind w:left="1160" w:right="100" w:hanging="382"/>
        <w:spacing w:after="0" w:line="264"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increasing productivity and profitability of our existing stores through strategic closures, primarily in multi-store markets where we expect to transfer a portion of the closed stores’ sales to remaining stores in the market and the relocation of select other stores with a reduction in square footage thereby improving their productivity; and</w:t>
      </w:r>
    </w:p>
    <w:p>
      <w:pPr>
        <w:spacing w:after="0" w:line="181" w:lineRule="exact"/>
        <w:rPr>
          <w:rFonts w:ascii="Arial" w:cs="Arial" w:eastAsia="Arial" w:hAnsi="Arial"/>
          <w:sz w:val="18"/>
          <w:szCs w:val="18"/>
          <w:color w:val="auto"/>
        </w:rPr>
      </w:pPr>
    </w:p>
    <w:p>
      <w:pPr>
        <w:ind w:left="1160" w:right="320" w:hanging="382"/>
        <w:spacing w:after="0" w:line="277"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increasing shopping frequency by increasing new and repeat guest traffic to our stores through a rebalanced marketing message to include both product and brand.</w:t>
      </w:r>
    </w:p>
    <w:p>
      <w:pPr>
        <w:spacing w:after="0" w:line="170" w:lineRule="exact"/>
        <w:rPr>
          <w:rFonts w:ascii="Arial" w:cs="Arial" w:eastAsia="Arial" w:hAnsi="Arial"/>
          <w:sz w:val="18"/>
          <w:szCs w:val="18"/>
          <w:color w:val="auto"/>
        </w:rPr>
      </w:pPr>
    </w:p>
    <w:p>
      <w:pPr>
        <w:ind w:left="820" w:hanging="447"/>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plan to capitalize on our brand advertising to increase gift card purchases by reminding consumers about the gift of the experience.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Twenty-six Weeks</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Fifty-two Weeks - Projected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8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December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29,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June 29,</w:t>
            </w: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29,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b w:val="1"/>
                <w:bCs w:val="1"/>
                <w:color w:val="auto"/>
              </w:rPr>
              <w:t>Opened</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Opened</w:t>
            </w:r>
          </w:p>
        </w:tc>
        <w:tc>
          <w:tcPr>
            <w:tcW w:w="1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Twenty-six Weeks</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Fifty-two Weeks</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8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December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31,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b w:val="1"/>
                <w:bCs w:val="1"/>
                <w:color w:val="auto"/>
              </w:rPr>
              <w:t>Opened</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Opened</w:t>
            </w:r>
          </w:p>
        </w:tc>
        <w:tc>
          <w:tcPr>
            <w:tcW w:w="1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Closed</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long term store real estate goal is to bring our stores back to best in class productivity and profitability. Today we believe that the optimal number of Build-A-Bear Workshop stores in North America is between 225 to 250 and approximately 60 stores in the United Kingdom and Ireland for a total of 285 to 310 stores. The Company currently expects to reach this level with the closure of 60 to 70 stores in fiscal 2012 through 2014, primarily in North America, along with limited, opportunistic store openings. Locations to close and the timing of the closures are subject to ongoing negotiations and overall economic considerations as market repositioning and optimization plans are continually reevaluated.</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Integral to the success of this strategy is the opening of our new store design which gives certain stores destination appeal and increases productivity in the market. The new design merges Build-A-Bear Workshop’s iconic hands-on bear-making process with the power of technology to provide a new, highly interactive experience for our guests. We opened the first store with the new design in the third quarter of fiscal 2012. As of August 5, 2013, we have opened 16 of these stores. On average, sales at these locations have increased by approximately 20%. We plan to have approximately 30 locations in the new design operating by the end of 2013 with an additional 20 to 25 locations planned in 2014.</w:t>
      </w:r>
    </w:p>
    <w:p>
      <w:pPr>
        <w:spacing w:after="0" w:line="20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been aggressively renegotiating rents and executing short term extensions to line up lease dates within markets as part of an overall strategic plan to optimize our store locations and market positioning. As part of this strategy, we will continue to close underperforming stores in conjunction with natural lease expirations and kick out clauses, primarily in multi-store markets. In these markets, we have transferred, on average, approximately 20% of the sales from closing stores to other locations in the same market. As of August 5, 2013, we have closed 31 stores in fiscal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Non-Traditional Store Locations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2004, we began offering merchandise in seasonal, event-based locations such as Major League Baseball® ballparks. As of June 29, 2013, we had one location each in a ballpark, a zoo and an airport. In 2010, we opened our first pop-up stores, which generally have lease terms of six to eighteen months and are included in our non-traditional store count. These locations are intended to capitalize on short-term opportunities in specific locations. As of June 29, 2013, three pop-up stores were open.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are summarized as follows:</w:t>
      </w:r>
    </w:p>
    <w:p>
      <w:pPr>
        <w:spacing w:after="0" w:line="220"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Twenty-Six Weeks</w:t>
            </w:r>
          </w:p>
        </w:tc>
      </w:tr>
      <w:tr>
        <w:trPr>
          <w:trHeight w:val="234"/>
        </w:trPr>
        <w:tc>
          <w:tcPr>
            <w:tcW w:w="276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Ended</w:t>
            </w:r>
          </w:p>
        </w:tc>
      </w:tr>
      <w:tr>
        <w:trPr>
          <w:trHeight w:val="191"/>
        </w:trPr>
        <w:tc>
          <w:tcPr>
            <w:tcW w:w="2760" w:type="dxa"/>
            <w:vAlign w:val="bottom"/>
          </w:tcPr>
          <w:p>
            <w:pPr>
              <w:spacing w:after="0"/>
              <w:rPr>
                <w:sz w:val="16"/>
                <w:szCs w:val="16"/>
                <w:color w:val="auto"/>
              </w:rPr>
            </w:pPr>
          </w:p>
        </w:tc>
        <w:tc>
          <w:tcPr>
            <w:tcW w:w="9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June 29,</w:t>
            </w:r>
          </w:p>
        </w:tc>
        <w:tc>
          <w:tcPr>
            <w:tcW w:w="60" w:type="dxa"/>
            <w:vAlign w:val="bottom"/>
          </w:tcPr>
          <w:p>
            <w:pPr>
              <w:spacing w:after="0"/>
              <w:rPr>
                <w:sz w:val="16"/>
                <w:szCs w:val="16"/>
                <w:color w:val="auto"/>
              </w:rPr>
            </w:pPr>
          </w:p>
        </w:tc>
        <w:tc>
          <w:tcPr>
            <w:tcW w:w="8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4"/>
              </w:rPr>
              <w:t>June 30,</w:t>
            </w:r>
          </w:p>
        </w:tc>
      </w:tr>
      <w:tr>
        <w:trPr>
          <w:trHeight w:val="234"/>
        </w:trPr>
        <w:tc>
          <w:tcPr>
            <w:tcW w:w="27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9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760" w:type="dxa"/>
            <w:vAlign w:val="bottom"/>
          </w:tcPr>
          <w:p>
            <w:pPr>
              <w:ind w:left="160"/>
              <w:spacing w:after="0"/>
              <w:rPr>
                <w:sz w:val="20"/>
                <w:szCs w:val="20"/>
                <w:color w:val="auto"/>
              </w:rPr>
            </w:pPr>
            <w:r>
              <w:rPr>
                <w:rFonts w:ascii="Arial" w:cs="Arial" w:eastAsia="Arial" w:hAnsi="Arial"/>
                <w:sz w:val="18"/>
                <w:szCs w:val="18"/>
                <w:color w:val="auto"/>
              </w:rPr>
              <w:t>Opened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End of period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29, 2013, we had master franchise agreements, which typically grant franchise rights for a particular country or countries, covering an aggregate of 16 countries. In the ordinary course of business, we anticipate signing additional master franchise agreements in the future and terminating other such agreements. We expect our current franchisees to open eight to twelve stores in fiscal 2013 which are likely to be offset by select closures. We believe there is a market potential for current and future franchisees to operate approximately 300 franchised stores outside of the United States, Canada, Puerto Rico, the United Kingdom and Ireland.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retail sales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Commercial revenue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Franchise fees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w:t>
      </w:r>
    </w:p>
    <w:p>
      <w:pPr>
        <w:ind w:left="180"/>
        <w:spacing w:after="0" w:line="195" w:lineRule="auto"/>
        <w:rPr>
          <w:sz w:val="20"/>
          <w:szCs w:val="20"/>
          <w:color w:val="auto"/>
        </w:rPr>
      </w:pPr>
      <w:r>
        <w:rPr>
          <w:rFonts w:ascii="Arial" w:cs="Arial" w:eastAsia="Arial" w:hAnsi="Arial"/>
          <w:sz w:val="18"/>
          <w:szCs w:val="18"/>
          <w:color w:val="auto"/>
        </w:rPr>
        <w:t xml:space="preserve">Cost of merchandise sold </w:t>
      </w:r>
      <w:r>
        <w:rPr>
          <w:rFonts w:ascii="Arial" w:cs="Arial" w:eastAsia="Arial" w:hAnsi="Arial"/>
          <w:sz w:val="30"/>
          <w:szCs w:val="30"/>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Selling, general and administrative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(income), net</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costs and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(loss) before income taxes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12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June 29,</w:t>
            </w:r>
          </w:p>
        </w:tc>
        <w:tc>
          <w:tcPr>
            <w:tcW w:w="140" w:type="dxa"/>
            <w:vAlign w:val="bottom"/>
          </w:tcPr>
          <w:p>
            <w:pPr>
              <w:spacing w:after="0"/>
              <w:rPr>
                <w:sz w:val="16"/>
                <w:szCs w:val="16"/>
                <w:color w:val="auto"/>
              </w:rPr>
            </w:pPr>
          </w:p>
        </w:tc>
        <w:tc>
          <w:tcPr>
            <w:tcW w:w="12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6"/>
                <w:szCs w:val="16"/>
                <w:color w:val="auto"/>
              </w:rPr>
            </w:pPr>
          </w:p>
        </w:tc>
        <w:tc>
          <w:tcPr>
            <w:tcW w:w="12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June 29,</w:t>
            </w: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June 30,</w:t>
            </w:r>
          </w:p>
        </w:tc>
      </w:tr>
      <w:tr>
        <w:trPr>
          <w:trHeight w:val="234"/>
        </w:trPr>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411"/>
        </w:trPr>
        <w:tc>
          <w:tcPr>
            <w:tcW w:w="1260" w:type="dxa"/>
            <w:vAlign w:val="bottom"/>
          </w:tcPr>
          <w:p>
            <w:pPr>
              <w:jc w:val="right"/>
              <w:ind w:right="210"/>
              <w:spacing w:after="0"/>
              <w:rPr>
                <w:sz w:val="20"/>
                <w:szCs w:val="20"/>
                <w:color w:val="auto"/>
              </w:rPr>
            </w:pPr>
            <w:r>
              <w:rPr>
                <w:rFonts w:ascii="Arial" w:cs="Arial" w:eastAsia="Arial" w:hAnsi="Arial"/>
                <w:sz w:val="18"/>
                <w:szCs w:val="18"/>
                <w:color w:val="auto"/>
              </w:rPr>
              <w:t>98.2%</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98.2%</w:t>
            </w: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98.5%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98.5%</w:t>
            </w:r>
          </w:p>
        </w:tc>
      </w:tr>
      <w:tr>
        <w:trPr>
          <w:trHeight w:val="230"/>
        </w:trPr>
        <w:tc>
          <w:tcPr>
            <w:tcW w:w="1260" w:type="dxa"/>
            <w:vAlign w:val="bottom"/>
          </w:tcPr>
          <w:p>
            <w:pPr>
              <w:jc w:val="right"/>
              <w:ind w:right="350"/>
              <w:spacing w:after="0"/>
              <w:rPr>
                <w:sz w:val="20"/>
                <w:szCs w:val="20"/>
                <w:color w:val="auto"/>
              </w:rPr>
            </w:pPr>
            <w:r>
              <w:rPr>
                <w:rFonts w:ascii="Arial" w:cs="Arial" w:eastAsia="Arial" w:hAnsi="Arial"/>
                <w:sz w:val="18"/>
                <w:szCs w:val="18"/>
                <w:color w:val="auto"/>
              </w:rPr>
              <w:t>0.9</w:t>
            </w:r>
          </w:p>
        </w:tc>
        <w:tc>
          <w:tcPr>
            <w:tcW w:w="1400" w:type="dxa"/>
            <w:vAlign w:val="bottom"/>
            <w:gridSpan w:val="2"/>
          </w:tcPr>
          <w:p>
            <w:pPr>
              <w:jc w:val="right"/>
              <w:ind w:right="37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370"/>
              <w:spacing w:after="0"/>
              <w:rPr>
                <w:sz w:val="20"/>
                <w:szCs w:val="20"/>
                <w:color w:val="auto"/>
              </w:rPr>
            </w:pPr>
            <w:r>
              <w:rPr>
                <w:rFonts w:ascii="Arial" w:cs="Arial" w:eastAsia="Arial" w:hAnsi="Arial"/>
                <w:sz w:val="18"/>
                <w:szCs w:val="18"/>
                <w:color w:val="auto"/>
              </w:rPr>
              <w:t>0.7</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0.6</w:t>
            </w:r>
          </w:p>
        </w:tc>
      </w:tr>
      <w:tr>
        <w:trPr>
          <w:trHeight w:val="230"/>
        </w:trPr>
        <w:tc>
          <w:tcPr>
            <w:tcW w:w="1260" w:type="dxa"/>
            <w:vAlign w:val="bottom"/>
          </w:tcPr>
          <w:p>
            <w:pPr>
              <w:jc w:val="right"/>
              <w:ind w:right="350"/>
              <w:spacing w:after="0"/>
              <w:rPr>
                <w:sz w:val="20"/>
                <w:szCs w:val="20"/>
                <w:color w:val="auto"/>
              </w:rPr>
            </w:pPr>
            <w:r>
              <w:rPr>
                <w:rFonts w:ascii="Arial" w:cs="Arial" w:eastAsia="Arial" w:hAnsi="Arial"/>
                <w:sz w:val="18"/>
                <w:szCs w:val="18"/>
                <w:color w:val="auto"/>
              </w:rPr>
              <w:t>0.9</w:t>
            </w:r>
          </w:p>
        </w:tc>
        <w:tc>
          <w:tcPr>
            <w:tcW w:w="1400" w:type="dxa"/>
            <w:vAlign w:val="bottom"/>
            <w:gridSpan w:val="2"/>
          </w:tcPr>
          <w:p>
            <w:pPr>
              <w:jc w:val="right"/>
              <w:ind w:right="37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37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0.9</w:t>
            </w:r>
          </w:p>
        </w:tc>
      </w:tr>
      <w:tr>
        <w:trPr>
          <w:trHeight w:val="223"/>
        </w:trPr>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100.0</w:t>
            </w:r>
          </w:p>
        </w:tc>
      </w:tr>
      <w:tr>
        <w:trPr>
          <w:trHeight w:val="668"/>
        </w:trPr>
        <w:tc>
          <w:tcPr>
            <w:tcW w:w="1260" w:type="dxa"/>
            <w:vAlign w:val="bottom"/>
          </w:tcPr>
          <w:p>
            <w:pPr>
              <w:jc w:val="right"/>
              <w:ind w:right="350"/>
              <w:spacing w:after="0"/>
              <w:rPr>
                <w:sz w:val="20"/>
                <w:szCs w:val="20"/>
                <w:color w:val="auto"/>
              </w:rPr>
            </w:pPr>
            <w:r>
              <w:rPr>
                <w:rFonts w:ascii="Arial" w:cs="Arial" w:eastAsia="Arial" w:hAnsi="Arial"/>
                <w:sz w:val="18"/>
                <w:szCs w:val="18"/>
                <w:color w:val="auto"/>
              </w:rPr>
              <w:t>63.1</w:t>
            </w:r>
          </w:p>
        </w:tc>
        <w:tc>
          <w:tcPr>
            <w:tcW w:w="1400" w:type="dxa"/>
            <w:vAlign w:val="bottom"/>
            <w:gridSpan w:val="2"/>
          </w:tcPr>
          <w:p>
            <w:pPr>
              <w:jc w:val="right"/>
              <w:ind w:right="370"/>
              <w:spacing w:after="0"/>
              <w:rPr>
                <w:sz w:val="20"/>
                <w:szCs w:val="20"/>
                <w:color w:val="auto"/>
              </w:rPr>
            </w:pPr>
            <w:r>
              <w:rPr>
                <w:rFonts w:ascii="Arial" w:cs="Arial" w:eastAsia="Arial" w:hAnsi="Arial"/>
                <w:sz w:val="18"/>
                <w:szCs w:val="18"/>
                <w:color w:val="auto"/>
              </w:rPr>
              <w:t>64.9</w:t>
            </w:r>
          </w:p>
        </w:tc>
        <w:tc>
          <w:tcPr>
            <w:tcW w:w="1360" w:type="dxa"/>
            <w:vAlign w:val="bottom"/>
            <w:gridSpan w:val="2"/>
          </w:tcPr>
          <w:p>
            <w:pPr>
              <w:jc w:val="right"/>
              <w:ind w:right="370"/>
              <w:spacing w:after="0"/>
              <w:rPr>
                <w:sz w:val="20"/>
                <w:szCs w:val="20"/>
                <w:color w:val="auto"/>
              </w:rPr>
            </w:pPr>
            <w:r>
              <w:rPr>
                <w:rFonts w:ascii="Arial" w:cs="Arial" w:eastAsia="Arial" w:hAnsi="Arial"/>
                <w:sz w:val="18"/>
                <w:szCs w:val="18"/>
                <w:color w:val="auto"/>
              </w:rPr>
              <w:t>60.5</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62.3</w:t>
            </w:r>
          </w:p>
        </w:tc>
      </w:tr>
      <w:tr>
        <w:trPr>
          <w:trHeight w:val="216"/>
        </w:trPr>
        <w:tc>
          <w:tcPr>
            <w:tcW w:w="1260" w:type="dxa"/>
            <w:vAlign w:val="bottom"/>
          </w:tcPr>
          <w:p>
            <w:pPr>
              <w:jc w:val="right"/>
              <w:ind w:right="350"/>
              <w:spacing w:after="0"/>
              <w:rPr>
                <w:sz w:val="20"/>
                <w:szCs w:val="20"/>
                <w:color w:val="auto"/>
              </w:rPr>
            </w:pPr>
            <w:r>
              <w:rPr>
                <w:rFonts w:ascii="Arial" w:cs="Arial" w:eastAsia="Arial" w:hAnsi="Arial"/>
                <w:sz w:val="18"/>
                <w:szCs w:val="18"/>
                <w:color w:val="auto"/>
              </w:rPr>
              <w:t>45.1</w:t>
            </w:r>
          </w:p>
        </w:tc>
        <w:tc>
          <w:tcPr>
            <w:tcW w:w="1400" w:type="dxa"/>
            <w:vAlign w:val="bottom"/>
            <w:gridSpan w:val="2"/>
          </w:tcPr>
          <w:p>
            <w:pPr>
              <w:jc w:val="right"/>
              <w:ind w:right="370"/>
              <w:spacing w:after="0"/>
              <w:rPr>
                <w:sz w:val="20"/>
                <w:szCs w:val="20"/>
                <w:color w:val="auto"/>
              </w:rPr>
            </w:pPr>
            <w:r>
              <w:rPr>
                <w:rFonts w:ascii="Arial" w:cs="Arial" w:eastAsia="Arial" w:hAnsi="Arial"/>
                <w:sz w:val="18"/>
                <w:szCs w:val="18"/>
                <w:color w:val="auto"/>
              </w:rPr>
              <w:t>46.1</w:t>
            </w:r>
          </w:p>
        </w:tc>
        <w:tc>
          <w:tcPr>
            <w:tcW w:w="1360" w:type="dxa"/>
            <w:vAlign w:val="bottom"/>
            <w:gridSpan w:val="2"/>
          </w:tcPr>
          <w:p>
            <w:pPr>
              <w:jc w:val="right"/>
              <w:ind w:right="370"/>
              <w:spacing w:after="0"/>
              <w:rPr>
                <w:sz w:val="20"/>
                <w:szCs w:val="20"/>
                <w:color w:val="auto"/>
              </w:rPr>
            </w:pPr>
            <w:r>
              <w:rPr>
                <w:rFonts w:ascii="Arial" w:cs="Arial" w:eastAsia="Arial" w:hAnsi="Arial"/>
                <w:sz w:val="18"/>
                <w:szCs w:val="18"/>
                <w:color w:val="auto"/>
              </w:rPr>
              <w:t>43.3</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43.7</w:t>
            </w:r>
          </w:p>
        </w:tc>
      </w:tr>
      <w:tr>
        <w:trPr>
          <w:trHeight w:val="244"/>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(0.1)</w:t>
            </w:r>
          </w:p>
        </w:tc>
      </w:tr>
      <w:tr>
        <w:trPr>
          <w:trHeight w:val="223"/>
        </w:trPr>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107.5</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105.3</w:t>
            </w:r>
          </w:p>
        </w:tc>
      </w:tr>
      <w:tr>
        <w:trPr>
          <w:trHeight w:val="411"/>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(7.5)</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color w:val="auto"/>
              </w:rPr>
              <w:t>(10.3)</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(5.3)</w:t>
            </w:r>
          </w:p>
        </w:tc>
      </w:tr>
      <w:tr>
        <w:trPr>
          <w:trHeight w:val="244"/>
        </w:trPr>
        <w:tc>
          <w:tcPr>
            <w:tcW w:w="126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37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(0.5)</w:t>
            </w:r>
          </w:p>
        </w:tc>
      </w:tr>
      <w:tr>
        <w:trPr>
          <w:trHeight w:val="224"/>
        </w:trPr>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r>
      <w:tr>
        <w:trPr>
          <w:trHeight w:val="26"/>
        </w:trPr>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-2220595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-1946275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-1654810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-1362710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-1062990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-770890</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-479425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-187960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240"/>
          </w:cols>
          <w:pgMar w:left="240" w:top="850"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61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Retail Gross Margin % </w:t>
            </w:r>
            <w:r>
              <w:rPr>
                <w:rFonts w:ascii="Arial" w:cs="Arial" w:eastAsia="Arial" w:hAnsi="Arial"/>
                <w:sz w:val="29"/>
                <w:szCs w:val="29"/>
                <w:color w:val="auto"/>
                <w:vertAlign w:val="superscript"/>
              </w:rPr>
              <w:t>(2)</w:t>
            </w:r>
          </w:p>
        </w:tc>
        <w:tc>
          <w:tcPr>
            <w:tcW w:w="1260" w:type="dxa"/>
            <w:vAlign w:val="bottom"/>
            <w:gridSpan w:val="2"/>
          </w:tcPr>
          <w:p>
            <w:pPr>
              <w:jc w:val="right"/>
              <w:ind w:right="300"/>
              <w:spacing w:after="0" w:line="256" w:lineRule="exact"/>
              <w:rPr>
                <w:sz w:val="20"/>
                <w:szCs w:val="20"/>
                <w:color w:val="auto"/>
              </w:rPr>
            </w:pPr>
            <w:r>
              <w:rPr>
                <w:rFonts w:ascii="Arial" w:cs="Arial" w:eastAsia="Arial" w:hAnsi="Arial"/>
                <w:sz w:val="16"/>
                <w:szCs w:val="16"/>
                <w:color w:val="auto"/>
              </w:rPr>
              <w:t>36.8</w:t>
            </w:r>
            <w:r>
              <w:rPr>
                <w:rFonts w:ascii="Arial" w:cs="Arial" w:eastAsia="Arial" w:hAnsi="Arial"/>
                <w:sz w:val="29"/>
                <w:szCs w:val="29"/>
                <w:color w:val="auto"/>
                <w:vertAlign w:val="superscript"/>
              </w:rPr>
              <w:t>%</w:t>
            </w:r>
          </w:p>
        </w:tc>
        <w:tc>
          <w:tcPr>
            <w:tcW w:w="1400" w:type="dxa"/>
            <w:vAlign w:val="bottom"/>
            <w:gridSpan w:val="2"/>
          </w:tcPr>
          <w:p>
            <w:pPr>
              <w:jc w:val="right"/>
              <w:ind w:right="300"/>
              <w:spacing w:after="0" w:line="256" w:lineRule="exact"/>
              <w:rPr>
                <w:sz w:val="20"/>
                <w:szCs w:val="20"/>
                <w:color w:val="auto"/>
              </w:rPr>
            </w:pPr>
            <w:r>
              <w:rPr>
                <w:rFonts w:ascii="Arial" w:cs="Arial" w:eastAsia="Arial" w:hAnsi="Arial"/>
                <w:sz w:val="16"/>
                <w:szCs w:val="16"/>
                <w:color w:val="auto"/>
              </w:rPr>
              <w:t>35.0</w:t>
            </w:r>
            <w:r>
              <w:rPr>
                <w:rFonts w:ascii="Arial" w:cs="Arial" w:eastAsia="Arial" w:hAnsi="Arial"/>
                <w:sz w:val="29"/>
                <w:szCs w:val="29"/>
                <w:color w:val="auto"/>
                <w:vertAlign w:val="superscript"/>
              </w:rPr>
              <w:t>%</w:t>
            </w:r>
          </w:p>
        </w:tc>
        <w:tc>
          <w:tcPr>
            <w:tcW w:w="1360" w:type="dxa"/>
            <w:vAlign w:val="bottom"/>
            <w:gridSpan w:val="2"/>
          </w:tcPr>
          <w:p>
            <w:pPr>
              <w:jc w:val="right"/>
              <w:ind w:right="300"/>
              <w:spacing w:after="0" w:line="256" w:lineRule="exact"/>
              <w:rPr>
                <w:sz w:val="20"/>
                <w:szCs w:val="20"/>
                <w:color w:val="auto"/>
              </w:rPr>
            </w:pPr>
            <w:r>
              <w:rPr>
                <w:rFonts w:ascii="Arial" w:cs="Arial" w:eastAsia="Arial" w:hAnsi="Arial"/>
                <w:sz w:val="16"/>
                <w:szCs w:val="16"/>
                <w:color w:val="auto"/>
              </w:rPr>
              <w:t>39.4</w:t>
            </w:r>
            <w:r>
              <w:rPr>
                <w:rFonts w:ascii="Arial" w:cs="Arial" w:eastAsia="Arial" w:hAnsi="Arial"/>
                <w:sz w:val="29"/>
                <w:szCs w:val="29"/>
                <w:color w:val="auto"/>
                <w:vertAlign w:val="superscript"/>
              </w:rPr>
              <w:t>%</w:t>
            </w:r>
          </w:p>
        </w:tc>
        <w:tc>
          <w:tcPr>
            <w:tcW w:w="1220" w:type="dxa"/>
            <w:vAlign w:val="bottom"/>
            <w:gridSpan w:val="2"/>
          </w:tcPr>
          <w:p>
            <w:pPr>
              <w:jc w:val="right"/>
              <w:ind w:right="180"/>
              <w:spacing w:after="0" w:line="256" w:lineRule="exact"/>
              <w:rPr>
                <w:sz w:val="20"/>
                <w:szCs w:val="20"/>
                <w:color w:val="auto"/>
              </w:rPr>
            </w:pPr>
            <w:r>
              <w:rPr>
                <w:rFonts w:ascii="Arial" w:cs="Arial" w:eastAsia="Arial" w:hAnsi="Arial"/>
                <w:sz w:val="16"/>
                <w:szCs w:val="16"/>
                <w:color w:val="auto"/>
              </w:rPr>
              <w:t>37.7</w:t>
            </w:r>
            <w:r>
              <w:rPr>
                <w:rFonts w:ascii="Arial" w:cs="Arial" w:eastAsia="Arial" w:hAnsi="Arial"/>
                <w:sz w:val="29"/>
                <w:szCs w:val="29"/>
                <w:color w:val="auto"/>
                <w:vertAlign w:val="superscript"/>
              </w:rPr>
              <w:t>%</w:t>
            </w:r>
          </w:p>
        </w:tc>
      </w:tr>
      <w:tr>
        <w:trPr>
          <w:trHeight w:val="20"/>
        </w:trPr>
        <w:tc>
          <w:tcPr>
            <w:tcW w:w="4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4560" w:type="dxa"/>
            <w:vAlign w:val="bottom"/>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-38100</wp:posOffset>
            </wp:positionV>
            <wp:extent cx="342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-38100</wp:posOffset>
            </wp:positionV>
            <wp:extent cx="342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52"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$29.6 million and $72.3 million for the thirteen and twenty-six weeks ended June 29, 2013, respectively, and $27.7 million and $65.7 million for the thirteen and twenty-six weeks ended June 30, 2012, respectively. Retail gross margin percentage represents retail gross margin divided by net retail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June 29, 2013 compared to thirteen weeks ended June 30, 2012</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increased to $81.9 million for the thirteen weeks ended June 29, 2013 compared to $80.4 million for the thirteen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2012, an increase of $1.5 million, or 1.9%. Net retail sales were $80.4 million for the thirteen weeks ended June 29, 2013 compared to $79.0 million for the thirteen weeks ended June 30, 2012, an increase of $1.4 million, or 1.8%. This increase was primarily attributable to a $5.0 million increase in comparable store sales, a $1.0 million increase in sales from pop-up and other non-store locations and a $0.4 million increase in sales from new stores. This was partially offset by a $4.5 million decline in sales from non-comparable store locations, primarily closures and relocations. Other changes in net retail sales, which included the impact of foreign currency, totaled $0.5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increase in comparable store sales was attributed primarily to the following factors:</w:t>
      </w:r>
    </w:p>
    <w:p>
      <w:pPr>
        <w:spacing w:after="0" w:line="252" w:lineRule="exact"/>
        <w:rPr>
          <w:sz w:val="20"/>
          <w:szCs w:val="20"/>
          <w:color w:val="auto"/>
        </w:rPr>
      </w:pPr>
    </w:p>
    <w:p>
      <w:pPr>
        <w:ind w:left="680" w:right="620" w:hanging="37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our brand building marketing campaign and intensified communication with moms along with a good balance of proprietary and licensed product drove improved comparable store sales across the Company in the second quarter of 2013;</w:t>
      </w:r>
    </w:p>
    <w:p>
      <w:pPr>
        <w:spacing w:after="0" w:line="170" w:lineRule="exact"/>
        <w:rPr>
          <w:rFonts w:ascii="Arial" w:cs="Arial" w:eastAsia="Arial" w:hAnsi="Arial"/>
          <w:sz w:val="18"/>
          <w:szCs w:val="18"/>
          <w:color w:val="auto"/>
        </w:rPr>
      </w:pPr>
    </w:p>
    <w:p>
      <w:pPr>
        <w:ind w:left="680" w:right="560" w:hanging="37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our strategic closures, primarily in North American multi-store markets, have transferred approximately 20% of their sales to remaining stores in the market in the second quarter of 2013.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type w:val="continuous"/>
        </w:sectPr>
      </w:pPr>
    </w:p>
    <w:bookmarkStart w:id="16" w:name="page17"/>
    <w:bookmarkEnd w:id="16"/>
    <w:p>
      <w:pPr>
        <w:ind w:right="160"/>
        <w:spacing w:after="0" w:line="277" w:lineRule="auto"/>
        <w:rPr>
          <w:sz w:val="20"/>
          <w:szCs w:val="20"/>
          <w:color w:val="auto"/>
        </w:rPr>
      </w:pPr>
      <w:r>
        <w:rPr>
          <w:rFonts w:ascii="Arial" w:cs="Arial" w:eastAsia="Arial" w:hAnsi="Arial"/>
          <w:sz w:val="18"/>
          <w:szCs w:val="18"/>
          <w:color w:val="auto"/>
        </w:rPr>
        <w:t>Commercial revenue was $0.8 million and $0.7 million for the thirteen weeks ended June 29, 2013 and June 30, 2012, respectively. Revenue from franchise fees was also $0.8 million and $0.7 million for the thirteen weeks ended June 29, 2013 and June 30, 2012, respectively.</w:t>
      </w:r>
    </w:p>
    <w:p>
      <w:pPr>
        <w:spacing w:after="0" w:line="19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increased to $30.0 million for the thirteen weeks ended June 29, 2013, compared to $28.0 million for the thirteen weeks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2012, an increase of $2.0 million, or 7.1%. Retail gross margin was $29.6 million for the thirteen weeks ended June 29, 2013 compared to $27.7 million for the thirteen weeks ended June 30, 2012, an increase of $1.9 million, or 6.9%. As a percentage of net retail sales, retail gross margin increased to 36.8% for the thirteen weeks ended June 29, 2013 from 35.0% for the thirteen weeks ended June 30, 2012. This 180 basis points as a percentage of net retail sales (bps) improvement was primarily driven by leverage in occupancy cost and reduced promotional activity.</w:t>
      </w:r>
    </w:p>
    <w:p>
      <w:pPr>
        <w:spacing w:after="0" w:line="2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decreased to $36.9 million for the thirteen weeks ended June 29,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$37.1 million for the thirteen weeks ended June 30, 2012, a decrease of $0.2 million, or 0.5%. As a percentage of total revenues, selling, general and administrative expenses decreased to 45.1% for the thirteen weeks ended June 29, 2013 as compared to 46.1% for the thirteen weeks ended June 30, 2012, a decrease of 100 bps. The 2013 second quarter included $0.5 million in one-time management transition costs and $0.3 million in store closing costs. Excluding these costs, selling, general and administrative expenses as a percent of revenue decreased 190 bps, primarily due to decreases in store payroll costs and other operational cost savings resulting from store closures and our cost reduction efforts that were partially offset by higher incentive compensation.</w:t>
      </w:r>
    </w:p>
    <w:p>
      <w:pPr>
        <w:spacing w:after="0" w:line="2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$55,000 for the thirteen weeks ended June 29, 2013 as compared to $63,000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June 30, 2012.</w:t>
      </w:r>
    </w:p>
    <w:p>
      <w:pPr>
        <w:spacing w:after="0" w:line="19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$0.1 million for the thirteen weeks ended June 29, 2013 as compared to the income tax benefit of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thirteen weeks ended June 30, 2012. The effective tax rate was (1.7)% for the thirteen weeks ended June 29, 2013 compared to 9.1% for the thirteen weeks ended June 30, 2012. The change in the effective tax rate was primarily attributable to the impact of recording valuation allowances on both foreign and domestic deferred tax assets in prior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Twenty-six weeks ended June 29, 2013 compared to twenty-six weeks ended June 30, 2012</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Total revenues increased to $186.2 million for the twenty-six weeks ended June 29, 2013 from $176.8 million for the twenty-six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2012. Net retail sales were $183.3 million for the twenty-six weeks ended June 29, 2013 compared to $174.2 million for the twenty-six weeks ended June 30, 2012, an increase of $9.1 million, or 5.2%. This increase was primarily attributable to a $13.9 million increase in comparable store sales, a $2.4 million increase in sales from pop-up and other non-store locations and a $0.8 million increase in sales from new stores. These were partially offset by a $7.5 million decline in sales from non-comparable store locations, primarily closures and relocations. Other changes in net retail sales, which included the impact of foreign currency, totaled $0.5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comparable store sales were impacted by the following factors:</w:t>
      </w:r>
    </w:p>
    <w:p>
      <w:pPr>
        <w:spacing w:after="0" w:line="252" w:lineRule="exact"/>
        <w:rPr>
          <w:sz w:val="20"/>
          <w:szCs w:val="20"/>
          <w:color w:val="auto"/>
        </w:rPr>
      </w:pPr>
    </w:p>
    <w:p>
      <w:pPr>
        <w:ind w:left="740" w:right="560" w:hanging="36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our brand building marketing campaign and intensified communication with moms along with a good balance of proprietary and licensed product drove improved comparable store sales across the Company in the first half of 2013;</w:t>
      </w:r>
    </w:p>
    <w:p>
      <w:pPr>
        <w:spacing w:after="0" w:line="170" w:lineRule="exact"/>
        <w:rPr>
          <w:rFonts w:ascii="Arial" w:cs="Arial" w:eastAsia="Arial" w:hAnsi="Arial"/>
          <w:sz w:val="18"/>
          <w:szCs w:val="18"/>
          <w:color w:val="auto"/>
        </w:rPr>
      </w:pPr>
    </w:p>
    <w:p>
      <w:pPr>
        <w:ind w:left="740" w:right="500" w:hanging="36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that our strategic closures, primarily in North American multi-store markets, have transferred approximately 20% of their sales to remaining stores in the market in the first half of 2013; and</w:t>
      </w:r>
    </w:p>
    <w:p>
      <w:pPr>
        <w:spacing w:after="0" w:line="170" w:lineRule="exact"/>
        <w:rPr>
          <w:rFonts w:ascii="Arial" w:cs="Arial" w:eastAsia="Arial" w:hAnsi="Arial"/>
          <w:sz w:val="18"/>
          <w:szCs w:val="18"/>
          <w:color w:val="auto"/>
        </w:rPr>
      </w:pPr>
    </w:p>
    <w:p>
      <w:pPr>
        <w:ind w:left="740" w:right="220" w:hanging="367"/>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Additionally, the 30% increase in the issuance of gift cards on a consolidated basis during the 2012 fourth quarter, followed by a 20% increase in the first six months of 2013, contributed to increased retail sales in the first half of 2013 as the cards were redeemed.</w:t>
      </w:r>
    </w:p>
    <w:p>
      <w:pPr>
        <w:spacing w:after="0" w:line="1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Commercial revenue was $1.2 million for the twenty-six weeks ended June 29, 2013 compared to $1.1 million for the twenty-six weeks ended June 30, 2012, an increase of $0.1 million. Revenue from franchise fees increased to $1.6 million for the twenty-six weeks ended June 29, 2013 from $1.5 million for the twenty-six weeks ended June 30, 2012, an increase of $0.1 million.</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Total gross margin increased to $72.9 million for the twenty-six weeks ended June 29, 2013 from $66.1 million for the twenty-six weeks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2012, an increase of $6.8 million, or 10.3%. Retail gross margin increased to $72.3 million for the twenty-six weeks ended June 29, 2013 from $65.7 million for the twenty-six weeks ended June 30, 2012, an increase of $6.6 million, or 10.0%. As a percentage of net retail sales, retail gross margin increased to 39.4% for the twenty-six weeks ended June 29, 2013 from 37.7% for the twenty-six weeks ended June 30, 2012. This 170 bps improvement was primarily driven by leverage in occupancy cost and reduced promotional activity, partially offset by higher product costs in the 2013 first quarter.</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7" w:name="page18"/>
    <w:bookmarkEnd w:id="17"/>
    <w:p>
      <w:pPr>
        <w:ind w:firstLine="45"/>
        <w:spacing w:after="0" w:line="271"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$80.6 million for the twenty-six weeks ended June 29, 2013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$77.2 million for the twenty-six weeks ended June 30, 2012, an increase of $3.4 million, or 4.4%. As a percentage of total revenues, selling, general and administrative expenses decreased to 43.3% for the twenty-six weeks ended June 29, 2013 as compared to 43.7% for the twenty-six weeks ended June 30, 2012, a decrease of 40 bps. The dollar increase was primarily attributable to (i) $2.3 million in one-time management transition costs, (ii) additional investment in marketing initiatives in the first quarter, (iii) $0.9 million in store closing costs, and (iv) transactional foreign currency losses in the first quarter related to foreign payables denominated in US dollars. As a percent of revenue, these costs were offset by improved leverage on increased revenue. Excluding the management transition and store closing costs, selling, general and administrative expenses as a percent of revenue decreased 200 bps, primarily due to the overall decrease in expenses from store closures and our cost reduction efforts.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expense (income), net. </w:t>
      </w:r>
      <w:r>
        <w:rPr>
          <w:rFonts w:ascii="Arial" w:cs="Arial" w:eastAsia="Arial" w:hAnsi="Arial"/>
          <w:sz w:val="16"/>
          <w:szCs w:val="16"/>
          <w:color w:val="auto"/>
        </w:rPr>
        <w:t>Interest income, net of interest expense, was $0.1 million for the twenty-six weeks ended June 29, 2013 and June 30, 2012.</w:t>
      </w:r>
    </w:p>
    <w:p>
      <w:pPr>
        <w:spacing w:after="0" w:line="2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income tax expense was $0.2 million for the twenty-six weeks ended June 29, 2013 as compared to the income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$0.9 million for the twenty-six weeks ended June 30, 2012. The effective tax rate was (3.4)% for the twenty-six weeks ended June 29, 2013 compared to 9.2% for the twenty-six weeks ended June 30, 2012. The change in the effective tax rate was primarily attributable to the impact of recording valuation allowances on both foreign and domestic deferred tax assets in prior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56"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seasonal shopping patterns and holiday and vacation schedules; (2) the timing and frequency of our marketing initiatives, including national media and other public relations events; (3) the timing of our store openings and closings and related expenses; (4) changes in general economic conditions and consumer spending patterns; (5) increases or decreases in our comparable store sales; (6) fluctuations in the profitability of our stores; (7) changes in foreign currency exchange rates; (8) the actions of our competitors or mall anchors and co-tenants; (9) changes in consumer preferences; (10) the effectiveness of our inventory management; and (11) weather conditions.</w:t>
      </w: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2008 fiscal fourth quarter had 14 weeks.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$7.5 million for the twenty-six weeks ended June 29, 2013 as compared with $15.0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June 30, 2012, adecrease of $7.5 million. Generally, changes in cash from operating activities are driven by changes in net income or loss and changes in operating assets and liabilities. This decrease in cash used in operating activities over the year ago period was primarily due to increased store contribution and the timing of inventory receipts and payments.</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$9.0 million for the twenty-six weeks ended June 29, 2013 as compared to $6.1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June 30, 2012, an increase of $2.9 million. Cash used in investing activities during the twenty-six weeks ended June 29, 2013 primarily related to construction costs for new and remodeled stores, investments in central office information technology systems and the acquisition of trademarks and other intellectual property. Cash used in investing activities during the twenty-six weeks ended June 30, 2012 primarily related to construction costs for new and remodeled stores, investments in central office information technology systems and the acquisition of trademarks and other intellectual property, offset by the maturity of short-term investments.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8" w:name="page19"/>
    <w:bookmarkEnd w:id="18"/>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$0.1 million in the twenty-six weeks ended June 29, 2013 and $-0- in the twenty-six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2012. In 2013, the cash from financing activities related to the exercise of employee stock options. No borrowings were made under our line of credit in either the twenty-six weeks ended June 29, 2013 or June 30, 2012.</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June 29, 2013, we had a consolidated cash balance of $28.1 million over half of which was domiciled outside of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We also have a line of credit, which we can use for liquidity purposes, including to finance capital expenditures and working capital needs throughout the year. The credit agreement is with U.S. Bank, National Association and was amended effective April 30, 2013. The bank line provides availability of $35 million. Borrowings under the credit agreement are secured by our assets and a pledge of 65% of our ownership interest in our foreign subsidiaries. The credit agreement expires on December 31, 2014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June 29, 2013: (i) we were in compliance with these covenants;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2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relocate existing stores and open new stores. Real estate taxes also change according to government time schedules to reflect current market rental rates for the locations we lease. Rents are charged quarterly and paid in advance.</w:t>
      </w:r>
    </w:p>
    <w:p>
      <w:pPr>
        <w:spacing w:after="0" w:line="18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fiscal 2013, we expect to spend a total of $19 to $22 million on capital expenditures. Capital spending through the twenty-six weeks ended June 29, 2013 totaled $9.0 million, on track with our full year plans. Capital spending in fiscal 2013 is primarily for the remodeling of approximately 21 stores and opening of four new stores in our new design and the continued installation and upgrades of central office information technology systems.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that cash generated from operations and available borrowings under our credit agreement will be sufficient to fund our working capital and other cash flow requirements for the near future. Our credit agreement expires on December 31,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stock. On March 10, 2008, we announced an expansion of our share repurchase program to $50 million. On February 28, 2013, we announced that our share repurchase program had been extended to March 31, 2014.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 As of August 5, 2013, approximately 5.9 million shares at an average price of $7.24 per share have been repurchased under this program for an aggregate amount of $42.6 million, leaving $7.4 million of availability under the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19" w:name="page20"/>
    <w:bookmarkEnd w:id="19"/>
    <w:p>
      <w:pPr>
        <w:ind w:right="60"/>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goodwill,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14, 2013, which includes audited consolidated financial statements for our 2012, 2011 and 2010 fiscal years. There have been no material changes to the critical accounting estimates disclosed in the 2012 Form 10-K.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are no new accounting pronouncements for which adoption is expected to have a material effect on the Company’s financial statements in future accounting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half of fiscal 2013. Accordingly, a</w:t>
      </w:r>
    </w:p>
    <w:p>
      <w:pPr>
        <w:ind w:right="40"/>
        <w:spacing w:after="0" w:line="295" w:lineRule="auto"/>
        <w:rPr>
          <w:sz w:val="20"/>
          <w:szCs w:val="20"/>
          <w:color w:val="auto"/>
        </w:rPr>
      </w:pPr>
      <w:r>
        <w:rPr>
          <w:rFonts w:ascii="Arial" w:cs="Arial" w:eastAsia="Arial" w:hAnsi="Arial"/>
          <w:sz w:val="16"/>
          <w:szCs w:val="16"/>
          <w:color w:val="auto"/>
        </w:rPr>
        <w:t>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President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President Bear and Chief Operations and Financial Bear, concluded that our disclosure controls and procedures were effective as of June 29, 2013, the end of the period covered by this Quarterly Report.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20" w:name="page21"/>
    <w:bookmarkEnd w:id="20"/>
    <w:p>
      <w:pPr>
        <w:spacing w:after="0" w:line="5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President Bear and the Chief Operations and Financial Bear,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Bear and 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29, 2012 as filed with the SEC on March 14,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 (or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Dollar Value)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 Shares (or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(b)</w:t>
            </w: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Units) the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(or Units)</w:t>
            </w:r>
          </w:p>
        </w:tc>
        <w:tc>
          <w:tcPr>
            <w:tcW w:w="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Paid Per</w:t>
            </w: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Share</w:t>
            </w: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w w:val="99"/>
              </w:rPr>
              <w:t>Period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4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(or Unit)</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191"/>
        </w:trPr>
        <w:tc>
          <w:tcPr>
            <w:tcW w:w="580" w:type="dxa"/>
            <w:vAlign w:val="bottom"/>
            <w:shd w:val="clear" w:color="auto" w:fill="CCEEFF"/>
          </w:tcPr>
          <w:p>
            <w:pPr>
              <w:ind w:left="180"/>
              <w:spacing w:after="0" w:line="191" w:lineRule="exact"/>
              <w:rPr>
                <w:sz w:val="20"/>
                <w:szCs w:val="20"/>
                <w:color w:val="auto"/>
              </w:rPr>
            </w:pPr>
            <w:r>
              <w:rPr>
                <w:rFonts w:ascii="Arial" w:cs="Arial" w:eastAsia="Arial" w:hAnsi="Arial"/>
                <w:sz w:val="18"/>
                <w:szCs w:val="18"/>
                <w:b w:val="1"/>
                <w:bCs w:val="1"/>
                <w:color w:val="auto"/>
              </w:rPr>
              <w:t>Mar.</w:t>
            </w: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31,</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4"/>
              </w:rPr>
              <w:t>2013</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Apr.</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27,</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4"/>
              </w:rPr>
              <w:t>2013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7,364,562</w:t>
            </w:r>
          </w:p>
        </w:tc>
        <w:tc>
          <w:tcPr>
            <w:tcW w:w="0" w:type="dxa"/>
            <w:vAlign w:val="bottom"/>
          </w:tcPr>
          <w:p>
            <w:pPr>
              <w:spacing w:after="0"/>
              <w:rPr>
                <w:sz w:val="1"/>
                <w:szCs w:val="1"/>
                <w:color w:val="auto"/>
              </w:rPr>
            </w:pPr>
          </w:p>
        </w:tc>
      </w:tr>
      <w:tr>
        <w:trPr>
          <w:trHeight w:val="198"/>
        </w:trPr>
        <w:tc>
          <w:tcPr>
            <w:tcW w:w="58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Apr.</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Arial" w:cs="Arial" w:eastAsia="Arial" w:hAnsi="Arial"/>
                <w:sz w:val="18"/>
                <w:szCs w:val="18"/>
                <w:b w:val="1"/>
                <w:bCs w:val="1"/>
                <w:color w:val="auto"/>
              </w:rPr>
              <w:t>28,</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Arial" w:cs="Arial" w:eastAsia="Arial" w:hAnsi="Arial"/>
                <w:sz w:val="18"/>
                <w:szCs w:val="18"/>
                <w:b w:val="1"/>
                <w:bCs w:val="1"/>
                <w:color w:val="auto"/>
                <w:w w:val="94"/>
              </w:rPr>
              <w:t>2013</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Arial" w:cs="Arial" w:eastAsia="Arial" w:hAnsi="Arial"/>
                <w:sz w:val="18"/>
                <w:szCs w:val="18"/>
                <w:b w:val="1"/>
                <w:bCs w:val="1"/>
                <w:color w:val="auto"/>
              </w:rPr>
              <w:t>May</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Arial" w:cs="Arial" w:eastAsia="Arial" w:hAnsi="Arial"/>
                <w:sz w:val="18"/>
                <w:szCs w:val="18"/>
                <w:b w:val="1"/>
                <w:bCs w:val="1"/>
                <w:color w:val="auto"/>
              </w:rPr>
              <w:t>25,</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ind w:left="180"/>
              <w:spacing w:after="0"/>
              <w:rPr>
                <w:sz w:val="20"/>
                <w:szCs w:val="20"/>
                <w:color w:val="auto"/>
              </w:rPr>
            </w:pPr>
            <w:r>
              <w:rPr>
                <w:rFonts w:ascii="Arial" w:cs="Arial" w:eastAsia="Arial" w:hAnsi="Arial"/>
                <w:sz w:val="18"/>
                <w:szCs w:val="18"/>
                <w:b w:val="1"/>
                <w:bCs w:val="1"/>
                <w:color w:val="auto"/>
                <w:w w:val="94"/>
              </w:rPr>
              <w:t>2013</w:t>
            </w: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7,364,562</w:t>
            </w:r>
          </w:p>
        </w:tc>
        <w:tc>
          <w:tcPr>
            <w:tcW w:w="0" w:type="dxa"/>
            <w:vAlign w:val="bottom"/>
          </w:tcPr>
          <w:p>
            <w:pPr>
              <w:spacing w:after="0"/>
              <w:rPr>
                <w:sz w:val="1"/>
                <w:szCs w:val="1"/>
                <w:color w:val="auto"/>
              </w:rPr>
            </w:pPr>
          </w:p>
        </w:tc>
      </w:tr>
      <w:tr>
        <w:trPr>
          <w:trHeight w:val="198"/>
        </w:trPr>
        <w:tc>
          <w:tcPr>
            <w:tcW w:w="58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May</w:t>
            </w: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26,</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4"/>
              </w:rPr>
              <w:t>2013</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Jun.</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29,</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7,364,562</w:t>
            </w:r>
          </w:p>
        </w:tc>
        <w:tc>
          <w:tcPr>
            <w:tcW w:w="0" w:type="dxa"/>
            <w:vAlign w:val="bottom"/>
          </w:tcPr>
          <w:p>
            <w:pPr>
              <w:spacing w:after="0"/>
              <w:rPr>
                <w:sz w:val="1"/>
                <w:szCs w:val="1"/>
                <w:color w:val="auto"/>
              </w:rPr>
            </w:pPr>
          </w:p>
        </w:tc>
      </w:tr>
      <w:tr>
        <w:trPr>
          <w:trHeight w:val="221"/>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4"/>
              </w:rPr>
              <w:t>2013</w:t>
            </w:r>
          </w:p>
        </w:tc>
        <w:tc>
          <w:tcPr>
            <w:tcW w:w="920" w:type="dxa"/>
            <w:vAlign w:val="bottom"/>
            <w:vMerge w:val="continue"/>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w w:val="88"/>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51</w:t>
            </w: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210185</wp:posOffset>
            </wp:positionV>
            <wp:extent cx="14916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 w:right="80" w:hanging="512"/>
        <w:spacing w:after="0" w:line="271"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520" w:right="20" w:hanging="512"/>
        <w:spacing w:after="0" w:line="323"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28, 2013, we announced the further extension of our $50 million share repurchase program of our outstanding common stock until March 31, 2014. The program was authorized by our board of directors. Purchases may be made in the open market or in privately negotiated transactions,</w:t>
      </w:r>
    </w:p>
    <w:p>
      <w:pPr>
        <w:sectPr>
          <w:pgSz w:w="11900" w:h="16893" w:orient="portrait"/>
          <w:cols w:equalWidth="0" w:num="1">
            <w:col w:w="11400"/>
          </w:cols>
          <w:pgMar w:left="240" w:top="881" w:right="259" w:bottom="0" w:gutter="0" w:footer="0" w:header="0"/>
        </w:sectPr>
      </w:pPr>
    </w:p>
    <w:bookmarkStart w:id="21" w:name="page22"/>
    <w:bookmarkEnd w:id="21"/>
    <w:p>
      <w:pPr>
        <w:spacing w:after="0" w:line="308" w:lineRule="auto"/>
        <w:rPr>
          <w:sz w:val="20"/>
          <w:szCs w:val="20"/>
          <w:color w:val="auto"/>
        </w:rPr>
      </w:pPr>
      <w:r>
        <w:rPr>
          <w:rFonts w:ascii="Arial" w:cs="Arial" w:eastAsia="Arial" w:hAnsi="Arial"/>
          <w:sz w:val="17"/>
          <w:szCs w:val="17"/>
          <w:color w:val="auto"/>
        </w:rPr>
        <w:t>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80"/>
          </w:cols>
          <w:pgMar w:left="760" w:top="125" w:right="3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0480" w:type="dxa"/>
            <w:vAlign w:val="bottom"/>
            <w:tcBorders>
              <w:bottom w:val="single" w:sz="8" w:color="auto"/>
            </w:tcBorders>
          </w:tcPr>
          <w:p>
            <w:pPr>
              <w:ind w:left="480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 from</w:t>
            </w:r>
          </w:p>
        </w:tc>
        <w:tc>
          <w:tcPr>
            <w:tcW w:w="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 filed</w:t>
            </w:r>
          </w:p>
        </w:tc>
        <w:tc>
          <w:tcPr>
            <w:tcW w:w="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on November 11, 2004)</w:t>
            </w:r>
          </w:p>
        </w:tc>
        <w:tc>
          <w:tcPr>
            <w:tcW w:w="4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5"/>
              </w:rPr>
              <w:t>Amended and Restated Bylaws (incorporated by reference from Exhibit 3.4 to our Registration Statement on Form S-1, filed on August 12,</w:t>
            </w:r>
          </w:p>
        </w:tc>
        <w:tc>
          <w:tcPr>
            <w:tcW w:w="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2004, Registration No. 333-118142)</w:t>
            </w:r>
          </w:p>
        </w:tc>
        <w:tc>
          <w:tcPr>
            <w:tcW w:w="4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 filed</w:t>
            </w:r>
          </w:p>
        </w:tc>
        <w:tc>
          <w:tcPr>
            <w:tcW w:w="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on October 1, 2004, Registration No. 333-118142)</w:t>
            </w:r>
          </w:p>
        </w:tc>
        <w:tc>
          <w:tcPr>
            <w:tcW w:w="4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Employment, Confidentiality and Noncompete Agreement dated as of June 3, 2013 between Sharon Price John and the Registrant.</w:t>
            </w:r>
          </w:p>
        </w:tc>
        <w:tc>
          <w:tcPr>
            <w:tcW w:w="40" w:type="dxa"/>
            <w:vAlign w:val="bottom"/>
          </w:tcPr>
          <w:p>
            <w:pPr>
              <w:spacing w:after="0"/>
              <w:rPr>
                <w:sz w:val="24"/>
                <w:szCs w:val="24"/>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3"/>
              </w:rPr>
              <w:t>Thirteenth Amendment to Loan Documents between Build-A-Bear Workshop, Inc., Build-A-Bear Workshop Franchise Holdings, Inc., Build-A-</w:t>
            </w:r>
          </w:p>
        </w:tc>
        <w:tc>
          <w:tcPr>
            <w:tcW w:w="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3"/>
              </w:rPr>
              <w:t>Bear Entertainment, LLC, Build-A-Bear Retail Management, Inc., as Borrowers, and U.S. Bank National Association, as Lender, entered into</w:t>
            </w:r>
          </w:p>
        </w:tc>
        <w:tc>
          <w:tcPr>
            <w:tcW w:w="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effective as of April 30, 2013 (incorporated by reference from Exhibit 10.1 to our Current Report on Form 8-K, filed on May 2, 2013)</w:t>
            </w:r>
          </w:p>
        </w:tc>
        <w:tc>
          <w:tcPr>
            <w:tcW w:w="4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Executive Officer and</w:t>
            </w:r>
          </w:p>
        </w:tc>
        <w:tc>
          <w:tcPr>
            <w:tcW w:w="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President Bear)</w:t>
            </w:r>
          </w:p>
        </w:tc>
        <w:tc>
          <w:tcPr>
            <w:tcW w:w="4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5"/>
              </w:rPr>
              <w:t>Rule 13a-14(a)/15d-14(a) certification (pursuant to Section 302 of the Sarbanes-Oxley Act of 2002, executed by the Chief Operations and</w:t>
            </w:r>
          </w:p>
        </w:tc>
        <w:tc>
          <w:tcPr>
            <w:tcW w:w="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Financial Bear)</w:t>
            </w:r>
          </w:p>
        </w:tc>
        <w:tc>
          <w:tcPr>
            <w:tcW w:w="4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Executive Officer and President</w:t>
            </w:r>
          </w:p>
        </w:tc>
        <w:tc>
          <w:tcPr>
            <w:tcW w:w="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Bear)</w:t>
            </w:r>
          </w:p>
        </w:tc>
        <w:tc>
          <w:tcPr>
            <w:tcW w:w="4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3"/>
              </w:rPr>
              <w:t>Section 1350 Certification (pursuant to Section 906 of the Sarbanes-Oxley Act of 2002, executed by the Chief Operations and Financial Bear)</w:t>
            </w:r>
          </w:p>
        </w:tc>
        <w:tc>
          <w:tcPr>
            <w:tcW w:w="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918"/>
        </w:trPr>
        <w:tc>
          <w:tcPr>
            <w:tcW w:w="840" w:type="dxa"/>
            <w:vAlign w:val="bottom"/>
          </w:tcPr>
          <w:p>
            <w:pPr>
              <w:spacing w:after="0"/>
              <w:rPr>
                <w:sz w:val="24"/>
                <w:szCs w:val="24"/>
                <w:color w:val="auto"/>
              </w:rPr>
            </w:pPr>
          </w:p>
        </w:tc>
        <w:tc>
          <w:tcPr>
            <w:tcW w:w="10580" w:type="dxa"/>
            <w:vAlign w:val="bottom"/>
            <w:gridSpan w:val="2"/>
          </w:tcPr>
          <w:p>
            <w:pPr>
              <w:jc w:val="right"/>
              <w:ind w:right="55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105"/>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81" w:right="199" w:bottom="1440" w:gutter="0" w:footer="0" w:header="0"/>
        </w:sectPr>
      </w:pPr>
    </w:p>
    <w:bookmarkStart w:id="23" w:name="page24"/>
    <w:bookmarkEnd w:id="2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(on behalf of the registrant and as principal executive</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Tina Klocke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Chief Operations and Financial Bear, Treasurer and</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(on behalf of the registrant and as principal financial</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240" w:top="607"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60" w:lineRule="exact"/>
        <w:rPr>
          <w:sz w:val="20"/>
          <w:szCs w:val="20"/>
          <w:color w:val="auto"/>
        </w:rPr>
      </w:pPr>
    </w:p>
    <w:p>
      <w:pPr>
        <w:jc w:val="both"/>
        <w:ind w:firstLine="1297"/>
        <w:spacing w:after="0" w:line="210" w:lineRule="auto"/>
        <w:rPr>
          <w:sz w:val="20"/>
          <w:szCs w:val="20"/>
          <w:color w:val="auto"/>
        </w:rPr>
      </w:pPr>
      <w:r>
        <w:rPr>
          <w:rFonts w:ascii="Arial" w:cs="Arial" w:eastAsia="Arial" w:hAnsi="Arial"/>
          <w:sz w:val="18"/>
          <w:szCs w:val="18"/>
          <w:color w:val="auto"/>
        </w:rPr>
        <w:t>This Employment, Confidentiality and Noncompete Agreement (“Agreement”) is entered into effective as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June, 2013, by and between Build-A-Bear Workshop, Inc., a Delaware corporation (“Company”), and Sharon Price John (“Employee”).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Company desires to employ and Employee desires to be employed as the Chief Executive Officer and Chief President Bear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pioneered the retail concept of “make your own” stuff plush toys, including animals and dolls, and is engaged in, among other things, the business of production, marketing, promotion and distribution of plush stuff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The Company is headquartered and its principal place of business are located in, and this Agreement is being signed in, St. Louis, Missouri.</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conducts business in selected locations throughout the United States and internationally directly and through franchise arrangements.</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success of Company depends to a substantial extent upon the protection of its Confidential Information and goodwill by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its employees.</w:t>
      </w:r>
    </w:p>
    <w:p>
      <w:pPr>
        <w:spacing w:after="0" w:line="23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215" w:lineRule="exact"/>
        <w:rPr>
          <w:sz w:val="20"/>
          <w:szCs w:val="20"/>
          <w:color w:val="auto"/>
        </w:rPr>
      </w:pPr>
    </w:p>
    <w:p>
      <w:pPr>
        <w:ind w:left="1980" w:hanging="432"/>
        <w:spacing w:after="0"/>
        <w:tabs>
          <w:tab w:leader="none" w:pos="1980" w:val="left"/>
        </w:tabs>
        <w:numPr>
          <w:ilvl w:val="0"/>
          <w:numId w:val="13"/>
        </w:numPr>
        <w:rPr>
          <w:rFonts w:ascii="Arial" w:cs="Arial" w:eastAsia="Arial" w:hAnsi="Arial"/>
          <w:sz w:val="22"/>
          <w:szCs w:val="22"/>
          <w:color w:val="auto"/>
        </w:rPr>
      </w:pPr>
      <w:r>
        <w:rPr>
          <w:rFonts w:ascii="Arial" w:cs="Arial" w:eastAsia="Arial" w:hAnsi="Arial"/>
          <w:sz w:val="18"/>
          <w:szCs w:val="18"/>
          <w:u w:val="single" w:color="auto"/>
          <w:color w:val="auto"/>
        </w:rPr>
        <w:t>Employment Services</w:t>
      </w:r>
      <w:r>
        <w:rPr>
          <w:rFonts w:ascii="Arial" w:cs="Arial" w:eastAsia="Arial" w:hAnsi="Arial"/>
          <w:sz w:val="18"/>
          <w:szCs w:val="18"/>
          <w:color w:val="auto"/>
        </w:rPr>
        <w:t>.</w:t>
      </w:r>
    </w:p>
    <w:p>
      <w:pPr>
        <w:spacing w:after="0" w:line="242" w:lineRule="exact"/>
        <w:rPr>
          <w:rFonts w:ascii="Arial" w:cs="Arial" w:eastAsia="Arial" w:hAnsi="Arial"/>
          <w:sz w:val="22"/>
          <w:szCs w:val="22"/>
          <w:color w:val="auto"/>
        </w:rPr>
      </w:pPr>
    </w:p>
    <w:p>
      <w:pPr>
        <w:jc w:val="both"/>
        <w:ind w:left="80" w:firstLine="1954"/>
        <w:spacing w:after="0" w:line="257" w:lineRule="auto"/>
        <w:tabs>
          <w:tab w:leader="none" w:pos="24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Employee is hereby employed by Company, and Employee hereby accepts such employment, upon the terms and conditions hereinafter set forth. Employee shall serve as Chief Executive Officer and Chief President Bear throughout the Employment Period, and agrees to do so on a full-time basis. Employee shall carry out such duties as are assigned to her by Company’s Board of Directors. To the extent that the Company, as defined below, includes multiple entities, Employee shall at all times serve as Chief Executive Officer and Chief President Bear of Build-A-Bear Workshop and the highest ranking officer all of its Subsidiaries (as defined below).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both"/>
        <w:ind w:firstLine="1954"/>
        <w:spacing w:after="0" w:line="253" w:lineRule="auto"/>
        <w:tabs>
          <w:tab w:leader="none" w:pos="23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 agrees that throughout Employee’s employment with Company, Employee will (i) faithfully render such services as may be delegated reasonably to Employee by the Company’s Board of Directors, (ii) devote substantially all of Employee’s entire business time, good faith, best efforts, ability, skill and attention to Company’s business, and (iii) follow and act in accordance with all of the rules, policies and procedures of Company which are applicable to its most senior executives, including but not limited to working hours, sales and promotion policies, and specific Company rules.</w:t>
      </w:r>
    </w:p>
    <w:p>
      <w:pPr>
        <w:spacing w:after="0" w:line="3" w:lineRule="exact"/>
        <w:rPr>
          <w:rFonts w:ascii="Arial" w:cs="Arial" w:eastAsia="Arial" w:hAnsi="Arial"/>
          <w:sz w:val="18"/>
          <w:szCs w:val="18"/>
          <w:color w:val="auto"/>
        </w:rPr>
      </w:pPr>
    </w:p>
    <w:p>
      <w:pPr>
        <w:jc w:val="both"/>
        <w:ind w:right="20" w:firstLine="1954"/>
        <w:spacing w:after="0" w:line="250" w:lineRule="auto"/>
        <w:tabs>
          <w:tab w:leader="none" w:pos="24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27" w:lineRule="exact"/>
        <w:rPr>
          <w:rFonts w:ascii="Arial" w:cs="Arial" w:eastAsia="Arial" w:hAnsi="Arial"/>
          <w:sz w:val="18"/>
          <w:szCs w:val="18"/>
          <w:color w:val="auto"/>
        </w:rPr>
      </w:pPr>
    </w:p>
    <w:p>
      <w:pPr>
        <w:jc w:val="both"/>
        <w:ind w:left="180" w:firstLine="1288"/>
        <w:spacing w:after="0" w:line="286" w:lineRule="auto"/>
        <w:tabs>
          <w:tab w:leader="none" w:pos="1976" w:val="left"/>
        </w:tabs>
        <w:numPr>
          <w:ilvl w:val="0"/>
          <w:numId w:val="15"/>
        </w:numPr>
        <w:rPr>
          <w:rFonts w:ascii="Arial" w:cs="Arial" w:eastAsia="Arial" w:hAnsi="Arial"/>
          <w:sz w:val="19"/>
          <w:szCs w:val="19"/>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term of this Agreement shall commence on the date first set forth above, and shall end on the third anniversary hereof, unless sooner terminated as provided in Section 4 hereof (the “Initial Term”). Following the Initial Term, this Agreement shall renew for successive one-year periods (each a “Renewal Period”; collectively, the Initial Term and each Renewal Period, the “Employment Period”), unless either party notifies the other party of its decision not to renew the Agreement at least 30 days prior to the third anniversary date or the expiration of any Renewal Period, or unless the Agreement is sooner terminated as provided in Section 4 hereof. For the avoidance of doubt, if either party provides notice of non-renewal of the Agreement at least 30 days prior to the end of the Initial Term or the end of any Renewal Period, then the Agreement shall expire.</w:t>
      </w:r>
    </w:p>
    <w:p>
      <w:pPr>
        <w:spacing w:after="0" w:line="214" w:lineRule="exact"/>
        <w:rPr>
          <w:rFonts w:ascii="Arial" w:cs="Arial" w:eastAsia="Arial" w:hAnsi="Arial"/>
          <w:sz w:val="19"/>
          <w:szCs w:val="19"/>
          <w:color w:val="auto"/>
        </w:rPr>
      </w:pPr>
    </w:p>
    <w:p>
      <w:pPr>
        <w:ind w:left="1900" w:hanging="432"/>
        <w:spacing w:after="0"/>
        <w:tabs>
          <w:tab w:leader="none" w:pos="1900" w:val="left"/>
        </w:tabs>
        <w:numPr>
          <w:ilvl w:val="0"/>
          <w:numId w:val="15"/>
        </w:numPr>
        <w:rPr>
          <w:rFonts w:ascii="Arial" w:cs="Arial" w:eastAsia="Arial" w:hAnsi="Arial"/>
          <w:sz w:val="22"/>
          <w:szCs w:val="22"/>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0" w:lineRule="exact"/>
        <w:rPr>
          <w:rFonts w:ascii="Arial" w:cs="Arial" w:eastAsia="Arial" w:hAnsi="Arial"/>
          <w:sz w:val="22"/>
          <w:szCs w:val="22"/>
          <w:color w:val="auto"/>
        </w:rPr>
      </w:pPr>
    </w:p>
    <w:p>
      <w:pPr>
        <w:jc w:val="both"/>
        <w:ind w:firstLine="1954"/>
        <w:spacing w:after="0" w:line="272" w:lineRule="auto"/>
        <w:tabs>
          <w:tab w:leader="none" w:pos="2370" w:val="left"/>
        </w:tabs>
        <w:numPr>
          <w:ilvl w:val="1"/>
          <w:numId w:val="1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Throughout the Employment Period, Company shall pay Employee as compensation for her services an annual base salary of not less than Six Hundred Twenty Five Thousand Dollars ($625,000), payable in accordance with Company’s usual practices. Employee’s annual base salary rate shall be reviewed by the Compensation Committee of the Board of Directors (the “Compensation Committee”) at least annually for increase following each fiscal year so that Employee’s salary will be commensurate for similarly situated executives with firms similarly situated to Company. Employee’s annual base salary rate shall not be subject to decrease at any time during the Employment Period.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sectPr>
      </w:pPr>
    </w:p>
    <w:bookmarkStart w:id="26" w:name="page27"/>
    <w:bookmarkEnd w:id="26"/>
    <w:p>
      <w:pPr>
        <w:ind w:right="20" w:firstLine="2115"/>
        <w:spacing w:after="0" w:line="284" w:lineRule="auto"/>
        <w:tabs>
          <w:tab w:leader="none" w:pos="254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Should Company meet or exceed the sales, profits and other objectives established by Compensation Committee for any fiscal year, Employee shall be eligible to receive a bonus for such fiscal year in the amount as determined by the Compensation Committee; provided however the potential bonus opportunity for Employee in any given fiscal year will be set by the Compensation Committee such that, if the Company exceeds its objectives, the Company will pay Employee not less than One Hundred percent (100%) of Employee’s annual base pay for such fiscal year. Any bonus payable to Employee will be payable in cash, stock or stock options, or combination thereof, all as determined by the Board of Directors or any duly authorized committee thereof, and unless a different payout schedule is applicable for all executive employees of the Company, any such bonus payment will</w:t>
      </w:r>
    </w:p>
    <w:p>
      <w:pPr>
        <w:spacing w:after="0" w:line="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be payable in a single, lump sum payment in the calendar year following such fiscal year but no later than April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such following year. In the event of termination of this Agreement because of Employee’s death or disability (as defined by Section 4.1(b)), termination by the Company without Cause pursuant to Section 4.1(c), or pursuant to Employee’s right to terminate this Agreement for Good Reason under Section 4.1(d), the bonus criteria shall not change and any bonus shall be pro-rated based on the number of full calendar weeks during the applicable fiscal year during which Employee was employed hereunder and shall be paid at the time and in the form such bonus would have been paid had Employee’s employment continued. No bonus shall be payable hereunder for any other termination of employment by Executive prior to the last day of a fiscal year. Notwithstanding anything herein to the contrary, Employee shall be entitled to receive a bonus for the 2013 fiscal year in such amount as determined by the Compensation Committee but not less than Fifty percent (50%) of Employee’s annual base pay for such fiscal year, pro-rated based on the number of full calendar weeks during the fiscal year for which Employee is employed with the Company.</w:t>
      </w:r>
    </w:p>
    <w:p>
      <w:pPr>
        <w:spacing w:after="0" w:line="24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w:t>
      </w:r>
    </w:p>
    <w:p>
      <w:pPr>
        <w:jc w:val="both"/>
        <w:spacing w:after="0" w:line="228" w:lineRule="auto"/>
        <w:rPr>
          <w:sz w:val="20"/>
          <w:szCs w:val="20"/>
          <w:color w:val="auto"/>
        </w:rPr>
      </w:pPr>
      <w:r>
        <w:rPr>
          <w:rFonts w:ascii="Arial" w:cs="Arial" w:eastAsia="Arial" w:hAnsi="Arial"/>
          <w:sz w:val="18"/>
          <w:szCs w:val="18"/>
          <w:color w:val="auto"/>
        </w:rPr>
        <w:t>following the applicable fiscal year but no later than April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such following year , regardless of Employee’s employment status at the time payment is due. If timely payment is not made, the Company shall indemnify the Employee against any additional tax liability that the Employee may incur as a result of the payment being made after the April 30</w:t>
      </w:r>
      <w:r>
        <w:rPr>
          <w:rFonts w:ascii="Arial" w:cs="Arial" w:eastAsia="Arial" w:hAnsi="Arial"/>
          <w:sz w:val="30"/>
          <w:szCs w:val="30"/>
          <w:color w:val="auto"/>
          <w:vertAlign w:val="superscript"/>
        </w:rPr>
        <w:t>th</w:t>
      </w:r>
      <w:r>
        <w:rPr>
          <w:rFonts w:ascii="Arial" w:cs="Arial" w:eastAsia="Arial" w:hAnsi="Arial"/>
          <w:sz w:val="18"/>
          <w:szCs w:val="18"/>
          <w:color w:val="auto"/>
        </w:rPr>
        <w:t>.</w:t>
      </w:r>
    </w:p>
    <w:p>
      <w:pPr>
        <w:spacing w:after="0" w:line="146" w:lineRule="exact"/>
        <w:rPr>
          <w:sz w:val="20"/>
          <w:szCs w:val="20"/>
          <w:color w:val="auto"/>
        </w:rPr>
      </w:pPr>
    </w:p>
    <w:p>
      <w:pPr>
        <w:jc w:val="both"/>
        <w:ind w:left="80" w:firstLine="1954"/>
        <w:spacing w:after="0" w:line="247" w:lineRule="auto"/>
        <w:tabs>
          <w:tab w:leader="none" w:pos="2643" w:val="left"/>
        </w:tabs>
        <w:numPr>
          <w:ilvl w:val="0"/>
          <w:numId w:val="17"/>
        </w:numPr>
        <w:rPr>
          <w:rFonts w:ascii="Arial" w:cs="Arial" w:eastAsia="Arial" w:hAnsi="Arial"/>
          <w:sz w:val="22"/>
          <w:szCs w:val="22"/>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Employee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2004 Stock Incentive Plan (or any successor plan) (the “Plan”). The Plan and applicable Stock Agreement(s) shall govern any grants of restricted shares and/or stock options to purchase shares of Company’s Common Stock and/or such other awards.</w:t>
      </w:r>
    </w:p>
    <w:p>
      <w:pPr>
        <w:spacing w:after="0" w:line="265" w:lineRule="exact"/>
        <w:rPr>
          <w:rFonts w:ascii="Arial" w:cs="Arial" w:eastAsia="Arial" w:hAnsi="Arial"/>
          <w:sz w:val="22"/>
          <w:szCs w:val="22"/>
          <w:color w:val="auto"/>
        </w:rPr>
      </w:pPr>
    </w:p>
    <w:p>
      <w:pPr>
        <w:ind w:left="2560" w:hanging="526"/>
        <w:spacing w:after="0"/>
        <w:tabs>
          <w:tab w:leader="none" w:pos="2560" w:val="left"/>
        </w:tabs>
        <w:numPr>
          <w:ilvl w:val="0"/>
          <w:numId w:val="17"/>
        </w:numPr>
        <w:rPr>
          <w:rFonts w:ascii="Arial" w:cs="Arial" w:eastAsia="Arial" w:hAnsi="Arial"/>
          <w:sz w:val="19"/>
          <w:szCs w:val="19"/>
          <w:color w:val="auto"/>
        </w:rPr>
      </w:pPr>
      <w:r>
        <w:rPr>
          <w:rFonts w:ascii="Arial" w:cs="Arial" w:eastAsia="Arial" w:hAnsi="Arial"/>
          <w:sz w:val="16"/>
          <w:szCs w:val="16"/>
          <w:u w:val="single" w:color="auto"/>
          <w:color w:val="auto"/>
        </w:rPr>
        <w:t>Discounts</w:t>
      </w:r>
      <w:r>
        <w:rPr>
          <w:rFonts w:ascii="Arial" w:cs="Arial" w:eastAsia="Arial" w:hAnsi="Arial"/>
          <w:sz w:val="16"/>
          <w:szCs w:val="16"/>
          <w:color w:val="auto"/>
        </w:rPr>
        <w:t>. Employee and her immediate family will be entitled to a minimum 20% discount for all merchandise purchased</w:t>
      </w:r>
    </w:p>
    <w:p>
      <w:pPr>
        <w:spacing w:after="0" w:line="21"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18"/>
          <w:szCs w:val="18"/>
          <w:color w:val="auto"/>
        </w:rPr>
        <w:t>at Company’s stores.</w:t>
      </w:r>
    </w:p>
    <w:p>
      <w:pPr>
        <w:spacing w:after="0" w:line="308" w:lineRule="exact"/>
        <w:rPr>
          <w:rFonts w:ascii="Arial" w:cs="Arial" w:eastAsia="Arial" w:hAnsi="Arial"/>
          <w:sz w:val="19"/>
          <w:szCs w:val="19"/>
          <w:color w:val="auto"/>
        </w:rPr>
      </w:pPr>
    </w:p>
    <w:p>
      <w:pPr>
        <w:jc w:val="both"/>
        <w:ind w:left="80" w:firstLine="1954"/>
        <w:spacing w:after="0" w:line="247" w:lineRule="auto"/>
        <w:tabs>
          <w:tab w:leader="none" w:pos="2535" w:val="left"/>
        </w:tabs>
        <w:numPr>
          <w:ilvl w:val="0"/>
          <w:numId w:val="17"/>
        </w:numPr>
        <w:rPr>
          <w:rFonts w:ascii="Arial" w:cs="Arial" w:eastAsia="Arial" w:hAnsi="Arial"/>
          <w:sz w:val="22"/>
          <w:szCs w:val="22"/>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Employee shall be entitled to paid vacation and paid sick leave on the same basis as may from time to time apply to other Company executive employees generally. One-third of one year’s vacation (or any part of it) may be carried over to the next year; provided that such carry over is used in the first calendar quarter of the next year. Unless approved by the Compensation Committee of the Company’s Board of Director, all unused vacation shall be forfeited. No more than two weeks of vacation can be taken at one time. Employee shall also be entitled to one (1) additional day per calendar year of paid vacation to be taken in the month of her birthday.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jc w:val="both"/>
        <w:ind w:firstLine="1954"/>
        <w:spacing w:after="0" w:line="264" w:lineRule="auto"/>
        <w:tabs>
          <w:tab w:leader="none" w:pos="2566" w:val="left"/>
        </w:tabs>
        <w:numPr>
          <w:ilvl w:val="0"/>
          <w:numId w:val="18"/>
        </w:numPr>
        <w:rPr>
          <w:rFonts w:ascii="Arial" w:cs="Arial" w:eastAsia="Arial" w:hAnsi="Arial"/>
          <w:sz w:val="21"/>
          <w:szCs w:val="21"/>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her then current location of employment. Employee may, in her sole discretion, decline any perquisite, Welfare Benefit, proposed annual salary increase, or bonus payment.</w:t>
      </w:r>
    </w:p>
    <w:p>
      <w:pPr>
        <w:sectPr>
          <w:pgSz w:w="11900" w:h="16838" w:orient="portrait"/>
          <w:cols w:equalWidth="0" w:num="1">
            <w:col w:w="11340"/>
          </w:cols>
          <w:pgMar w:left="320" w:top="652" w:right="239" w:bottom="1440" w:gutter="0" w:footer="0" w:header="0"/>
        </w:sectPr>
      </w:pPr>
    </w:p>
    <w:p>
      <w:pPr>
        <w:spacing w:after="0" w:line="24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Hundred Dollars ($112,500) paid employment taxes as required.</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hanging="59"/>
        <w:spacing w:after="0" w:line="324" w:lineRule="auto"/>
        <w:rPr>
          <w:sz w:val="20"/>
          <w:szCs w:val="20"/>
          <w:color w:val="auto"/>
        </w:rPr>
      </w:pPr>
      <w:r>
        <w:rPr>
          <w:rFonts w:ascii="Arial" w:cs="Arial" w:eastAsia="Arial" w:hAnsi="Arial"/>
          <w:sz w:val="17"/>
          <w:szCs w:val="17"/>
          <w:u w:val="single" w:color="auto"/>
          <w:color w:val="auto"/>
        </w:rPr>
        <w:t>Signing Bonus</w:t>
      </w:r>
      <w:r>
        <w:rPr>
          <w:rFonts w:ascii="Arial" w:cs="Arial" w:eastAsia="Arial" w:hAnsi="Arial"/>
          <w:sz w:val="17"/>
          <w:szCs w:val="17"/>
          <w:color w:val="auto"/>
        </w:rPr>
        <w:t>. Employee shall receive a lump sum cash bonus in the amount of One Hundred Twelve Thousand Five on the Company’s first regular pay date following execution of this Agreement, subject to withholding and other</w:t>
      </w:r>
    </w:p>
    <w:p>
      <w:pPr>
        <w:spacing w:after="0" w:line="391" w:lineRule="exact"/>
        <w:rPr>
          <w:sz w:val="20"/>
          <w:szCs w:val="20"/>
          <w:color w:val="auto"/>
        </w:rPr>
      </w:pPr>
    </w:p>
    <w:p>
      <w:pPr>
        <w:sectPr>
          <w:pgSz w:w="11900" w:h="16838" w:orient="portrait"/>
          <w:cols w:equalWidth="0" w:num="2">
            <w:col w:w="2520" w:space="80"/>
            <w:col w:w="8740"/>
          </w:cols>
          <w:pgMar w:left="320" w:top="652" w:right="239" w:bottom="1440" w:gutter="0" w:footer="0" w:header="0"/>
          <w:type w:val="continuous"/>
        </w:sectPr>
      </w:pPr>
    </w:p>
    <w:p>
      <w:pPr>
        <w:spacing w:after="0" w:line="31" w:lineRule="exact"/>
        <w:rPr>
          <w:sz w:val="20"/>
          <w:szCs w:val="20"/>
          <w:color w:val="auto"/>
        </w:rPr>
      </w:pPr>
    </w:p>
    <w:p>
      <w:pPr>
        <w:ind w:left="1900" w:hanging="432"/>
        <w:spacing w:after="0"/>
        <w:tabs>
          <w:tab w:leader="none" w:pos="1900" w:val="left"/>
        </w:tabs>
        <w:numPr>
          <w:ilvl w:val="0"/>
          <w:numId w:val="19"/>
        </w:numPr>
        <w:rPr>
          <w:rFonts w:ascii="Arial" w:cs="Arial" w:eastAsia="Arial" w:hAnsi="Arial"/>
          <w:sz w:val="22"/>
          <w:szCs w:val="22"/>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49" w:lineRule="exact"/>
        <w:rPr>
          <w:sz w:val="20"/>
          <w:szCs w:val="20"/>
          <w:color w:val="auto"/>
        </w:rPr>
      </w:pPr>
    </w:p>
    <w:p>
      <w:pPr>
        <w:ind w:left="260" w:right="20" w:firstLine="1296"/>
        <w:spacing w:after="0" w:line="234" w:lineRule="auto"/>
        <w:rPr>
          <w:sz w:val="20"/>
          <w:szCs w:val="20"/>
          <w:color w:val="auto"/>
        </w:rPr>
      </w:pPr>
      <w:r>
        <w:rPr>
          <w:rFonts w:ascii="Arial" w:cs="Arial" w:eastAsia="Arial" w:hAnsi="Arial"/>
          <w:sz w:val="22"/>
          <w:szCs w:val="22"/>
          <w:color w:val="auto"/>
        </w:rPr>
        <w:t xml:space="preserve">4.1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Prior to the expiration of the Employment Period, this Agreement and Employee’s employment</w:t>
      </w:r>
      <w:r>
        <w:rPr>
          <w:rFonts w:ascii="Arial" w:cs="Arial" w:eastAsia="Arial" w:hAnsi="Arial"/>
          <w:sz w:val="22"/>
          <w:szCs w:val="22"/>
          <w:color w:val="auto"/>
        </w:rPr>
        <w:t xml:space="preserve"> </w:t>
      </w:r>
      <w:r>
        <w:rPr>
          <w:rFonts w:ascii="Arial" w:cs="Arial" w:eastAsia="Arial" w:hAnsi="Arial"/>
          <w:sz w:val="18"/>
          <w:szCs w:val="18"/>
          <w:color w:val="auto"/>
        </w:rPr>
        <w:t>may be terminated as follows:</w:t>
      </w:r>
    </w:p>
    <w:p>
      <w:pPr>
        <w:spacing w:after="0" w:line="230" w:lineRule="exact"/>
        <w:rPr>
          <w:sz w:val="20"/>
          <w:szCs w:val="20"/>
          <w:color w:val="auto"/>
        </w:rPr>
      </w:pPr>
    </w:p>
    <w:p>
      <w:pPr>
        <w:ind w:left="2380" w:hanging="426"/>
        <w:spacing w:after="0"/>
        <w:tabs>
          <w:tab w:leader="none" w:pos="2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Employee’s death;</w:t>
      </w:r>
    </w:p>
    <w:p>
      <w:pPr>
        <w:spacing w:after="0" w:line="252" w:lineRule="exact"/>
        <w:rPr>
          <w:rFonts w:ascii="Arial" w:cs="Arial" w:eastAsia="Arial" w:hAnsi="Arial"/>
          <w:sz w:val="18"/>
          <w:szCs w:val="18"/>
          <w:color w:val="auto"/>
        </w:rPr>
      </w:pPr>
    </w:p>
    <w:p>
      <w:pPr>
        <w:jc w:val="both"/>
        <w:ind w:firstLine="1954"/>
        <w:spacing w:after="0" w:line="272" w:lineRule="auto"/>
        <w:tabs>
          <w:tab w:leader="none" w:pos="24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By the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her position, with or without reasonable accommodation, for six (6) consecutive months;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231" w:lineRule="exact"/>
        <w:rPr>
          <w:rFonts w:ascii="Arial" w:cs="Arial" w:eastAsia="Arial" w:hAnsi="Arial"/>
          <w:sz w:val="17"/>
          <w:szCs w:val="17"/>
          <w:color w:val="auto"/>
        </w:rPr>
      </w:pPr>
    </w:p>
    <w:p>
      <w:pPr>
        <w:jc w:val="both"/>
        <w:ind w:firstLine="1954"/>
        <w:spacing w:after="0" w:line="287" w:lineRule="auto"/>
        <w:tabs>
          <w:tab w:leader="none" w:pos="255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By the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Board of Directors within thirty (30) days after receiving such notice, provided that such directive is reasonable in scope and is otherwise within the Board’s reasonable business judgment, and is reasonably within Employee’s control; provided Employee does not cure said conduct or breach as set forth in (i)-(v)(to the extent curable) within thirty (30) days after the Board of Directors provides Employee with reasonably-detailed written notice of said conduct or breach accompanied by a clear written statement of the Company’s intent to terminate the Employee’s employment for Cause in the absence of a cure. Cause shall not exist unless and until the Employee (and her counsel if she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652" w:right="239" w:bottom="1440" w:gutter="0" w:footer="0" w:header="0"/>
          <w:type w:val="continuous"/>
        </w:sectPr>
      </w:pPr>
    </w:p>
    <w:bookmarkStart w:id="28" w:name="page29"/>
    <w:bookmarkEnd w:id="28"/>
    <w:p>
      <w:pPr>
        <w:jc w:val="both"/>
        <w:ind w:firstLine="1954"/>
        <w:spacing w:after="0" w:line="271" w:lineRule="auto"/>
        <w:tabs>
          <w:tab w:leader="none" w:pos="2408" w:val="left"/>
        </w:tabs>
        <w:numPr>
          <w:ilvl w:val="0"/>
          <w:numId w:val="21"/>
        </w:numPr>
        <w:rPr>
          <w:rFonts w:ascii="Arial" w:cs="Arial" w:eastAsia="Arial" w:hAnsi="Arial"/>
          <w:sz w:val="17"/>
          <w:szCs w:val="17"/>
          <w:color w:val="auto"/>
        </w:rPr>
      </w:pPr>
      <w:r>
        <w:rPr>
          <w:rFonts w:ascii="Arial" w:cs="Arial" w:eastAsia="Arial" w:hAnsi="Arial"/>
          <w:sz w:val="17"/>
          <w:szCs w:val="17"/>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base compensation, (iv) a material diminution in Employee’s authority, duties or responsibilities, (v) a requirement that Employee report to a corporate officer or employee instead of reporting directly to the Board of Directors, or (vi) a change in the geographic location at which Employee must perform services hereunder of more than twenty-five (25) miles; provided, that, Employee provides the Board of Directors with written notice of Good Reason within thirty (30) days of the date on which Employee becomes aware of the condition alleged to give rise to Good Reason, Company does not cure such condition within thirty (30) days after such notice (to the extent curable), and Employee terminates her employment within ninety (90) days following the onset of one or more conditions giving rise to Good Reason.</w:t>
      </w:r>
    </w:p>
    <w:p>
      <w:pPr>
        <w:spacing w:after="0" w:line="239" w:lineRule="exact"/>
        <w:rPr>
          <w:sz w:val="20"/>
          <w:szCs w:val="20"/>
          <w:color w:val="auto"/>
        </w:rPr>
      </w:pPr>
    </w:p>
    <w:p>
      <w:pPr>
        <w:ind w:left="1540"/>
        <w:spacing w:after="0"/>
        <w:tabs>
          <w:tab w:leader="none" w:pos="20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6"/>
          <w:szCs w:val="16"/>
          <w:u w:val="single" w:color="auto"/>
          <w:color w:val="auto"/>
        </w:rPr>
        <w:t>Impact of Termination</w:t>
      </w:r>
      <w:r>
        <w:rPr>
          <w:rFonts w:ascii="Arial" w:cs="Arial" w:eastAsia="Arial" w:hAnsi="Arial"/>
          <w:sz w:val="16"/>
          <w:szCs w:val="16"/>
          <w:color w:val="auto"/>
        </w:rPr>
        <w:t>.</w:t>
      </w:r>
    </w:p>
    <w:p>
      <w:pPr>
        <w:spacing w:after="0" w:line="254" w:lineRule="exact"/>
        <w:rPr>
          <w:sz w:val="20"/>
          <w:szCs w:val="20"/>
          <w:color w:val="auto"/>
        </w:rPr>
      </w:pPr>
    </w:p>
    <w:p>
      <w:pPr>
        <w:jc w:val="both"/>
        <w:ind w:firstLine="1954"/>
        <w:spacing w:after="0" w:line="264" w:lineRule="auto"/>
        <w:tabs>
          <w:tab w:leader="none" w:pos="2399"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208" w:lineRule="exact"/>
        <w:rPr>
          <w:rFonts w:ascii="Arial" w:cs="Arial" w:eastAsia="Arial" w:hAnsi="Arial"/>
          <w:sz w:val="18"/>
          <w:szCs w:val="18"/>
          <w:u w:val="single" w:color="auto"/>
          <w:color w:val="auto"/>
        </w:rPr>
      </w:pPr>
    </w:p>
    <w:p>
      <w:pPr>
        <w:jc w:val="both"/>
        <w:ind w:firstLine="1954"/>
        <w:spacing w:after="0" w:line="268" w:lineRule="auto"/>
        <w:tabs>
          <w:tab w:leader="none" w:pos="2407" w:val="left"/>
        </w:tabs>
        <w:numPr>
          <w:ilvl w:val="0"/>
          <w:numId w:val="2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In the event during the Employment Period (i) the Company terminates Employee’s employment other than for Cause pursuant to Section 4.1(c) or (ii) the Employee terminates her employment for Good Reason pursuant to Section 4.1(d), subject to the execution and non-revocation of a release and waiver of all claims described below, the Company shall continue her base salary in accordance with its regular payroll practices for a period of (A) twelve (12) months, commencing on the date that is thirty (30) days after the termination in the case of a termination of employment either prior to a Change in Control or following a period of twelve (12) months after a Change in Control or (B) twenty-four (24) months, commencing on the date that is thirty (30) days after the termination in the case of a termination of employment during the twelve (12) month period immediately following a Change in Control, in each case, such payments to be reduced by the amount of any compensation from a subsequent employer during such period. Notwithstanding anything herein to the contrary, receipt of any payment in connection with a termination of employment shall be conditioned on Employee signing a release and waiver of all claims against the Company and its affiliates within thirty (30) days after her termination of employment, in such form and manner as the Company shall reasonably prescribe, which release shall become effective and irrevocable within thirty (30) days after Employee’s termination of employment. Employee shall accept these payments in full discharge of all obligations of any kind which Company has to her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the Company. Employee shall also be eligible to receive a bonus with respect to the year of termination as provided in Section 3(b).</w:t>
      </w: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881" w:right="239" w:bottom="1440" w:gutter="0" w:footer="0" w:header="0"/>
        </w:sectPr>
      </w:pPr>
    </w:p>
    <w:bookmarkStart w:id="29" w:name="page30"/>
    <w:bookmarkEnd w:id="29"/>
    <w:p>
      <w:pPr>
        <w:jc w:val="both"/>
        <w:ind w:firstLine="1297"/>
        <w:spacing w:after="0" w:line="271" w:lineRule="auto"/>
        <w:rPr>
          <w:sz w:val="20"/>
          <w:szCs w:val="20"/>
          <w:color w:val="auto"/>
        </w:rPr>
      </w:pPr>
      <w:r>
        <w:rPr>
          <w:rFonts w:ascii="Arial" w:cs="Arial" w:eastAsia="Arial" w:hAnsi="Arial"/>
          <w:sz w:val="17"/>
          <w:szCs w:val="17"/>
          <w:color w:val="auto"/>
        </w:rPr>
        <w:t>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20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For purposes of this Agreement, “Change in Control” shall mean: (i) the purchase or other acquisition (other than from the Company) by any person, entity or group of persons, within the meaning of Section 13(d) or 14(d) of the Securities Exchange Act of 1934, as amended (“Act”) (excluding, for this purpose, the Company or its subsidiaries or any employee benefit plan of the Company or its subsidiaries), of beneficial ownership (within the meaning of Rule 13d-3 promulgated under the Act) of 20% or more of either the then-outstanding shares of common stock of the Company or the combined voting power of the Company’s then-outstanding voting securities entitled to vote generally in the election of directors; or (ii) individuals who, as of the date hereof, constitute the Company’s Board of Directors (and, as of the date hereof, the “Incumbent Board”) cease for any reason to constitute at least a majority of the Company’s Board of Directors, provided that any person who becomes a director subsequent to the date hereof whose election, or nomination for election by the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the Company, as such terms are used in Rule 14a-11 of Regulation 14A promulgated under the Act) shall be, for purposes of this Section, considered as though such person were a member of the Incumbent Board; (iii) a reorganization, merger or consolidation involving the Company, in each case with respect to which persons who were the stockholders of the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the Company, or the sale of all or substantially all of the assets of the Company.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1954"/>
        <w:spacing w:after="0" w:line="248" w:lineRule="auto"/>
        <w:tabs>
          <w:tab w:leader="none" w:pos="2455" w:val="left"/>
        </w:tabs>
        <w:numPr>
          <w:ilvl w:val="1"/>
          <w:numId w:val="23"/>
        </w:numPr>
        <w:rPr>
          <w:rFonts w:ascii="Arial" w:cs="Arial" w:eastAsia="Arial" w:hAnsi="Arial"/>
          <w:sz w:val="22"/>
          <w:szCs w:val="22"/>
          <w:color w:val="auto"/>
        </w:rPr>
      </w:pPr>
      <w:r>
        <w:rPr>
          <w:rFonts w:ascii="Arial" w:cs="Arial" w:eastAsia="Arial" w:hAnsi="Arial"/>
          <w:sz w:val="18"/>
          <w:szCs w:val="18"/>
          <w:u w:val="single" w:color="auto"/>
          <w:color w:val="auto"/>
        </w:rPr>
        <w:t>Termination due to Employee Non-Renewal of Term or Termination by Employee without Good Reason</w:t>
      </w:r>
      <w:r>
        <w:rPr>
          <w:rFonts w:ascii="Arial" w:cs="Arial" w:eastAsia="Arial" w:hAnsi="Arial"/>
          <w:sz w:val="18"/>
          <w:szCs w:val="18"/>
          <w:color w:val="auto"/>
        </w:rPr>
        <w:t>. If the Agreement expires either at the end of the Initial Term or at the end of any Renewal Period, due to the issuance of notice of non-renewal by Employee under Section 2, then no severance under Section 4(b) shall be paid to the Employee and her employment shall terminate upon the anniversary date. If Employee terminates her employment without Good Reason, then no severance under 4.2(b) shall be paid to Employee and her employment shall terminate on the effective date of such termination. For the avoidance of doubt, if the Company ends the relationship either at the end of the Initial Term or at the end of any Renewal Period other than for Cause, the Company shall remit to Employee the severance specified in Section 4(b) provided Company has received the release and waiver referred to in Section 4(b).</w:t>
      </w:r>
    </w:p>
    <w:p>
      <w:pPr>
        <w:spacing w:after="0" w:line="265" w:lineRule="exact"/>
        <w:rPr>
          <w:rFonts w:ascii="Arial" w:cs="Arial" w:eastAsia="Arial" w:hAnsi="Arial"/>
          <w:sz w:val="22"/>
          <w:szCs w:val="22"/>
          <w:color w:val="auto"/>
        </w:rPr>
      </w:pPr>
    </w:p>
    <w:p>
      <w:pPr>
        <w:jc w:val="both"/>
        <w:ind w:firstLine="1954"/>
        <w:spacing w:after="0" w:line="246" w:lineRule="auto"/>
        <w:tabs>
          <w:tab w:leader="none" w:pos="2467" w:val="left"/>
        </w:tabs>
        <w:numPr>
          <w:ilvl w:val="1"/>
          <w:numId w:val="23"/>
        </w:numPr>
        <w:rPr>
          <w:rFonts w:ascii="Arial" w:cs="Arial" w:eastAsia="Arial" w:hAnsi="Arial"/>
          <w:sz w:val="22"/>
          <w:szCs w:val="22"/>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paragraph 4.2(b) above, during the period that Welfare Benefits are continued under COBRA, the Company shall continue to pay the Company’s portion of the medical plan premium for the benefit of Employee.</w:t>
      </w:r>
    </w:p>
    <w:p>
      <w:pPr>
        <w:spacing w:after="0" w:line="270" w:lineRule="exact"/>
        <w:rPr>
          <w:rFonts w:ascii="Arial" w:cs="Arial" w:eastAsia="Arial" w:hAnsi="Arial"/>
          <w:sz w:val="22"/>
          <w:szCs w:val="22"/>
          <w:color w:val="auto"/>
        </w:rPr>
      </w:pPr>
    </w:p>
    <w:p>
      <w:pPr>
        <w:ind w:left="1900" w:hanging="432"/>
        <w:spacing w:after="0"/>
        <w:tabs>
          <w:tab w:leader="none" w:pos="1900" w:val="left"/>
        </w:tabs>
        <w:numPr>
          <w:ilvl w:val="0"/>
          <w:numId w:val="24"/>
        </w:numPr>
        <w:rPr>
          <w:rFonts w:ascii="Arial" w:cs="Arial" w:eastAsia="Arial" w:hAnsi="Arial"/>
          <w:sz w:val="22"/>
          <w:szCs w:val="22"/>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42" w:lineRule="exact"/>
        <w:rPr>
          <w:rFonts w:ascii="Arial" w:cs="Arial" w:eastAsia="Arial" w:hAnsi="Arial"/>
          <w:sz w:val="22"/>
          <w:szCs w:val="22"/>
          <w:color w:val="auto"/>
        </w:rPr>
      </w:pPr>
    </w:p>
    <w:p>
      <w:pPr>
        <w:ind w:right="20" w:firstLine="1954"/>
        <w:spacing w:after="0" w:line="308" w:lineRule="auto"/>
        <w:tabs>
          <w:tab w:leader="none" w:pos="2402" w:val="left"/>
        </w:tabs>
        <w:numPr>
          <w:ilvl w:val="1"/>
          <w:numId w:val="24"/>
        </w:numPr>
        <w:rPr>
          <w:rFonts w:ascii="Arial" w:cs="Arial" w:eastAsia="Arial" w:hAnsi="Arial"/>
          <w:sz w:val="17"/>
          <w:szCs w:val="17"/>
          <w:color w:val="auto"/>
        </w:rPr>
      </w:pPr>
      <w:r>
        <w:rPr>
          <w:rFonts w:ascii="Arial" w:cs="Arial" w:eastAsia="Arial" w:hAnsi="Arial"/>
          <w:sz w:val="17"/>
          <w:szCs w:val="17"/>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73" w:lineRule="exact"/>
        <w:rPr>
          <w:rFonts w:ascii="Arial" w:cs="Arial" w:eastAsia="Arial" w:hAnsi="Arial"/>
          <w:sz w:val="17"/>
          <w:szCs w:val="17"/>
          <w:color w:val="auto"/>
        </w:rPr>
      </w:pPr>
    </w:p>
    <w:p>
      <w:pPr>
        <w:jc w:val="both"/>
        <w:ind w:firstLine="1954"/>
        <w:spacing w:after="0" w:line="259" w:lineRule="auto"/>
        <w:tabs>
          <w:tab w:leader="none" w:pos="24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Employee acknowledges and confirms that certain data and other information (whether in human or machine readable form) that comes into her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240" w:lineRule="exact"/>
        <w:rPr>
          <w:rFonts w:ascii="Arial" w:cs="Arial" w:eastAsia="Arial" w:hAnsi="Arial"/>
          <w:sz w:val="18"/>
          <w:szCs w:val="18"/>
          <w:color w:val="auto"/>
        </w:rPr>
      </w:pPr>
    </w:p>
    <w:p>
      <w:pPr>
        <w:ind w:left="2960" w:hanging="439"/>
        <w:spacing w:after="0"/>
        <w:tabs>
          <w:tab w:leader="none" w:pos="2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lists or other identification of customers or prospective customers of Company;</w:t>
      </w:r>
    </w:p>
    <w:p>
      <w:pPr>
        <w:spacing w:after="0" w:line="252" w:lineRule="exact"/>
        <w:rPr>
          <w:rFonts w:ascii="Arial" w:cs="Arial" w:eastAsia="Arial" w:hAnsi="Arial"/>
          <w:sz w:val="18"/>
          <w:szCs w:val="18"/>
          <w:color w:val="auto"/>
        </w:rPr>
      </w:pPr>
    </w:p>
    <w:p>
      <w:pPr>
        <w:jc w:val="both"/>
        <w:ind w:left="1220" w:firstLine="1301"/>
        <w:spacing w:after="0" w:line="264" w:lineRule="auto"/>
        <w:tabs>
          <w:tab w:leader="none" w:pos="3049" w:val="left"/>
        </w:tabs>
        <w:numPr>
          <w:ilvl w:val="2"/>
          <w:numId w:val="24"/>
        </w:numPr>
        <w:rPr>
          <w:rFonts w:ascii="Arial" w:cs="Arial" w:eastAsia="Arial" w:hAnsi="Arial"/>
          <w:sz w:val="18"/>
          <w:szCs w:val="18"/>
          <w:color w:val="auto"/>
        </w:rPr>
      </w:pPr>
      <w:r>
        <w:rPr>
          <w:rFonts w:ascii="Arial" w:cs="Arial" w:eastAsia="Arial" w:hAnsi="Arial"/>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235" w:lineRule="exact"/>
        <w:rPr>
          <w:rFonts w:ascii="Arial" w:cs="Arial" w:eastAsia="Arial" w:hAnsi="Arial"/>
          <w:sz w:val="18"/>
          <w:szCs w:val="18"/>
          <w:color w:val="auto"/>
        </w:rPr>
      </w:pPr>
    </w:p>
    <w:p>
      <w:pPr>
        <w:ind w:left="1220" w:firstLine="1301"/>
        <w:spacing w:after="0" w:line="308" w:lineRule="auto"/>
        <w:tabs>
          <w:tab w:leader="none" w:pos="2959" w:val="left"/>
        </w:tabs>
        <w:numPr>
          <w:ilvl w:val="2"/>
          <w:numId w:val="24"/>
        </w:numPr>
        <w:rPr>
          <w:rFonts w:ascii="Arial" w:cs="Arial" w:eastAsia="Arial" w:hAnsi="Arial"/>
          <w:sz w:val="17"/>
          <w:szCs w:val="17"/>
          <w:color w:val="auto"/>
        </w:rPr>
      </w:pPr>
      <w:r>
        <w:rPr>
          <w:rFonts w:ascii="Arial" w:cs="Arial" w:eastAsia="Arial" w:hAnsi="Arial"/>
          <w:sz w:val="17"/>
          <w:szCs w:val="17"/>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200" w:lineRule="exact"/>
        <w:rPr>
          <w:rFonts w:ascii="Arial" w:cs="Arial" w:eastAsia="Arial" w:hAnsi="Arial"/>
          <w:sz w:val="17"/>
          <w:szCs w:val="17"/>
          <w:color w:val="auto"/>
        </w:rPr>
      </w:pPr>
    </w:p>
    <w:p>
      <w:pPr>
        <w:jc w:val="both"/>
        <w:ind w:left="1220" w:firstLine="1301"/>
        <w:spacing w:after="0" w:line="264" w:lineRule="auto"/>
        <w:tabs>
          <w:tab w:leader="none" w:pos="3004" w:val="left"/>
        </w:tabs>
        <w:numPr>
          <w:ilvl w:val="2"/>
          <w:numId w:val="24"/>
        </w:numPr>
        <w:rPr>
          <w:rFonts w:ascii="Arial" w:cs="Arial" w:eastAsia="Arial" w:hAnsi="Arial"/>
          <w:sz w:val="18"/>
          <w:szCs w:val="18"/>
          <w:color w:val="auto"/>
        </w:rPr>
      </w:pPr>
      <w:r>
        <w:rPr>
          <w:rFonts w:ascii="Arial" w:cs="Arial" w:eastAsia="Arial" w:hAnsi="Arial"/>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235" w:lineRule="exact"/>
        <w:rPr>
          <w:rFonts w:ascii="Arial" w:cs="Arial" w:eastAsia="Arial" w:hAnsi="Arial"/>
          <w:sz w:val="18"/>
          <w:szCs w:val="18"/>
          <w:color w:val="auto"/>
        </w:rPr>
      </w:pPr>
    </w:p>
    <w:p>
      <w:pPr>
        <w:ind w:left="1220" w:firstLine="1301"/>
        <w:spacing w:after="0" w:line="308" w:lineRule="auto"/>
        <w:tabs>
          <w:tab w:leader="none" w:pos="3109" w:val="left"/>
        </w:tabs>
        <w:numPr>
          <w:ilvl w:val="2"/>
          <w:numId w:val="24"/>
        </w:numPr>
        <w:rPr>
          <w:rFonts w:ascii="Arial" w:cs="Arial" w:eastAsia="Arial" w:hAnsi="Arial"/>
          <w:sz w:val="17"/>
          <w:szCs w:val="17"/>
          <w:color w:val="auto"/>
        </w:rPr>
      </w:pPr>
      <w:r>
        <w:rPr>
          <w:rFonts w:ascii="Arial" w:cs="Arial" w:eastAsia="Arial" w:hAnsi="Arial"/>
          <w:sz w:val="17"/>
          <w:szCs w:val="17"/>
          <w:color w:val="auto"/>
        </w:rPr>
        <w:t>equipment, materials, designs, procedures, processes, and techniques used in, or related to, the development, manufacture, assembly, fabrication or other production and quality control of Company’s products, stores and services;</w:t>
      </w: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895" w:right="239" w:bottom="1440" w:gutter="0" w:footer="0" w:header="0"/>
        </w:sectPr>
      </w:pPr>
    </w:p>
    <w:bookmarkStart w:id="31" w:name="page32"/>
    <w:bookmarkEnd w:id="31"/>
    <w:p>
      <w:pPr>
        <w:jc w:val="both"/>
        <w:ind w:left="1300" w:firstLine="1301"/>
        <w:spacing w:after="0" w:line="264" w:lineRule="auto"/>
        <w:tabs>
          <w:tab w:leader="none" w:pos="30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235" w:lineRule="exact"/>
        <w:rPr>
          <w:rFonts w:ascii="Arial" w:cs="Arial" w:eastAsia="Arial" w:hAnsi="Arial"/>
          <w:sz w:val="18"/>
          <w:szCs w:val="18"/>
          <w:color w:val="auto"/>
        </w:rPr>
      </w:pPr>
    </w:p>
    <w:p>
      <w:pPr>
        <w:ind w:left="3060" w:hanging="459"/>
        <w:spacing w:after="0"/>
        <w:tabs>
          <w:tab w:leader="none" w:pos="3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Company’s relations with its employees (including, without limitation, salaries, job classifications and skill levels);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64" w:lineRule="exact"/>
        <w:rPr>
          <w:rFonts w:ascii="Arial" w:cs="Arial" w:eastAsia="Arial" w:hAnsi="Arial"/>
          <w:sz w:val="16"/>
          <w:szCs w:val="16"/>
          <w:color w:val="auto"/>
        </w:rPr>
      </w:pPr>
    </w:p>
    <w:p>
      <w:pPr>
        <w:ind w:left="1300" w:firstLine="1301"/>
        <w:spacing w:after="0" w:line="277" w:lineRule="auto"/>
        <w:tabs>
          <w:tab w:leader="none" w:pos="31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w:t>
      </w:r>
    </w:p>
    <w:p>
      <w:pPr>
        <w:spacing w:after="0" w:line="197" w:lineRule="exact"/>
        <w:rPr>
          <w:sz w:val="20"/>
          <w:szCs w:val="20"/>
          <w:color w:val="auto"/>
        </w:rPr>
      </w:pPr>
    </w:p>
    <w:p>
      <w:pPr>
        <w:jc w:val="both"/>
        <w:ind w:left="80" w:firstLine="1954"/>
        <w:spacing w:after="0" w:line="264" w:lineRule="auto"/>
        <w:tabs>
          <w:tab w:leader="none" w:pos="24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her duties on behalf of Company.</w:t>
      </w:r>
    </w:p>
    <w:p>
      <w:pPr>
        <w:spacing w:after="0" w:line="248" w:lineRule="exact"/>
        <w:rPr>
          <w:rFonts w:ascii="Arial" w:cs="Arial" w:eastAsia="Arial" w:hAnsi="Arial"/>
          <w:sz w:val="18"/>
          <w:szCs w:val="18"/>
          <w:color w:val="auto"/>
        </w:rPr>
      </w:pPr>
    </w:p>
    <w:p>
      <w:pPr>
        <w:jc w:val="both"/>
        <w:ind w:left="260" w:firstLine="1288"/>
        <w:spacing w:after="0" w:line="284" w:lineRule="auto"/>
        <w:tabs>
          <w:tab w:leader="none" w:pos="2016" w:val="left"/>
        </w:tabs>
        <w:numPr>
          <w:ilvl w:val="0"/>
          <w:numId w:val="27"/>
        </w:numPr>
        <w:rPr>
          <w:rFonts w:ascii="Arial" w:cs="Arial" w:eastAsia="Arial" w:hAnsi="Arial"/>
          <w:sz w:val="19"/>
          <w:szCs w:val="19"/>
          <w:color w:val="auto"/>
        </w:rPr>
      </w:pPr>
      <w:r>
        <w:rPr>
          <w:rFonts w:ascii="Arial" w:cs="Arial" w:eastAsia="Arial" w:hAnsi="Arial"/>
          <w:sz w:val="16"/>
          <w:szCs w:val="16"/>
          <w:u w:val="single" w:color="auto"/>
          <w:color w:val="auto"/>
        </w:rPr>
        <w:t>Post-Termination Restrictions</w:t>
      </w:r>
      <w:r>
        <w:rPr>
          <w:rFonts w:ascii="Arial" w:cs="Arial" w:eastAsia="Arial" w:hAnsi="Arial"/>
          <w:sz w:val="16"/>
          <w:szCs w:val="16"/>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herself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paragraph 4.1(b), (c), or (d), or due to expiration of the Agreement due to non-renewal by either party, Employee will not, directly or indirectly (whether as owner, partner, consultant, employee or otherwise):</w:t>
      </w:r>
    </w:p>
    <w:p>
      <w:pPr>
        <w:spacing w:after="0" w:line="197" w:lineRule="exact"/>
        <w:rPr>
          <w:rFonts w:ascii="Arial" w:cs="Arial" w:eastAsia="Arial" w:hAnsi="Arial"/>
          <w:sz w:val="19"/>
          <w:szCs w:val="19"/>
          <w:color w:val="auto"/>
        </w:rPr>
      </w:pPr>
    </w:p>
    <w:p>
      <w:pPr>
        <w:jc w:val="both"/>
        <w:ind w:left="80" w:firstLine="1954"/>
        <w:spacing w:after="0" w:line="276" w:lineRule="auto"/>
        <w:tabs>
          <w:tab w:leader="none" w:pos="2464" w:val="left"/>
        </w:tabs>
        <w:numPr>
          <w:ilvl w:val="1"/>
          <w:numId w:val="27"/>
        </w:numPr>
        <w:rPr>
          <w:rFonts w:ascii="Arial" w:cs="Arial" w:eastAsia="Arial" w:hAnsi="Arial"/>
          <w:sz w:val="17"/>
          <w:szCs w:val="17"/>
          <w:color w:val="auto"/>
        </w:rPr>
      </w:pPr>
      <w:r>
        <w:rPr>
          <w:rFonts w:ascii="Arial" w:cs="Arial" w:eastAsia="Arial" w:hAnsi="Arial"/>
          <w:sz w:val="17"/>
          <w:szCs w:val="17"/>
          <w:color w:val="auto"/>
        </w:rPr>
        <w:t>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the Company has established a retail presence either directly or through a franchise arrangement; 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 w:name="page33"/>
    <w:bookmarkEnd w:id="32"/>
    <w:p>
      <w:pPr>
        <w:jc w:val="both"/>
        <w:ind w:firstLine="1954"/>
        <w:spacing w:after="0" w:line="290" w:lineRule="auto"/>
        <w:tabs>
          <w:tab w:leader="none" w:pos="2573" w:val="left"/>
        </w:tabs>
        <w:numPr>
          <w:ilvl w:val="2"/>
          <w:numId w:val="28"/>
        </w:numPr>
        <w:rPr>
          <w:rFonts w:ascii="Arial" w:cs="Arial" w:eastAsia="Arial" w:hAnsi="Arial"/>
          <w:sz w:val="16"/>
          <w:szCs w:val="16"/>
          <w:color w:val="auto"/>
        </w:rPr>
      </w:pPr>
      <w:r>
        <w:rPr>
          <w:rFonts w:ascii="Arial" w:cs="Arial" w:eastAsia="Arial" w:hAnsi="Arial"/>
          <w:sz w:val="16"/>
          <w:szCs w:val="16"/>
          <w:color w:val="auto"/>
        </w:rPr>
        <w:t xml:space="preserve">for one (1) year, induce or attempt to induce any employee, consultant, partner or advisor of Company to accept employment or an affiliation with any entity engaged in a Restricted Activity;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termination of her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her relatives, nor any other entities with which she is affiliated own more than 1% of the entity. As used in this paragraph 6, “material business” shall mean that either (A) greater than 10% of annual revenues received by such entity were derived from the sale of stuffed plush toys and related products, or (B) the annual revenues received or projected to be received by such entity from the sale of stuffed plush toys and related products exceeded $10 million, or (C) or the entity otherwise annually derives or is projected to derive annual revenues in excess of $5 million from a retail concept that is similar in any material regard to Company.</w:t>
      </w:r>
    </w:p>
    <w:p>
      <w:pPr>
        <w:spacing w:after="0" w:line="260" w:lineRule="exact"/>
        <w:rPr>
          <w:rFonts w:ascii="Arial" w:cs="Arial" w:eastAsia="Arial" w:hAnsi="Arial"/>
          <w:sz w:val="16"/>
          <w:szCs w:val="16"/>
          <w:color w:val="auto"/>
        </w:rPr>
      </w:pPr>
    </w:p>
    <w:p>
      <w:pPr>
        <w:jc w:val="both"/>
        <w:ind w:left="180" w:firstLine="1288"/>
        <w:spacing w:after="0" w:line="293" w:lineRule="auto"/>
        <w:tabs>
          <w:tab w:leader="none" w:pos="2071" w:val="left"/>
        </w:tabs>
        <w:numPr>
          <w:ilvl w:val="1"/>
          <w:numId w:val="29"/>
        </w:numPr>
        <w:rPr>
          <w:rFonts w:ascii="Arial" w:cs="Arial" w:eastAsia="Arial" w:hAnsi="Arial"/>
          <w:sz w:val="19"/>
          <w:szCs w:val="19"/>
          <w:color w:val="auto"/>
        </w:rPr>
      </w:pPr>
      <w:r>
        <w:rPr>
          <w:rFonts w:ascii="Arial" w:cs="Arial" w:eastAsia="Arial" w:hAnsi="Arial"/>
          <w:sz w:val="16"/>
          <w:szCs w:val="16"/>
          <w:u w:val="single" w:color="auto"/>
          <w:color w:val="auto"/>
        </w:rPr>
        <w:t>Acknowledgment Regarding Restrictions</w:t>
      </w:r>
      <w:r>
        <w:rPr>
          <w:rFonts w:ascii="Arial" w:cs="Arial" w:eastAsia="Arial" w:hAnsi="Arial"/>
          <w:sz w:val="16"/>
          <w:szCs w:val="16"/>
          <w:color w:val="auto"/>
        </w:rPr>
        <w:t>. Employee recognizes and agrees that the restraints contained in Section 6 (both separately and in total), including the geographic scope thereof in light of the Company’s marketing efforts, are reasonable and enforceable in view of Company’s legitimate interests in protecting its Confidential Information and customer goodwill and the limited scope of the restrictions in Section 6.</w:t>
      </w:r>
    </w:p>
    <w:p>
      <w:pPr>
        <w:spacing w:after="0" w:line="206" w:lineRule="exact"/>
        <w:rPr>
          <w:rFonts w:ascii="Arial" w:cs="Arial" w:eastAsia="Arial" w:hAnsi="Arial"/>
          <w:sz w:val="19"/>
          <w:szCs w:val="19"/>
          <w:color w:val="auto"/>
        </w:rPr>
      </w:pPr>
    </w:p>
    <w:p>
      <w:pPr>
        <w:ind w:left="1900" w:hanging="432"/>
        <w:spacing w:after="0"/>
        <w:tabs>
          <w:tab w:leader="none" w:pos="1900" w:val="left"/>
        </w:tabs>
        <w:numPr>
          <w:ilvl w:val="1"/>
          <w:numId w:val="29"/>
        </w:numPr>
        <w:rPr>
          <w:rFonts w:ascii="Arial" w:cs="Arial" w:eastAsia="Arial" w:hAnsi="Arial"/>
          <w:sz w:val="22"/>
          <w:szCs w:val="22"/>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69" w:lineRule="exact"/>
        <w:rPr>
          <w:rFonts w:ascii="Arial" w:cs="Arial" w:eastAsia="Arial" w:hAnsi="Arial"/>
          <w:sz w:val="22"/>
          <w:szCs w:val="22"/>
          <w:color w:val="auto"/>
        </w:rPr>
      </w:pPr>
    </w:p>
    <w:p>
      <w:pPr>
        <w:jc w:val="both"/>
        <w:ind w:firstLine="1954"/>
        <w:spacing w:after="0" w:line="253" w:lineRule="auto"/>
        <w:tabs>
          <w:tab w:leader="none" w:pos="2419"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224" w:lineRule="exact"/>
        <w:rPr>
          <w:rFonts w:ascii="Arial" w:cs="Arial" w:eastAsia="Arial" w:hAnsi="Arial"/>
          <w:sz w:val="18"/>
          <w:szCs w:val="18"/>
          <w:color w:val="auto"/>
        </w:rPr>
      </w:pPr>
    </w:p>
    <w:p>
      <w:pPr>
        <w:jc w:val="both"/>
        <w:ind w:firstLine="1954"/>
        <w:spacing w:after="0" w:line="284" w:lineRule="auto"/>
        <w:tabs>
          <w:tab w:leader="none" w:pos="24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Employee acknowledges that as part of her work for the Company she may be asked to create, or contribute to the creation of, computer programs, documentation and other copyrightable works. Employee hereby agrees that any and all computer programs, documentation and other copyrightable materials that she has prepared or worked on for the Company, or is asked to prepare or work on by the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w:t>
      </w:r>
    </w:p>
    <w:p>
      <w:pPr>
        <w:spacing w:after="0" w:line="4" w:lineRule="exact"/>
        <w:rPr>
          <w:rFonts w:ascii="Arial" w:cs="Arial" w:eastAsia="Arial" w:hAnsi="Arial"/>
          <w:sz w:val="16"/>
          <w:szCs w:val="16"/>
          <w:color w:val="auto"/>
        </w:rPr>
      </w:pPr>
    </w:p>
    <w:p>
      <w:pPr>
        <w:jc w:val="both"/>
        <w:ind w:firstLine="9"/>
        <w:spacing w:after="0" w:line="252" w:lineRule="auto"/>
        <w:tabs>
          <w:tab w:leader="none" w:pos="2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she may have arising under 17 U.S.C. §§ 106A, rights that may arise under any federal, state, or foreign law that conveys rights that are similar in nature to those conveyed under 17 U.S.C. §§ 106A, and any other type of moral right or droit moral.</w:t>
      </w: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sectPr>
      </w:pPr>
    </w:p>
    <w:bookmarkStart w:id="33" w:name="page34"/>
    <w:bookmarkEnd w:id="33"/>
    <w:p>
      <w:pPr>
        <w:jc w:val="both"/>
        <w:ind w:firstLine="1288"/>
        <w:spacing w:after="0" w:line="289" w:lineRule="auto"/>
        <w:tabs>
          <w:tab w:leader="none" w:pos="1769" w:val="left"/>
        </w:tabs>
        <w:numPr>
          <w:ilvl w:val="0"/>
          <w:numId w:val="30"/>
        </w:numPr>
        <w:rPr>
          <w:rFonts w:ascii="Arial" w:cs="Arial" w:eastAsia="Arial" w:hAnsi="Arial"/>
          <w:sz w:val="19"/>
          <w:szCs w:val="19"/>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 other than to the extent noted above.</w:t>
      </w:r>
    </w:p>
    <w:p>
      <w:pPr>
        <w:spacing w:after="0" w:line="233" w:lineRule="exact"/>
        <w:rPr>
          <w:rFonts w:ascii="Arial" w:cs="Arial" w:eastAsia="Arial" w:hAnsi="Arial"/>
          <w:sz w:val="19"/>
          <w:szCs w:val="19"/>
          <w:color w:val="auto"/>
        </w:rPr>
      </w:pPr>
    </w:p>
    <w:p>
      <w:pPr>
        <w:jc w:val="both"/>
        <w:ind w:firstLine="1288"/>
        <w:spacing w:after="0" w:line="248" w:lineRule="auto"/>
        <w:tabs>
          <w:tab w:leader="none" w:pos="1958" w:val="left"/>
        </w:tabs>
        <w:numPr>
          <w:ilvl w:val="0"/>
          <w:numId w:val="30"/>
        </w:numPr>
        <w:rPr>
          <w:rFonts w:ascii="Arial" w:cs="Arial" w:eastAsia="Arial" w:hAnsi="Arial"/>
          <w:sz w:val="22"/>
          <w:szCs w:val="22"/>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that she will not in any way disparage Company or its affiliated entities, officers, or directors; and the officers and directors shall not in any way disparage Employee. Further, Employee agrees that she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w:t>
      </w:r>
    </w:p>
    <w:p>
      <w:pPr>
        <w:spacing w:after="0" w:line="289" w:lineRule="exact"/>
        <w:rPr>
          <w:rFonts w:ascii="Arial" w:cs="Arial" w:eastAsia="Arial" w:hAnsi="Arial"/>
          <w:sz w:val="22"/>
          <w:szCs w:val="22"/>
          <w:color w:val="auto"/>
        </w:rPr>
      </w:pPr>
    </w:p>
    <w:p>
      <w:pPr>
        <w:jc w:val="both"/>
        <w:ind w:firstLine="1288"/>
        <w:spacing w:after="0" w:line="246" w:lineRule="auto"/>
        <w:tabs>
          <w:tab w:leader="none" w:pos="1869" w:val="left"/>
        </w:tabs>
        <w:numPr>
          <w:ilvl w:val="0"/>
          <w:numId w:val="30"/>
        </w:numPr>
        <w:rPr>
          <w:rFonts w:ascii="Arial" w:cs="Arial" w:eastAsia="Arial" w:hAnsi="Arial"/>
          <w:sz w:val="22"/>
          <w:szCs w:val="22"/>
          <w:color w:val="auto"/>
        </w:rPr>
      </w:pPr>
      <w:r>
        <w:rPr>
          <w:rFonts w:ascii="Arial" w:cs="Arial" w:eastAsia="Arial" w:hAnsi="Arial"/>
          <w:sz w:val="18"/>
          <w:szCs w:val="18"/>
          <w:u w:val="single" w:color="auto"/>
          <w:color w:val="auto"/>
        </w:rPr>
        <w:t>Non-Waiver of Rights</w:t>
      </w:r>
      <w:r>
        <w:rPr>
          <w:rFonts w:ascii="Arial" w:cs="Arial" w:eastAsia="Arial" w:hAnsi="Arial"/>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292" w:lineRule="exact"/>
        <w:rPr>
          <w:rFonts w:ascii="Arial" w:cs="Arial" w:eastAsia="Arial" w:hAnsi="Arial"/>
          <w:sz w:val="22"/>
          <w:szCs w:val="22"/>
          <w:color w:val="auto"/>
        </w:rPr>
      </w:pPr>
    </w:p>
    <w:p>
      <w:pPr>
        <w:jc w:val="both"/>
        <w:ind w:firstLine="1288"/>
        <w:spacing w:after="0" w:line="287" w:lineRule="auto"/>
        <w:tabs>
          <w:tab w:leader="none" w:pos="1850" w:val="left"/>
        </w:tabs>
        <w:numPr>
          <w:ilvl w:val="0"/>
          <w:numId w:val="30"/>
        </w:numPr>
        <w:rPr>
          <w:rFonts w:ascii="Arial" w:cs="Arial" w:eastAsia="Arial" w:hAnsi="Arial"/>
          <w:sz w:val="19"/>
          <w:szCs w:val="19"/>
          <w:color w:val="auto"/>
        </w:rPr>
      </w:pPr>
      <w:r>
        <w:rPr>
          <w:rFonts w:ascii="Arial" w:cs="Arial" w:eastAsia="Arial" w:hAnsi="Arial"/>
          <w:sz w:val="16"/>
          <w:szCs w:val="16"/>
          <w:u w:val="single" w:color="auto"/>
          <w:color w:val="auto"/>
        </w:rPr>
        <w:t>Company’s Right to Injunctive Relief</w:t>
      </w:r>
      <w:r>
        <w:rPr>
          <w:rFonts w:ascii="Arial" w:cs="Arial" w:eastAsia="Arial" w:hAnsi="Arial"/>
          <w:sz w:val="16"/>
          <w:szCs w:val="16"/>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200" w:lineRule="exact"/>
        <w:rPr>
          <w:sz w:val="20"/>
          <w:szCs w:val="20"/>
          <w:color w:val="auto"/>
        </w:rPr>
      </w:pP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500" w:top="922" w:right="239" w:bottom="1440" w:gutter="0" w:footer="0" w:header="0"/>
        </w:sectPr>
      </w:pPr>
    </w:p>
    <w:bookmarkStart w:id="34" w:name="page35"/>
    <w:bookmarkEnd w:id="34"/>
    <w:p>
      <w:pPr>
        <w:jc w:val="both"/>
        <w:ind w:firstLine="1288"/>
        <w:spacing w:after="0" w:line="287" w:lineRule="auto"/>
        <w:tabs>
          <w:tab w:leader="none" w:pos="1877" w:val="left"/>
        </w:tabs>
        <w:numPr>
          <w:ilvl w:val="0"/>
          <w:numId w:val="31"/>
        </w:numPr>
        <w:rPr>
          <w:rFonts w:ascii="Arial" w:cs="Arial" w:eastAsia="Arial" w:hAnsi="Arial"/>
          <w:sz w:val="19"/>
          <w:szCs w:val="19"/>
          <w:color w:val="auto"/>
        </w:rPr>
      </w:pPr>
      <w:r>
        <w:rPr>
          <w:rFonts w:ascii="Arial" w:cs="Arial" w:eastAsia="Arial" w:hAnsi="Arial"/>
          <w:sz w:val="16"/>
          <w:szCs w:val="16"/>
          <w:u w:val="single" w:color="auto"/>
          <w:color w:val="auto"/>
        </w:rPr>
        <w:t>Judicial Enforcement</w:t>
      </w:r>
      <w:r>
        <w:rPr>
          <w:rFonts w:ascii="Arial" w:cs="Arial" w:eastAsia="Arial" w:hAnsi="Arial"/>
          <w:sz w:val="16"/>
          <w:szCs w:val="16"/>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263" w:lineRule="exact"/>
        <w:rPr>
          <w:rFonts w:ascii="Arial" w:cs="Arial" w:eastAsia="Arial" w:hAnsi="Arial"/>
          <w:sz w:val="19"/>
          <w:szCs w:val="19"/>
          <w:color w:val="auto"/>
        </w:rPr>
      </w:pPr>
    </w:p>
    <w:p>
      <w:pPr>
        <w:jc w:val="both"/>
        <w:ind w:firstLine="1288"/>
        <w:spacing w:after="0" w:line="247" w:lineRule="auto"/>
        <w:tabs>
          <w:tab w:leader="none" w:pos="1850" w:val="left"/>
        </w:tabs>
        <w:numPr>
          <w:ilvl w:val="0"/>
          <w:numId w:val="31"/>
        </w:numPr>
        <w:rPr>
          <w:rFonts w:ascii="Arial" w:cs="Arial" w:eastAsia="Arial" w:hAnsi="Arial"/>
          <w:sz w:val="22"/>
          <w:szCs w:val="22"/>
          <w:color w:val="auto"/>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she will not, during her employment with Company, improperly use or disclose any proprietary information or trade secrets of former employers and will not bring on to the premises of the Company any unpublished documents or any property belonging to her former employers unless consented to in writing by such employers.</w:t>
      </w:r>
    </w:p>
    <w:p>
      <w:pPr>
        <w:spacing w:after="0" w:line="292" w:lineRule="exact"/>
        <w:rPr>
          <w:rFonts w:ascii="Arial" w:cs="Arial" w:eastAsia="Arial" w:hAnsi="Arial"/>
          <w:sz w:val="22"/>
          <w:szCs w:val="22"/>
          <w:color w:val="auto"/>
        </w:rPr>
      </w:pPr>
    </w:p>
    <w:p>
      <w:pPr>
        <w:jc w:val="both"/>
        <w:ind w:firstLine="1288"/>
        <w:spacing w:after="0" w:line="263" w:lineRule="auto"/>
        <w:tabs>
          <w:tab w:leader="none" w:pos="1918" w:val="left"/>
        </w:tabs>
        <w:numPr>
          <w:ilvl w:val="0"/>
          <w:numId w:val="31"/>
        </w:numPr>
        <w:rPr>
          <w:rFonts w:ascii="Arial" w:cs="Arial" w:eastAsia="Arial" w:hAnsi="Arial"/>
          <w:sz w:val="21"/>
          <w:szCs w:val="21"/>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279" w:lineRule="exact"/>
        <w:rPr>
          <w:rFonts w:ascii="Arial" w:cs="Arial" w:eastAsia="Arial" w:hAnsi="Arial"/>
          <w:sz w:val="21"/>
          <w:szCs w:val="21"/>
          <w:color w:val="auto"/>
        </w:rPr>
      </w:pPr>
    </w:p>
    <w:p>
      <w:pPr>
        <w:jc w:val="both"/>
        <w:ind w:firstLine="1288"/>
        <w:spacing w:after="0" w:line="263" w:lineRule="auto"/>
        <w:tabs>
          <w:tab w:leader="none" w:pos="1877" w:val="left"/>
        </w:tabs>
        <w:numPr>
          <w:ilvl w:val="0"/>
          <w:numId w:val="31"/>
        </w:numPr>
        <w:rPr>
          <w:rFonts w:ascii="Arial" w:cs="Arial" w:eastAsia="Arial" w:hAnsi="Arial"/>
          <w:sz w:val="21"/>
          <w:szCs w:val="21"/>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279" w:lineRule="exact"/>
        <w:rPr>
          <w:rFonts w:ascii="Arial" w:cs="Arial" w:eastAsia="Arial" w:hAnsi="Arial"/>
          <w:sz w:val="21"/>
          <w:szCs w:val="21"/>
          <w:color w:val="auto"/>
        </w:rPr>
      </w:pPr>
    </w:p>
    <w:p>
      <w:pPr>
        <w:jc w:val="both"/>
        <w:ind w:firstLine="1288"/>
        <w:spacing w:after="0" w:line="248" w:lineRule="auto"/>
        <w:tabs>
          <w:tab w:leader="none" w:pos="1837" w:val="left"/>
        </w:tabs>
        <w:numPr>
          <w:ilvl w:val="0"/>
          <w:numId w:val="31"/>
        </w:numPr>
        <w:rPr>
          <w:rFonts w:ascii="Arial" w:cs="Arial" w:eastAsia="Arial" w:hAnsi="Arial"/>
          <w:sz w:val="22"/>
          <w:szCs w:val="22"/>
          <w:color w:val="auto"/>
        </w:rPr>
      </w:pPr>
      <w:r>
        <w:rPr>
          <w:rFonts w:ascii="Arial" w:cs="Arial" w:eastAsia="Arial" w:hAnsi="Arial"/>
          <w:sz w:val="18"/>
          <w:szCs w:val="18"/>
          <w:u w:val="single" w:color="auto"/>
          <w:color w:val="auto"/>
        </w:rPr>
        <w:t>Choice of Forum and Governing Law</w:t>
      </w:r>
      <w:r>
        <w:rPr>
          <w:rFonts w:ascii="Arial" w:cs="Arial" w:eastAsia="Arial" w:hAnsi="Arial"/>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200" w:lineRule="exact"/>
        <w:rPr>
          <w:sz w:val="20"/>
          <w:szCs w:val="20"/>
          <w:color w:val="auto"/>
        </w:rPr>
      </w:pPr>
    </w:p>
    <w:p>
      <w:pPr>
        <w:spacing w:after="0" w:line="26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500" w:top="922" w:right="239" w:bottom="1440" w:gutter="0" w:footer="0" w:header="0"/>
        </w:sectPr>
      </w:pPr>
    </w:p>
    <w:bookmarkStart w:id="35" w:name="page36"/>
    <w:bookmarkEnd w:id="35"/>
    <w:p>
      <w:pPr>
        <w:ind w:left="260" w:firstLine="1288"/>
        <w:spacing w:after="0" w:line="315" w:lineRule="auto"/>
        <w:tabs>
          <w:tab w:leader="none" w:pos="2097" w:val="left"/>
        </w:tabs>
        <w:numPr>
          <w:ilvl w:val="0"/>
          <w:numId w:val="32"/>
        </w:numPr>
        <w:rPr>
          <w:rFonts w:ascii="Arial" w:cs="Arial" w:eastAsia="Arial" w:hAnsi="Arial"/>
          <w:sz w:val="19"/>
          <w:szCs w:val="19"/>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161" w:lineRule="exact"/>
        <w:rPr>
          <w:sz w:val="20"/>
          <w:szCs w:val="20"/>
          <w:color w:val="auto"/>
        </w:rPr>
      </w:pPr>
    </w:p>
    <w:p>
      <w:pPr>
        <w:ind w:left="2680" w:hanging="646"/>
        <w:spacing w:after="0"/>
        <w:tabs>
          <w:tab w:leader="none" w:pos="2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to Company:</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Eric Fencl</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Bearrister—General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38" w:lineRule="exact"/>
        <w:rPr>
          <w:sz w:val="20"/>
          <w:szCs w:val="20"/>
          <w:color w:val="auto"/>
        </w:rPr>
      </w:pPr>
    </w:p>
    <w:p>
      <w:pPr>
        <w:ind w:left="2640" w:hanging="606"/>
        <w:spacing w:after="0"/>
        <w:tabs>
          <w:tab w:leader="none" w:pos="2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to Employee:</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Sharon Price John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__________________________</w:t>
      </w:r>
    </w:p>
    <w:p>
      <w:pPr>
        <w:spacing w:after="0" w:line="251" w:lineRule="exact"/>
        <w:rPr>
          <w:sz w:val="20"/>
          <w:szCs w:val="20"/>
          <w:color w:val="auto"/>
        </w:rPr>
      </w:pPr>
    </w:p>
    <w:p>
      <w:pPr>
        <w:jc w:val="both"/>
        <w:ind w:left="260" w:firstLine="1288"/>
        <w:spacing w:after="0" w:line="284" w:lineRule="auto"/>
        <w:tabs>
          <w:tab w:leader="none" w:pos="2232" w:val="left"/>
        </w:tabs>
        <w:numPr>
          <w:ilvl w:val="1"/>
          <w:numId w:val="35"/>
        </w:numPr>
        <w:rPr>
          <w:rFonts w:ascii="Arial" w:cs="Arial" w:eastAsia="Arial" w:hAnsi="Arial"/>
          <w:sz w:val="19"/>
          <w:szCs w:val="19"/>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241" w:lineRule="exact"/>
        <w:rPr>
          <w:rFonts w:ascii="Arial" w:cs="Arial" w:eastAsia="Arial" w:hAnsi="Arial"/>
          <w:sz w:val="19"/>
          <w:szCs w:val="19"/>
          <w:color w:val="auto"/>
        </w:rPr>
      </w:pPr>
    </w:p>
    <w:p>
      <w:pPr>
        <w:jc w:val="both"/>
        <w:ind w:firstLine="1305"/>
        <w:spacing w:after="0" w:line="249" w:lineRule="auto"/>
        <w:tabs>
          <w:tab w:leader="none" w:pos="1837" w:val="left"/>
        </w:tabs>
        <w:numPr>
          <w:ilvl w:val="0"/>
          <w:numId w:val="36"/>
        </w:numPr>
        <w:rPr>
          <w:rFonts w:ascii="Arial" w:cs="Arial" w:eastAsia="Arial" w:hAnsi="Arial"/>
          <w:sz w:val="22"/>
          <w:szCs w:val="22"/>
          <w:color w:val="auto"/>
        </w:rPr>
      </w:pPr>
      <w:r>
        <w:rPr>
          <w:rFonts w:ascii="Arial" w:cs="Arial" w:eastAsia="Arial" w:hAnsi="Arial"/>
          <w:sz w:val="18"/>
          <w:szCs w:val="18"/>
          <w:u w:val="single" w:color="auto"/>
          <w:color w:val="auto"/>
        </w:rPr>
        <w:t>Reduction</w:t>
      </w:r>
      <w:r>
        <w:rPr>
          <w:rFonts w:ascii="Arial" w:cs="Arial" w:eastAsia="Arial" w:hAnsi="Arial"/>
          <w:sz w:val="18"/>
          <w:szCs w:val="18"/>
          <w:color w:val="auto"/>
        </w:rPr>
        <w:t>. Any provision of this Agreement to the contrary notwithstanding, if any payments or benefits which Employee has the right to receive (“Payments”), whether provided hereunder or under a different arrangement, are subject to the excise tax imposed by Section 4999 of the Code (“Excise Tax”), then the Payments shall be reduced (but not below zero) to the greatest amount which may be paid without Employee becoming subject to the Excise Tax. The determinations as to the Payments to be reduced and the amount of reduction shall be made by the Company in good faith, and such determinations shall be conclusive and binding on Employee. If a reduced payment is made and through error or otherwise that payment, when aggregated with other Payments used in determining if a “parachute payment” exists, would trigger an Excise Tax, Employee shall immediately repay such excess to the Company upon notification that an overpayment has been made.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6" w:name="page37"/>
    <w:bookmarkEnd w:id="36"/>
    <w:p>
      <w:pPr>
        <w:ind w:left="1800" w:hanging="495"/>
        <w:spacing w:after="0"/>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provided in this Agreement for convenience only and shall not be deemed to substantively alter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content of such sections.</w:t>
      </w:r>
    </w:p>
    <w:p>
      <w:pPr>
        <w:spacing w:after="0" w:line="200" w:lineRule="exact"/>
        <w:rPr>
          <w:sz w:val="20"/>
          <w:szCs w:val="20"/>
          <w:color w:val="auto"/>
        </w:rPr>
      </w:pPr>
    </w:p>
    <w:p>
      <w:pPr>
        <w:spacing w:after="0" w:line="3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PLEASE NOTE</w:t>
      </w:r>
      <w:r>
        <w:rPr>
          <w:rFonts w:ascii="Arial" w:cs="Arial" w:eastAsia="Arial" w:hAnsi="Arial"/>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EMPLOYEE’S RIGHTS AND OBLIGATIONS UNDER THE AGREEMENT.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caused this Agreement to be executed as of May 22, 2013.</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Sharon Price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-10160</wp:posOffset>
            </wp:positionV>
            <wp:extent cx="2825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575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Sharon Price John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Eric R. Fencl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-10160</wp:posOffset>
            </wp:positionV>
            <wp:extent cx="2657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3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Eric R. Fencl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-10160</wp:posOffset>
            </wp:positionV>
            <wp:extent cx="25209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0950" cy="8890"/>
                    </a:xfrm>
                    <a:prstGeom prst="rect">
                      <a:avLst/>
                    </a:prstGeom>
                    <a:noFill/>
                  </pic:spPr>
                </pic:pic>
              </a:graphicData>
            </a:graphic>
          </wp:anchor>
        </w:drawing>
      </w:r>
    </w:p>
    <w:p>
      <w:pPr>
        <w:spacing w:after="0" w:line="23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Chief Bearrister—General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-10160</wp:posOffset>
            </wp:positionV>
            <wp:extent cx="218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8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5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52" w:lineRule="exact"/>
        <w:rPr>
          <w:sz w:val="20"/>
          <w:szCs w:val="20"/>
          <w:color w:val="auto"/>
        </w:rPr>
      </w:pPr>
    </w:p>
    <w:p>
      <w:pPr>
        <w:ind w:left="880" w:hanging="426"/>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52"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Date: August 8, 2013</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52" w:lineRule="exact"/>
        <w:rPr>
          <w:sz w:val="20"/>
          <w:szCs w:val="20"/>
          <w:color w:val="auto"/>
        </w:rPr>
      </w:pPr>
    </w:p>
    <w:p>
      <w:pPr>
        <w:ind w:left="880" w:hanging="426"/>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52"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Operations and Financial Bear, Treasurer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June 29, 2013 as filed with the Securities and Exchange Commission on the date hereof (the “Report”), I, Sharon John, Chief Executive Officer and President Bear of the Company, certify, to the best of my knowledge, pursuant to Rule 13a-14(b) and Section 1350 of Chapter 63 of Title 18 of the United States Code, as adopted pursuant to Section 906 of the Sarbanes-Oxley Act of 2002, that:</w:t>
      </w:r>
    </w:p>
    <w:p>
      <w:pPr>
        <w:spacing w:after="0" w:line="214" w:lineRule="exact"/>
        <w:rPr>
          <w:sz w:val="20"/>
          <w:szCs w:val="20"/>
          <w:color w:val="auto"/>
        </w:rPr>
      </w:pPr>
    </w:p>
    <w:p>
      <w:pPr>
        <w:ind w:left="700" w:hanging="25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00" w:hanging="251"/>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June 29, 2013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214" w:lineRule="exact"/>
        <w:rPr>
          <w:sz w:val="20"/>
          <w:szCs w:val="20"/>
          <w:color w:val="auto"/>
        </w:rPr>
      </w:pPr>
    </w:p>
    <w:p>
      <w:pPr>
        <w:ind w:left="700" w:hanging="251"/>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00" w:hanging="251"/>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Operations and Financial Bear, Treasurer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lvl w:ilvl="1">
      <w:lvlJc w:val="left"/>
      <w:lvlText w:val="●"/>
      <w:numFmt w:val="bullet"/>
      <w:start w:val="1"/>
    </w:lvl>
  </w:abstractNum>
  <w:abstractNum w:abstractNumId="7">
    <w:nsid w:val="8EDBDAB"/>
    <w:multiLevelType w:val="hybridMultilevel"/>
    <w:lvl w:ilvl="0">
      <w:lvlJc w:val="left"/>
      <w:lvlText w:val="●"/>
      <w:numFmt w:val="bullet"/>
      <w:start w:val="1"/>
    </w:lvl>
    <w:lvl w:ilvl="1">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lvl w:ilvl="1">
      <w:lvlJc w:val="left"/>
      <w:lvlText w:val="(%2)"/>
      <w:numFmt w:val="lowerLetter"/>
      <w:start w:val="1"/>
    </w:lvl>
  </w:abstractNum>
  <w:abstractNum w:abstractNumId="13">
    <w:nsid w:val="71F32454"/>
    <w:multiLevelType w:val="hybridMultilevel"/>
    <w:lvl w:ilvl="0">
      <w:lvlJc w:val="left"/>
      <w:lvlText w:val="%1"/>
      <w:numFmt w:val="decimal"/>
      <w:start w:val="1"/>
    </w:lvl>
    <w:lvl w:ilvl="1">
      <w:lvlJc w:val="left"/>
      <w:lvlText w:val="(%2)"/>
      <w:numFmt w:val="lowerLetter"/>
      <w:start w:val="2"/>
    </w:lvl>
  </w:abstractNum>
  <w:abstractNum w:abstractNumId="14">
    <w:nsid w:val="2CA88611"/>
    <w:multiLevelType w:val="hybridMultilevel"/>
    <w:lvl w:ilvl="0">
      <w:lvlJc w:val="left"/>
      <w:lvlText w:val="%1."/>
      <w:numFmt w:val="decimal"/>
      <w:start w:val="2"/>
    </w:lvl>
    <w:lvl w:ilvl="1">
      <w:lvlJc w:val="left"/>
      <w:lvlText w:val="(%2)"/>
      <w:numFmt w:val="lowerLetter"/>
      <w:start w:val="1"/>
    </w:lvl>
  </w:abstractNum>
  <w:abstractNum w:abstractNumId="15">
    <w:nsid w:val="836C40E"/>
    <w:multiLevelType w:val="hybridMultilevel"/>
    <w:lvl w:ilvl="0">
      <w:lvlJc w:val="left"/>
      <w:lvlText w:val="(%1)"/>
      <w:numFmt w:val="lowerLetter"/>
      <w:start w:val="2"/>
    </w:lvl>
  </w:abstractNum>
  <w:abstractNum w:abstractNumId="16">
    <w:nsid w:val="2901D82"/>
    <w:multiLevelType w:val="hybridMultilevel"/>
    <w:lvl w:ilvl="0">
      <w:lvlJc w:val="left"/>
      <w:lvlText w:val="(%1)"/>
      <w:numFmt w:val="lowerLetter"/>
      <w:start w:val="3"/>
    </w:lvl>
  </w:abstractNum>
  <w:abstractNum w:abstractNumId="17">
    <w:nsid w:val="3A95F874"/>
    <w:multiLevelType w:val="hybridMultilevel"/>
    <w:lvl w:ilvl="0">
      <w:lvlJc w:val="left"/>
      <w:lvlText w:val="(%1)"/>
      <w:numFmt w:val="lowerLetter"/>
      <w:start w:val="6"/>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4"/>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3">
    <w:nsid w:val="22221A70"/>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4">
    <w:nsid w:val="4516DDE9"/>
    <w:multiLevelType w:val="hybridMultilevel"/>
    <w:lvl w:ilvl="0">
      <w:lvlJc w:val="left"/>
      <w:lvlText w:val="(%1)"/>
      <w:numFmt w:val="decimal"/>
      <w:start w:val="6"/>
    </w:lvl>
  </w:abstractNum>
  <w:abstractNum w:abstractNumId="25">
    <w:nsid w:val="3006C83E"/>
    <w:multiLevelType w:val="hybridMultilevel"/>
    <w:lvl w:ilvl="0">
      <w:lvlJc w:val="left"/>
      <w:lvlText w:val="%1"/>
      <w:numFmt w:val="decimal"/>
      <w:start w:val="1"/>
    </w:lvl>
    <w:lvl w:ilvl="1">
      <w:lvlJc w:val="left"/>
      <w:lvlText w:val="(%2)"/>
      <w:numFmt w:val="lowerLetter"/>
      <w:start w:val="3"/>
    </w:lvl>
  </w:abstractNum>
  <w:abstractNum w:abstractNumId="26">
    <w:nsid w:val="614FD4A1"/>
    <w:multiLevelType w:val="hybridMultilevel"/>
    <w:lvl w:ilvl="0">
      <w:lvlJc w:val="left"/>
      <w:lvlText w:val="%1."/>
      <w:numFmt w:val="decimal"/>
      <w:start w:val="6"/>
    </w:lvl>
    <w:lvl w:ilvl="1">
      <w:lvlJc w:val="left"/>
      <w:lvlText w:val="(%2)"/>
      <w:numFmt w:val="lowerLetter"/>
      <w:start w:val="1"/>
    </w:lvl>
  </w:abstractNum>
  <w:abstractNum w:abstractNumId="27">
    <w:nsid w:val="419AC241"/>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8">
    <w:nsid w:val="5577F8E1"/>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abstractNum>
  <w:abstractNum w:abstractNumId="29">
    <w:nsid w:val="440BADFC"/>
    <w:multiLevelType w:val="hybridMultilevel"/>
    <w:lvl w:ilvl="0">
      <w:lvlJc w:val="left"/>
      <w:lvlText w:val="%1."/>
      <w:numFmt w:val="decimal"/>
      <w:start w:val="9"/>
    </w:lvl>
  </w:abstractNum>
  <w:abstractNum w:abstractNumId="30">
    <w:nsid w:val="5072367"/>
    <w:multiLevelType w:val="hybridMultilevel"/>
    <w:lvl w:ilvl="0">
      <w:lvlJc w:val="left"/>
      <w:lvlText w:val="%1."/>
      <w:numFmt w:val="decimal"/>
      <w:start w:val="13"/>
    </w:lvl>
  </w:abstractNum>
  <w:abstractNum w:abstractNumId="31">
    <w:nsid w:val="3804823E"/>
    <w:multiLevelType w:val="hybridMultilevel"/>
    <w:lvl w:ilvl="0">
      <w:lvlJc w:val="left"/>
      <w:lvlText w:val="%1."/>
      <w:numFmt w:val="decimal"/>
      <w:start w:val="18"/>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decimal"/>
      <w:start w:val="1"/>
    </w:lvl>
    <w:lvl w:ilvl="1">
      <w:lvlJc w:val="left"/>
      <w:lvlText w:val="%2."/>
      <w:numFmt w:val="decimal"/>
      <w:start w:val="19"/>
    </w:lvl>
  </w:abstractNum>
  <w:abstractNum w:abstractNumId="35">
    <w:nsid w:val="2463B9EA"/>
    <w:multiLevelType w:val="hybridMultilevel"/>
    <w:lvl w:ilvl="0">
      <w:lvlJc w:val="left"/>
      <w:lvlText w:val="%1."/>
      <w:numFmt w:val="decimal"/>
      <w:start w:val="20"/>
    </w:lvl>
    <w:lvl w:ilvl="1">
      <w:lvlJc w:val="left"/>
      <w:lvlText w:val="%2"/>
      <w:numFmt w:val="decimal"/>
      <w:start w:val="1"/>
    </w:lvl>
  </w:abstractNum>
  <w:abstractNum w:abstractNumId="36">
    <w:nsid w:val="5E884ADC"/>
    <w:multiLevelType w:val="hybridMultilevel"/>
    <w:lvl w:ilvl="0">
      <w:lvlJc w:val="left"/>
      <w:lvlText w:val="%1."/>
      <w:numFmt w:val="decimal"/>
      <w:start w:val="2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2019-12-07T01:10:46Z</dcterms:created>
  <dcterms:modified xsi:type="dcterms:W3CDTF">2019-12-07T01:10:46Z</dcterms:modified>
</cp:coreProperties>
</file>