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215900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238125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For the fiscal year ended December 28, 2013</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BUILD-A-BEAR WORKSHOP,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210820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1"/>
              </w:rPr>
              <w:t>Delaware</w:t>
            </w:r>
          </w:p>
        </w:tc>
        <w:tc>
          <w:tcPr>
            <w:tcW w:w="476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43-1883836</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jc w:val="center"/>
              <w:ind w:left="105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80" w:type="dxa"/>
            <w:vAlign w:val="bottom"/>
            <w:gridSpan w:val="2"/>
          </w:tcPr>
          <w:p>
            <w:pPr>
              <w:jc w:val="center"/>
              <w:ind w:left="850"/>
              <w:spacing w:after="0"/>
              <w:rPr>
                <w:sz w:val="20"/>
                <w:szCs w:val="20"/>
                <w:color w:val="auto"/>
              </w:rPr>
            </w:pPr>
            <w:r>
              <w:rPr>
                <w:rFonts w:ascii="Arial" w:cs="Arial" w:eastAsia="Arial" w:hAnsi="Arial"/>
                <w:sz w:val="18"/>
                <w:szCs w:val="18"/>
                <w:b w:val="1"/>
                <w:bCs w:val="1"/>
                <w:i w:val="1"/>
                <w:iCs w:val="1"/>
                <w:color w:val="auto"/>
                <w:w w:val="91"/>
              </w:rPr>
              <w:t>(I.R.S. Employer</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center"/>
              <w:ind w:left="105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80" w:type="dxa"/>
            <w:vAlign w:val="bottom"/>
            <w:gridSpan w:val="2"/>
          </w:tcPr>
          <w:p>
            <w:pPr>
              <w:jc w:val="center"/>
              <w:ind w:left="850"/>
              <w:spacing w:after="0"/>
              <w:rPr>
                <w:sz w:val="20"/>
                <w:szCs w:val="20"/>
                <w:color w:val="auto"/>
              </w:rPr>
            </w:pPr>
            <w:r>
              <w:rPr>
                <w:rFonts w:ascii="Arial" w:cs="Arial" w:eastAsia="Arial" w:hAnsi="Arial"/>
                <w:sz w:val="18"/>
                <w:szCs w:val="18"/>
                <w:b w:val="1"/>
                <w:bCs w:val="1"/>
                <w:i w:val="1"/>
                <w:iCs w:val="1"/>
                <w:color w:val="auto"/>
                <w:w w:val="90"/>
              </w:rPr>
              <w:t>Identification No.)</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80" w:type="dxa"/>
            <w:vAlign w:val="bottom"/>
          </w:tcPr>
          <w:p>
            <w:pPr>
              <w:jc w:val="center"/>
              <w:ind w:left="105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58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St. Louis, Missouri</w:t>
            </w:r>
          </w:p>
        </w:tc>
        <w:tc>
          <w:tcPr>
            <w:tcW w:w="476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63114</w:t>
            </w: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jc w:val="center"/>
              <w:ind w:left="1070"/>
              <w:spacing w:after="0"/>
              <w:rPr>
                <w:sz w:val="20"/>
                <w:szCs w:val="20"/>
                <w:color w:val="auto"/>
              </w:rPr>
            </w:pPr>
            <w:r>
              <w:rPr>
                <w:rFonts w:ascii="Arial" w:cs="Arial" w:eastAsia="Arial" w:hAnsi="Arial"/>
                <w:sz w:val="18"/>
                <w:szCs w:val="18"/>
                <w:b w:val="1"/>
                <w:bCs w:val="1"/>
                <w:i w:val="1"/>
                <w:iCs w:val="1"/>
                <w:color w:val="auto"/>
                <w:w w:val="87"/>
              </w:rPr>
              <w:t>(Address of Principal Executive Offices)</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80" w:type="dxa"/>
            <w:vAlign w:val="bottom"/>
            <w:gridSpan w:val="2"/>
          </w:tcPr>
          <w:p>
            <w:pPr>
              <w:jc w:val="center"/>
              <w:ind w:left="850"/>
              <w:spacing w:after="0"/>
              <w:rPr>
                <w:sz w:val="20"/>
                <w:szCs w:val="20"/>
                <w:color w:val="auto"/>
              </w:rPr>
            </w:pPr>
            <w:r>
              <w:rPr>
                <w:rFonts w:ascii="Arial" w:cs="Arial" w:eastAsia="Arial" w:hAnsi="Arial"/>
                <w:sz w:val="18"/>
                <w:szCs w:val="18"/>
                <w:b w:val="1"/>
                <w:bCs w:val="1"/>
                <w:i w:val="1"/>
                <w:iCs w:val="1"/>
                <w:color w:val="auto"/>
                <w:w w:val="87"/>
              </w:rPr>
              <w:t>(Zip Code)</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580" w:type="dxa"/>
            <w:vAlign w:val="bottom"/>
          </w:tcPr>
          <w:p>
            <w:pPr>
              <w:spacing w:after="0"/>
              <w:rPr>
                <w:sz w:val="24"/>
                <w:szCs w:val="24"/>
                <w:color w:val="auto"/>
              </w:rPr>
            </w:pPr>
          </w:p>
        </w:tc>
        <w:tc>
          <w:tcPr>
            <w:tcW w:w="2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(314) 423-8000</w:t>
            </w:r>
          </w:p>
        </w:tc>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20" w:type="dxa"/>
            <w:vAlign w:val="bottom"/>
            <w:gridSpan w:val="5"/>
          </w:tcPr>
          <w:p>
            <w:pPr>
              <w:jc w:val="center"/>
              <w:ind w:left="2710"/>
              <w:spacing w:after="0"/>
              <w:rPr>
                <w:sz w:val="20"/>
                <w:szCs w:val="20"/>
                <w:color w:val="auto"/>
              </w:rPr>
            </w:pPr>
            <w:r>
              <w:rPr>
                <w:rFonts w:ascii="Arial" w:cs="Arial" w:eastAsia="Arial" w:hAnsi="Arial"/>
                <w:sz w:val="18"/>
                <w:szCs w:val="18"/>
                <w:b w:val="1"/>
                <w:bCs w:val="1"/>
                <w:i w:val="1"/>
                <w:iCs w:val="1"/>
                <w:color w:val="auto"/>
                <w:w w:val="87"/>
              </w:rPr>
              <w:t>(Registrant’s Telephone Number, Including Area Code)</w:t>
            </w:r>
          </w:p>
        </w:tc>
        <w:tc>
          <w:tcPr>
            <w:tcW w:w="7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862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580" w:type="dxa"/>
            <w:vAlign w:val="bottom"/>
            <w:tcBorders>
              <w:bottom w:val="single" w:sz="8" w:color="auto"/>
            </w:tcBorders>
          </w:tcPr>
          <w:p>
            <w:pPr>
              <w:jc w:val="center"/>
              <w:ind w:left="890"/>
              <w:spacing w:after="0"/>
              <w:rPr>
                <w:sz w:val="20"/>
                <w:szCs w:val="20"/>
                <w:color w:val="auto"/>
              </w:rPr>
            </w:pPr>
            <w:r>
              <w:rPr>
                <w:rFonts w:ascii="Arial" w:cs="Arial" w:eastAsia="Arial" w:hAnsi="Arial"/>
                <w:sz w:val="18"/>
                <w:szCs w:val="18"/>
                <w:b w:val="1"/>
                <w:bCs w:val="1"/>
                <w:color w:val="auto"/>
                <w:w w:val="89"/>
              </w:rPr>
              <w:t>Title of Each Class</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6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4580" w:type="dxa"/>
            <w:vAlign w:val="bottom"/>
          </w:tcPr>
          <w:p>
            <w:pPr>
              <w:jc w:val="center"/>
              <w:ind w:left="95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gridSpan w:val="3"/>
          </w:tcPr>
          <w:p>
            <w:pPr>
              <w:ind w:left="800"/>
              <w:spacing w:after="0"/>
              <w:rPr>
                <w:sz w:val="20"/>
                <w:szCs w:val="20"/>
                <w:color w:val="auto"/>
              </w:rPr>
            </w:pPr>
            <w:r>
              <w:rPr>
                <w:rFonts w:ascii="Arial" w:cs="Arial" w:eastAsia="Arial" w:hAnsi="Arial"/>
                <w:sz w:val="18"/>
                <w:szCs w:val="18"/>
                <w:b w:val="1"/>
                <w:bCs w:val="1"/>
                <w:color w:val="auto"/>
              </w:rPr>
              <w:t>New York Stock Exchange</w:t>
            </w:r>
          </w:p>
        </w:tc>
        <w:tc>
          <w:tcPr>
            <w:tcW w:w="0" w:type="dxa"/>
            <w:vAlign w:val="bottom"/>
          </w:tcPr>
          <w:p>
            <w:pPr>
              <w:spacing w:after="0"/>
              <w:rPr>
                <w:sz w:val="1"/>
                <w:szCs w:val="1"/>
                <w:color w:val="auto"/>
              </w:rPr>
            </w:pPr>
          </w:p>
        </w:tc>
      </w:tr>
      <w:tr>
        <w:trPr>
          <w:trHeight w:val="414"/>
        </w:trPr>
        <w:tc>
          <w:tcPr>
            <w:tcW w:w="8620" w:type="dxa"/>
            <w:vAlign w:val="bottom"/>
            <w:gridSpan w:val="5"/>
          </w:tcPr>
          <w:p>
            <w:pPr>
              <w:jc w:val="center"/>
              <w:ind w:left="273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2280" w:type="dxa"/>
            <w:vAlign w:val="bottom"/>
            <w:tcBorders>
              <w:bottom w:val="single" w:sz="8" w:color="auto"/>
            </w:tcBorders>
            <w:gridSpan w:val="3"/>
          </w:tcPr>
          <w:p>
            <w:pPr>
              <w:spacing w:after="0"/>
              <w:rPr>
                <w:sz w:val="9"/>
                <w:szCs w:val="9"/>
                <w:color w:val="auto"/>
              </w:rPr>
            </w:pPr>
          </w:p>
        </w:tc>
        <w:tc>
          <w:tcPr>
            <w:tcW w:w="1760" w:type="dxa"/>
            <w:vAlign w:val="bottom"/>
          </w:tcPr>
          <w:p>
            <w:pPr>
              <w:spacing w:after="0"/>
              <w:rPr>
                <w:sz w:val="9"/>
                <w:szCs w:val="9"/>
                <w:color w:val="auto"/>
              </w:rPr>
            </w:pPr>
          </w:p>
        </w:tc>
        <w:tc>
          <w:tcPr>
            <w:tcW w:w="720" w:type="dxa"/>
            <w:vAlign w:val="bottom"/>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2080" w:type="dxa"/>
            <w:vAlign w:val="bottom"/>
            <w:vMerge w:val="restart"/>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621"/>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Yes</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ind w:right="1780" w:firstLine="1781"/>
        <w:spacing w:after="0" w:line="358"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420"/>
          </w:cols>
          <w:pgMar w:left="240" w:top="422" w:right="239" w:bottom="17"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There is no non-voting common equity. The aggregate market value of the common stock held by nonaffiliates (based upon the closing price of $6.07 for the shares on the New York Stock Exchange on June 28, 2013) was $72,341,234 as of June 29,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March 7, 2014, there were 17,400,528 issued and outstanding shares of the registrant’s common stock.</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registrant’s Proxy Statement for its May 8, 2014 Annual Meeting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spacing w:after="0"/>
              <w:rPr>
                <w:sz w:val="20"/>
                <w:szCs w:val="20"/>
                <w:color w:val="auto"/>
              </w:rPr>
            </w:pPr>
            <w:r>
              <w:rPr>
                <w:rFonts w:ascii="Arial" w:cs="Arial" w:eastAsia="Arial" w:hAnsi="Arial"/>
                <w:sz w:val="18"/>
                <w:szCs w:val="18"/>
                <w:b w:val="1"/>
                <w:bCs w:val="1"/>
                <w:color w:val="auto"/>
                <w:w w:val="99"/>
              </w:rPr>
              <w:t>BUILD-A-BEAR WORKSHOP, INC.</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80" w:type="dxa"/>
            <w:vAlign w:val="bottom"/>
          </w:tcPr>
          <w:p>
            <w:pPr>
              <w:jc w:val="center"/>
              <w:spacing w:after="0"/>
              <w:rPr>
                <w:sz w:val="20"/>
                <w:szCs w:val="20"/>
                <w:color w:val="auto"/>
              </w:rPr>
            </w:pPr>
            <w:r>
              <w:rPr>
                <w:rFonts w:ascii="Arial" w:cs="Arial" w:eastAsia="Arial" w:hAnsi="Arial"/>
                <w:sz w:val="18"/>
                <w:szCs w:val="18"/>
                <w:b w:val="1"/>
                <w:bCs w:val="1"/>
                <w:color w:val="auto"/>
              </w:rPr>
              <w:t>INDEX TO FORM 10-K</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spacing w:after="0"/>
              <w:rPr>
                <w:sz w:val="20"/>
                <w:szCs w:val="20"/>
                <w:color w:val="auto"/>
              </w:rPr>
            </w:pPr>
            <w:r>
              <w:rPr>
                <w:rFonts w:ascii="Arial" w:cs="Arial" w:eastAsia="Arial" w:hAnsi="Arial"/>
                <w:sz w:val="18"/>
                <w:szCs w:val="18"/>
                <w:b w:val="1"/>
                <w:bCs w:val="1"/>
                <w:color w:val="auto"/>
              </w:rPr>
              <w:t>Part I</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68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Unresolved Staff Comments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tcPr>
          <w:p>
            <w:pPr>
              <w:ind w:left="60"/>
              <w:spacing w:after="0"/>
              <w:rPr>
                <w:sz w:val="20"/>
                <w:szCs w:val="20"/>
                <w:color w:val="auto"/>
              </w:rPr>
            </w:pPr>
            <w:r>
              <w:rPr>
                <w:rFonts w:ascii="Arial" w:cs="Arial" w:eastAsia="Arial" w:hAnsi="Arial"/>
                <w:sz w:val="18"/>
                <w:szCs w:val="18"/>
                <w:color w:val="auto"/>
              </w:rPr>
              <w:t>Mine Safety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Part II</w:t>
            </w:r>
          </w:p>
        </w:tc>
        <w:tc>
          <w:tcPr>
            <w:tcW w:w="9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680" w:type="dxa"/>
            <w:vAlign w:val="bottom"/>
          </w:tcPr>
          <w:p>
            <w:pPr>
              <w:ind w:left="6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Selected Financial Data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7.</w:t>
            </w:r>
          </w:p>
        </w:tc>
        <w:tc>
          <w:tcPr>
            <w:tcW w:w="968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8.</w:t>
            </w:r>
          </w:p>
        </w:tc>
        <w:tc>
          <w:tcPr>
            <w:tcW w:w="968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9A.</w:t>
            </w:r>
          </w:p>
        </w:tc>
        <w:tc>
          <w:tcPr>
            <w:tcW w:w="968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10.</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11.</w:t>
            </w:r>
          </w:p>
        </w:tc>
        <w:tc>
          <w:tcPr>
            <w:tcW w:w="968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12.</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Item 13.</w:t>
            </w:r>
          </w:p>
        </w:tc>
        <w:tc>
          <w:tcPr>
            <w:tcW w:w="968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14.</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Principal Accountant Fees and Services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8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Item 15.</w:t>
            </w:r>
          </w:p>
        </w:tc>
        <w:tc>
          <w:tcPr>
            <w:tcW w:w="9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 and Financial Statement Schedules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Exhibit Index</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2"/>
              </w:rPr>
              <w:t>Signatures</w:t>
            </w:r>
          </w:p>
        </w:tc>
        <w:tc>
          <w:tcPr>
            <w:tcW w:w="96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96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firstLine="441"/>
        <w:spacing w:after="0" w:line="297" w:lineRule="auto"/>
        <w:rPr>
          <w:sz w:val="20"/>
          <w:szCs w:val="20"/>
          <w:color w:val="auto"/>
        </w:rPr>
      </w:pPr>
      <w:r>
        <w:rPr>
          <w:rFonts w:ascii="Arial" w:cs="Arial" w:eastAsia="Arial" w:hAnsi="Arial"/>
          <w:sz w:val="16"/>
          <w:szCs w:val="16"/>
          <w:color w:val="auto"/>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These forward-looking statements, which are subject to risks, uncertainties and assumptions about us, may include, among other things, projections or statements regarding:</w:t>
      </w:r>
    </w:p>
    <w:p>
      <w:pPr>
        <w:spacing w:after="0" w:line="158"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operating and growth strategies;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expenditures;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rate of store closures, relocations and openings;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costs related to store closures, relocations and openings.</w:t>
      </w:r>
    </w:p>
    <w:p>
      <w:pPr>
        <w:spacing w:after="0" w:line="225"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spacing w:after="0" w:line="17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w:t>
      </w:r>
    </w:p>
    <w:p>
      <w:pPr>
        <w:spacing w:after="0" w:line="150" w:lineRule="exact"/>
        <w:rPr>
          <w:sz w:val="20"/>
          <w:szCs w:val="20"/>
          <w:color w:val="auto"/>
        </w:rPr>
      </w:pPr>
    </w:p>
    <w:p>
      <w:pPr>
        <w:jc w:val="both"/>
        <w:ind w:right="60" w:firstLine="441"/>
        <w:spacing w:after="0" w:line="289" w:lineRule="auto"/>
        <w:rPr>
          <w:sz w:val="20"/>
          <w:szCs w:val="20"/>
          <w:color w:val="auto"/>
        </w:rPr>
      </w:pPr>
      <w:r>
        <w:rPr>
          <w:rFonts w:ascii="Arial" w:cs="Arial" w:eastAsia="Arial" w:hAnsi="Arial"/>
          <w:sz w:val="17"/>
          <w:szCs w:val="17"/>
          <w:b w:val="1"/>
          <w:bCs w:val="1"/>
          <w:color w:val="auto"/>
        </w:rPr>
        <w:t>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Build-A-Bear Workshop, Inc., a Delaware corporation, was formed in 1997 and is primarily a specialty retailer offering a “make your own stuffed animal” interactive retail-entertainment experience. As of December 28, 2013, we operated 323 company-owned retail stores in the United States, Canada, the United Kingdom and Ireland, including 252 traditional and 11 non-traditional Build-A-Bear Workshop® stores in the United States and Canada and 58 traditional and two non-traditional Build-A-Bear Workshop stores in the United Kingdom and Ireland. In addition, franchisees operated 86 Build-A-Bear Workshop stores in other international locations.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Geographic Areas</w:t>
      </w:r>
    </w:p>
    <w:p>
      <w:pPr>
        <w:spacing w:after="0" w:line="229"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We conduct our operations through three reportable segments consisting of retail, international franchising, and commercial.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16 – Segment Information to the Consolidated Financial Statements for information regarding sales, results of operations and identifiable assets of the Company by business segment and geographic area.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Operations</w:t>
      </w:r>
    </w:p>
    <w:p>
      <w:pPr>
        <w:spacing w:after="0" w:line="229"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Currently, we primarily operate specialty retail stores that provide a “make your own stuffed animal” interactive entertainment experience in which our guests visit eight stuffed animal making stations: Choose Me, Hear Me, Stuff Me, Stitch Me, Fluff Me, Dress Me, Name Me, and Take Me Home®. In our new store design, we have added an additional Love Me station to our signature process. Our retail concept is a unique combination of experience and product and we are focused on enhancing our brand equity while meeting the needs of consumers by offering premium products that meet high quality standards, offer a relevant selection and are trend-right. We seek to provide outstanding guest service and experiences across all channels and touch points including our stores, our Web sites, our mobile sites and apps as well as traditional and social media. Our store experience appeals to a broad range of age groups and demographics, including children, teens, their parents and grandparents. We have relatively balanced seasonality on a quarterly basis and guests visit our stores for multiple reasons including interactive family experiences, birthdays, parties and other milestone occasion celebrations and to purchase gifts including the “gift of experience” that comes with a Bear Bucks® gift card. We believe the hands-on and interactive nature of our store and high touch service model result in guests forming an emotional connection with our brand.</w:t>
      </w:r>
    </w:p>
    <w:p>
      <w:pPr>
        <w:spacing w:after="0" w:line="178"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We believe there are opportunities in the future to leverage the strength of the Build-A-Bear brand and generate incremental revenue and profits given the high consumer recognition and strong positioning as a trusted, high quality brand that is emotionally connected with both kids and their parents.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strategies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company is in the midst of a multi-year turnaround plan that builds on a strong base of profitable stores and focuses on four key strategies:</w:t>
      </w:r>
    </w:p>
    <w:p>
      <w:pPr>
        <w:spacing w:after="0" w:line="237" w:lineRule="exact"/>
        <w:rPr>
          <w:sz w:val="20"/>
          <w:szCs w:val="20"/>
          <w:color w:val="auto"/>
        </w:rPr>
      </w:pPr>
    </w:p>
    <w:p>
      <w:pPr>
        <w:ind w:left="1140" w:hanging="322"/>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Optimize our real estate portfolio: In North America, we are closing stores, primarily in multi-store markets where we can transfer a portion of sales to other stores in the same markets. Additionally, in conjunction with lease renewals, we will strategically refresh and upgrade other stores with key features. In 2013, we closed 37 stores and transferred approximately 20% of sales from closed stores to other ongoing stores in the same markets and remodeled 20 stores in a new design;</w:t>
      </w:r>
    </w:p>
    <w:p>
      <w:pPr>
        <w:spacing w:after="0" w:line="186" w:lineRule="exact"/>
        <w:rPr>
          <w:rFonts w:ascii="Arial" w:cs="Arial" w:eastAsia="Arial" w:hAnsi="Arial"/>
          <w:sz w:val="18"/>
          <w:szCs w:val="18"/>
          <w:color w:val="auto"/>
        </w:rPr>
      </w:pPr>
    </w:p>
    <w:p>
      <w:pPr>
        <w:ind w:left="1140" w:right="40" w:hanging="322"/>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Refine the consumer value equation: We continue to reposition and integrate our marketing programs to focus on brand building and new product launches while also reducing discounts and price promotions. We believe that our brand building initiatives drove approximately 70% of North America’s 5.7% annual comparable store sales increase in 2013 with the balance coming from real estate optimization actions. Additionally, in 2013, we reduced discounts in North America by 30%;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left="1140" w:hanging="322"/>
        <w:spacing w:after="0" w:line="30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Rationalize our expense structure: We are in the ongoing process of value engineering our product designs and we have initiated an end-to-end review of our supply chain to identify opportunities to improve product margins and leverage selling, general and administrative expenses. In 2013, we expanded product margins and decreased selling, general and administrative expenses. The expense savings resulted from closed stores, renegotiation of terms with vendors and suppliers, and adjustments to our store labor model to better align to guest traffic patterns; and</w:t>
      </w:r>
    </w:p>
    <w:p>
      <w:pPr>
        <w:spacing w:after="0" w:line="154" w:lineRule="exact"/>
        <w:rPr>
          <w:rFonts w:ascii="Arial" w:cs="Arial" w:eastAsia="Arial" w:hAnsi="Arial"/>
          <w:sz w:val="16"/>
          <w:szCs w:val="16"/>
          <w:color w:val="auto"/>
        </w:rPr>
      </w:pPr>
    </w:p>
    <w:p>
      <w:pPr>
        <w:jc w:val="both"/>
        <w:ind w:left="1140" w:right="160" w:hanging="322"/>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Build on our core competencies: We continue to focus on improving our high touch retail service model and customizable product offerings. We are also laying the groundwork to further leverage the strength of the Build-A-Bear brand and generate incremental revenue and profits.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Merchandise Sourcing and Inventory Management</w:t>
      </w:r>
    </w:p>
    <w:p>
      <w:pPr>
        <w:spacing w:after="0" w:line="229" w:lineRule="exact"/>
        <w:rPr>
          <w:sz w:val="20"/>
          <w:szCs w:val="20"/>
          <w:color w:val="auto"/>
        </w:rPr>
      </w:pPr>
    </w:p>
    <w:p>
      <w:pPr>
        <w:jc w:val="both"/>
        <w:ind w:right="60" w:firstLine="666"/>
        <w:spacing w:after="0" w:line="286" w:lineRule="auto"/>
        <w:rPr>
          <w:sz w:val="20"/>
          <w:szCs w:val="20"/>
          <w:color w:val="auto"/>
        </w:rPr>
      </w:pPr>
      <w:r>
        <w:rPr>
          <w:rFonts w:ascii="Arial" w:cs="Arial" w:eastAsia="Arial" w:hAnsi="Arial"/>
          <w:sz w:val="17"/>
          <w:szCs w:val="17"/>
          <w:color w:val="auto"/>
        </w:rPr>
        <w:t>Our retail stores offer an extensive and coordinated selection of merchandise, including over 30 different styles of animals to be stuffed, sounds and scents that can be added to the stuffed animals and a wide variety of clothing, shoes and accessories, as well as other brand appropriate toy and novelty items. We believe we comply with governmental toy safety requirements specific to each country where we have stores.</w:t>
      </w:r>
    </w:p>
    <w:p>
      <w:pPr>
        <w:spacing w:after="0" w:line="166"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stuffed animal skins and clothing are produced from high quality man-made materials or natural fibers such as cotton, and the stuffing is made of a high-grade polyester fiber. We believe all of our products in our stores and online at buildabear.com meet Consumer Product Safety Commission requirements including the Consumer Product Safety Improvement Act (CPSIA) for Children’s Products. We also comply with American Society for Testing and Materials (ASTM), EN71 (European standards) and Canadian specifications for toy safety in all material respects. Our products are tested through independent third-party testing labs for compliance with toy safety standards. Packaging and labels for each product indicate to our guests the age grading for the product and any special warnings in accordance with guidelines established by the Consumer Product Safety Commission. We believe that our supplier factories are compliant with the International Council of Toy Industries (ICTI) CARE certification or with other third party social compliance programs. The CARE (Caring, Awareness, Responsible, Ethical) process is the ICTI program to promote ethical manufacturing in the form of fair labor treatment, as well as employee health and safety in the toy industry supply chain worldwide. In order to obtain this certification, each factory completed a rigorous evaluation performed by an accredited ICTI agent.</w:t>
      </w:r>
    </w:p>
    <w:p>
      <w:pPr>
        <w:spacing w:after="0" w:line="178"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The average time from product conception to the arrival of the products into our stores is approximately twelve months, including approximately 90 to 120 days from the beginning of production to in-store delivery. Through an ongoing analysis of selling trends, we regularly update our product assortment by increasing quantities of productive styles and eliminating less productive items. Our relationships with our vendors generally are on a purchase order basis and do not provide a contractual obligation to provide adequate supply or acceptable pricing on a long-term basis.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 and Logistics</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own our 350,000 square-foot distribution center near Columbus, Ohio which serves the majority of our stores in the United States and Canada. We also contract with a third-party warehouse in southern California to service our West Coast stores. The contract has a one year term and is renewable. In Europe, we contract with a third-party distribution center in Selby, England under an agreement that ends in December 2014. This agreement contains clauses that allow for termination if certain performance criteria are not met.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Transportation from the warehouses to the stores is managed by several third-party logistics providers. In the United States, Canada and Europe,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merchandise is shipped by a variety of distribution methods, depending on the store and seasonal inventory demand. Key delivery methods are direct trucks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through third-party pool points, “LTL’ (less-than truck load) deliveries, and direct parcel deliveries. Shipments from our third-party distribution centers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scheduled throughout the week in order to smooth workflow and stores that are part of the same shipping route are grouped together to reduce freight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costs. All items in our assortment are eligible for distribution, depending on allocation and fulfillment requirements, and we typically distribute merchandise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supplies to each store once a week on a regular schedule, which allows us to consolidate shipments in order to reduce distribution and shipping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costs. Back-up supplies, such as Cub Condo® carrying cases and stuffing for the animals, are often stored in limited amounts at local pool points.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As of December 28, 2013, we had approximately 900 full-time and 3,300 part-time employees in the United States, Canada, the United Kingdom and Ireland. The number of part-time employees at all locations fluctuates depending on our seasonal needs. None of our employees are represented by a labor union, and we believe our relationship with our employees is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view the Build-A-Bear Workshop store experience as a distinctive combination of entertainment and retail with limited direct</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competition. Because our signature product is a stuffed animal, we compete with toy retailers, such as Wal-Mart, Toys “R” Us, Target, Kmart and other discount chains. Since we develop proprietary products, we also compete indirectly with a number of companies that sell stuffed animals in the United States, including, but not limited to, Ty, Fisher Price, Mattel, Ganz, Applause, Boyd’s, Hasbro, Commonwealth, Gund and Vermont Teddy Bear. Since we sell a product that integrates merchandise and experience, we also view our competition as any company that competes for family time and entertainment dollars, such as movie theaters, amusement parks and arcades, other mall-based entertainment venues and online entertainment. Being a mall-based retailer, we also compete with other mall-based retailers for prime mall locations, including various apparel, footwear and specialty retailers.</w:t>
      </w:r>
    </w:p>
    <w:p>
      <w:pPr>
        <w:spacing w:after="0" w:line="164" w:lineRule="exact"/>
        <w:rPr>
          <w:sz w:val="20"/>
          <w:szCs w:val="20"/>
          <w:color w:val="auto"/>
        </w:rPr>
      </w:pPr>
    </w:p>
    <w:p>
      <w:pPr>
        <w:ind w:right="520" w:firstLine="486"/>
        <w:spacing w:after="0" w:line="264" w:lineRule="auto"/>
        <w:rPr>
          <w:sz w:val="20"/>
          <w:szCs w:val="20"/>
          <w:color w:val="auto"/>
        </w:rPr>
      </w:pPr>
      <w:r>
        <w:rPr>
          <w:rFonts w:ascii="Arial" w:cs="Arial" w:eastAsia="Arial" w:hAnsi="Arial"/>
          <w:sz w:val="18"/>
          <w:szCs w:val="18"/>
          <w:color w:val="auto"/>
        </w:rPr>
        <w:t>We are aware of several small companies that operate “make your own” teddy bear and stuffed animal stores or kiosks in retail locations, but we believe none of those companies offer the breadth and depth of the Build-A-Bear Workshop experience or operate as a national or international retail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believe our copyrights, service marks, trademarks, trade secrets, patents and similar intellectual property are critical to our success, and we intend, directly or indirectly, to maintain and protect these marks and, where applicable, license the intellectual property and the registrations for the intellectual property. Our patents have expirations ranging from 2014 to 2020.</w:t>
      </w:r>
    </w:p>
    <w:p>
      <w:pPr>
        <w:spacing w:after="0" w:line="18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have developed licensing and strategic relationships with some of the leading retail and cultural organizations. We plan to continue to add partnerships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Specifically, we have key strategic relationships with select companies in which we feature their brands on products sold in our stores, including Disney®, Hasbro, Sanrio®, Star Wars, and major professional and collegiate sports along with other culturally relevant brands. Additionally, we have developed promotional arrangements with select organizations. Our arrangements with Major League Baseball teams, including the Chicago Cubs®, St. Louis Cardinals™ and Pittsburg Pirates® have featured stuffed animal giveaways at each club’s ballpark on a day when our brand is highly promoted within the stadium. In 2013, we partnered with McDonald’s® for the fifth time to feature limited edition, collectible mini Build-A-Bear Workshop animals in Happy Meals®. We also have had arrangements featuring product sampling, cross promotions and shared media with companies such as Dairy Queen in North America and Betty Crocker’s Fruit Roll-ups.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2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We make certain filings with the Securities and Exchange Commission (the “SEC”), including our Annual Report on Form 10-K, Quarterly Reports on Form 10-Q, Current Reports on Form 8-K, and all amendments and exhibits to those reports, available free of charge in the Investor Relations section of our corporate website, http://ir.buildabear.com, as soon as reasonably practicable after they are filed with the SEC. The filings are also available through the SEC at the SEC’s Public Reference Room at 100 F Street, N.E., Washington, D.C. 20549 or by calling 1-800-SEC-0330. Also, these filings are available on the internet at http://www.sec.gov. Our Annual Reports to shareholders, press releases and investor updates are also available on our website, free of charge, in the Investor Relations section or by writing to the Investor Relations department at World Bearquarters, 1954 Innerbelt Business Center Dr., St. Louis, MO 63114.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i w:val="1"/>
          <w:iCs w:val="1"/>
          <w:color w:val="auto"/>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decline in general global economic conditions could lead to disproportionately reduced consumer demand for our products, which represent relatively discretionary spending, and have an adverse effect on our liquidity and profitability.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ind w:right="120" w:firstLine="441"/>
        <w:spacing w:after="0" w:line="271" w:lineRule="auto"/>
        <w:rPr>
          <w:sz w:val="20"/>
          <w:szCs w:val="20"/>
          <w:color w:val="auto"/>
        </w:rPr>
      </w:pPr>
      <w:r>
        <w:rPr>
          <w:rFonts w:ascii="Arial" w:cs="Arial" w:eastAsia="Arial" w:hAnsi="Arial"/>
          <w:sz w:val="17"/>
          <w:szCs w:val="17"/>
          <w:color w:val="auto"/>
        </w:rPr>
        <w:t>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levels of employment, salaries and wage rates, consumer confidence and consumer perception of economic conditions. A continued slowdown in the United States, Canadian or European economies or uncertainty as to the economic outlook could reduce discretionary spending or cause a shift in consumer discretionary spending to other products. Any of these factors would likely result in lower net retail sales and could also result in excess inventories, which could, in turn, lead to increased merchandise markdowns and related costs associated with higher levels of inventory and adversely affect our liquidity and profitability. For example, for fiscal 2008 through 2010 and again in 2012, we attributed a portion of our decline in comparable store sales to the slower economy in the United States and Europe.</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decrease in the customer traffic generated by the shopping malls in which we are located, which we depend upon to attract guests to our stores, could adversely affect our financial condition and profitability.</w:t>
      </w:r>
    </w:p>
    <w:p>
      <w:pPr>
        <w:spacing w:after="0" w:line="17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While we invest heavily in integrated marketing efforts and believe we are more of a destination location than traditional retailers, we rely to a great extent on customer traffic in the malls in which our stores are located. In order to generate guest traffic, we generally attempt to locate our stores in prominent locations within high traffic shopping malls. We rely on the ability of the malls’ anchor tenants, generally large department stores, and on the continuing popularity of malls as shopping destinations. We cannot control the development of new shopping malls, the addition or loss of anchors and co-tenants, the availability or cost of appropriate locations within existing or new shopping malls or the desirability, safety or success of shopping malls. In addition, customer mall traffic may be reduced due to a loss of consumer confidence because of the economy, terrorism or war. If we are unable to generate sufficient guest traffic, our sales and results of operations will be harmed. A significant decrease in shopping mall traffic could have a material adverse effect on our financial condition and profitability. For example, we have experienced flat or declining transactions at comparable locations for the last three years.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unable to generate interest in and demand for our interactive retail experience, including being able to identify and respond to consumer preferences in a timely manner, our financial condition and profitability could be adversely affected.</w:t>
      </w:r>
    </w:p>
    <w:p>
      <w:pPr>
        <w:spacing w:after="0" w:line="17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We believe that our success depends in large part upon our ability to continue to attract guests with our interactive shopping experience and our ability to anticipate, gauge and respond in a timely manner to changing consumer preferences and fashion trends. We cannot assure you that there will continue to be a demand for our “make-your-own stuffed animal” interactive experience, or for our stuffed animals, animal apparel and accessories. A decline in demand for our interactive shopping experience, our animals, animal apparel or accessories, or a misjudgment of consumer preferences or fashion trends, could have a negative impact on our business, financial condition and results of operations.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future growth and profitability could be adversely affected if our marketing and online initiatives are not effective in generating sufficient levels of brand awareness and guest traffic or if consumer preferences change significantly.</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We continue to update and evaluate our marketing initiatives, focusing on brand awareness, new product news, timely promotions and rapidly changing consumer preferences. Our future growth and profitability will depend in large part upon the effectiveness and efficiency of our marketing and advertising programs and future marketing and advertising efforts that we undertake, including our ability to:</w:t>
      </w:r>
    </w:p>
    <w:p>
      <w:pPr>
        <w:spacing w:after="0" w:line="181"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greater awareness of our brand, interactive shopping experience and products;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most effective and efficient level of spending in each market;</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appropriate creative message and media mix for marketing expenditures;</w:t>
      </w:r>
    </w:p>
    <w:p>
      <w:pPr>
        <w:spacing w:after="0" w:line="225" w:lineRule="exact"/>
        <w:rPr>
          <w:rFonts w:ascii="Arial" w:cs="Arial" w:eastAsia="Arial" w:hAnsi="Arial"/>
          <w:sz w:val="18"/>
          <w:szCs w:val="18"/>
          <w:color w:val="auto"/>
        </w:rPr>
      </w:pPr>
    </w:p>
    <w:p>
      <w:pPr>
        <w:ind w:left="440" w:right="740" w:hanging="324"/>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manage marketing costs (including creative and media) in order to maintain acceptable operating margins and return on marketing investment;</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right geographic areas in which to market;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convert consumer awareness into actual store visits and product purchases.</w:t>
      </w:r>
    </w:p>
    <w:p>
      <w:pPr>
        <w:spacing w:after="0" w:line="225" w:lineRule="exact"/>
        <w:rPr>
          <w:sz w:val="20"/>
          <w:szCs w:val="20"/>
          <w:color w:val="auto"/>
        </w:rPr>
      </w:pPr>
    </w:p>
    <w:p>
      <w:pPr>
        <w:ind w:right="500" w:firstLine="441"/>
        <w:spacing w:after="0" w:line="277" w:lineRule="auto"/>
        <w:rPr>
          <w:sz w:val="20"/>
          <w:szCs w:val="20"/>
          <w:color w:val="auto"/>
        </w:rPr>
      </w:pPr>
      <w:r>
        <w:rPr>
          <w:rFonts w:ascii="Arial" w:cs="Arial" w:eastAsia="Arial" w:hAnsi="Arial"/>
          <w:sz w:val="18"/>
          <w:szCs w:val="18"/>
          <w:color w:val="auto"/>
        </w:rPr>
        <w:t>Our planned marketing expenditures may not result in increased total or comparable store sales or generate sufficient levels of product and brand awareness which could have a material adverse effect on our financial condition and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increase our comparable store sales trends, our results of operations and financial condition could be adversely affected.</w:t>
      </w:r>
    </w:p>
    <w:p>
      <w:pPr>
        <w:spacing w:after="0" w:line="23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Our consolidated comparable store sales increased by 5.1% in 2013 following a multi-year decline. We believe the principal factors that will affect comparable store results include the following:</w:t>
      </w:r>
    </w:p>
    <w:p>
      <w:pPr>
        <w:spacing w:after="0" w:line="170"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continuing appeal of our concept;</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marketing efforts to attract new and repeat guests;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confidence and general economic conditions;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changes in governmental policies on consumer sentiment and discretionary spending levels;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store closures, relocations and openings in existing markets;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13" w:gutter="0" w:footer="0" w:header="0"/>
        </w:sectPr>
      </w:pPr>
    </w:p>
    <w:bookmarkStart w:id="8" w:name="page9"/>
    <w:bookmarkEnd w:id="8"/>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new store design;</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anticipate and to respond, in a timely manner, to consumer trends;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continued introduction and expansion of our merchandise offerings;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mall traffic;</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for product offerings including in the online space;</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As a result of these and other factors, we may not be able to generate or achieve comparable stores sales growth in the future. If we are unable to do so, our results of operations could be significantly harmed and we may be required to record significant impairment charges.</w:t>
      </w:r>
    </w:p>
    <w:p>
      <w:pPr>
        <w:spacing w:after="0" w:line="170"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and damage to our reputation.</w:t>
      </w:r>
    </w:p>
    <w:p>
      <w:pPr>
        <w:spacing w:after="0" w:line="101"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manage inventory, operate our Web 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73"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Our Web sites, primarily for children, allow social interaction between users. We currently obtain and retain personal information about our Web site users, store shoppers and loyalty program members. In addition, we obtain personal information about our guests as part of their registration in our Find-A-Bear® identification system.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w:t>
      </w:r>
    </w:p>
    <w:p>
      <w:pPr>
        <w:spacing w:after="0" w:line="18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have a stringent, comprehensive privacy policy covering the information we collect from our guests and have established security features to protect our guest database and Web sites. While we have implemented programs and procedures designed to protect the privacy of people, including children, from whom we collect information, and our Web sites are designed to be fully compliant with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young children and young children frequently interact with our Web sites, we are potentially vulnerable to charges from parents, children’s organizations, governmental entities, and the media of engaging in inappropriate collection, distribution or other use of data collected from children. Additionally, while we have security features and chat monitoring, our security measures may not protect users’ identities and our online safety measures may be questioned which may result in negative publicity or a decrease in visitors to our site. If site users act inappropriately or seek unauthorized contact with other users of the site, it could harm our reputation and, therefore, our business and we could be subject to liability.</w:t>
      </w:r>
    </w:p>
    <w:p>
      <w:pPr>
        <w:spacing w:after="0" w:line="178" w:lineRule="exact"/>
        <w:rPr>
          <w:sz w:val="20"/>
          <w:szCs w:val="20"/>
          <w:color w:val="auto"/>
        </w:rPr>
      </w:pPr>
    </w:p>
    <w:p>
      <w:pPr>
        <w:ind w:right="140" w:firstLine="441"/>
        <w:spacing w:after="0" w:line="271" w:lineRule="auto"/>
        <w:rPr>
          <w:sz w:val="20"/>
          <w:szCs w:val="20"/>
          <w:color w:val="auto"/>
        </w:rPr>
      </w:pPr>
      <w:r>
        <w:rPr>
          <w:rFonts w:ascii="Arial" w:cs="Arial" w:eastAsia="Arial" w:hAnsi="Arial"/>
          <w:sz w:val="17"/>
          <w:szCs w:val="17"/>
          <w:color w:val="auto"/>
        </w:rPr>
        <w:t>Our business involves the storage and transmission of customers’ personal information, such as consumer preferences and credit card information. We invest in industry-standard security technology to protect the Company’s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negatively impact our results.</w:t>
      </w:r>
    </w:p>
    <w:p>
      <w:pPr>
        <w:spacing w:after="0" w:line="179"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customers and sales, and could have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ind w:right="60"/>
        <w:spacing w:after="0" w:line="264" w:lineRule="auto"/>
        <w:rPr>
          <w:sz w:val="20"/>
          <w:szCs w:val="20"/>
          <w:color w:val="auto"/>
        </w:rPr>
      </w:pPr>
      <w:r>
        <w:rPr>
          <w:rFonts w:ascii="Arial" w:cs="Arial" w:eastAsia="Arial" w:hAnsi="Arial"/>
          <w:sz w:val="18"/>
          <w:szCs w:val="18"/>
          <w:b w:val="1"/>
          <w:bCs w:val="1"/>
          <w:i w:val="1"/>
          <w:iCs w:val="1"/>
          <w:color w:val="auto"/>
        </w:rPr>
        <w:t>Our strategy requires us to operate a significant number of stores in the United States, Canada, the United Kingdom and Ireland, as well as close, relocate and open store locations in these countries. If we are not able to operate these stores or to effectively manage the overall portfolio of our stores, it could adversely affect our ability to grow and could significantly harm our profitability.</w:t>
      </w:r>
    </w:p>
    <w:p>
      <w:pPr>
        <w:spacing w:after="0" w:line="18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future results will largely depend on our ability to operate our stores successfully in the United States, Canada, the United Kingdom and Ireland and optimize store productivity and profitability by closing select stores, relocating and downsizing other stores and selectively upgrading stores with key features in conjunction with lease renewals. In 2012, we announced a plan to reduce our store count in North America. We closed 37 stores in 2013 in addition to the 10 locations closed in 2012 and 12 locations closed in 2011. We currently expect to close an additional 10 to 15 locations in 2014. Our ability to manage our portfolio of stores in future years in desirable locations and operate stores profitably, particularly in multi-store markets, is a key factor in our ability to achieve sustainable profitable growth. We cannot be certain when or whether desirable locations will become available, the number of Build-A-Bear Workshop stores that we can or will ultimately open, or whether any such new or relocated stores can be profitably operated. We have not always succeeded in identifying desirable locations or in operating our stores successfully in those locations. We may decide to close other stores in the future.</w:t>
      </w:r>
    </w:p>
    <w:p>
      <w:pPr>
        <w:spacing w:after="0" w:line="166" w:lineRule="exact"/>
        <w:rPr>
          <w:sz w:val="20"/>
          <w:szCs w:val="20"/>
          <w:color w:val="auto"/>
        </w:rPr>
      </w:pPr>
    </w:p>
    <w:p>
      <w:pPr>
        <w:ind w:right="800" w:firstLine="441"/>
        <w:spacing w:after="0" w:line="342" w:lineRule="auto"/>
        <w:rPr>
          <w:sz w:val="20"/>
          <w:szCs w:val="20"/>
          <w:color w:val="auto"/>
        </w:rPr>
      </w:pPr>
      <w:r>
        <w:rPr>
          <w:rFonts w:ascii="Arial" w:cs="Arial" w:eastAsia="Arial" w:hAnsi="Arial"/>
          <w:sz w:val="16"/>
          <w:szCs w:val="16"/>
          <w:color w:val="auto"/>
        </w:rPr>
        <w:t>In July 2005, we opened a flagship store in New York City. Because this store is much larger than our typical mall-based stores, it requires us to generate revenues at a higher level to justify keeping the store open. Closing this store could have an adverse impact on sales.</w:t>
      </w:r>
    </w:p>
    <w:p>
      <w:pPr>
        <w:spacing w:after="0" w:line="12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Increased demands on our operational, managerial and administrative resources as a result of our store strategy could cause us to operate our business less effectively, which in turn could cause deterioration in our profitability. Additionally, closing multiple stores could have an adverse impact on the Build-A-Bear Workshop brand and consumer perception of our brand.</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renegotiate or replace our store leases or enter into leases for new stores on favorable terms, or if we violate any of the terms of our current leases, our growth and profitability could be harmed.</w:t>
      </w:r>
    </w:p>
    <w:p>
      <w:pPr>
        <w:spacing w:after="0" w:line="170"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We lease all of our store locations. The majority of our store leases contain provisions for base rent plus percentage rent based on sales in excess of an agreed upon minimum annual sales level. A number of our leases include a termination provision which applies if we do not meet certain sales levels during a specified period, typically in the third to fourth year and the sixth to seventh year of the lease, which may be at either the landlord’s options or ours. Furthermore, some of our leases contain various restrictions relating to change of control of our company. Our leases also subject us to risks relating to compliance with changing mall rules and the exercise of discretion by our landlords on various matters within the malls. We may not be able to maintain or obtain favorable locations in desirable malls. The terms of new leases may not be as favorable, increasing store expenses and impacting overall profitability. If we execute termination rights, we may have expenses and charges associated with those closures which could negatively impact our profitability. Additionally, several large landlords dominate the ownership of prime malls, particularly in the United States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spacing w:after="0" w:line="16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Our leases in the United Kingdom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forecast. For example, past rent reviews have resulted in increases as high as 30% in select locations within the United Kingdom.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spacing w:after="0" w:line="170" w:lineRule="exact"/>
        <w:rPr>
          <w:sz w:val="20"/>
          <w:szCs w:val="20"/>
          <w:color w:val="auto"/>
        </w:rPr>
      </w:pPr>
    </w:p>
    <w:p>
      <w:pPr>
        <w:ind w:right="120" w:firstLine="441"/>
        <w:spacing w:after="0" w:line="230" w:lineRule="auto"/>
        <w:rPr>
          <w:sz w:val="20"/>
          <w:szCs w:val="20"/>
          <w:color w:val="auto"/>
        </w:rPr>
      </w:pPr>
      <w:r>
        <w:rPr>
          <w:rFonts w:ascii="Arial" w:cs="Arial" w:eastAsia="Arial" w:hAnsi="Arial"/>
          <w:sz w:val="17"/>
          <w:szCs w:val="17"/>
          <w:color w:val="auto"/>
        </w:rPr>
        <w:t>In addition, the lease for our store in the Downtown Disney</w:t>
      </w:r>
      <w:r>
        <w:rPr>
          <w:rFonts w:ascii="Arial" w:cs="Arial" w:eastAsia="Arial" w:hAnsi="Arial"/>
          <w:sz w:val="28"/>
          <w:szCs w:val="28"/>
          <w:color w:val="auto"/>
          <w:vertAlign w:val="superscript"/>
        </w:rPr>
        <w:t>®</w:t>
      </w:r>
      <w:r>
        <w:rPr>
          <w:rFonts w:ascii="Arial" w:cs="Arial" w:eastAsia="Arial" w:hAnsi="Arial"/>
          <w:sz w:val="17"/>
          <w:szCs w:val="17"/>
          <w:color w:val="auto"/>
        </w:rPr>
        <w:t xml:space="preserve"> District at the Disneyland</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Resort in Anaheim, California expired in January 2014. We have not reached agreement on renewal terms and are currently operating on a month to month basis. This lease provides that the landlord may terminate the lease at any time. As a result, we cannot be assured that the landlord will not exercise its right to terminate this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operate our foreign company-owned stores in the United Kingdom and Ireland profitably.</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our foreign operations, we face business, regulatory and cultural differences from our domestic business, such as economic conditions, changes in foreign government policies and regulations and potential restrictions and costs to convert and repatriate currency, as well as other risks that we may not anticipate. We also face difficulties realizing benefits because we have less brand awareness than in the U.S., face higher labor and rent costs, and have different holiday schedules. Although we have realized benefits from our operations in the United Kingdom and Ireland, we may be unable to continue to do so on a consistent basis. In 2012, we recognized an impairment charge on all of the goodwill associated with our UK acquisition along with the store assets at certain store locations with poor operating results. In 2010, we closed all three of our company-owned stores in France as we were unable to operate them profitably.</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Our merchandise is manufactured by foreign manufacturers and we transact business in various foreign countries; therefore the availability and costs of our products, as well as our product pricing, may be negatively affected by risks associated with international manufacturing and trade and foreign currency fluctuations.</w:t>
      </w:r>
    </w:p>
    <w:p>
      <w:pPr>
        <w:spacing w:after="0" w:line="181"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We purchase our merchandise from domestic vendors who contract with manufacturers in foreign countries, primarily in China. Any event causing a disruption of imports, including the imposition of import restrictions or labor strikes or lock-outs, could adversely affect our business. The flow of merchandise from our vendors could also be adversely affected by financial or political instability in any of the countries in which the goods we purchase are manufactured, especially China,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 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could increase the cost of products we purchase from overseas vendors. The pricing of our products in our stores may also be affected by changes in foreign currency rates and require us to make adjustments which would impact our revenue and profit in various markets.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13" w:gutter="0" w:footer="0" w:header="0"/>
        </w:sectPr>
      </w:pPr>
    </w:p>
    <w:bookmarkStart w:id="10" w:name="page11"/>
    <w:bookmarkEnd w:id="10"/>
    <w:p>
      <w:pPr>
        <w:ind w:right="48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ship any products that do not meet current safety standards or production requirements or if our products are recalled or cause injuries.</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Although we require our manufacturers to meet our product specifications and safety standards and submit our products for testing, we cannot control the materials used by our manufacturers. If one of these manufacturers ships merchandise that does not meet our required standards, we could in turn experience negative publicity or be sued.</w:t>
      </w:r>
    </w:p>
    <w:p>
      <w:pPr>
        <w:spacing w:after="0" w:line="181" w:lineRule="exact"/>
        <w:rPr>
          <w:sz w:val="20"/>
          <w:szCs w:val="20"/>
          <w:color w:val="auto"/>
        </w:rPr>
      </w:pPr>
    </w:p>
    <w:p>
      <w:pPr>
        <w:ind w:right="100" w:firstLine="441"/>
        <w:spacing w:after="0" w:line="271" w:lineRule="auto"/>
        <w:rPr>
          <w:sz w:val="20"/>
          <w:szCs w:val="20"/>
          <w:color w:val="auto"/>
        </w:rPr>
      </w:pPr>
      <w:r>
        <w:rPr>
          <w:rFonts w:ascii="Arial" w:cs="Arial" w:eastAsia="Arial" w:hAnsi="Arial"/>
          <w:sz w:val="17"/>
          <w:szCs w:val="17"/>
          <w:color w:val="auto"/>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five products in the past five years due to possible safety issues. While the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operate successfully if we lose key personnel, are unable to hire qualified additional personnel, or experience turnover of our management team.</w:t>
      </w:r>
    </w:p>
    <w:p>
      <w:pPr>
        <w:spacing w:after="0" w:line="170" w:lineRule="exact"/>
        <w:rPr>
          <w:sz w:val="20"/>
          <w:szCs w:val="20"/>
          <w:color w:val="auto"/>
        </w:rPr>
      </w:pPr>
    </w:p>
    <w:p>
      <w:pPr>
        <w:ind w:right="80" w:firstLine="441"/>
        <w:spacing w:after="0" w:line="253" w:lineRule="auto"/>
        <w:rPr>
          <w:sz w:val="20"/>
          <w:szCs w:val="20"/>
          <w:color w:val="auto"/>
        </w:rPr>
      </w:pPr>
      <w:r>
        <w:rPr>
          <w:rFonts w:ascii="Arial" w:cs="Arial" w:eastAsia="Arial" w:hAnsi="Arial"/>
          <w:sz w:val="18"/>
          <w:szCs w:val="18"/>
          <w:color w:val="auto"/>
        </w:rPr>
        <w:t>The success of our business depends upon the quality of associates throughout our organization. Because guest service is a defining feature of the Build-A-Bear Workshop experience, we must be able to hire and train qualified managers and Bear Builder® associates to succeed. We closed 47 stores in 2012 and 2013 and expect to close an additional ten to fifteen stores in 2014. Having fewer stores may limit promotion opportunities in the future for current associates, which may have a negative impact on our ability to retain quality employees, which may in turn have a negative impact on our results of operations. Additionally, our Founder and Chief Executive Bear retired from the Company in July 2013 six weeks after we hired a new Chief Executive Officer. The success of our business depends on an effective transition. During this transition period, however, organizational changes are likely to occur, and we may not be able to retain key senior managers or associates. The loss of certain key employees, our inability to attract and retain other qualified key employees or a labor shortage that reduces the pool of qualified candidates could have a material adverse effect on our business, financial condition and results of operations.</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rely on a few vendors to supply substantially all of our merchandise, and significant price increases or any disruption in their ability to deliver merchandise could harm our ability to source products and supply inventory to our stores.</w:t>
      </w:r>
    </w:p>
    <w:p>
      <w:pPr>
        <w:spacing w:after="0" w:line="170"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We do not own or operate any manufacturing facilities. For the past three years, we purchased approximately 80% of our merchandise from three vendors. These vendors in turn contract for our orders with multiple manufacturing facilities located primarily in China for the production of merchandise.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disruption to our inventory flow or quality of the inventory as we transition our orders to new vendors or factories which could, in turn, disrupt our store operations and have an adverse effect on our business, financial condition and results of operations. For example in 2011, one factory used by one of our vendors closed unexpectedly, causing us to quickly switch factories for one product, affecting the quality and flow of the product.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are not able to franchise new stores outside of the United States, Canada, the United Kingdom and Ireland, if we are unable to effectively manage our international franchises or if the laws relating to our international franchises change, our growth and profitability could be adversely affected and we could be exposed to additional liability.</w:t>
      </w:r>
    </w:p>
    <w:p>
      <w:pPr>
        <w:spacing w:after="0" w:line="18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As of December 28, 2013, there were 86 Build-A-Bear Workshop franchised stores located outside of the United States, Canada, the United Kingdom and Ireland. We cannot assure you that our franchisees will be successful in identifying and securing desirable locations or in operating their stores. International markets frequently have different demographic characteristics, competitive conditions, consumer tastes and discretionary spending patterns than our existing North American and European markets, which may cause these stores to be less successful than those in our existing markets. Additionally, our franchisees may experience financing, merchandising and distribution expenses and challenges that are different from those we currently encounter in our existing markets. The operations and results of our franchisees could be negatively impacted by the economic or political factors in the countries in which they operate or foreign currency fluctuations. These challenges, as well as others, could have a material adverse effect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 w:name="page12"/>
    <w:bookmarkEnd w:id="11"/>
    <w:p>
      <w:pPr>
        <w:ind w:right="20" w:firstLine="441"/>
        <w:spacing w:after="0" w:line="254" w:lineRule="auto"/>
        <w:rPr>
          <w:sz w:val="20"/>
          <w:szCs w:val="20"/>
          <w:color w:val="auto"/>
        </w:rPr>
      </w:pPr>
      <w:r>
        <w:rPr>
          <w:rFonts w:ascii="Arial" w:cs="Arial" w:eastAsia="Arial" w:hAnsi="Arial"/>
          <w:sz w:val="18"/>
          <w:szCs w:val="18"/>
          <w:color w:val="auto"/>
        </w:rPr>
        <w:t>The success of our franchising strategy will depend upon our ability to attract and maintain qualified franchisees with sufficient financial resources to develop and grow the franchise operation and upon the ability of those franchisees to successfully develop and operate their franchised stores. Franchisees may not operate stores in a manner consistent with our standards and requirements, may not hire and train qualified managers and other store personnel and may not operate their stores profitably. As a result, our franchising strategy may not be profitable to us. Moreover, our brand image and reputation may suffer. When franchisees perform below expectations we may transfer those agreements to other parties or discontinue the franchise agreement. Furthermore, even if our international franchising strategy is successful, the interests of franchisees might sometimes conflict with our interests. For example, whereas franchisees are concerned with their individual business strategies and objectives, we are responsible for ensuring the success of the Build-A-Bear Workshop brand and all of our stores.</w:t>
      </w:r>
    </w:p>
    <w:p>
      <w:pPr>
        <w:spacing w:after="0" w:line="192"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The laws of the various foreign countries in which our franchisees operate govern our relationships with our franchisees. These laws, and any new laws that may be enacted, may detrimentally affect the rights and obligations between us and our franchisees and could expose us to additional liability.</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81" w:lineRule="exact"/>
        <w:rPr>
          <w:sz w:val="20"/>
          <w:szCs w:val="20"/>
          <w:color w:val="auto"/>
        </w:rPr>
      </w:pPr>
    </w:p>
    <w:p>
      <w:pPr>
        <w:jc w:val="both"/>
        <w:ind w:right="80" w:firstLine="441"/>
        <w:spacing w:after="0" w:line="302" w:lineRule="auto"/>
        <w:rPr>
          <w:sz w:val="20"/>
          <w:szCs w:val="20"/>
          <w:color w:val="auto"/>
        </w:rPr>
      </w:pPr>
      <w:r>
        <w:rPr>
          <w:rFonts w:ascii="Arial" w:cs="Arial" w:eastAsia="Arial" w:hAnsi="Arial"/>
          <w:sz w:val="16"/>
          <w:szCs w:val="16"/>
          <w:color w:val="auto"/>
        </w:rPr>
        <w:t>Other parties have asserted in the past, and may assert in the future, trademark, patent, copyright or other intellectual property rights that are important to our business. We cannot assure you that others will not seek to block the use of or seek monetary damages or other remedies for the prior use of our brand names or other intellectual property or the sale of our products or services as a violation of their trademark, patent or other proprietary rights. Defending any claims, even claims without merit, could be time-consuming, result in costly settlements, litigation or restrictions on our business and damage our reputation.</w:t>
      </w:r>
    </w:p>
    <w:p>
      <w:pPr>
        <w:spacing w:after="0" w:line="154"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In addition, there may be prior registrations or use of intellectual property in the U.S. or foreign countries for similar or competing marks or other proprietary rights of which we are not aware. In all such countries it may be possible for any third party owner of a national trademark registration or other proprietary right to enjoin or limit our expansion into those countries or to seek damages for our use of such intellectual property in such countries. In the event a claim against us were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technology and digital operations.</w:t>
      </w:r>
    </w:p>
    <w:p>
      <w:pPr>
        <w:spacing w:after="0" w:line="279"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Our digital operations are subject to numerous risks, including risks related to the failure of the computer systems that operate our websites and mobile sites and their related support systems, point of sale systems, computer viruses, telecommunications failures, and similar disruptions. Also, we may require additional capital in the future to sustain or grow our digital commerce. Business risks related to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materializes, it could have a material adverse effect on our business.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be sued if the manufacturers of our merchandise violate labor laws or engage in practices that our guests believe are unethical.</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United States, we could in turn experience negative publicity or be sued.</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they may operate inefficiently.</w:t>
      </w:r>
    </w:p>
    <w:p>
      <w:pPr>
        <w:spacing w:after="0" w:line="12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operation of our stores is dependent on our ability to distribute merchandise to locations throughout the United States, Canada and Europe in a timely manner. We have a 350,000-square-foot distribution center in Groveport, Ohio. We rely on this company-owned distribution center to receive, store and distribute merchandise for the majority of our North America stores. We rely on third parties to manage all of the warehousing and distribution aspects of our business on the West Coast of the United States and in Europe. Any significant interruption in the operation of the distribution centers due to natural disasters and severe weather, as well as events such as fire, accidents, power outages, system failures or other unforeseen causes could damage a significant portion of our inventory. These factors may also impair our ability to adequately stock our stores and could decrease our sales and increase our costs associated with our supply chain.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profitability could be adversely affected by high petroleum products prices.</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profitability of our business depends to a certain degree upon the price of petroleum products, both as a component of the transportation costs for delivery of inventory from our vendors to our stores and as a raw material used in the production of our animal skins and stuffing. For example, our results in fiscal 2011were impacted by significant increases in fuel surcharges due to higher petroleum products prices. We are unable to predict what the price of crude oil and the resulting petroleum products will be in the future. We may be unable to pass along to our customers the increased costs that would result from higher petroleum prices. Therefore, any such increase could have an adverse impact on our business and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 share may be adversely impacted at any time by a significant number of competitors.</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operate in a highly competitive environment characterized by low barriers to entry. We compete against a diverse group of competitors. Because we are primarily mall-based, we see our competition as those mall-based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currently none of these companies offers the breadth and depth of the Build-A-Bear Workshop products and experience, we cannot assure you that they will not compete directly with us in the future.</w:t>
      </w:r>
    </w:p>
    <w:p>
      <w:pPr>
        <w:spacing w:after="0" w:line="179"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Many of our competitors have longer operating histories, significantly greater financial, marketing and other resources, and greater name recognition. We cannot assure you that we will be able to compete successfully with them in the future, particularly in geographic locations that represent new markets for us. If we fail to compete successfully, our market share and results of operations could be materially and adversely affected.</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suffer negative publicity or a decrease in sales or profitability if the non-proprietary toy products we sell in our stores do not meet our quality standards or fail to achieve our sales expectations.</w:t>
      </w:r>
    </w:p>
    <w:p>
      <w:pPr>
        <w:spacing w:after="0" w:line="170"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We may expand our product assortment to include interactive toy products manufactured by other toy companies. If sales of such products do not meet our expectations or are impacted by competitors’ pricing, we may have to take markdowns or employ other strategies to liquidate the product. If other toy companies do not meet quality standards or violate any manufacturing or labor laws, we suffer negative publicity and not realize our sales plans.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Poor global economic conditions could have a material adverse effect on our liquidity and capital resources.</w:t>
      </w:r>
    </w:p>
    <w:p>
      <w:pPr>
        <w:spacing w:after="0" w:line="225"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Although we believe that our capital structure and credit facilities will provide sufficient liquidity, there can be no assurance that our liquidity will not be affected by changes in the capital markets or that our capital resources will at all times be sufficient or at an acceptable cost to satisfy our liquidity needs. Capital market conditions may affect the renewal or replacement of our credit agreement, which was originally entered into in 2000 and has been extended annually since then and currently expires December 31, 2015.</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quarterly results of operations could cause the price of our common stock to substantially decline.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Retailers generally are subject to fluctuations in quarterly results. Our operating results for one period may not be indicative of results for other periods, and may fluctuate significantly due to a variety of factors, including:</w:t>
      </w:r>
    </w:p>
    <w:p>
      <w:pPr>
        <w:spacing w:after="0" w:line="170"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profitability of our stores;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comparable store sales;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general economic conditions and consumer spending patterns;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seasonal shopping patterns, including whether the Easter holiday occurs in the first or second quarter and other school holiday schedules;</w:t>
      </w:r>
    </w:p>
    <w:p>
      <w:pPr>
        <w:spacing w:after="0" w:line="213" w:lineRule="exact"/>
        <w:rPr>
          <w:rFonts w:ascii="Arial" w:cs="Arial" w:eastAsia="Arial" w:hAnsi="Arial"/>
          <w:sz w:val="17"/>
          <w:szCs w:val="17"/>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53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week;</w:t>
      </w:r>
    </w:p>
    <w:p>
      <w:pPr>
        <w:spacing w:after="0" w:line="11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our inventory management;</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our marketing initiatives;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introduction and expansion of merchandise offerings;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actions of competitors or mall anchors and co-tenants;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store closures, relocations and openings and related expenses;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frequency of national media appearances and other public relations events.</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If our future quarterly results fluctuate significantly or fail to meet the expectations of the investment community, then the market price of our common stock could decline substantially.</w:t>
      </w:r>
    </w:p>
    <w:p>
      <w:pPr>
        <w:sectPr>
          <w:pgSz w:w="11900" w:h="16838" w:orient="portrait"/>
          <w:cols w:equalWidth="0" w:num="1">
            <w:col w:w="11380"/>
          </w:cols>
          <w:pgMar w:left="240" w:top="584" w:right="279" w:bottom="85"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right="220"/>
        <w:spacing w:after="0" w:line="277" w:lineRule="auto"/>
        <w:rPr>
          <w:sz w:val="20"/>
          <w:szCs w:val="20"/>
          <w:color w:val="auto"/>
        </w:rPr>
      </w:pPr>
      <w:r>
        <w:rPr>
          <w:rFonts w:ascii="Arial" w:cs="Arial" w:eastAsia="Arial" w:hAnsi="Arial"/>
          <w:sz w:val="18"/>
          <w:szCs w:val="18"/>
          <w:b w:val="1"/>
          <w:bCs w:val="1"/>
          <w:i w:val="1"/>
          <w:iCs w:val="1"/>
          <w:color w:val="auto"/>
        </w:rPr>
        <w:t>Fluctuations in our operating results could reduce our cash flow and we may be unable to repurchase shares at all or at the times or in the amounts we desire or the results of the share repurchase program may not be as beneficial as we would like.</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Our Board of Directors has implemented a $50 million share repurchase program. The program does not require the Company to repurchase any specific number of shares of our common stock,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the share repurchase program may not be as beneficial as we would like.</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basic corporate documents and Delaware law contain provisions that might enable our management to resist a takeover. These provisions:</w:t>
      </w:r>
    </w:p>
    <w:p>
      <w:pPr>
        <w:spacing w:after="0" w:line="23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 various types of business combinations with significant stockholders;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for a classified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remove directors or change the size of the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fill vacancies on the board of directors;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right of stockholders to act by written consent and to call a special meeting of stockholders or propose other actions;</w:t>
      </w:r>
    </w:p>
    <w:p>
      <w:pPr>
        <w:spacing w:after="0" w:line="225" w:lineRule="exact"/>
        <w:rPr>
          <w:rFonts w:ascii="Arial" w:cs="Arial" w:eastAsia="Arial" w:hAnsi="Arial"/>
          <w:sz w:val="18"/>
          <w:szCs w:val="18"/>
          <w:color w:val="auto"/>
        </w:rPr>
      </w:pPr>
    </w:p>
    <w:p>
      <w:pPr>
        <w:ind w:left="440" w:right="6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a higher percentage of stockholders than would otherwise be required to amend, alter, change or repeal our bylaws and certain provisions of our certificate of incorporation; and</w:t>
      </w:r>
    </w:p>
    <w:p>
      <w:pPr>
        <w:spacing w:after="0" w:line="170" w:lineRule="exact"/>
        <w:rPr>
          <w:rFonts w:ascii="Arial" w:cs="Arial" w:eastAsia="Arial" w:hAnsi="Arial"/>
          <w:sz w:val="18"/>
          <w:szCs w:val="18"/>
          <w:color w:val="auto"/>
        </w:rPr>
      </w:pPr>
    </w:p>
    <w:p>
      <w:pPr>
        <w:ind w:left="440" w:right="380" w:hanging="324"/>
        <w:spacing w:after="0" w:line="308" w:lineRule="auto"/>
        <w:tabs>
          <w:tab w:leader="none" w:pos="4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p>
      <w:pPr>
        <w:spacing w:after="0" w:line="146"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These provisions may:</w:t>
      </w:r>
    </w:p>
    <w:p>
      <w:pPr>
        <w:spacing w:after="0" w:line="225" w:lineRule="exact"/>
        <w:rPr>
          <w:rFonts w:ascii="Arial" w:cs="Arial" w:eastAsia="Arial" w:hAnsi="Arial"/>
          <w:sz w:val="17"/>
          <w:szCs w:val="17"/>
          <w:color w:val="auto"/>
        </w:rPr>
      </w:pPr>
    </w:p>
    <w:p>
      <w:pPr>
        <w:ind w:left="440" w:right="60" w:hanging="324"/>
        <w:spacing w:after="0" w:line="277"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discourage, delay or prevent a change in the control of our company or a change in our management, even if such change may be in the best interests of our stockholders;</w:t>
      </w:r>
    </w:p>
    <w:p>
      <w:pPr>
        <w:spacing w:after="0" w:line="17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adversely affect the voting power of holders of common stock; and</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the price that investors might be willing to pay in the future for shares of our common stock.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We lease all of our store locations. As of December 28, 2013, we operated 263 retail stores located primarily in major malls throughout the United States, Canada and Puerto Rico, 58 stores located in the United Kingdom and two stores in Ireland in our Retail segment. Our leases in the United Kingdom and Ireland typically have rent reviews every five years in which the base rental rate is adjusted to current market rates if they are higher than the original rent agreed.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Non-Store Properties</w:t>
      </w:r>
    </w:p>
    <w:p>
      <w:pPr>
        <w:spacing w:after="0" w:line="229"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In addition to leasing all of our store locations, we own a warehouse and distribution center, or Bearhouse, in Groveport, Ohio, which is utilized primarily by our Retail segment. The facility is approximately 350,000 square feet and includes our web fulfillment site. We also lease approximately 59,000 square feet for our corporate headquarters, or World Bearquarters, in St. Louis, Missouri which houses our corporate staff, our call center and our on-site training facilities. The lease was amended, effective January 1, 2014 with a five-year term. In the United Kingdom, we lease approximately 2,500 square feet for our regional headquarters in Windsor, England. The lease commenced in August 2003 and can be terminated at any time by either party giving notice of termination six months prior to cancellation.</w:t>
      </w:r>
    </w:p>
    <w:p>
      <w:pPr>
        <w:spacing w:after="0" w:line="18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From time to time we are involved in ordinary routine litigation typical for companies engaged in our line of business. We are involved in several court actions seeking to enforce our intellectual property rights or to determine the validity and scope of the proprietary rights of others. As of the date of this Annual Report on Form 10-K, we are not involved in any pending legal proceedings that we believe would be likely, individually or in the aggregate, to have a material adverse effect on our financial condition or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545" w:gutter="0" w:footer="0" w:header="0"/>
        </w:sectPr>
      </w:pPr>
    </w:p>
    <w:bookmarkStart w:id="15" w:name="page16"/>
    <w:bookmarkEnd w:id="15"/>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000" w:right="22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Our common stock is listed on the New York Stock Exchange (NYSE) under the symbol “BBW.” Our common stock commenced trading on the NYSE on October 28, 2004. The following table sets forth the high and low sale prices of our common stock for the periods indicated.</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Fiscal 2013</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Fiscal 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7.10</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4.90</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10.35</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7, 2014, the number of holders of record of the Company’s common stock totaled approximately 2,864.</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firstLine="441"/>
        <w:spacing w:after="0" w:line="238" w:lineRule="auto"/>
        <w:rPr>
          <w:sz w:val="20"/>
          <w:szCs w:val="20"/>
          <w:color w:val="auto"/>
        </w:rPr>
      </w:pPr>
      <w:r>
        <w:rPr>
          <w:rFonts w:ascii="Arial" w:cs="Arial" w:eastAsia="Arial" w:hAnsi="Arial"/>
          <w:sz w:val="17"/>
          <w:szCs w:val="17"/>
          <w:color w:val="auto"/>
        </w:rPr>
        <w:t>The following performance graph compares the 60-month cumulative total stockholder return of our common stock, with the cumulative total return on the Russell 2000</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Index and an SEC-defined peer group of companies identified as SIC Code 5600-5699 (the “Peer Group”). The Peer Group consists of companies whose primary business is the operation of apparel and accessory retail stores. Build-A-Bear Workshop is not strictly a merchandise retailer and there is a strong interactive, entertainment component to our business which differentiates us from retailers in the Peer Group. However, in the absence of any other readily identifiable peer group, we believe the use of the Peer Group is appropriate.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performance graph starts on January 3, 2009 and ends on December 27, 2013, the last trading day prior to December 28, 2013, the end of our fiscal</w:t>
      </w:r>
    </w:p>
    <w:p>
      <w:pPr>
        <w:spacing w:after="0" w:line="4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2013. The graph assumes that $100 was invested on January 3, 2009 in each of our common stock, the Russell 2000 Index and the Peer Group, and that all dividends were reinvested.</w:t>
      </w:r>
    </w:p>
    <w:p>
      <w:pPr>
        <w:spacing w:after="0" w:line="184"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These indices are included only for comparative purposes as required by SEC rules and do not necessarily reflect management’s opinion that such indices are an appropriate measure of the relative performance of our common stock. They are not intended to forecast the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1246505</wp:posOffset>
            </wp:positionH>
            <wp:positionV relativeFrom="page">
              <wp:posOffset>517525</wp:posOffset>
            </wp:positionV>
            <wp:extent cx="5068570" cy="3618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068570"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5060" w:type="dxa"/>
            <w:vAlign w:val="bottom"/>
            <w:gridSpan w:val="7"/>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8"/>
        </w:trPr>
        <w:tc>
          <w:tcPr>
            <w:tcW w:w="37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Total Number</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Units)</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of Shares (or</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Purchased as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Units) that</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(b)</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Part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Publicly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of Shares (or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Paid Per</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Announced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3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0"/>
              </w:rPr>
              <w:t>Units)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Share (or</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Plans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Plans or</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23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Unit)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Programs (2)</w:t>
            </w:r>
          </w:p>
        </w:tc>
        <w:tc>
          <w:tcPr>
            <w:tcW w:w="12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Programs (2)</w:t>
            </w: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 29, 2013 – Oct. 26, 2013</w:t>
            </w:r>
          </w:p>
        </w:tc>
        <w:tc>
          <w:tcPr>
            <w:tcW w:w="23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7,364,562</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Oct. 27, 2013 – Nov. 23, 2013</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27,553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7,148,180</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Nov. 24, 2013 – Dec. 28, 2013</w:t>
            </w:r>
          </w:p>
        </w:tc>
        <w:tc>
          <w:tcPr>
            <w:tcW w:w="2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7,148,180</w:t>
            </w:r>
          </w:p>
        </w:tc>
      </w:tr>
      <w:tr>
        <w:trPr>
          <w:trHeight w:val="20"/>
        </w:trPr>
        <w:tc>
          <w:tcPr>
            <w:tcW w:w="37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28,233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7.88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7,148,180</w:t>
            </w:r>
          </w:p>
        </w:tc>
      </w:tr>
      <w:tr>
        <w:trPr>
          <w:trHeight w:val="20"/>
        </w:trPr>
        <w:tc>
          <w:tcPr>
            <w:tcW w:w="3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both"/>
        <w:ind w:left="440" w:right="40" w:hanging="432"/>
        <w:spacing w:after="0" w:line="256"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ind w:left="440" w:right="300" w:hanging="432"/>
        <w:spacing w:after="0" w:line="271" w:lineRule="auto"/>
        <w:tabs>
          <w:tab w:leader="none" w:pos="4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February 24, 2014, we announced the further extension of our $50 million share repurchase program of our outstanding common stock until March 31, 2015.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 As of March 7, 2014, we had approximately $6.4 million of availability under the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sales of unregistered securities during the past three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No dividends were paid in 2013, 2012 or 2011. We anticipate that we will retain any future earnings to support operations, to finance the growth and development of our business and to repurchase shares of our common stock from time to time and we do not expect, at this time, to pay cash dividends in the future. Any future determination relating to our dividend policy will be made at the discretion of our board of directors and will depend on a number of factors, including future earnings, capital requirements, financial conditions, future prospects and other factors that the board of directors may deem relevant. Additionally, under our credit agreement, we are prohibited from declaring dividends without the prior consent of our lender, subject to certain exceptions, as described in “Management’s Discussion and Analysis of Financial Condition and Results of Operations — Liquidity and Capital Resources.”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8" w:right="239" w:bottom="1440" w:gutter="0" w:footer="0" w:header="0"/>
        </w:sectPr>
      </w:pPr>
    </w:p>
    <w:bookmarkStart w:id="19" w:name="page20"/>
    <w:bookmarkEnd w:id="19"/>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Throughout this Annual Report on Form 10-K, we refer to our fiscal years ended December 28, 2013, December 29, 2012, December 31, 2011, January 1, 2011 and January 2, 2010, as fiscal years 2013, 2012, 2011, 2010 and 2009, respectively. Our fiscal year consists of 52 or 53 weeks, and ends on the Saturday nearest December 31 in each year. Fiscal years 2013, 2012, 2011, 2010 and 2009 included 52 weeks. All of our fiscal quarters presented in this Annual Report on Form 10-K included 13 weeks. When we refer to our fiscal quarters, or any three month period ending as of a specified date, we are referring to the 13-week period prior to that date.</w:t>
      </w:r>
    </w:p>
    <w:p>
      <w:pPr>
        <w:spacing w:after="0" w:line="18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following table sets forth, for the periods and dates indicated, our selected consolidated financial and operating data. The balance sheet data for fiscal 2013 and 2012 and the statement of operations and other financial data for fiscal 2013, 2012 and 2011 are derived from our audited financial statements included elsewhere in this Annual Report on Form 10-K. The balance sheet data for fiscal 2011, 2010 and 2009, and the statement of operations and other financial data for fiscal 2010 and 2009 are derived from our audited consolidated financial statements that are not included in this Annual Report on Form 10-K. You should read our selected consolidated financial and operating data in conjunction with our consolidated financial statements and related notes and with “Management’s Discussion and Analysis of Financial Condition and Results of Operations” appearing elsewhere in this Annual Report on Form 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80" w:type="dxa"/>
            <w:vAlign w:val="bottom"/>
            <w:gridSpan w:val="11"/>
          </w:tcPr>
          <w:p>
            <w:pPr>
              <w:jc w:val="center"/>
              <w:ind w:right="50"/>
              <w:spacing w:after="0" w:line="191" w:lineRule="exact"/>
              <w:rPr>
                <w:sz w:val="20"/>
                <w:szCs w:val="20"/>
                <w:color w:val="auto"/>
              </w:rPr>
            </w:pPr>
            <w:r>
              <w:rPr>
                <w:rFonts w:ascii="Arial" w:cs="Arial" w:eastAsia="Arial" w:hAnsi="Arial"/>
                <w:sz w:val="18"/>
                <w:szCs w:val="18"/>
                <w:b w:val="1"/>
                <w:bCs w:val="1"/>
                <w:color w:val="auto"/>
                <w:w w:val="88"/>
              </w:rPr>
              <w:t>(Dollars in thousands, except share, per share, per store and per gross square foot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111"/>
              <w:spacing w:after="0"/>
              <w:rPr>
                <w:sz w:val="20"/>
                <w:szCs w:val="20"/>
                <w:color w:val="auto"/>
              </w:rPr>
            </w:pPr>
            <w:r>
              <w:rPr>
                <w:rFonts w:ascii="Arial" w:cs="Arial" w:eastAsia="Arial" w:hAnsi="Arial"/>
                <w:sz w:val="18"/>
                <w:szCs w:val="18"/>
                <w:b w:val="1"/>
                <w:bCs w:val="1"/>
                <w:color w:val="auto"/>
                <w:w w:val="92"/>
              </w:rPr>
              <w:t>data)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Total revenues</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379,069</w:t>
            </w:r>
          </w:p>
        </w:tc>
        <w:tc>
          <w:tcPr>
            <w:tcW w:w="16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380,941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394,375</w:t>
            </w:r>
          </w:p>
        </w:tc>
        <w:tc>
          <w:tcPr>
            <w:tcW w:w="120" w:type="dxa"/>
            <w:vAlign w:val="bottom"/>
          </w:tcPr>
          <w:p>
            <w:pPr>
              <w:spacing w:after="0"/>
              <w:rPr>
                <w:sz w:val="18"/>
                <w:szCs w:val="18"/>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401,452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395,906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and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Cost of merchandise sold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220,738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230,181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239,556</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247,511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160,708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165,516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162,881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164,618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Goodwill impairment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33,670</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Store closing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Losses from investment in affiliate </w:t>
            </w:r>
            <w:r>
              <w:rPr>
                <w:rFonts w:ascii="Arial" w:cs="Arial" w:eastAsia="Arial" w:hAnsi="Arial"/>
                <w:sz w:val="25"/>
                <w:szCs w:val="25"/>
                <w:color w:val="auto"/>
                <w:vertAlign w:val="superscript"/>
              </w:rPr>
              <w:t>(2)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9,615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60" w:type="dxa"/>
            <w:vAlign w:val="bottom"/>
            <w:shd w:val="clear" w:color="auto" w:fill="CCEEFF"/>
          </w:tcPr>
          <w:p>
            <w:pPr>
              <w:jc w:val="right"/>
              <w:ind w:right="20"/>
              <w:spacing w:after="0" w:line="162" w:lineRule="exact"/>
              <w:rPr>
                <w:sz w:val="20"/>
                <w:szCs w:val="20"/>
                <w:color w:val="auto"/>
              </w:rPr>
            </w:pPr>
            <w:r>
              <w:rPr>
                <w:rFonts w:ascii="Arial" w:cs="Arial" w:eastAsia="Arial" w:hAnsi="Arial"/>
                <w:sz w:val="16"/>
                <w:szCs w:val="16"/>
                <w:b w:val="1"/>
                <w:bCs w:val="1"/>
                <w:color w:val="auto"/>
                <w:w w:val="74"/>
              </w:rPr>
              <w:t>)</w:t>
            </w:r>
          </w:p>
        </w:tc>
        <w:tc>
          <w:tcPr>
            <w:tcW w:w="3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w w:val="74"/>
              </w:rPr>
              <w:t>)</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00" w:type="dxa"/>
            <w:vAlign w:val="bottom"/>
            <w:vMerge w:val="continue"/>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jc w:val="right"/>
              <w:ind w:right="53"/>
              <w:spacing w:after="0" w:line="68" w:lineRule="exact"/>
              <w:rPr>
                <w:sz w:val="20"/>
                <w:szCs w:val="20"/>
                <w:color w:val="auto"/>
              </w:rPr>
            </w:pPr>
            <w:r>
              <w:rPr>
                <w:rFonts w:ascii="Arial" w:cs="Arial" w:eastAsia="Arial" w:hAnsi="Arial"/>
                <w:sz w:val="7"/>
                <w:szCs w:val="7"/>
                <w:color w:val="auto"/>
              </w:rPr>
              <w:t>(250</w:t>
            </w:r>
          </w:p>
        </w:tc>
        <w:tc>
          <w:tcPr>
            <w:tcW w:w="280" w:type="dxa"/>
            <w:vAlign w:val="bottom"/>
            <w:shd w:val="clear" w:color="auto" w:fill="CCEEFF"/>
          </w:tcPr>
          <w:p>
            <w:pPr>
              <w:spacing w:after="0"/>
              <w:rPr>
                <w:sz w:val="5"/>
                <w:szCs w:val="5"/>
                <w:color w:val="auto"/>
              </w:rPr>
            </w:pPr>
          </w:p>
        </w:tc>
        <w:tc>
          <w:tcPr>
            <w:tcW w:w="1040" w:type="dxa"/>
            <w:vAlign w:val="bottom"/>
            <w:gridSpan w:val="3"/>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381,187</w:t>
            </w: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429,370</w:t>
            </w: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397,027</w:t>
            </w: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403,924</w:t>
            </w: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419,746</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(2,118)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9"/>
                <w:szCs w:val="19"/>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(2,576)</w:t>
            </w:r>
          </w:p>
        </w:tc>
        <w:tc>
          <w:tcPr>
            <w:tcW w:w="28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(11,367)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0"/>
              <w:spacing w:after="0" w:line="250" w:lineRule="exact"/>
              <w:rPr>
                <w:sz w:val="20"/>
                <w:szCs w:val="20"/>
                <w:color w:val="auto"/>
              </w:rPr>
            </w:pPr>
            <w:r>
              <w:rPr>
                <w:rFonts w:ascii="Arial" w:cs="Arial" w:eastAsia="Arial" w:hAnsi="Arial"/>
                <w:sz w:val="15"/>
                <w:szCs w:val="15"/>
                <w:b w:val="1"/>
                <w:bCs w:val="1"/>
                <w:color w:val="auto"/>
              </w:rPr>
              <w:t>(2,112</w:t>
            </w:r>
            <w:r>
              <w:rPr>
                <w:rFonts w:ascii="Arial" w:cs="Arial" w:eastAsia="Arial" w:hAnsi="Arial"/>
                <w:sz w:val="28"/>
                <w:szCs w:val="28"/>
                <w:b w:val="1"/>
                <w:bCs w:val="1"/>
                <w:color w:val="auto"/>
                <w:vertAlign w:val="superscript"/>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50" w:lineRule="exact"/>
              <w:rPr>
                <w:sz w:val="20"/>
                <w:szCs w:val="20"/>
                <w:color w:val="auto"/>
              </w:rPr>
            </w:pPr>
            <w:r>
              <w:rPr>
                <w:rFonts w:ascii="Arial" w:cs="Arial" w:eastAsia="Arial" w:hAnsi="Arial"/>
                <w:sz w:val="15"/>
                <w:szCs w:val="15"/>
                <w:color w:val="auto"/>
              </w:rPr>
              <w:t>(49,295</w:t>
            </w:r>
            <w:r>
              <w:rPr>
                <w:rFonts w:ascii="Arial" w:cs="Arial" w:eastAsia="Arial" w:hAnsi="Arial"/>
                <w:sz w:val="28"/>
                <w:szCs w:val="28"/>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50" w:lineRule="exact"/>
              <w:rPr>
                <w:sz w:val="20"/>
                <w:szCs w:val="20"/>
                <w:color w:val="auto"/>
              </w:rPr>
            </w:pPr>
            <w:r>
              <w:rPr>
                <w:rFonts w:ascii="Arial" w:cs="Arial" w:eastAsia="Arial" w:hAnsi="Arial"/>
                <w:sz w:val="15"/>
                <w:szCs w:val="15"/>
                <w:color w:val="auto"/>
              </w:rPr>
              <w:t>(17,062</w:t>
            </w:r>
            <w:r>
              <w:rPr>
                <w:rFonts w:ascii="Arial" w:cs="Arial" w:eastAsia="Arial" w:hAnsi="Arial"/>
                <w:sz w:val="28"/>
                <w:szCs w:val="28"/>
                <w:color w:val="auto"/>
                <w:vertAlign w:val="superscript"/>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Earnings (loss) per common share:</w:t>
            </w:r>
          </w:p>
        </w:tc>
        <w:tc>
          <w:tcPr>
            <w:tcW w:w="3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(0.98)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used in computing common per share amounts: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16,465,138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16,331,672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17,371,315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w w:val="99"/>
              </w:rPr>
              <w:t>18,601,465</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18,874,352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16,465,138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16,331,672</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17,371,315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9"/>
              </w:rPr>
              <w:t>18,653,012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18,874,352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30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0"/>
              </w:rPr>
              <w:t>Fiscal Year</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4"/>
              </w:rPr>
              <w:t>2011</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2010</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68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(Dollars in thousands, except share, per share, per store and per gross square foot data)</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(3)</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153,477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145,687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154,468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155,128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142,572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Capital expenditures, net </w:t>
            </w:r>
            <w:r>
              <w:rPr>
                <w:rFonts w:ascii="Arial" w:cs="Arial" w:eastAsia="Arial" w:hAnsi="Arial"/>
                <w:sz w:val="25"/>
                <w:szCs w:val="25"/>
                <w:color w:val="auto"/>
                <w:vertAlign w:val="superscript"/>
              </w:rPr>
              <w:t>(4)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19,362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17,268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12,248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14,649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19,216</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21,422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24,232</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26,976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19,058</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16,542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17,234</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22,021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23,990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(19,362)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(13,318)</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(13,766)</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w w:val="99"/>
              </w:rPr>
              <w:t>Cash flows provided by (used in) financing activities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132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(2,902)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(15,811)</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(7,216)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Store data </w:t>
            </w:r>
            <w:r>
              <w:rPr>
                <w:rFonts w:ascii="Arial" w:cs="Arial" w:eastAsia="Arial" w:hAnsi="Arial"/>
                <w:sz w:val="25"/>
                <w:szCs w:val="25"/>
                <w:b w:val="1"/>
                <w:bCs w:val="1"/>
                <w:color w:val="auto"/>
                <w:vertAlign w:val="superscript"/>
              </w:rPr>
              <w:t>(5)</w:t>
            </w: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Number of stores at end of period</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North America - Traditional</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252</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North America - Non-traditional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North America</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263</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298</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 - Traditional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58</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Europe - Non-traditional</w:t>
            </w:r>
          </w:p>
        </w:tc>
        <w:tc>
          <w:tcPr>
            <w:tcW w:w="2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9"/>
                <w:szCs w:val="19"/>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Europe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Total stores</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323</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Square footage at end of period </w:t>
            </w:r>
            <w:r>
              <w:rPr>
                <w:rFonts w:ascii="Arial" w:cs="Arial" w:eastAsia="Arial" w:hAnsi="Arial"/>
                <w:sz w:val="25"/>
                <w:szCs w:val="25"/>
                <w:color w:val="auto"/>
                <w:vertAlign w:val="superscript"/>
              </w:rPr>
              <w:t>(6)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North America - Traditional</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716,098</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805,770</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829,449</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841,600</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846,373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North America - Non-traditional</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19,507</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12,610</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18,956</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32,950</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480"/>
              <w:spacing w:after="0"/>
              <w:rPr>
                <w:sz w:val="20"/>
                <w:szCs w:val="20"/>
                <w:color w:val="auto"/>
              </w:rPr>
            </w:pPr>
            <w:r>
              <w:rPr>
                <w:rFonts w:ascii="Arial" w:cs="Arial" w:eastAsia="Arial" w:hAnsi="Arial"/>
                <w:sz w:val="18"/>
                <w:szCs w:val="18"/>
                <w:color w:val="auto"/>
              </w:rPr>
              <w:t>Total North America</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735,605</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818,380</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848,405</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874,550</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850,906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Europe - Traditional</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84,933</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84,405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81,705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75,588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ind w:left="320"/>
              <w:spacing w:after="0"/>
              <w:rPr>
                <w:sz w:val="20"/>
                <w:szCs w:val="20"/>
                <w:color w:val="auto"/>
              </w:rPr>
            </w:pPr>
            <w:r>
              <w:rPr>
                <w:rFonts w:ascii="Arial" w:cs="Arial" w:eastAsia="Arial" w:hAnsi="Arial"/>
                <w:sz w:val="18"/>
                <w:szCs w:val="18"/>
                <w:color w:val="auto"/>
              </w:rPr>
              <w:t>Europe - Non-traditional</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1,926</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1,926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2,206</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2,206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Europe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86,859</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86,331</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83,911</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77,794</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ind w:left="640"/>
              <w:spacing w:after="0"/>
              <w:rPr>
                <w:sz w:val="20"/>
                <w:szCs w:val="20"/>
                <w:color w:val="auto"/>
              </w:rPr>
            </w:pPr>
            <w:r>
              <w:rPr>
                <w:rFonts w:ascii="Arial" w:cs="Arial" w:eastAsia="Arial" w:hAnsi="Arial"/>
                <w:sz w:val="18"/>
                <w:szCs w:val="18"/>
                <w:color w:val="auto"/>
              </w:rPr>
              <w:t>Total square footage</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822,464</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904,711</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932,316</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952,344</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928,350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ind w:left="160"/>
              <w:spacing w:after="0" w:line="162" w:lineRule="exact"/>
              <w:rPr>
                <w:sz w:val="20"/>
                <w:szCs w:val="20"/>
                <w:color w:val="auto"/>
              </w:rPr>
            </w:pPr>
            <w:r>
              <w:rPr>
                <w:rFonts w:ascii="Arial" w:cs="Arial" w:eastAsia="Arial" w:hAnsi="Arial"/>
                <w:sz w:val="12"/>
                <w:szCs w:val="12"/>
                <w:color w:val="auto"/>
              </w:rPr>
              <w:t xml:space="preserve">Average net retail sales per store - North America </w:t>
            </w:r>
            <w:r>
              <w:rPr>
                <w:rFonts w:ascii="Arial" w:cs="Arial" w:eastAsia="Arial" w:hAnsi="Arial"/>
                <w:sz w:val="18"/>
                <w:szCs w:val="18"/>
                <w:color w:val="auto"/>
                <w:vertAlign w:val="superscript"/>
              </w:rPr>
              <w:t>(7)</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1,080</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1,003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1,021</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1,030</w:t>
            </w: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(11)</w:t>
            </w:r>
          </w:p>
        </w:tc>
        <w:tc>
          <w:tcPr>
            <w:tcW w:w="2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ind w:left="160"/>
              <w:spacing w:after="0" w:line="162" w:lineRule="exact"/>
              <w:rPr>
                <w:sz w:val="20"/>
                <w:szCs w:val="20"/>
                <w:color w:val="auto"/>
              </w:rPr>
            </w:pPr>
            <w:r>
              <w:rPr>
                <w:rFonts w:ascii="Arial" w:cs="Arial" w:eastAsia="Arial" w:hAnsi="Arial"/>
                <w:sz w:val="18"/>
                <w:szCs w:val="18"/>
                <w:color w:val="auto"/>
                <w:w w:val="96"/>
              </w:rPr>
              <w:t>Net retail sales per gross square foot - North America</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381</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90"/>
              <w:spacing w:after="0"/>
              <w:rPr>
                <w:sz w:val="20"/>
                <w:szCs w:val="20"/>
                <w:color w:val="auto"/>
              </w:rPr>
            </w:pPr>
            <w:r>
              <w:rPr>
                <w:rFonts w:ascii="Arial" w:cs="Arial" w:eastAsia="Arial" w:hAnsi="Arial"/>
                <w:sz w:val="18"/>
                <w:szCs w:val="18"/>
                <w:color w:val="auto"/>
              </w:rPr>
              <w:t>350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ind w:right="170"/>
              <w:spacing w:after="0"/>
              <w:rPr>
                <w:sz w:val="20"/>
                <w:szCs w:val="20"/>
                <w:color w:val="auto"/>
              </w:rPr>
            </w:pPr>
            <w:r>
              <w:rPr>
                <w:rFonts w:ascii="Arial" w:cs="Arial" w:eastAsia="Arial" w:hAnsi="Arial"/>
                <w:sz w:val="18"/>
                <w:szCs w:val="18"/>
                <w:color w:val="auto"/>
              </w:rPr>
              <w:t>354</w:t>
            </w: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color w:val="auto"/>
              </w:rPr>
              <w:t>356</w:t>
            </w:r>
          </w:p>
        </w:tc>
        <w:tc>
          <w:tcPr>
            <w:tcW w:w="3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5"/>
                <w:szCs w:val="15"/>
                <w:color w:val="auto"/>
              </w:rPr>
              <w:t>(8) (11)</w:t>
            </w:r>
          </w:p>
        </w:tc>
        <w:tc>
          <w:tcPr>
            <w:tcW w:w="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 xml:space="preserve">Net retail sales per selling square foot - Europe </w:t>
            </w:r>
            <w:r>
              <w:rPr>
                <w:rFonts w:ascii="Arial" w:cs="Arial" w:eastAsia="Arial" w:hAnsi="Arial"/>
                <w:sz w:val="25"/>
                <w:szCs w:val="25"/>
                <w:color w:val="auto"/>
                <w:vertAlign w:val="superscript"/>
              </w:rPr>
              <w:t>(9) (11)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525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562</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551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00" w:type="dxa"/>
            <w:vAlign w:val="bottom"/>
          </w:tcPr>
          <w:p>
            <w:pPr>
              <w:ind w:left="160"/>
              <w:spacing w:after="0" w:line="162" w:lineRule="exact"/>
              <w:rPr>
                <w:sz w:val="20"/>
                <w:szCs w:val="20"/>
                <w:color w:val="auto"/>
              </w:rPr>
            </w:pPr>
            <w:r>
              <w:rPr>
                <w:rFonts w:ascii="Arial" w:cs="Arial" w:eastAsia="Arial" w:hAnsi="Arial"/>
                <w:sz w:val="12"/>
                <w:szCs w:val="12"/>
                <w:color w:val="auto"/>
              </w:rPr>
              <w:t xml:space="preserve">Consolidated comparable store sales change (%) </w:t>
            </w:r>
            <w:r>
              <w:rPr>
                <w:rFonts w:ascii="Arial" w:cs="Arial" w:eastAsia="Arial" w:hAnsi="Arial"/>
                <w:sz w:val="18"/>
                <w:szCs w:val="18"/>
                <w:color w:val="auto"/>
                <w:vertAlign w:val="superscript"/>
              </w:rPr>
              <w:t>(10)</w:t>
            </w:r>
          </w:p>
        </w:tc>
        <w:tc>
          <w:tcPr>
            <w:tcW w:w="2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4"/>
                <w:szCs w:val="14"/>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80"/>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44,665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46,367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58,755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31,925</w:t>
            </w:r>
          </w:p>
        </w:tc>
        <w:tc>
          <w:tcPr>
            <w:tcW w:w="3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30,503</w:t>
            </w:r>
          </w:p>
        </w:tc>
        <w:tc>
          <w:tcPr>
            <w:tcW w:w="18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37,610</w:t>
            </w:r>
          </w:p>
        </w:tc>
        <w:tc>
          <w:tcPr>
            <w:tcW w:w="30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51,671</w:t>
            </w:r>
          </w:p>
        </w:tc>
        <w:tc>
          <w:tcPr>
            <w:tcW w:w="3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53,865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194,642</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192,102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241,571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275,794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284,273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84,390</w:t>
            </w:r>
          </w:p>
        </w:tc>
        <w:tc>
          <w:tcPr>
            <w:tcW w:w="3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83,137</w:t>
            </w:r>
          </w:p>
        </w:tc>
        <w:tc>
          <w:tcPr>
            <w:tcW w:w="180" w:type="dxa"/>
            <w:vAlign w:val="bottom"/>
          </w:tcPr>
          <w:p>
            <w:pPr>
              <w:spacing w:after="0"/>
              <w:rPr>
                <w:sz w:val="20"/>
                <w:szCs w:val="20"/>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129,243</w:t>
            </w:r>
          </w:p>
        </w:tc>
        <w:tc>
          <w:tcPr>
            <w:tcW w:w="30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157,713</w:t>
            </w:r>
          </w:p>
        </w:tc>
        <w:tc>
          <w:tcPr>
            <w:tcW w:w="3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164,780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 closing represents expenses related to the closure of the friends 2B made concept.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2012, $475 in losses from investment in affiliate is included in selling, general and administrative expenses.</w:t>
      </w:r>
    </w:p>
    <w:p>
      <w:pPr>
        <w:spacing w:after="0" w:line="9" w:lineRule="exact"/>
        <w:rPr>
          <w:rFonts w:ascii="Arial" w:cs="Arial" w:eastAsia="Arial" w:hAnsi="Arial"/>
          <w:sz w:val="18"/>
          <w:szCs w:val="18"/>
          <w:color w:val="auto"/>
        </w:rPr>
      </w:pPr>
    </w:p>
    <w:p>
      <w:pPr>
        <w:ind w:left="440" w:right="420" w:hanging="432"/>
        <w:spacing w:after="0" w:line="261" w:lineRule="auto"/>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percentage represents retail gross margin divided by net retail sales.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1" w:name="page22"/>
    <w:bookmarkEnd w:id="21"/>
    <w:p>
      <w:pPr>
        <w:ind w:left="440" w:right="60" w:hanging="432"/>
        <w:spacing w:after="0" w:line="258"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 consist of leasehold improvements, furniture and fixtures, land, buildings, computer equipment and software purchases, as well as trademarks, intellectual property and deferred leasing fees.</w:t>
      </w:r>
    </w:p>
    <w:p>
      <w:pPr>
        <w:spacing w:after="0" w:line="1" w:lineRule="exact"/>
        <w:rPr>
          <w:rFonts w:ascii="Arial" w:cs="Arial" w:eastAsia="Arial" w:hAnsi="Arial"/>
          <w:sz w:val="18"/>
          <w:szCs w:val="18"/>
          <w:color w:val="auto"/>
        </w:rPr>
      </w:pPr>
    </w:p>
    <w:p>
      <w:pPr>
        <w:ind w:left="440" w:right="22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 stores. North American stores are located in the United States, Canada and Puerto Rico. In Europe, stores are located in the United Kingdom, Ireland and, prior to 2011, France.</w:t>
      </w: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Square footage for stores located in Europe is estimated selling square footage.</w:t>
      </w:r>
    </w:p>
    <w:p>
      <w:pPr>
        <w:spacing w:after="0" w:line="9" w:lineRule="exact"/>
        <w:rPr>
          <w:rFonts w:ascii="Arial" w:cs="Arial" w:eastAsia="Arial" w:hAnsi="Arial"/>
          <w:sz w:val="18"/>
          <w:szCs w:val="18"/>
          <w:color w:val="auto"/>
        </w:rPr>
      </w:pPr>
    </w:p>
    <w:p>
      <w:pPr>
        <w:ind w:left="440" w:right="3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net retail sales per store represents net retail sales only from stores open throughout the entire period in North America divided by the total number of such stores.</w:t>
      </w:r>
    </w:p>
    <w:p>
      <w:pPr>
        <w:ind w:left="440" w:right="5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gross square foot in North America represents net retail sales from stores open throughout the entire period in North America divided by the total gross square footage of such stores.</w:t>
      </w:r>
    </w:p>
    <w:p>
      <w:pPr>
        <w:ind w:left="440" w:right="14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retail sales per selling square foot in Europe represents net retail sales from stores open throughout the entire period in Europe divided by the total selling square footage of such stores.</w:t>
      </w:r>
    </w:p>
    <w:p>
      <w:pPr>
        <w:ind w:left="440" w:right="260" w:hanging="432"/>
        <w:spacing w:after="0" w:line="250"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Stores are considered comparable beginning in their thirteenth full month of operation.</w:t>
      </w:r>
    </w:p>
    <w:p>
      <w:pPr>
        <w:ind w:left="440" w:hanging="432"/>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Excludes our web store and temporary and seasonal locations</w:t>
      </w: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“Risk Factors” and elsewhere in this Annual Report on Form 10-K. The following section is qualified in its entirety by the more detailed information, including our financial statements and the notes thereto, which appears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December 28, 2013, we operated 323 Company-owned stores and had 86 franchised stores operating in international locations under the Build-A-Bear Workshop brand. In addition to our stores, we sell our products on our e-commerce Web site, buildabear.com.</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440" w:hanging="324"/>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Retail - Company-owned retail stores located in the United States, Canada, Puerto Rico, the United Kingdom and Ireland, and a web store;</w:t>
      </w:r>
    </w:p>
    <w:p>
      <w:pPr>
        <w:spacing w:after="0" w:line="236" w:lineRule="exact"/>
        <w:rPr>
          <w:rFonts w:ascii="Arial" w:cs="Arial" w:eastAsia="Arial" w:hAnsi="Arial"/>
          <w:sz w:val="17"/>
          <w:szCs w:val="17"/>
          <w:color w:val="auto"/>
        </w:rPr>
      </w:pPr>
    </w:p>
    <w:p>
      <w:pPr>
        <w:ind w:left="440" w:hanging="324"/>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170"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Selected financial data attributable to each segment for fiscal 2013, 2012 and 2011, are set forth in Note 16 to our consolidated financial statements included elsewhere in this Annual Report on Form 10-K.</w:t>
      </w:r>
    </w:p>
    <w:p>
      <w:pPr>
        <w:spacing w:after="0" w:line="170"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For a discussion of the key trends and uncertainties that have affected our revenues, income and liquidity, see the “— Revenues,” “— Costs and Expenses” and “— Stores” subsections of this Overview, along with the "Risk Factors" and "Results of Operations."</w:t>
      </w:r>
    </w:p>
    <w:p>
      <w:pPr>
        <w:spacing w:after="0" w:line="170"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We believe that we have an appealing retail store concept that, for North American stores open for the entire year, averaged $1.1 million in fiscal 2013, and $1.0 million in fiscal 2012 and 2011in net retail sales per store. Consolidated store contribution consists of store location net retail sales less cost of product, marketing and store related expenses. Store depreciation, amortization and impairment and non-store general and administrative expenses are excluded as are our web store and temporary and seasonal locations. See “— Non-GAAP Financial Measures” for a reconciliation of store contribution to net loss. Store contribution as a percent of store location net retail sales was 15.8% for fiscal 2013, 12.7% for fiscal 2012 and 14.7% for fiscal 2011. Total company net loss as a percentage of total revenues was 0.6% for fiscal 2013, 12.9% for fiscal 2012 and 4.3% for fiscal 2011.</w:t>
      </w:r>
    </w:p>
    <w:p>
      <w:pPr>
        <w:spacing w:after="0" w:line="16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Our 2013 performance demonstrated progress on our turnaround plan and our objective to achieve sustainable, long-term profitable growth as we hired a new chief executive, executed a significant real estate strategy and implemented stringent cost controls throughout the organization. In 2012, our results were negatively impacted by the declining sales in the UK. In North America, the 2012 results reflected the early results of turnaround efforts, increased costs for marketing, newly imagined store design remodels and openings and store closings. In 2011, our results reflected stabilizing economic trends and modest mall traffic increases but continuing low levels of consumer confidence. In 2011, our store contribution percentage was essentially flat with 2010, as declining sales were offset by lower store expenses, specifically payroll and supplies.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2" w:name="page23"/>
    <w:bookmarkEnd w:id="22"/>
    <w:p>
      <w:pPr>
        <w:ind w:right="140" w:firstLine="441"/>
        <w:spacing w:after="0" w:line="257" w:lineRule="auto"/>
        <w:rPr>
          <w:sz w:val="20"/>
          <w:szCs w:val="20"/>
          <w:color w:val="auto"/>
        </w:rPr>
      </w:pPr>
      <w:r>
        <w:rPr>
          <w:rFonts w:ascii="Arial" w:cs="Arial" w:eastAsia="Arial" w:hAnsi="Arial"/>
          <w:sz w:val="18"/>
          <w:szCs w:val="18"/>
          <w:color w:val="auto"/>
        </w:rPr>
        <w:t>Our 2014 plan builds on the progress we made in 2013 in implementing our key strategies. We plan to continue to improve store productivity and profitability through our real estate optimization efforts, reposition our marketing programs to refine the consumer value equation and build on core competencies to lay the groundwork to further leverage the strength of our Build-A-Bear brand. Additionally we intend to work aggressively on expense rationalization as we continue to align our cost structure with our smaller store base and value engineer our products, along with an end to end review of our supply chain.</w:t>
      </w:r>
    </w:p>
    <w:p>
      <w:pPr>
        <w:spacing w:after="0" w:line="188" w:lineRule="exact"/>
        <w:rPr>
          <w:sz w:val="20"/>
          <w:szCs w:val="20"/>
          <w:color w:val="auto"/>
        </w:rPr>
      </w:pPr>
    </w:p>
    <w:p>
      <w:pPr>
        <w:jc w:val="both"/>
        <w:ind w:right="160" w:firstLine="441"/>
        <w:spacing w:after="0" w:line="279" w:lineRule="auto"/>
        <w:rPr>
          <w:sz w:val="20"/>
          <w:szCs w:val="20"/>
          <w:color w:val="auto"/>
        </w:rPr>
      </w:pPr>
      <w:r>
        <w:rPr>
          <w:rFonts w:ascii="Arial" w:cs="Arial" w:eastAsia="Arial" w:hAnsi="Arial"/>
          <w:sz w:val="17"/>
          <w:szCs w:val="17"/>
          <w:color w:val="auto"/>
        </w:rPr>
        <w:t>In 2013, we reduced cost of sales and selling, general and administrative expenses by $14 million, including one-time charges. These savings resulted from our real estate optimization strategies, aligning overhead costs with a smaller store base and continued aggressive expense rationalization. This comes after savings of $25 million in 2009, $3 million in 2011 and $7.5 million in 2012. We ended fiscal 2013 with no borrowings under our bank loan agreement and with $45 million in cash and cash equivalents after investing $19 million in capital projects.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description and discussion of the major components of our statement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are revenues from retail sales (including our web store and other non-store locations), are net of discounts, exclude sales</w:t>
      </w:r>
      <w:r>
        <w:rPr>
          <w:rFonts w:ascii="Arial" w:cs="Arial" w:eastAsia="Arial" w:hAnsi="Arial"/>
          <w:sz w:val="18"/>
          <w:szCs w:val="18"/>
          <w:i w:val="1"/>
          <w:iCs w:val="1"/>
          <w:color w:val="auto"/>
        </w:rPr>
        <w:t xml:space="preserve"> </w:t>
      </w:r>
      <w:r>
        <w:rPr>
          <w:rFonts w:ascii="Arial" w:cs="Arial" w:eastAsia="Arial" w:hAnsi="Arial"/>
          <w:sz w:val="18"/>
          <w:szCs w:val="18"/>
          <w:color w:val="auto"/>
        </w:rPr>
        <w:t>tax, include shipping and handling costs billed to customers, and are recognized at the time of sale. Revenues from gift cards are recognized at the time of redemption. Our guests use cash, checks, gift cards and third party credit cards to make purchases. We classify stores as new, non-comparable and comparable stores. Stores enter the comparable store calculation in their thirteenth full month of operation. Our web store and temporary and seasonal locations are not included in our comparable store calculations. Non-comparable stores also result from a store relocation or remodel that results in a significant change in square footage. The net retail sales for that location are excluded from comparable store sales calculations until the thirteenth full month of operation after the date of the change.</w:t>
      </w:r>
    </w:p>
    <w:p>
      <w:pPr>
        <w:spacing w:after="0" w:line="18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We have a loyalty program with a frequent shopper reward feature, the Stuff Fur Stuff® club. Members of the program receive one point for every dollar spent and receive awards after reaching certain point thresholds. On a quarterly basis, an estimate of the obligation related to the program, based on actual points, awards outstanding and historical point conversion and award redemption patterns, is recorded as an adjustment to the deferred revenue liability and net retail sales. As the awards can be earned or redeemed at any of our store locations, we account for changes in the deferred revenue account at the total company level only. Therefore, when we refer to net retail sales by location, such as comparable stores or new stores, these amounts do not include any changes in deferred revenue. See “-Critical Accounting Estimates” for additional details on the accounting for the deferred revenue related to our customer loyalty program.</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3" w:name="page24"/>
    <w:bookmarkEnd w:id="23"/>
    <w:p>
      <w:pPr>
        <w:ind w:right="120" w:firstLine="441"/>
        <w:spacing w:after="0" w:line="277" w:lineRule="auto"/>
        <w:rPr>
          <w:sz w:val="20"/>
          <w:szCs w:val="20"/>
          <w:color w:val="auto"/>
        </w:rPr>
      </w:pPr>
      <w:r>
        <w:rPr>
          <w:rFonts w:ascii="Arial" w:cs="Arial" w:eastAsia="Arial" w:hAnsi="Arial"/>
          <w:sz w:val="18"/>
          <w:szCs w:val="18"/>
          <w:color w:val="auto"/>
        </w:rPr>
        <w:t>We use net retail sales per square foot and comparable store sales as performance measures for our business. The following table details net retail sales per square foot for the periods presented: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Fiscal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Fiscal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Fiscal</w:t>
            </w:r>
          </w:p>
        </w:tc>
      </w:tr>
      <w:tr>
        <w:trPr>
          <w:trHeight w:val="234"/>
        </w:trPr>
        <w:tc>
          <w:tcPr>
            <w:tcW w:w="5700" w:type="dxa"/>
            <w:vAlign w:val="bottom"/>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570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Net retail sales per gross square foot - North America </w:t>
            </w:r>
            <w:r>
              <w:rPr>
                <w:rFonts w:ascii="Arial" w:cs="Arial" w:eastAsia="Arial" w:hAnsi="Arial"/>
                <w:sz w:val="24"/>
                <w:szCs w:val="24"/>
                <w:color w:val="auto"/>
                <w:vertAlign w:val="superscript"/>
              </w:rPr>
              <w:t>(1) (2)</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354</w:t>
            </w:r>
          </w:p>
        </w:tc>
        <w:tc>
          <w:tcPr>
            <w:tcW w:w="100" w:type="dxa"/>
            <w:vAlign w:val="bottom"/>
            <w:shd w:val="clear" w:color="auto" w:fill="CCEEFF"/>
          </w:tcPr>
          <w:p>
            <w:pPr>
              <w:spacing w:after="0"/>
              <w:rPr>
                <w:sz w:val="18"/>
                <w:szCs w:val="18"/>
                <w:color w:val="auto"/>
              </w:rPr>
            </w:pPr>
          </w:p>
        </w:tc>
      </w:tr>
      <w:tr>
        <w:trPr>
          <w:trHeight w:val="390"/>
        </w:trPr>
        <w:tc>
          <w:tcPr>
            <w:tcW w:w="5700" w:type="dxa"/>
            <w:vAlign w:val="bottom"/>
          </w:tcPr>
          <w:p>
            <w:pPr>
              <w:spacing w:after="0"/>
              <w:rPr>
                <w:sz w:val="20"/>
                <w:szCs w:val="20"/>
                <w:color w:val="auto"/>
              </w:rPr>
            </w:pPr>
            <w:r>
              <w:rPr>
                <w:rFonts w:ascii="Arial" w:cs="Arial" w:eastAsia="Arial" w:hAnsi="Arial"/>
                <w:sz w:val="18"/>
                <w:szCs w:val="18"/>
                <w:color w:val="auto"/>
              </w:rPr>
              <w:t xml:space="preserve">Net retail sales per selling square foot - Europe </w:t>
            </w:r>
            <w:r>
              <w:rPr>
                <w:rFonts w:ascii="Arial" w:cs="Arial" w:eastAsia="Arial" w:hAnsi="Arial"/>
                <w:sz w:val="30"/>
                <w:szCs w:val="30"/>
                <w:color w:val="auto"/>
                <w:vertAlign w:val="superscript"/>
              </w:rPr>
              <w:t>(2) (3)</w:t>
            </w:r>
          </w:p>
        </w:tc>
        <w:tc>
          <w:tcPr>
            <w:tcW w:w="1000" w:type="dxa"/>
            <w:vAlign w:val="bottom"/>
          </w:tcPr>
          <w:p>
            <w:pPr>
              <w:jc w:val="right"/>
              <w:ind w:right="837"/>
              <w:spacing w:after="0"/>
              <w:rPr>
                <w:sz w:val="20"/>
                <w:szCs w:val="20"/>
                <w:color w:val="auto"/>
              </w:rPr>
            </w:pPr>
            <w:r>
              <w:rPr>
                <w:rFonts w:ascii="Arial" w:cs="Arial" w:eastAsia="Arial" w:hAnsi="Arial"/>
                <w:sz w:val="15"/>
                <w:szCs w:val="15"/>
                <w:b w:val="1"/>
                <w:bCs w:val="1"/>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525</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511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562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14490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7" w:lineRule="exact"/>
        <w:rPr>
          <w:sz w:val="20"/>
          <w:szCs w:val="20"/>
          <w:color w:val="auto"/>
        </w:rPr>
      </w:pPr>
    </w:p>
    <w:p>
      <w:pPr>
        <w:ind w:left="440" w:right="560" w:hanging="432"/>
        <w:spacing w:after="0" w:line="25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gross square foot in North America represents net retail sales from stores open throughout the entire period in North America divided by the total gross square footage of such stores.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our web store and temporary and seasonal locations.</w:t>
      </w:r>
    </w:p>
    <w:p>
      <w:pPr>
        <w:spacing w:after="0" w:line="9" w:lineRule="exact"/>
        <w:rPr>
          <w:rFonts w:ascii="Arial" w:cs="Arial" w:eastAsia="Arial" w:hAnsi="Arial"/>
          <w:sz w:val="18"/>
          <w:szCs w:val="18"/>
          <w:color w:val="auto"/>
        </w:rPr>
      </w:pPr>
    </w:p>
    <w:p>
      <w:pPr>
        <w:ind w:left="440" w:right="160" w:hanging="432"/>
        <w:spacing w:after="0" w:line="261"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retail sales per selling square foot in Europe represents net retail sales from stores open throughout the entire period in Europe divided by the total selling square footage of such stores.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percentage increase (or decrease) in comparable store sales for the periods presented below is as follows: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98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Fiscal</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Fiscal</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Fiscal</w:t>
            </w:r>
          </w:p>
        </w:tc>
      </w:tr>
      <w:tr>
        <w:trPr>
          <w:trHeight w:val="234"/>
        </w:trPr>
        <w:tc>
          <w:tcPr>
            <w:tcW w:w="5560" w:type="dxa"/>
            <w:vAlign w:val="bottom"/>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r>
      <w:tr>
        <w:trPr>
          <w:trHeight w:val="210"/>
        </w:trPr>
        <w:tc>
          <w:tcPr>
            <w:tcW w:w="556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 xml:space="preserve">Comparable store sales change - North America (%) </w:t>
            </w:r>
            <w:r>
              <w:rPr>
                <w:rFonts w:ascii="Arial" w:cs="Arial" w:eastAsia="Arial" w:hAnsi="Arial"/>
                <w:sz w:val="24"/>
                <w:szCs w:val="24"/>
                <w:color w:val="auto"/>
                <w:vertAlign w:val="superscript"/>
              </w:rPr>
              <w:t>(1) (2)</w:t>
            </w:r>
          </w:p>
        </w:tc>
        <w:tc>
          <w:tcPr>
            <w:tcW w:w="9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654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sales change - Europe (%) </w:t>
            </w:r>
            <w:r>
              <w:rPr>
                <w:rFonts w:ascii="Arial" w:cs="Arial" w:eastAsia="Arial" w:hAnsi="Arial"/>
                <w:sz w:val="25"/>
                <w:szCs w:val="25"/>
                <w:color w:val="auto"/>
                <w:vertAlign w:val="superscript"/>
              </w:rPr>
              <w:t>(1) (2)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654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r>
      <w:tr>
        <w:trPr>
          <w:trHeight w:val="216"/>
        </w:trPr>
        <w:tc>
          <w:tcPr>
            <w:tcW w:w="654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sales change - Consolidated (%) </w:t>
            </w:r>
            <w:r>
              <w:rPr>
                <w:rFonts w:ascii="Arial" w:cs="Arial" w:eastAsia="Arial" w:hAnsi="Arial"/>
                <w:sz w:val="25"/>
                <w:szCs w:val="25"/>
                <w:color w:val="auto"/>
                <w:vertAlign w:val="superscript"/>
              </w:rPr>
              <w:t>(1) (2)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40" w:hanging="432"/>
        <w:spacing w:after="0" w:line="25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store sales percentage changes are based on net retail sales and stores are considered comparable beginning in their thirteenth full month of operation.</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our web store and temporary and seasonal locations.</w:t>
      </w:r>
    </w:p>
    <w:p>
      <w:pPr>
        <w:spacing w:after="0" w:line="265" w:lineRule="exact"/>
        <w:rPr>
          <w:sz w:val="20"/>
          <w:szCs w:val="20"/>
          <w:color w:val="auto"/>
        </w:rPr>
      </w:pPr>
    </w:p>
    <w:p>
      <w:pPr>
        <w:ind w:right="500" w:firstLine="486"/>
        <w:spacing w:after="0" w:line="259" w:lineRule="auto"/>
        <w:rPr>
          <w:sz w:val="20"/>
          <w:szCs w:val="20"/>
          <w:color w:val="auto"/>
        </w:rPr>
      </w:pPr>
      <w:r>
        <w:rPr>
          <w:rFonts w:ascii="Arial" w:cs="Arial" w:eastAsia="Arial" w:hAnsi="Arial"/>
          <w:sz w:val="18"/>
          <w:szCs w:val="18"/>
          <w:color w:val="auto"/>
        </w:rPr>
        <w:t>Fiscal 2013 consolidated comparable store sales for the full year are compared to the 52 week period ended December 29, 2012. We attribute the increase in comparable store sales for the periods presented primarily to the impact of our brand marketing and product strategies which have improved results in our overall store base and our real estate optimization strategies which have driven sales in selective markets impacted by store closures and remodels.</w:t>
      </w:r>
    </w:p>
    <w:p>
      <w:pPr>
        <w:spacing w:after="0" w:line="187" w:lineRule="exact"/>
        <w:rPr>
          <w:sz w:val="20"/>
          <w:szCs w:val="20"/>
          <w:color w:val="auto"/>
        </w:rPr>
      </w:pPr>
    </w:p>
    <w:p>
      <w:pPr>
        <w:ind w:left="660" w:right="28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growth in our base business accounted for approximately 70% of the overall comparable store sales increases in 2013 which we believe were driven by:</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30% reduction in discounts in North America which contributed to higher transaction value in 2013; and</w:t>
      </w:r>
    </w:p>
    <w:p>
      <w:pPr>
        <w:spacing w:after="0" w:line="225" w:lineRule="exact"/>
        <w:rPr>
          <w:rFonts w:ascii="Arial" w:cs="Arial" w:eastAsia="Arial" w:hAnsi="Arial"/>
          <w:sz w:val="18"/>
          <w:szCs w:val="18"/>
          <w:color w:val="auto"/>
        </w:rPr>
      </w:pPr>
    </w:p>
    <w:p>
      <w:pPr>
        <w:ind w:left="1040" w:right="100" w:hanging="384"/>
        <w:spacing w:after="0" w:line="277" w:lineRule="auto"/>
        <w:tabs>
          <w:tab w:leader="none" w:pos="10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Our brand building marketing initiatives, including national television advertising in the United States, along with a balance of proprietary and licensed product, which we believe increased traffic to our stores and contributed to an increase in transactions.</w:t>
      </w:r>
    </w:p>
    <w:p>
      <w:pPr>
        <w:spacing w:after="0" w:line="170"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believe that our real estate optimization strategies drove the remaining 30% of the overall comparable store sales increase in 2013. The real estate optimization plans include selective store closures, primarily in North American multi-store markets, as well as updates and remodels of select other stores. These actions drove a 9% increase in sales per square foot in North America, reversing a multi-year decline.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ind w:right="60" w:firstLine="441"/>
        <w:spacing w:after="0" w:line="277" w:lineRule="auto"/>
        <w:rPr>
          <w:sz w:val="20"/>
          <w:szCs w:val="20"/>
          <w:color w:val="auto"/>
        </w:rPr>
      </w:pPr>
      <w:r>
        <w:rPr>
          <w:rFonts w:ascii="Arial" w:cs="Arial" w:eastAsia="Arial" w:hAnsi="Arial"/>
          <w:sz w:val="18"/>
          <w:szCs w:val="18"/>
          <w:color w:val="auto"/>
        </w:rPr>
        <w:t>Fiscal 2012 consolidated comparable store sales for the full year are compared to the 52 week period ended December 31, 2011 We believe the primary drivers of the overall decline in consolidated comparable store sales for the full year were as follows:</w:t>
      </w:r>
    </w:p>
    <w:p>
      <w:pPr>
        <w:spacing w:after="0" w:line="170" w:lineRule="exact"/>
        <w:rPr>
          <w:sz w:val="20"/>
          <w:szCs w:val="20"/>
          <w:color w:val="auto"/>
        </w:rPr>
      </w:pPr>
    </w:p>
    <w:p>
      <w:pPr>
        <w:ind w:left="920" w:right="100" w:hanging="385"/>
        <w:spacing w:after="0" w:line="264"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first half of 2012, we had benefit from higher redemption rates and transaction value of our holiday gift cards and from a promotion in the United States with McDonald’s Happy Meals® that drove awareness of our brand and brought traffic to our stores resulting in slightly positive comparable store sales in North American through the first twenty-six weeks.</w:t>
      </w:r>
    </w:p>
    <w:p>
      <w:pPr>
        <w:spacing w:after="0" w:line="181" w:lineRule="exact"/>
        <w:rPr>
          <w:rFonts w:ascii="Arial" w:cs="Arial" w:eastAsia="Arial" w:hAnsi="Arial"/>
          <w:sz w:val="18"/>
          <w:szCs w:val="18"/>
          <w:color w:val="auto"/>
        </w:rPr>
      </w:pPr>
    </w:p>
    <w:p>
      <w:pPr>
        <w:ind w:left="920" w:right="80" w:hanging="385"/>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fiscal 2012 third quarter, we experienced a decline in the number of transactions compared to the 2011 third quarter which benefitted from a strong product offering that was tied to a major theatrical release supported by studio marketing and advertising.</w:t>
      </w:r>
    </w:p>
    <w:p>
      <w:pPr>
        <w:spacing w:after="0" w:line="170" w:lineRule="exact"/>
        <w:rPr>
          <w:rFonts w:ascii="Arial" w:cs="Arial" w:eastAsia="Arial" w:hAnsi="Arial"/>
          <w:sz w:val="18"/>
          <w:szCs w:val="18"/>
          <w:color w:val="auto"/>
        </w:rPr>
      </w:pPr>
    </w:p>
    <w:p>
      <w:pPr>
        <w:ind w:left="920" w:right="260" w:hanging="385"/>
        <w:spacing w:after="0" w:line="277"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fiscal 2012 fourth quarter, we believe our new brand building marketing campaign in the United States along with a return to traditional holiday product offerings resulted in an increase in North American comparable store sales.</w:t>
      </w:r>
    </w:p>
    <w:p>
      <w:pPr>
        <w:spacing w:after="0" w:line="170" w:lineRule="exact"/>
        <w:rPr>
          <w:rFonts w:ascii="Arial" w:cs="Arial" w:eastAsia="Arial" w:hAnsi="Arial"/>
          <w:sz w:val="18"/>
          <w:szCs w:val="18"/>
          <w:color w:val="auto"/>
        </w:rPr>
      </w:pPr>
    </w:p>
    <w:p>
      <w:pPr>
        <w:ind w:left="920" w:right="900" w:hanging="385"/>
        <w:spacing w:after="0" w:line="308"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the United Kingdom, we believe the negative economic conditions contributed to a continued decline in consumer sentiment and a corresponding decline in spending that negatively impacted our comparable store sales throughout the year.</w:t>
      </w:r>
    </w:p>
    <w:p>
      <w:pPr>
        <w:spacing w:after="0" w:line="14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i w:val="1"/>
          <w:iCs w:val="1"/>
          <w:color w:val="auto"/>
        </w:rPr>
        <w:t xml:space="preserve">Franchise fees: </w:t>
      </w:r>
      <w:r>
        <w:rPr>
          <w:rFonts w:ascii="Arial" w:cs="Arial" w:eastAsia="Arial" w:hAnsi="Arial"/>
          <w:sz w:val="18"/>
          <w:szCs w:val="18"/>
          <w:color w:val="auto"/>
        </w:rPr>
        <w:t>We receive an initial, one-time franchise fee for each master franchise agreement which is amortized to revenue over the initial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franchise agreements, which extend for periods up to 25 years and include a renewal option if certain conditions are met. Master franchise rights are typically granted to a franchisee for an entire country or countries. Continuing franchise fees are based on a percentage of sales made by the franchisees’ stores and are recognized as revenue at the time of those sales.</w:t>
      </w:r>
    </w:p>
    <w:p>
      <w:pPr>
        <w:spacing w:after="0" w:line="187"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i w:val="1"/>
          <w:iCs w:val="1"/>
          <w:color w:val="auto"/>
        </w:rPr>
        <w:t xml:space="preserve">Commercial revenue: </w:t>
      </w:r>
      <w:r>
        <w:rPr>
          <w:rFonts w:ascii="Arial" w:cs="Arial" w:eastAsia="Arial" w:hAnsi="Arial"/>
          <w:sz w:val="17"/>
          <w:szCs w:val="17"/>
          <w:color w:val="auto"/>
        </w:rPr>
        <w:t>Commercial revenue includes the company’s transactions with other businesses, mainly through wholesale and licensing</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Revenue from wholesale product sales includes revenue from merchandise sold at stores operated by third parties under licensing agreements like Landry’s restaurants. Revenue from licensing activities is generally based on a percentage of sales made by licensees to third parties and is recognized at the time the product is shipped by the licensee or at the point of sale. We have entered into a number of licensing arrangements whereby third parties manufacture merchandise carrying the Build-A-Bear Workshop trademark and sell it to other retailers.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229"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i w:val="1"/>
          <w:iCs w:val="1"/>
          <w:color w:val="auto"/>
        </w:rPr>
        <w:t xml:space="preserve">Cost of merchandise sold and retail gross margin: </w:t>
      </w:r>
      <w:r>
        <w:rPr>
          <w:rFonts w:ascii="Arial" w:cs="Arial" w:eastAsia="Arial" w:hAnsi="Arial"/>
          <w:sz w:val="18"/>
          <w:szCs w:val="18"/>
          <w:color w:val="auto"/>
        </w:rPr>
        <w:t>Cost of merchandise sold includes the cost of the merchandise, including royalties paid to licensors</w:t>
      </w:r>
      <w:r>
        <w:rPr>
          <w:rFonts w:ascii="Arial" w:cs="Arial" w:eastAsia="Arial" w:hAnsi="Arial"/>
          <w:sz w:val="18"/>
          <w:szCs w:val="18"/>
          <w:i w:val="1"/>
          <w:iCs w:val="1"/>
          <w:color w:val="auto"/>
        </w:rPr>
        <w:t xml:space="preserve"> </w:t>
      </w:r>
      <w:r>
        <w:rPr>
          <w:rFonts w:ascii="Arial" w:cs="Arial" w:eastAsia="Arial" w:hAnsi="Arial"/>
          <w:sz w:val="18"/>
          <w:szCs w:val="18"/>
          <w:color w:val="auto"/>
        </w:rPr>
        <w:t>of third party branded merchandise; store occupancy cost, including store depreciation and store asset impairment charges; cost of warehousing and distribution; packaging; stuffing; damages and shortages; and shipping and handling costs incurred in shipment to customers. Retail gross margin is defined as net retail sales less the cost of retail merchandise sold, which excludes cost of wholesale merchandise sold.</w:t>
      </w:r>
    </w:p>
    <w:p>
      <w:pPr>
        <w:spacing w:after="0" w:line="187"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 </w:t>
      </w:r>
      <w:r>
        <w:rPr>
          <w:rFonts w:ascii="Arial" w:cs="Arial" w:eastAsia="Arial" w:hAnsi="Arial"/>
          <w:sz w:val="16"/>
          <w:szCs w:val="16"/>
          <w:color w:val="auto"/>
        </w:rPr>
        <w:t>These expenses include store payroll and benefits, advertising, credit card fees, store supplies and</w:t>
      </w:r>
      <w:r>
        <w:rPr>
          <w:rFonts w:ascii="Arial" w:cs="Arial" w:eastAsia="Arial" w:hAnsi="Arial"/>
          <w:sz w:val="16"/>
          <w:szCs w:val="16"/>
          <w:i w:val="1"/>
          <w:iCs w:val="1"/>
          <w:color w:val="auto"/>
        </w:rPr>
        <w:t xml:space="preserve"> </w:t>
      </w:r>
      <w:r>
        <w:rPr>
          <w:rFonts w:ascii="Arial" w:cs="Arial" w:eastAsia="Arial" w:hAnsi="Arial"/>
          <w:sz w:val="16"/>
          <w:szCs w:val="16"/>
          <w:color w:val="auto"/>
        </w:rPr>
        <w:t>preopening expenses as well as central office general and administrative expenses, including costs for management payroll, benefits, stock-based compensation, normal store closings, travel, information systems, accounting, insurance, legal and public relations. These expenses also include depreciation and amortization of central office leasehold improvements, furniture, fixtures and equipment as well as the amortization of intellectual property costs.</w:t>
      </w:r>
    </w:p>
    <w:p>
      <w:pPr>
        <w:spacing w:after="0" w:line="154"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2009, we achieved $22 million in savings in selling, general and administrative expenses including marketing, central office payroll and outside services. We were able to maintain these savings in 2010 and 2011. In 2012, we saved an additional $4 million in selling, general and administrative expenses that were used to support sales driving marketing initiatives. In 2013, we continued to reduce expenses as we reduced selling, general and administrative expenses in both dollars and as a percent of revenue. Other store expenses such as credit card fees and supplies historically have increased or decreased proportionately with net retail sales.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5" w:name="page26"/>
    <w:bookmarkEnd w:id="25"/>
    <w:p>
      <w:pPr>
        <w:ind w:left="440"/>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 stores:</w:t>
      </w:r>
    </w:p>
    <w:p>
      <w:pPr>
        <w:spacing w:after="0" w:line="225"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The number of Build-A-Bear Workshop stores in the United States, Canada, Puerto Rico, the United Kingdom and Ireland for the last two fiscal years along with the projections for fiscal 2014 can be summarized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4800" w:type="dxa"/>
            <w:vAlign w:val="bottom"/>
            <w:gridSpan w:val="8"/>
          </w:tcPr>
          <w:p>
            <w:pPr>
              <w:jc w:val="right"/>
              <w:ind w:right="420"/>
              <w:spacing w:after="0"/>
              <w:rPr>
                <w:sz w:val="20"/>
                <w:szCs w:val="20"/>
                <w:color w:val="auto"/>
              </w:rPr>
            </w:pPr>
            <w:r>
              <w:rPr>
                <w:rFonts w:ascii="Arial" w:cs="Arial" w:eastAsia="Arial" w:hAnsi="Arial"/>
                <w:sz w:val="18"/>
                <w:szCs w:val="18"/>
                <w:b w:val="1"/>
                <w:bCs w:val="1"/>
                <w:color w:val="auto"/>
                <w:w w:val="97"/>
              </w:rPr>
              <w:t>Fifty-three Weeks Ended January 3, 2015 - Projected</w:t>
            </w:r>
          </w:p>
        </w:tc>
      </w:tr>
      <w:tr>
        <w:trPr>
          <w:trHeight w:val="191"/>
        </w:trPr>
        <w:tc>
          <w:tcPr>
            <w:tcW w:w="5460" w:type="dxa"/>
            <w:vAlign w:val="bottom"/>
          </w:tcPr>
          <w:p>
            <w:pPr>
              <w:spacing w:after="0"/>
              <w:rPr>
                <w:sz w:val="16"/>
                <w:szCs w:val="16"/>
                <w:color w:val="auto"/>
              </w:rPr>
            </w:pPr>
          </w:p>
        </w:tc>
        <w:tc>
          <w:tcPr>
            <w:tcW w:w="124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December</w:t>
            </w: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28,</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January 3,</w:t>
            </w:r>
          </w:p>
        </w:tc>
      </w:tr>
      <w:tr>
        <w:trPr>
          <w:trHeight w:val="234"/>
        </w:trPr>
        <w:tc>
          <w:tcPr>
            <w:tcW w:w="54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Opened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0"/>
        </w:trPr>
        <w:tc>
          <w:tcPr>
            <w:tcW w:w="546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54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54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60" w:type="dxa"/>
            <w:vAlign w:val="bottom"/>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0"/>
        </w:trPr>
        <w:tc>
          <w:tcPr>
            <w:tcW w:w="5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460" w:type="dxa"/>
            <w:vAlign w:val="bottom"/>
          </w:tcPr>
          <w:p>
            <w:pPr>
              <w:spacing w:after="0"/>
              <w:rPr>
                <w:sz w:val="24"/>
                <w:szCs w:val="24"/>
                <w:color w:val="auto"/>
              </w:rPr>
            </w:pPr>
          </w:p>
        </w:tc>
        <w:tc>
          <w:tcPr>
            <w:tcW w:w="480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Fifty-two Weeks Ended December 28, 2013</w:t>
            </w:r>
          </w:p>
        </w:tc>
      </w:tr>
      <w:tr>
        <w:trPr>
          <w:trHeight w:val="191"/>
        </w:trPr>
        <w:tc>
          <w:tcPr>
            <w:tcW w:w="5460" w:type="dxa"/>
            <w:vAlign w:val="bottom"/>
          </w:tcPr>
          <w:p>
            <w:pPr>
              <w:spacing w:after="0"/>
              <w:rPr>
                <w:sz w:val="16"/>
                <w:szCs w:val="16"/>
                <w:color w:val="auto"/>
              </w:rPr>
            </w:pPr>
          </w:p>
        </w:tc>
        <w:tc>
          <w:tcPr>
            <w:tcW w:w="124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December</w:t>
            </w: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29,</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28,</w:t>
            </w:r>
          </w:p>
        </w:tc>
        <w:tc>
          <w:tcPr>
            <w:tcW w:w="10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Opened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0"/>
        </w:trPr>
        <w:tc>
          <w:tcPr>
            <w:tcW w:w="546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r>
      <w:tr>
        <w:trPr>
          <w:trHeight w:val="216"/>
        </w:trPr>
        <w:tc>
          <w:tcPr>
            <w:tcW w:w="54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54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r>
      <w:tr>
        <w:trPr>
          <w:trHeight w:val="20"/>
        </w:trPr>
        <w:tc>
          <w:tcPr>
            <w:tcW w:w="546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351</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0"/>
        </w:trPr>
        <w:tc>
          <w:tcPr>
            <w:tcW w:w="5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5460" w:type="dxa"/>
            <w:vAlign w:val="bottom"/>
          </w:tcPr>
          <w:p>
            <w:pPr>
              <w:spacing w:after="0"/>
              <w:rPr>
                <w:sz w:val="24"/>
                <w:szCs w:val="24"/>
                <w:color w:val="auto"/>
              </w:rPr>
            </w:pPr>
          </w:p>
        </w:tc>
        <w:tc>
          <w:tcPr>
            <w:tcW w:w="4800" w:type="dxa"/>
            <w:vAlign w:val="bottom"/>
            <w:gridSpan w:val="8"/>
          </w:tcPr>
          <w:p>
            <w:pPr>
              <w:jc w:val="right"/>
              <w:ind w:right="800"/>
              <w:spacing w:after="0"/>
              <w:rPr>
                <w:sz w:val="20"/>
                <w:szCs w:val="20"/>
                <w:color w:val="auto"/>
              </w:rPr>
            </w:pPr>
            <w:r>
              <w:rPr>
                <w:rFonts w:ascii="Arial" w:cs="Arial" w:eastAsia="Arial" w:hAnsi="Arial"/>
                <w:sz w:val="18"/>
                <w:szCs w:val="18"/>
                <w:b w:val="1"/>
                <w:bCs w:val="1"/>
                <w:color w:val="auto"/>
              </w:rPr>
              <w:t>Fifty-two Weeks Ended December 29, 2012</w:t>
            </w:r>
          </w:p>
        </w:tc>
      </w:tr>
      <w:tr>
        <w:trPr>
          <w:trHeight w:val="191"/>
        </w:trPr>
        <w:tc>
          <w:tcPr>
            <w:tcW w:w="5460" w:type="dxa"/>
            <w:vAlign w:val="bottom"/>
          </w:tcPr>
          <w:p>
            <w:pPr>
              <w:spacing w:after="0"/>
              <w:rPr>
                <w:sz w:val="16"/>
                <w:szCs w:val="16"/>
                <w:color w:val="auto"/>
              </w:rPr>
            </w:pPr>
          </w:p>
        </w:tc>
        <w:tc>
          <w:tcPr>
            <w:tcW w:w="1240" w:type="dxa"/>
            <w:vAlign w:val="bottom"/>
            <w:tcBorders>
              <w:top w:val="single" w:sz="8" w:color="auto"/>
            </w:tcBorders>
            <w:gridSpan w:val="2"/>
          </w:tcPr>
          <w:p>
            <w:pPr>
              <w:ind w:left="120"/>
              <w:spacing w:after="0" w:line="191" w:lineRule="exact"/>
              <w:rPr>
                <w:sz w:val="20"/>
                <w:szCs w:val="20"/>
                <w:color w:val="auto"/>
              </w:rPr>
            </w:pPr>
            <w:r>
              <w:rPr>
                <w:rFonts w:ascii="Arial" w:cs="Arial" w:eastAsia="Arial" w:hAnsi="Arial"/>
                <w:sz w:val="18"/>
                <w:szCs w:val="18"/>
                <w:b w:val="1"/>
                <w:bCs w:val="1"/>
                <w:color w:val="auto"/>
              </w:rPr>
              <w:t>December</w:t>
            </w: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5"/>
              </w:rPr>
              <w:t>29,</w:t>
            </w:r>
          </w:p>
        </w:tc>
        <w:tc>
          <w:tcPr>
            <w:tcW w:w="100" w:type="dxa"/>
            <w:vAlign w:val="bottom"/>
          </w:tcPr>
          <w:p>
            <w:pPr>
              <w:spacing w:after="0"/>
              <w:rPr>
                <w:sz w:val="18"/>
                <w:szCs w:val="18"/>
                <w:color w:val="auto"/>
              </w:rPr>
            </w:pPr>
          </w:p>
        </w:tc>
      </w:tr>
      <w:tr>
        <w:trPr>
          <w:trHeight w:val="234"/>
        </w:trPr>
        <w:tc>
          <w:tcPr>
            <w:tcW w:w="546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Opened</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Closed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6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0"/>
        </w:trPr>
        <w:tc>
          <w:tcPr>
            <w:tcW w:w="546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546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Europe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Traditional</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5460" w:type="dxa"/>
            <w:vAlign w:val="bottom"/>
          </w:tcPr>
          <w:p>
            <w:pPr>
              <w:ind w:left="160"/>
              <w:spacing w:after="0"/>
              <w:rPr>
                <w:sz w:val="20"/>
                <w:szCs w:val="20"/>
                <w:color w:val="auto"/>
              </w:rPr>
            </w:pPr>
            <w:r>
              <w:rPr>
                <w:rFonts w:ascii="Arial" w:cs="Arial" w:eastAsia="Arial" w:hAnsi="Arial"/>
                <w:sz w:val="18"/>
                <w:szCs w:val="18"/>
                <w:color w:val="auto"/>
              </w:rPr>
              <w:t>Non-traditional</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0"/>
        </w:trPr>
        <w:tc>
          <w:tcPr>
            <w:tcW w:w="54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60" w:type="dxa"/>
            <w:vAlign w:val="bottom"/>
          </w:tcPr>
          <w:p>
            <w:pPr>
              <w:ind w:left="32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r>
      <w:tr>
        <w:trPr>
          <w:trHeight w:val="20"/>
        </w:trPr>
        <w:tc>
          <w:tcPr>
            <w:tcW w:w="5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Our long term store real estate goal is to improve our stores’ sales productivity and profitability. We currently intend to close approximately 10 to 15 locations in 2014, primarily in North America. We also intend to strategically refresh and upgrade stores with select features from the new store design, while driving down the cost of capital required for these improvements. We also expect to open new locations selectively as opportunities arise.</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Non-traditional Store Locations:</w:t>
      </w:r>
    </w:p>
    <w:p>
      <w:pPr>
        <w:spacing w:after="0" w:line="225" w:lineRule="exact"/>
        <w:rPr>
          <w:sz w:val="20"/>
          <w:szCs w:val="20"/>
          <w:color w:val="auto"/>
        </w:rPr>
      </w:pPr>
    </w:p>
    <w:p>
      <w:pPr>
        <w:ind w:right="260" w:firstLine="441"/>
        <w:spacing w:after="0" w:line="259" w:lineRule="auto"/>
        <w:rPr>
          <w:sz w:val="20"/>
          <w:szCs w:val="20"/>
          <w:color w:val="auto"/>
        </w:rPr>
      </w:pPr>
      <w:r>
        <w:rPr>
          <w:rFonts w:ascii="Arial" w:cs="Arial" w:eastAsia="Arial" w:hAnsi="Arial"/>
          <w:sz w:val="18"/>
          <w:szCs w:val="18"/>
          <w:color w:val="auto"/>
        </w:rPr>
        <w:t>As of December 28, 2013, we had one location each in a ballpark, a zoo, a science center and an airport. Additionally, we had three locations located within other retailers’ stores. We also operate temporary stores, which generally have lease terms of six to eighteen months and are excluded from our traditional store count. These locations are intended to capitalize on short-term opportunities in specific locations. As of December 28, 2013, we operated seven temporary stores.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Our first franchisee location was opened in November 2003. All franchised stores have similar signage, store layout and merchandise characteristics to our company-owned stores. The number of international, franchised stores opened and closed for the periods presented below are summarized as follows:</w:t>
      </w:r>
    </w:p>
    <w:p>
      <w:pPr>
        <w:spacing w:after="0" w:line="120"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Fiscal year</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140" w:type="dxa"/>
            <w:vAlign w:val="bottom"/>
            <w:gridSpan w:val="2"/>
          </w:tcPr>
          <w:p>
            <w:pPr>
              <w:spacing w:after="0"/>
              <w:rPr>
                <w:sz w:val="18"/>
                <w:szCs w:val="18"/>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2012</w:t>
            </w:r>
          </w:p>
        </w:tc>
        <w:tc>
          <w:tcPr>
            <w:tcW w:w="3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Opened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w:t>
            </w:r>
          </w:p>
        </w:tc>
        <w:tc>
          <w:tcPr>
            <w:tcW w:w="9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As of December 28, 2013, we had 12 master franchise agreements, which typically grant franchise rights for a particular country or group of countries, covering an aggregate of 16 countries. The distribution of stores among these countries is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Australia</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Denmark</w:t>
            </w: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Gulf States </w:t>
            </w:r>
            <w:r>
              <w:rPr>
                <w:rFonts w:ascii="Arial" w:cs="Arial" w:eastAsia="Arial" w:hAnsi="Arial"/>
                <w:sz w:val="25"/>
                <w:szCs w:val="25"/>
                <w:color w:val="auto"/>
                <w:vertAlign w:val="superscript"/>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Thailand</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South Africa</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Sweden</w:t>
            </w: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Norway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Gulf States agreement includes Kuwait, Bahrain, Qatar, Oman and the United Arab Emirates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believe there is a market potential for approximately 300 international stores outside of the United States, Canada, the United Kingdom and Ireland, which we expect to be operated primarily by new and existing franchisees.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Overview</w:t>
      </w:r>
    </w:p>
    <w:p>
      <w:pPr>
        <w:spacing w:after="0" w:line="22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Our 2013 performance demonstrated progress on our turnaround plan and our objective to achieve sustainable, profitable growth as we hired a new chief executive, executed a significant real estate strategy and implemented stringent cost controls throughout the organization. Our accomplishments included:</w:t>
      </w:r>
    </w:p>
    <w:p>
      <w:pPr>
        <w:spacing w:after="0" w:line="181" w:lineRule="exact"/>
        <w:rPr>
          <w:sz w:val="20"/>
          <w:szCs w:val="20"/>
          <w:color w:val="auto"/>
        </w:rPr>
      </w:pPr>
    </w:p>
    <w:p>
      <w:pPr>
        <w:ind w:left="1080" w:hanging="31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Consolidated comparable store sales increased by 5.1%, led by a 5.7% increase in North America;</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Improved North American store productivity to $381 per square foot, a 9% increase, reversing a multi-year decline;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expanded retail gross margin and reduced selling, general and administrative expenses both in dollars and as a percent of revenue.</w:t>
      </w:r>
    </w:p>
    <w:p>
      <w:pPr>
        <w:spacing w:after="0" w:line="23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In fiscal 2014, we expect to continue to build on these successes, reposition our marketing programs, including our loyalty program, and begin to lay the groundwork to further leverage the strength of our Build-A-Bear brand.</w:t>
      </w:r>
    </w:p>
    <w:p>
      <w:pPr>
        <w:spacing w:after="0" w:line="170"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 Percentages will not total due to cost of merchandise sold being expressed as a percentage of net retail sales and commercial revenue and immaterial rounding: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8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Fiscal 2013</w:t>
            </w:r>
          </w:p>
        </w:tc>
        <w:tc>
          <w:tcPr>
            <w:tcW w:w="15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rPr>
              <w:t>Fiscal 2012</w:t>
            </w:r>
          </w:p>
        </w:tc>
        <w:tc>
          <w:tcPr>
            <w:tcW w:w="14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rPr>
              <w:t>Fiscal 2011</w:t>
            </w:r>
          </w:p>
        </w:tc>
      </w:tr>
      <w:tr>
        <w:trPr>
          <w:trHeight w:val="210"/>
        </w:trPr>
        <w:tc>
          <w:tcPr>
            <w:tcW w:w="428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2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98.1%</w:t>
            </w:r>
          </w:p>
        </w:tc>
      </w:tr>
      <w:tr>
        <w:trPr>
          <w:trHeight w:val="216"/>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80" w:type="dxa"/>
            <w:vAlign w:val="bottom"/>
            <w:tcBorders>
              <w:lef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Commercial revenues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2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0.7</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Borders>
              <w:left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6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Cost of merchandise sold </w:t>
            </w:r>
            <w:r>
              <w:rPr>
                <w:rFonts w:ascii="Arial" w:cs="Arial" w:eastAsia="Arial" w:hAnsi="Arial"/>
                <w:sz w:val="25"/>
                <w:szCs w:val="25"/>
                <w:color w:val="auto"/>
                <w:vertAlign w:val="superscript"/>
              </w:rPr>
              <w:t>(1)</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58.8</w:t>
            </w:r>
          </w:p>
        </w:tc>
        <w:tc>
          <w:tcPr>
            <w:tcW w:w="2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59.9</w:t>
            </w:r>
          </w:p>
        </w:tc>
      </w:tr>
      <w:tr>
        <w:trPr>
          <w:trHeight w:val="216"/>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280" w:type="dxa"/>
            <w:vAlign w:val="bottom"/>
            <w:tcBorders>
              <w:lef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r>
      <w:tr>
        <w:trPr>
          <w:trHeight w:val="216"/>
        </w:trPr>
        <w:tc>
          <w:tcPr>
            <w:tcW w:w="428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42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100.6</w:t>
            </w: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100.7</w:t>
            </w:r>
          </w:p>
        </w:tc>
      </w:tr>
      <w:tr>
        <w:trPr>
          <w:trHeight w:val="210"/>
        </w:trPr>
        <w:tc>
          <w:tcPr>
            <w:tcW w:w="428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(12.7)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0"/>
        </w:trPr>
        <w:tc>
          <w:tcPr>
            <w:tcW w:w="42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Net loss</w:t>
            </w:r>
          </w:p>
        </w:tc>
        <w:tc>
          <w:tcPr>
            <w:tcW w:w="2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10"/>
        </w:trPr>
        <w:tc>
          <w:tcPr>
            <w:tcW w:w="4280" w:type="dxa"/>
            <w:vAlign w:val="bottom"/>
            <w:tcBorders>
              <w:top w:val="single" w:sz="8" w:color="auto"/>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2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42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of merchandise sold is expressed as a percentage of net retail sales and commercial revenue.</w:t>
      </w:r>
    </w:p>
    <w:p>
      <w:pPr>
        <w:spacing w:after="0" w:line="225" w:lineRule="exact"/>
        <w:rPr>
          <w:rFonts w:ascii="Arial" w:cs="Arial" w:eastAsia="Arial" w:hAnsi="Arial"/>
          <w:sz w:val="18"/>
          <w:szCs w:val="18"/>
          <w:color w:val="auto"/>
        </w:rPr>
      </w:pPr>
    </w:p>
    <w:p>
      <w:pPr>
        <w:ind w:left="440" w:right="240" w:hanging="432"/>
        <w:spacing w:after="0" w:line="26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 which excludes cost of wholesale merchandise sold. Retail gross margin was $153.5 million, $145.7 million and $154.5 million in 2013, 2012 and 2011, respectively. Retail gross margin percentage represents retail gross margin divided by net retail sales.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Fiscal Year Ended December 28, 2013 (52 weeks) Compared to Fiscal Year Ended December 29, 2012 (52 weeks)</w:t>
      </w:r>
    </w:p>
    <w:p>
      <w:pPr>
        <w:spacing w:after="0" w:line="225"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$373.2 million for fiscal 2013, compared to $374.6 million for fiscal 2012, a decrease of $1.4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decrease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Fiscal 2013</w:t>
            </w:r>
          </w:p>
        </w:tc>
      </w:tr>
      <w:tr>
        <w:trPr>
          <w:trHeight w:val="191"/>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(dollars in</w:t>
            </w: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millions)</w:t>
            </w: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(21.7)</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Increase in comparable store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(0.7)</w:t>
            </w: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Increase from non-traditional locations, including web sales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w:t>
            </w: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20" w:firstLine="441"/>
        <w:spacing w:after="0" w:line="342" w:lineRule="auto"/>
        <w:rPr>
          <w:sz w:val="20"/>
          <w:szCs w:val="20"/>
          <w:color w:val="auto"/>
        </w:rPr>
      </w:pPr>
      <w:r>
        <w:rPr>
          <w:rFonts w:ascii="Arial" w:cs="Arial" w:eastAsia="Arial" w:hAnsi="Arial"/>
          <w:sz w:val="16"/>
          <w:szCs w:val="16"/>
          <w:color w:val="auto"/>
        </w:rPr>
        <w:t>Revenue from international franchise fees were $3.6 million for fiscal 2013 and fiscal 2012. Commercial revenue was $2.3 million in fiscal 2013 compared to $2.8 million in fiscal 2012, a decrease of $0.5 million. This decrease was primarily due to an overall decrease in licensing activity in 2013.</w:t>
      </w:r>
    </w:p>
    <w:p>
      <w:pPr>
        <w:spacing w:after="0" w:line="124" w:lineRule="exact"/>
        <w:rPr>
          <w:sz w:val="20"/>
          <w:szCs w:val="20"/>
          <w:color w:val="auto"/>
        </w:rPr>
      </w:pPr>
    </w:p>
    <w:p>
      <w:pPr>
        <w:ind w:right="140" w:firstLine="441"/>
        <w:spacing w:after="0" w:line="255" w:lineRule="auto"/>
        <w:rPr>
          <w:sz w:val="20"/>
          <w:szCs w:val="20"/>
          <w:color w:val="auto"/>
        </w:rPr>
      </w:pPr>
      <w:r>
        <w:rPr>
          <w:rFonts w:ascii="Arial" w:cs="Arial" w:eastAsia="Arial" w:hAnsi="Arial"/>
          <w:sz w:val="18"/>
          <w:szCs w:val="18"/>
          <w:i w:val="1"/>
          <w:iCs w:val="1"/>
          <w:color w:val="auto"/>
        </w:rPr>
        <w:t>Gross margin</w:t>
      </w:r>
      <w:r>
        <w:rPr>
          <w:rFonts w:ascii="Arial" w:cs="Arial" w:eastAsia="Arial" w:hAnsi="Arial"/>
          <w:sz w:val="18"/>
          <w:szCs w:val="18"/>
          <w:color w:val="auto"/>
        </w:rPr>
        <w:t>. Total gross margin, calculated as net retail sales and commercial revenues less cost of merchandise sold, was $154.8 million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2013 compared to $147.2 million for fiscal 2012, an increase of $7.6 million, or 5.2%. Retail gross margin increased to $153.5 million in fiscal 2013 compared to $145.7 million in fiscal 2012, an increase of $7.8 million, or 5.4%. As a percentage of net retail sales, retail gross margin increased to 41.1% for fiscal 2013 from 38.9% for fiscal 2012, an increase of 220 basis points as a percentage of net retail sales (bps). This improvement in margin was primarily attributable to 160 basis points in improved leverage on fixed occupancy costs and a 60 basis point improvement in merchandise margin driven primarily by an increase in average transaction value.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Selling, general and administrative</w:t>
      </w:r>
      <w:r>
        <w:rPr>
          <w:rFonts w:ascii="Arial" w:cs="Arial" w:eastAsia="Arial" w:hAnsi="Arial"/>
          <w:sz w:val="16"/>
          <w:szCs w:val="16"/>
          <w:color w:val="auto"/>
        </w:rPr>
        <w:t>. Selling, general and administrative expenses were $160.7 million for fiscal 2013 as compared to $165.5 million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fiscal 2012, a decrease of $4.8 million, or 2.9%. As a percentage of total revenues, selling, general and administrative expenses were 42.4% for fiscal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43.4% in fiscal 2012. Fiscal 2013 included $5.3 million in management transition, store closing and asset impairment expenses,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$2.7 million in store closing and asset impairment expenses in fiscal 2012. Excluding these costs in both periods, selling, general and administrative expenses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improved 170 basis points to 41.0% of total revenues in fiscal 2013. This improvement was driven by reduced store payroll, other store expenses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corporate overhead, partially offset by increases in corporate payroll primarily related to bonus.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income, net of interest expense, was $0.3 million for fiscal 2013 compared to $3,000 of expense for fiscal 2012.</w:t>
      </w:r>
    </w:p>
    <w:p>
      <w:pPr>
        <w:spacing w:after="0" w:line="24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benefit $6,000 in fiscal 2013 compared to expense of $0.9 million in fiscal 2012. The effective rate was 0.3% in</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(1.8)% in 2012. The fluctuation in the effective rate was primarily attributable to benefits resulting from the favorable resolution of tax matters, the expiration of statutes in various jurisdictions, and favorable adjustments from the filing of amended tax returns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Ended December 29, 2012 (52 weeks) Compared to Fiscal Year Ended December 31, 2011 (52 weeks)</w:t>
      </w:r>
    </w:p>
    <w:p>
      <w:pPr>
        <w:spacing w:after="0" w:line="225"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i w:val="1"/>
          <w:iCs w:val="1"/>
          <w:color w:val="auto"/>
        </w:rPr>
        <w:t xml:space="preserve">Total revenues. </w:t>
      </w:r>
      <w:r>
        <w:rPr>
          <w:rFonts w:ascii="Arial" w:cs="Arial" w:eastAsia="Arial" w:hAnsi="Arial"/>
          <w:sz w:val="18"/>
          <w:szCs w:val="18"/>
          <w:color w:val="auto"/>
        </w:rPr>
        <w:t>Net retail sales were $374.6 million for fiscal 2012, compared to $387.0 million for fiscal 2011, a decrease of $12.5 million.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of this decrease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Fiscal 2012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6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0"/>
              </w:rPr>
              <w:t>(dollars in</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millions)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Impact of store closures</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Decrease in comparable store sales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Increase from new stores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revenue estimate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Decrease from non-traditional locations, including web sales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jc w:val="right"/>
              <w:ind w:right="1630"/>
              <w:spacing w:after="0"/>
              <w:rPr>
                <w:sz w:val="20"/>
                <w:szCs w:val="20"/>
                <w:color w:val="auto"/>
              </w:rPr>
            </w:pPr>
            <w:r>
              <w:rPr>
                <w:rFonts w:ascii="Arial" w:cs="Arial" w:eastAsia="Arial" w:hAnsi="Arial"/>
                <w:sz w:val="18"/>
                <w:szCs w:val="18"/>
                <w:color w:val="auto"/>
              </w:rPr>
              <w:t>25</w:t>
            </w: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52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636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9" w:name="page30"/>
    <w:bookmarkEnd w:id="29"/>
    <w:p>
      <w:pPr>
        <w:ind w:right="160" w:firstLine="441"/>
        <w:spacing w:after="0" w:line="259" w:lineRule="auto"/>
        <w:rPr>
          <w:sz w:val="20"/>
          <w:szCs w:val="20"/>
          <w:color w:val="auto"/>
        </w:rPr>
      </w:pPr>
      <w:r>
        <w:rPr>
          <w:rFonts w:ascii="Arial" w:cs="Arial" w:eastAsia="Arial" w:hAnsi="Arial"/>
          <w:sz w:val="18"/>
          <w:szCs w:val="18"/>
          <w:color w:val="auto"/>
        </w:rPr>
        <w:t>Revenue from international franchise fees increased to $3.6 million for fiscal 2012 from $3.4 million for fiscal 2011, an increase of $0.2 million. This increase was primarily due to the increase in the number of franchise locations from 79 at the end of fiscal 2011 to 91 at the end of fiscal 2012. Commercial revenue was $2.8 million in fiscal 2012 compared to $3.9 million in fiscal 2011, a decrease of $1.2 million. This decrease was primarily due to an overall decrease in licensing activity in 2012.</w:t>
      </w:r>
    </w:p>
    <w:p>
      <w:pPr>
        <w:spacing w:after="0" w:line="187" w:lineRule="exact"/>
        <w:rPr>
          <w:sz w:val="20"/>
          <w:szCs w:val="20"/>
          <w:color w:val="auto"/>
        </w:rPr>
      </w:pPr>
    </w:p>
    <w:p>
      <w:pPr>
        <w:ind w:right="200" w:firstLine="441"/>
        <w:spacing w:after="0" w:line="297" w:lineRule="auto"/>
        <w:rPr>
          <w:sz w:val="20"/>
          <w:szCs w:val="20"/>
          <w:color w:val="auto"/>
        </w:rPr>
      </w:pPr>
      <w:r>
        <w:rPr>
          <w:rFonts w:ascii="Arial" w:cs="Arial" w:eastAsia="Arial" w:hAnsi="Arial"/>
          <w:sz w:val="16"/>
          <w:szCs w:val="16"/>
          <w:i w:val="1"/>
          <w:iCs w:val="1"/>
          <w:color w:val="auto"/>
        </w:rPr>
        <w:t>Gross margin</w:t>
      </w:r>
      <w:r>
        <w:rPr>
          <w:rFonts w:ascii="Arial" w:cs="Arial" w:eastAsia="Arial" w:hAnsi="Arial"/>
          <w:sz w:val="16"/>
          <w:szCs w:val="16"/>
          <w:color w:val="auto"/>
        </w:rPr>
        <w:t>. Total gross margin, calculated as net retail sales and commercial revenues less cost of merchandise sold, was $147.2 million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2012 compared to $156.8 million for fiscal 2011, a decrease of $9.6 million, or 6.1%. Retail gross margin was $145.7 million in fiscal 2012 compared to $154.5 million in fiscal 2011, a decrease of $8.8 million, or 5.7%. As a percentage of net retail sales, retail gross margin decreased to 38.9% for fiscal 2012 from 39.9% for fiscal 2011, a decrease of 100 bps. This decline in margin was primarily attributable to decreased leverage on fixed occupancy costs, including store asset impairment charges and decreased merchandise margin, partially offset by cost savings in distribution and packaging costs.</w:t>
      </w:r>
    </w:p>
    <w:p>
      <w:pPr>
        <w:spacing w:after="0" w:line="15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expenses were $165.5 million for fiscal 2012 as compared to $162.9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2011, an increase of $2.6 million, or 1.6%. As a percentage of total revenues, selling, general and administrative expenses were 43.4% for fiscal 2012, compared to 41.3% in fiscal 2011. The dollar increase was primarily attributable to $3 million in asset impairment charges and investment in marketing and store-related costs as part of our long-term initiatives. Excluding the impairment charges, selling general and administrative expenses were 42.6% of total revenues.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Goodwill impairment</w:t>
      </w:r>
      <w:r>
        <w:rPr>
          <w:rFonts w:ascii="Arial" w:cs="Arial" w:eastAsia="Arial" w:hAnsi="Arial"/>
          <w:sz w:val="17"/>
          <w:szCs w:val="17"/>
          <w:color w:val="auto"/>
        </w:rPr>
        <w:t>. In 2012, the goodwill associated with the UK business was fully impaired, resulting in a $33.7 million non-cash charge.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Interest expense (income)</w:t>
      </w:r>
      <w:r>
        <w:rPr>
          <w:rFonts w:ascii="Arial" w:cs="Arial" w:eastAsia="Arial" w:hAnsi="Arial"/>
          <w:sz w:val="16"/>
          <w:szCs w:val="16"/>
          <w:color w:val="auto"/>
        </w:rPr>
        <w:t>,</w:t>
      </w:r>
      <w:r>
        <w:rPr>
          <w:rFonts w:ascii="Arial" w:cs="Arial" w:eastAsia="Arial" w:hAnsi="Arial"/>
          <w:sz w:val="16"/>
          <w:szCs w:val="16"/>
          <w:i w:val="1"/>
          <w:iCs w:val="1"/>
          <w:color w:val="auto"/>
        </w:rPr>
        <w:t xml:space="preserve"> net. </w:t>
      </w:r>
      <w:r>
        <w:rPr>
          <w:rFonts w:ascii="Arial" w:cs="Arial" w:eastAsia="Arial" w:hAnsi="Arial"/>
          <w:sz w:val="16"/>
          <w:szCs w:val="16"/>
          <w:color w:val="auto"/>
        </w:rPr>
        <w:t>Interest expense, net of interest income, was $3,000 for fiscal 2012 as compared to $0.1 million of income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Provision for income taxes</w:t>
      </w:r>
      <w:r>
        <w:rPr>
          <w:rFonts w:ascii="Arial" w:cs="Arial" w:eastAsia="Arial" w:hAnsi="Arial"/>
          <w:sz w:val="17"/>
          <w:szCs w:val="17"/>
          <w:color w:val="auto"/>
        </w:rPr>
        <w:t>. Income tax expense was $0.9 million in fiscal 2012, compared to $14.4 million for fiscal 2011. The effective rate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in 2012 and (543.4)% in 2011. The fluctuation in the effective rate was primarily attributable to the recording of a valuation allowance in 2011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deferred tax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We use the term “store contribution” throughout this Annual Report on Form 10-K. Store contribution consists of income before income tax expense, interest, store depreciation, amortization and impairment, goodwill impairment, general and administrative expense, excluding franchise fees, income from licensing activities and contribution from our web store and temporary and seasonal locations. This term, as we define it, may not be comparable to similarly titled measures used by other companies and is not a measure of performance presented in accordance with U.S. generally accepted accounting principles (GAAP).</w:t>
      </w:r>
    </w:p>
    <w:p>
      <w:pPr>
        <w:spacing w:after="0" w:line="188"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We use store contribution as a measure of our stores’ operating performance. Store contribution should not be considered a substitute for net income, net income per store, cash flows provided by operating activities, cash flows provided by operating activities per store, or other income or cash flow data prepared in accordance with U.S. GAAP.</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We believe store contribution is useful to investors in evaluating our operating performance because it, along with the number of stores in operation, directly impacts our profitability.</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0" w:name="page31"/>
    <w:bookmarkEnd w:id="30"/>
    <w:p>
      <w:pPr>
        <w:ind w:right="240"/>
        <w:spacing w:after="0" w:line="342" w:lineRule="auto"/>
        <w:rPr>
          <w:sz w:val="20"/>
          <w:szCs w:val="20"/>
          <w:color w:val="auto"/>
        </w:rPr>
      </w:pPr>
      <w:r>
        <w:rPr>
          <w:rFonts w:ascii="Arial" w:cs="Arial" w:eastAsia="Arial" w:hAnsi="Arial"/>
          <w:sz w:val="16"/>
          <w:szCs w:val="16"/>
          <w:color w:val="auto"/>
        </w:rPr>
        <w:t>The following table sets forth a reconciliation of store contribution to net (loss) income for our company-owned stores located in the United States, Canada and Puerto Rico (North America), stores located in the United Kingdom and Ireland (Europe) and for our consolidated store base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7"/>
              </w:rPr>
              <w:t>Fiscal 2013</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87"/>
              </w:rPr>
              <w:t>Fiscal 2012</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North</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Europe</w:t>
            </w:r>
          </w:p>
        </w:tc>
        <w:tc>
          <w:tcPr>
            <w:tcW w:w="240" w:type="dxa"/>
            <w:vAlign w:val="bottom"/>
          </w:tcPr>
          <w:p>
            <w:pPr>
              <w:spacing w:after="0"/>
              <w:rPr>
                <w:sz w:val="20"/>
                <w:szCs w:val="20"/>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(35,340)</w:t>
            </w: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951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rPr>
              <w:t>Store depreciation, amortization and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impairment (1)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2,114</w:t>
            </w:r>
          </w:p>
        </w:tc>
        <w:tc>
          <w:tcPr>
            <w:tcW w:w="2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13,433</w:t>
            </w: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13,436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3,597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 (2)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2"/>
              </w:rPr>
              <w:t>General and administrative expense (3)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49,133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6,275</w:t>
            </w:r>
          </w:p>
        </w:tc>
        <w:tc>
          <w:tcPr>
            <w:tcW w:w="2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55,408</w:t>
            </w: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44,154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4,751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48,905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Franchising and commercial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contribution (4)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(3,110)</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Non-store activity contribution (5)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(953)</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(7,672)</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48,739</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w:t>
            </w:r>
          </w:p>
        </w:tc>
        <w:tc>
          <w:tcPr>
            <w:tcW w:w="3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55,682</w:t>
            </w:r>
          </w:p>
        </w:tc>
        <w:tc>
          <w:tcPr>
            <w:tcW w:w="34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45,121</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1"/>
              </w:rPr>
              <w:t>Total revenues from external customers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304,956</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74,113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379,069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20" w:type="dxa"/>
            <w:vAlign w:val="bottom"/>
          </w:tcPr>
          <w:p>
            <w:pPr>
              <w:spacing w:after="0" w:line="201" w:lineRule="exact"/>
              <w:rPr>
                <w:sz w:val="20"/>
                <w:szCs w:val="20"/>
                <w:color w:val="auto"/>
              </w:rPr>
            </w:pPr>
            <w:r>
              <w:rPr>
                <w:rFonts w:ascii="Arial" w:cs="Arial" w:eastAsia="Arial" w:hAnsi="Arial"/>
                <w:sz w:val="18"/>
                <w:szCs w:val="18"/>
                <w:color w:val="auto"/>
                <w:w w:val="95"/>
              </w:rPr>
              <w:t>Franchising and commercial revenues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from external customers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(5,896)</w:t>
            </w:r>
          </w:p>
        </w:tc>
        <w:tc>
          <w:tcPr>
            <w:tcW w:w="14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5"/>
              </w:rPr>
              <w:t>Revenues from non-store activities (5)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(16,361)</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(3,468)</w:t>
            </w: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(19,829)</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(16,848)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gridSpan w:val="2"/>
          </w:tcPr>
          <w:p>
            <w:pPr>
              <w:spacing w:after="0"/>
              <w:rPr>
                <w:sz w:val="20"/>
                <w:szCs w:val="20"/>
                <w:color w:val="auto"/>
              </w:rPr>
            </w:pPr>
            <w:r>
              <w:rPr>
                <w:rFonts w:ascii="Arial" w:cs="Arial" w:eastAsia="Arial" w:hAnsi="Arial"/>
                <w:sz w:val="18"/>
                <w:szCs w:val="18"/>
                <w:color w:val="auto"/>
              </w:rPr>
              <w:t>Store location net retail sales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282,699</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70,645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353,344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285,905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68,224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354,129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Store contribution as a percentage of</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5"/>
                <w:szCs w:val="15"/>
                <w:color w:val="auto"/>
              </w:rPr>
            </w:pPr>
          </w:p>
        </w:tc>
        <w:tc>
          <w:tcPr>
            <w:tcW w:w="13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CCEEFF"/>
          </w:tcPr>
          <w:p>
            <w:pPr>
              <w:spacing w:after="0"/>
              <w:rPr>
                <w:sz w:val="15"/>
                <w:szCs w:val="15"/>
                <w:color w:val="auto"/>
              </w:rPr>
            </w:pPr>
          </w:p>
        </w:tc>
        <w:tc>
          <w:tcPr>
            <w:tcW w:w="12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store location net retail sales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20" w:type="dxa"/>
            <w:vAlign w:val="bottom"/>
          </w:tcPr>
          <w:p>
            <w:pPr>
              <w:spacing w:after="0" w:line="182" w:lineRule="exact"/>
              <w:rPr>
                <w:sz w:val="20"/>
                <w:szCs w:val="20"/>
                <w:color w:val="auto"/>
              </w:rPr>
            </w:pPr>
            <w:r>
              <w:rPr>
                <w:rFonts w:ascii="Arial" w:cs="Arial" w:eastAsia="Arial" w:hAnsi="Arial"/>
                <w:sz w:val="18"/>
                <w:szCs w:val="18"/>
                <w:color w:val="auto"/>
                <w:w w:val="96"/>
              </w:rPr>
              <w:t>Total net loss as a percentage of 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5"/>
                <w:szCs w:val="15"/>
                <w:color w:val="auto"/>
              </w:rPr>
            </w:pPr>
          </w:p>
        </w:tc>
        <w:tc>
          <w:tcPr>
            <w:tcW w:w="12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5"/>
                <w:szCs w:val="15"/>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ind w:left="160"/>
              <w:spacing w:after="0" w:line="190" w:lineRule="exact"/>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w w:val="87"/>
              </w:rPr>
              <w:t>Fiscal 2011</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North</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America</w:t>
            </w:r>
          </w:p>
        </w:tc>
        <w:tc>
          <w:tcPr>
            <w:tcW w:w="12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Europe</w:t>
            </w:r>
          </w:p>
        </w:tc>
        <w:tc>
          <w:tcPr>
            <w:tcW w:w="2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(19,232)</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803</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Store depreciation, amortization and impairment (1)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2,514</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impairment (2)</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General and administrative expense (3)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5,043</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Franchising and commercial contribution (4)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(4,142)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Non-store activity contribution (5)</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(4,708)</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(1,109)</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(5,817)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Store contribution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44,681</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9,284</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53,965</w:t>
            </w: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 from external customers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319,810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74,565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5"/>
              </w:rPr>
              <w:t>Franchising and commercial revenues from external customers</w:t>
            </w:r>
          </w:p>
        </w:tc>
        <w:tc>
          <w:tcPr>
            <w:tcW w:w="18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(7,334)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non-store activities (5)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(16,765)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Store location net retail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295,711</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71,252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366,963</w:t>
            </w:r>
          </w:p>
        </w:tc>
        <w:tc>
          <w:tcPr>
            <w:tcW w:w="0" w:type="dxa"/>
            <w:vAlign w:val="bottom"/>
          </w:tcPr>
          <w:p>
            <w:pPr>
              <w:spacing w:after="0"/>
              <w:rPr>
                <w:sz w:val="1"/>
                <w:szCs w:val="1"/>
                <w:color w:val="auto"/>
              </w:rPr>
            </w:pPr>
          </w:p>
        </w:tc>
      </w:tr>
      <w:tr>
        <w:trPr>
          <w:trHeight w:val="20"/>
        </w:trPr>
        <w:tc>
          <w:tcPr>
            <w:tcW w:w="48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1"/>
              </w:rPr>
              <w:t>Store contribution as a percentage of store location net retail sales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rPr>
              <w:t>Total net income (loss) as a percentage of total revenues</w:t>
            </w:r>
          </w:p>
        </w:tc>
        <w:tc>
          <w:tcPr>
            <w:tcW w:w="180" w:type="dxa"/>
            <w:vAlign w:val="bottom"/>
          </w:tcPr>
          <w:p>
            <w:pPr>
              <w:spacing w:after="0"/>
              <w:rPr>
                <w:sz w:val="17"/>
                <w:szCs w:val="17"/>
                <w:color w:val="auto"/>
              </w:rPr>
            </w:pP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1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right="160" w:hanging="432"/>
        <w:spacing w:after="0" w:line="258"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Store depreciation, amortization and impairment includes depreciation and amortization of all capitalized assets in store locations, including leasehold improvements, furniture and fixtures, and computer hardware and software and store asset impairment charges.</w:t>
      </w:r>
    </w:p>
    <w:p>
      <w:pPr>
        <w:spacing w:after="0" w:line="1" w:lineRule="exact"/>
        <w:rPr>
          <w:rFonts w:ascii="Arial" w:cs="Arial" w:eastAsia="Arial" w:hAnsi="Arial"/>
          <w:sz w:val="18"/>
          <w:szCs w:val="18"/>
          <w:color w:val="auto"/>
        </w:rPr>
      </w:pPr>
    </w:p>
    <w:p>
      <w:pPr>
        <w:ind w:left="440" w:hanging="432"/>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impairment represents the write-off of the goodwill associated with the UK reporting unit.</w:t>
      </w:r>
    </w:p>
    <w:p>
      <w:pPr>
        <w:spacing w:after="0" w:line="9" w:lineRule="exact"/>
        <w:rPr>
          <w:rFonts w:ascii="Arial" w:cs="Arial" w:eastAsia="Arial" w:hAnsi="Arial"/>
          <w:sz w:val="18"/>
          <w:szCs w:val="18"/>
          <w:color w:val="auto"/>
        </w:rPr>
      </w:pPr>
    </w:p>
    <w:p>
      <w:pPr>
        <w:ind w:left="440" w:right="240" w:hanging="432"/>
        <w:spacing w:after="0" w:line="250"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and administrative expenses consist of non-store, central office general and administrative functions such as management payroll and related benefits, travel, information systems, accounting, purchasing and legal costs as well as the depreciation and amortization of central office leasehold improvements, furniture and fixtures, computer hardware and software, including intellectual property, store closing and pre-opening expenses, and intercompany charges. General and administrative expenses also include a central office marketing department, primarily payroll and related benefits expense, but exclude advertising expenses, such as television advertising, virtual world costs and direct mail catalogs, which are included in store contribution.</w:t>
      </w:r>
    </w:p>
    <w:p>
      <w:pPr>
        <w:spacing w:after="0" w:line="2" w:lineRule="exact"/>
        <w:rPr>
          <w:rFonts w:ascii="Arial" w:cs="Arial" w:eastAsia="Arial" w:hAnsi="Arial"/>
          <w:sz w:val="18"/>
          <w:szCs w:val="18"/>
          <w:color w:val="auto"/>
        </w:rPr>
      </w:pPr>
    </w:p>
    <w:p>
      <w:pPr>
        <w:ind w:left="440" w:right="280" w:hanging="432"/>
        <w:spacing w:after="0" w:line="265"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Franchising and commercial contribution includes franchising and commercial revenues and all expenses attributable to the international franchising and commercial segments, including asset impairments but excluding depreciation, amortization and interest expense/income. Depreciation and amortization related to franchising and licensing is included in the general and administrative expense caption. Interest expense/income related to franchising and commercial activities is included in the interest expense (income) caption.</w:t>
      </w:r>
    </w:p>
    <w:p>
      <w:pPr>
        <w:ind w:left="440" w:hanging="432"/>
        <w:spacing w:after="0"/>
        <w:tabs>
          <w:tab w:leader="none" w:pos="4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Non-store activities include our web stores and temporary and seasonal locations. Non-store activity contribution also includes intercompany revenues.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937"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certain unaudited quarterly results of operations data for each of the last two fiscal years.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gridSpan w:val="2"/>
            <w:vMerge w:val="restart"/>
          </w:tcPr>
          <w:p>
            <w:pPr>
              <w:spacing w:after="0"/>
              <w:rPr>
                <w:sz w:val="20"/>
                <w:szCs w:val="20"/>
                <w:color w:val="auto"/>
              </w:rPr>
            </w:pPr>
            <w:r>
              <w:rPr>
                <w:rFonts w:ascii="Arial" w:cs="Arial" w:eastAsia="Arial" w:hAnsi="Arial"/>
                <w:sz w:val="18"/>
                <w:szCs w:val="18"/>
                <w:color w:val="auto"/>
                <w:w w:val="96"/>
              </w:rPr>
              <w:t>(Dollars in millions, except per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8"/>
                <w:szCs w:val="18"/>
                <w:b w:val="1"/>
                <w:bCs w:val="1"/>
                <w:color w:val="auto"/>
              </w:rPr>
              <w:t>Fiscal 2013</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rPr>
              <w:t>Fiscal 2012</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ind w:left="160"/>
              <w:spacing w:after="0" w:line="191" w:lineRule="exact"/>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6"/>
                <w:szCs w:val="16"/>
                <w:color w:val="auto"/>
              </w:rPr>
            </w:pPr>
          </w:p>
        </w:tc>
        <w:tc>
          <w:tcPr>
            <w:tcW w:w="10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6"/>
                <w:szCs w:val="16"/>
                <w:color w:val="auto"/>
              </w:rPr>
            </w:pPr>
          </w:p>
        </w:tc>
        <w:tc>
          <w:tcPr>
            <w:tcW w:w="78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4"/>
              </w:rPr>
              <w:t>Fourth</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First</w:t>
            </w:r>
          </w:p>
        </w:tc>
        <w:tc>
          <w:tcPr>
            <w:tcW w:w="120" w:type="dxa"/>
            <w:vAlign w:val="bottom"/>
          </w:tcPr>
          <w:p>
            <w:pPr>
              <w:spacing w:after="0"/>
              <w:rPr>
                <w:sz w:val="16"/>
                <w:szCs w:val="16"/>
                <w:color w:val="auto"/>
              </w:rPr>
            </w:pPr>
          </w:p>
        </w:tc>
        <w:tc>
          <w:tcPr>
            <w:tcW w:w="1000" w:type="dxa"/>
            <w:vAlign w:val="bottom"/>
            <w:gridSpan w:val="2"/>
          </w:tcPr>
          <w:p>
            <w:pPr>
              <w:jc w:val="right"/>
              <w:ind w:right="380"/>
              <w:spacing w:after="0" w:line="191" w:lineRule="exact"/>
              <w:rPr>
                <w:sz w:val="20"/>
                <w:szCs w:val="20"/>
                <w:color w:val="auto"/>
              </w:rPr>
            </w:pPr>
            <w:r>
              <w:rPr>
                <w:rFonts w:ascii="Arial" w:cs="Arial" w:eastAsia="Arial" w:hAnsi="Arial"/>
                <w:sz w:val="18"/>
                <w:szCs w:val="18"/>
                <w:b w:val="1"/>
                <w:bCs w:val="1"/>
                <w:color w:val="auto"/>
                <w:w w:val="92"/>
              </w:rPr>
              <w:t>Second</w:t>
            </w:r>
          </w:p>
        </w:tc>
        <w:tc>
          <w:tcPr>
            <w:tcW w:w="120" w:type="dxa"/>
            <w:vAlign w:val="bottom"/>
          </w:tcPr>
          <w:p>
            <w:pPr>
              <w:spacing w:after="0"/>
              <w:rPr>
                <w:sz w:val="16"/>
                <w:szCs w:val="16"/>
                <w:color w:val="auto"/>
              </w:rPr>
            </w:pPr>
          </w:p>
        </w:tc>
        <w:tc>
          <w:tcPr>
            <w:tcW w:w="92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rPr>
              <w:t>Third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data)</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Quarter</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Quarter</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line="216" w:lineRule="exact"/>
              <w:rPr>
                <w:sz w:val="20"/>
                <w:szCs w:val="20"/>
                <w:color w:val="auto"/>
              </w:rPr>
            </w:pPr>
            <w:r>
              <w:rPr>
                <w:rFonts w:ascii="Arial" w:cs="Arial" w:eastAsia="Arial" w:hAnsi="Arial"/>
                <w:sz w:val="16"/>
                <w:szCs w:val="16"/>
                <w:color w:val="auto"/>
              </w:rPr>
              <w:t>Retail gross margin</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29.6</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Goodwill impairment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line="216" w:lineRule="exact"/>
              <w:rPr>
                <w:sz w:val="20"/>
                <w:szCs w:val="20"/>
                <w:color w:val="auto"/>
              </w:rPr>
            </w:pPr>
            <w:r>
              <w:rPr>
                <w:rFonts w:ascii="Arial" w:cs="Arial" w:eastAsia="Arial" w:hAnsi="Arial"/>
                <w:sz w:val="16"/>
                <w:szCs w:val="16"/>
                <w:color w:val="auto"/>
              </w:rPr>
              <w:t>Net (loss) income</w:t>
            </w:r>
            <w:r>
              <w:rPr>
                <w:rFonts w:ascii="Arial" w:cs="Arial" w:eastAsia="Arial" w:hAnsi="Arial"/>
                <w:sz w:val="25"/>
                <w:szCs w:val="25"/>
                <w:color w:val="auto"/>
                <w:vertAlign w:val="superscript"/>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per common</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(0.38)</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(0.08)</w:t>
            </w: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(0.46)</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(0.38)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(0.46)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Number of stores (end of</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323</w:t>
            </w:r>
          </w:p>
        </w:tc>
        <w:tc>
          <w:tcPr>
            <w:tcW w:w="120" w:type="dxa"/>
            <w:vAlign w:val="bottom"/>
          </w:tcPr>
          <w:p>
            <w:pPr>
              <w:spacing w:after="0"/>
              <w:rPr>
                <w:sz w:val="17"/>
                <w:szCs w:val="17"/>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320</w:t>
            </w:r>
          </w:p>
        </w:tc>
        <w:tc>
          <w:tcPr>
            <w:tcW w:w="120" w:type="dxa"/>
            <w:vAlign w:val="bottom"/>
          </w:tcPr>
          <w:p>
            <w:pPr>
              <w:spacing w:after="0"/>
              <w:rPr>
                <w:sz w:val="17"/>
                <w:szCs w:val="17"/>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7"/>
                <w:szCs w:val="17"/>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17"/>
                <w:szCs w:val="17"/>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351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351</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quarter)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retail merchandise sold.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fourth quarter of 2012 included a $4.7 million charge related to the recording of a valuation allowance on deferred tax assets.</w:t>
      </w:r>
    </w:p>
    <w:p>
      <w:pPr>
        <w:spacing w:after="0" w:line="225" w:lineRule="exact"/>
        <w:rPr>
          <w:sz w:val="20"/>
          <w:szCs w:val="20"/>
          <w:color w:val="auto"/>
        </w:rPr>
      </w:pPr>
    </w:p>
    <w:p>
      <w:pPr>
        <w:jc w:val="both"/>
        <w:ind w:right="260" w:firstLine="441"/>
        <w:spacing w:after="0" w:line="264" w:lineRule="auto"/>
        <w:rPr>
          <w:sz w:val="20"/>
          <w:szCs w:val="20"/>
          <w:color w:val="auto"/>
        </w:rPr>
      </w:pPr>
      <w:r>
        <w:rPr>
          <w:rFonts w:ascii="Arial" w:cs="Arial" w:eastAsia="Arial" w:hAnsi="Arial"/>
          <w:sz w:val="18"/>
          <w:szCs w:val="18"/>
          <w:color w:val="auto"/>
        </w:rPr>
        <w:t>As a toy retailer, our sales are highest in our fourth quarter, followed by the first quarter. The timing of holidays and school vacations can impact our quarterly results. Our European-based stores have historically been more heavily weighted in the fourth quarter as compared to our North American stores. We cannot ensure that this will continue to be the case.</w:t>
      </w:r>
    </w:p>
    <w:p>
      <w:pPr>
        <w:spacing w:after="0" w:line="181"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Our operating results for one period may not be indicative of results for other periods, and may fluctuate significantly because of a variety of factors, including those discussed under “Risk Factors — Risks Related to Owning Our Common Stock - Fluctuations in our quarterly results of operations could cause the price of our common stock to substantially decline.”</w:t>
      </w:r>
    </w:p>
    <w:p>
      <w:pPr>
        <w:spacing w:after="0" w:line="18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The timing of permanent store closures and temporary closures for remodels and relocations may result in fluctuations in quarterly results due to the revenues and expenses associated with each store location. We incur costs to close stores, typically in the three to six months prior to the closure. We typically incur most preopening costs for a store in the three months immediately preceding the store’s opening or reopening.</w:t>
      </w:r>
    </w:p>
    <w:p>
      <w:pPr>
        <w:spacing w:after="0" w:line="166"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For accounting purposes, the quarters of each fiscal year consist of 13 weeks, although we will have a 14-week quarter approximately once every six years. The fiscal 2014 fourth quarter will be a 14-week quarter. Quarterly fluctuations and seasonality may cause our operating results to fall below the expectations of securities analysts and investors, which could cause our stock price to fall.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Our cash requirements are primarily for the opening of new stores, installation and upgrades of information systems and working capital. Over the past several years, we have met these requirements through capital generated from cash flow provided by operations. We have access to additional cash through a revolving line of credit that has been in place since 2000.</w:t>
      </w:r>
    </w:p>
    <w:p>
      <w:pPr>
        <w:spacing w:after="0" w:line="18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were $19.1 million in fiscal 2013, $16.5 million in fiscal 2012 and $17.2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2011. Cash flows from operating activities increased in fiscal 2013 as compared to 2012 primarily due to increased store contribution partially offset by the timing of inventory receipts and payments and the increase in receivables. Cash flows from operating activities decreased in fiscal 2012 as compared to 2011, primarily due to decreased store contribution.</w:t>
      </w:r>
    </w:p>
    <w:p>
      <w:pPr>
        <w:spacing w:after="0" w:line="18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flows used in investing activities were $19.4 million in fiscal 2013, $15.1 million in fiscal 2012 and $13.3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2011. Cash used in investing activities in 2013 related primarily to the continued installation and upgrades of central office information technology systems, the remodeling or relocation of 20 stores and the opening of nine new locations. Cash used in investing activities in 2012 related primarily to the continued installation and upgrades of central office information technology systems, the opening of five new stores, the remodeling or relocation of 14 stores, offset by the maturity of short-term investments. Cash used in investing activities in 2011 related primarily to the continued installation and upgrades of central office information technology systems, the opening of eight new stores, the relocation of four stores and the purchase of short-term investments, offset by the maturity of those investments.</w:t>
      </w:r>
    </w:p>
    <w:p>
      <w:pPr>
        <w:spacing w:after="0" w:line="189" w:lineRule="exact"/>
        <w:rPr>
          <w:sz w:val="20"/>
          <w:szCs w:val="20"/>
          <w:color w:val="auto"/>
        </w:rPr>
      </w:pPr>
    </w:p>
    <w:p>
      <w:pPr>
        <w:ind w:right="180" w:firstLine="441"/>
        <w:spacing w:after="0" w:line="30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Financing activities provided cash of $0.1 million in 2013 and used cash of $2.9 million and $15.8 million 2012 and 2011,</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Purchases of our stock in fiscal 2013, 2012 and 2011 used cash of $0.2 million, $1.3 million and $15.0 million, respectively. In fiscal 2013 and 2011, exercises of employee stock options, net of shares used for withholding tax payments provided cash of $0.3 million and used cash of $0.8 million, respectively. No employee stock options were exercised in fiscal 2012; shares used for withholding tax payments used $1.6 million in fiscal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ind w:firstLine="441"/>
        <w:spacing w:after="0" w:line="268" w:lineRule="auto"/>
        <w:rPr>
          <w:sz w:val="20"/>
          <w:szCs w:val="20"/>
          <w:color w:val="auto"/>
        </w:rPr>
      </w:pPr>
      <w:r>
        <w:rPr>
          <w:rFonts w:ascii="Arial" w:cs="Arial" w:eastAsia="Arial" w:hAnsi="Arial"/>
          <w:sz w:val="17"/>
          <w:szCs w:val="17"/>
          <w:i w:val="1"/>
          <w:iCs w:val="1"/>
          <w:color w:val="auto"/>
        </w:rPr>
        <w:t>Capital Resources</w:t>
      </w:r>
      <w:r>
        <w:rPr>
          <w:rFonts w:ascii="Arial" w:cs="Arial" w:eastAsia="Arial" w:hAnsi="Arial"/>
          <w:sz w:val="17"/>
          <w:szCs w:val="17"/>
          <w:color w:val="auto"/>
        </w:rPr>
        <w:t>. As of December 28, 2013, we had a cash balance of $44.7 million, less than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credit agreement is with U.S. Bank National Association. On December 21, 2012, we amended the existing bank line of credit that now provides borrowing capacity of $35 million. Borrowings under the credit agreement are secured by our assets and a pledge of 65% of our ownership interest in our foreign subsidiaries. The credit agreement contains various restrictions on indebtedness, liens, guarantees, redemptions, mergers, acquisitions or sale of assets, loans, transactions with affiliates, and investments. It prohibits us from declaring dividends without the bank’s prior consent, unless such payment of dividends would not violate any terms of the credit agreement. We are also prohibited from repurchasing shares of our common stock unless such purchase would not violate any terms of the credit agreement; we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On January 22, 2014, we amended the existing credit agreement, extending the term to December 31, 2015 and increasing the fixed charge coverage ratio. As of December 28, 2013: (i) we were in compliance with these covenants; (ii) there were no borrowings under our line of credit; and (iii) there was a standby letter of credit of approximately $1.1 million outstanding under the credit agreement. Giving effect to this standby letter of credit, there was approximately $33.9 million available for borrowing under the line of credit.</w:t>
      </w:r>
    </w:p>
    <w:p>
      <w:pPr>
        <w:spacing w:after="0" w:line="185"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of the leases contain a provision whereby either we or the landlord may terminate the lease after a certain time, typically in the third or fourth year and sixth or seventh year of the lease, if a certain minimum sales volume is not achieved. Many leases contain incentives to help defray the cost of construction of a new store. Typically, a portion of the incentive must be repaid to the landlord if we choose to terminate the lease.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 Rents are charged monthly and paid in advance.</w:t>
      </w:r>
    </w:p>
    <w:p>
      <w:pPr>
        <w:spacing w:after="0" w:line="167"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Our leases in the United Kingdom and Ireland typically have terms of ten to fifteen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charged quarterly and paid in advance.</w:t>
      </w:r>
    </w:p>
    <w:p>
      <w:pPr>
        <w:spacing w:after="0" w:line="154"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In fiscal 2014, we expect to spend approximately $15 to $18 million on capital expenditures. Capital spending in fiscal 2013 totaled $19 million, primarily to support the refresh and repositioning of stores and investment in infrastructure.</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On February 20, 2007, we announced that our board of directors had authorized a $25 million share repurchase program of our outstanding common stock. On March 10, 2008, we announced an expansion of our share repurchase program to $50 million. Following a series of annual extensions, we announced on February 24, 2014, that our share repurchase program had been extended to March 31, 2015. We currently intend to purchase up to an aggregate of $50 million of our common stock in the open market (including through 10b5-1 plans), through privately negotiated transactions or through an accelerated repurchase transaction. As of March 7, 2014, approximately 6.0 million shares at an average price of $7.25 per share have been repurchased under this program for an aggregate amount of $43.6 million, leaving $6.4 million of availability under the program. The primary source of funding for the program has been, and is expected to be, cash on hand. The timing and amount of additional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have been, and will continue to be, subsequently retired.</w:t>
      </w:r>
    </w:p>
    <w:p>
      <w:pPr>
        <w:spacing w:after="0" w:line="16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 Our credit agreement expires on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Our contractual obligations and commercial commitments include future minimum obligations under operating leases and purchase obligations. Our purchase obligations primarily consist of purchase orders for merchandise inventory. The future minimum payments for these obligations as of December 28, 2013 for periods subsequent to this date are as follows:</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40" w:type="dxa"/>
            <w:vAlign w:val="bottom"/>
            <w:gridSpan w:val="9"/>
          </w:tcPr>
          <w:p>
            <w:pPr>
              <w:jc w:val="right"/>
              <w:ind w:right="350"/>
              <w:spacing w:after="0"/>
              <w:rPr>
                <w:sz w:val="20"/>
                <w:szCs w:val="20"/>
                <w:color w:val="auto"/>
              </w:rPr>
            </w:pPr>
            <w:r>
              <w:rPr>
                <w:rFonts w:ascii="Arial" w:cs="Arial" w:eastAsia="Arial" w:hAnsi="Arial"/>
                <w:sz w:val="18"/>
                <w:szCs w:val="18"/>
                <w:b w:val="1"/>
                <w:bCs w:val="1"/>
                <w:color w:val="auto"/>
                <w:w w:val="91"/>
              </w:rPr>
              <w:t>Payments Due by Fiscal Period as of December 28, 2013</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2015</w:t>
            </w:r>
          </w:p>
        </w:tc>
        <w:tc>
          <w:tcPr>
            <w:tcW w:w="26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2017</w:t>
            </w:r>
          </w:p>
        </w:tc>
        <w:tc>
          <w:tcPr>
            <w:tcW w:w="26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Beyond</w:t>
            </w:r>
          </w:p>
        </w:tc>
      </w:tr>
      <w:tr>
        <w:trPr>
          <w:trHeight w:val="210"/>
        </w:trPr>
        <w:tc>
          <w:tcPr>
            <w:tcW w:w="3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200,769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53,330</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Purchase obligations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31,032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31,032</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70"/>
        </w:trPr>
        <w:tc>
          <w:tcPr>
            <w:tcW w:w="32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231,801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21,573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15,889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53,330</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8"/>
          <w:szCs w:val="18"/>
          <w:color w:val="auto"/>
        </w:rPr>
        <w:t>Our total liability for uncertain tax positions under the Financial Accounting Standards Board Accounting Standards Codification (ASC) section 740-10-25 was $0.2 million as of December 28, 2013. During the next fiscal year, unrecognized tax benefits are expected to remain unchanged. At this time, we do not expect a significant payment related to these obligations within the next year. See Note 8 - Income Taxes to the Consolidated Financial Statements for additional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assure you, however, that our business will not be affected by inflation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accounting policies are more fully described in Note 2 to our Consolidated Financial Statements, which appear elsewhere in this Annual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10-K. We have identified the following critical accounting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Inventory is stated at the lower of cost or market, with cost determined on an average cost basis. Historically, we have not conducted sales whereby we offer products below cost and, accordingly, have no significant lower of cost or market reserve recorded.</w:t>
      </w:r>
    </w:p>
    <w:p>
      <w:pPr>
        <w:spacing w:after="0" w:line="170"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Throughout the year we record an estimated cost of shortage based on past experience. The amount accrued for shortage each period is based on detailed historical averages. The accrual rate remained unchanged for fiscal 2013, 2012 and 2011. Periodic physical inventories are taken and any difference between the actual physical count of merchandise and the recorded amount in our records are adjusted and recorded as shortage. Historically, including fiscal years 2013, 2012 and 2011, the timing of the physical inventory has been in the fourth quarter so that no material amount of shortage was required to be estimated on activity between the date of the physical count and year-end. However, future physical counts of merchandise may not be at times at or near the end of a fiscal quarter or fiscal year-end, and our estimate of shortage for the intervening period may be material based on the amount of time between the date of the physical inventory and the date of the fiscal quarter or year-end.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In accordance with ASC section 360-10-35 we assess the potential impairment of long-lived assets annually or when events or changes in circumstances indicate that the carrying value may not be recoverable.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purposes of evaluating store assets for impairment, we have determined that each store location is an asset group. As of December 28, 2013, store assets represented approximately $47.1 million, or approximately 67% of total property, plant and equipment, net.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annually, using the full year’s results. We consider a historical and/or projected negative cash flow trend for a store location to be an indicator that the carrying value of that asset group may not be recoverable.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004" w:gutter="0" w:footer="0" w:header="0"/>
        </w:sectPr>
      </w:pPr>
    </w:p>
    <w:bookmarkStart w:id="34" w:name="page35"/>
    <w:bookmarkEnd w:id="34"/>
    <w:p>
      <w:pPr>
        <w:ind w:firstLine="441"/>
        <w:spacing w:after="0" w:line="271" w:lineRule="auto"/>
        <w:rPr>
          <w:sz w:val="20"/>
          <w:szCs w:val="20"/>
          <w:color w:val="auto"/>
        </w:rPr>
      </w:pPr>
      <w:r>
        <w:rPr>
          <w:rFonts w:ascii="Arial" w:cs="Arial" w:eastAsia="Arial" w:hAnsi="Arial"/>
          <w:sz w:val="17"/>
          <w:szCs w:val="17"/>
          <w:color w:val="auto"/>
        </w:rPr>
        <w:t>As a result of our 2013 review, we determined that one store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$0.1 million in the fourth quarter of fiscal 2013, which is included in cost of merchandise sold. The calculation of fair value could increase or decrease depending on changes in the inputs and assumptions used, such as changes in the financial performance of the asset group, future growth rate and discount rate. In order to evaluate the sensitivity of the fair value assumptions on store asset impairment, we applied a hypothetical decrease of 1% in the comparable stores sales trend and in margin, which we believe is appropriate. Based on the analysis performed as of December 28, 2013, the changes in our assumptions would not have resulted in additional impairment charges.</w:t>
      </w:r>
    </w:p>
    <w:p>
      <w:pPr>
        <w:spacing w:after="0" w:line="17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As a result of our reviews in 2012 and 2011, we determined that certain stores would not be able to recover the carrying value of certain store leasehold improvements through expected undiscounted cash flows over the remaining life of the related assets. Accordingly, we reduced the carrying value of the assets to fair value, calculated as the present value of estimated future cash flows for each asset group and recorded asset impairment charges of $1.4 million and $0.4 million in the fourth quarters of fiscal 2012 and 2011, respectively, which are included in cost of merchandise sold.</w:t>
      </w:r>
    </w:p>
    <w:p>
      <w:pPr>
        <w:spacing w:after="0" w:line="171"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Additionally, we consider a more likely than not assessment that an individual location will close prior to the end of its lease term as a triggering event to review the store asset group for recoverability. These assessments are reviewed on a quarterly basis.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estimated future cash flows for each asset group, and asset impairment charges of $1.0 million were recorded in fiscal 2013, which are included in selling, general and administrative expenses as a component of net loss before income taxes in the Retail segment. As of December 28, 2013, the remaining net book value of the leasehold assets related to these stores was $-0-. In fiscal 2012, we recorded $0.9 million in similar charges.</w:t>
      </w:r>
    </w:p>
    <w:p>
      <w:pPr>
        <w:spacing w:after="0" w:line="178"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and general economic trends, and thus could be significantly different than historical results. As we continue to face a challenging retail environment and general uncertainty in the global economy, the assumptions used in future calculations of fair value may change significantly which could result in further impairment charges in future periods.</w:t>
      </w:r>
    </w:p>
    <w:p>
      <w:pPr>
        <w:spacing w:after="0" w:line="18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Corporate assets, including computer hardware and software and the Company-owned distribution center (approximately $23.1 million as of December 28, 2013), and certain other assets, such as trademarks and intellectual property, net (approximately $0.6 million as of December 28, 2013), have a broad applicability and are generally considered to be recoverable, unless abandoned. Other long-lived assets, including deferred franchise and lease costs (approximately $0.6 million as of December 28, 2013), are monitored in relation to the relevant franchisee or store location.</w:t>
      </w:r>
    </w:p>
    <w:p>
      <w:pPr>
        <w:spacing w:after="0" w:line="171"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At December 28, 2013, we evaluated our trade credits asset and determined that certain assumptions regarding future utilization were no longer attainable. Accordingly, an impairment review was performed. Based on current utilization expectations, we determined that the full value of the asset was not recoverable. Accordingly, the carrying value of the trade credits was reduced to fair value, calculated as the expected present value of estimated future utilization. An impairment charge of $0.3 million was recorded in the fiscal 2013 fourth quarter and is included in selling, general and administrative expenses as a component of net income before income taxes in the Commercial segment. As of December 28, 2013, $0.7 million was included in prepaid expenses and other current assets and $0.4 million was included in other assets, net, related to these credits. In fiscal 2012, we recorded a similar charge of $2.2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Revenues from retail sales, net of discounts and excluding sales tax, are recognized at the time of sale. Guest returns have not been significant. Revenues from gift cards are recognized at the time of redemption. Unredeemed gift cards are included in current liabilities on the consolidated balance sheets.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5" w:name="page36"/>
    <w:bookmarkEnd w:id="35"/>
    <w:p>
      <w:pPr>
        <w:ind w:right="20" w:firstLine="441"/>
        <w:spacing w:after="0" w:line="257" w:lineRule="auto"/>
        <w:rPr>
          <w:sz w:val="20"/>
          <w:szCs w:val="20"/>
          <w:color w:val="auto"/>
        </w:rPr>
      </w:pPr>
      <w:r>
        <w:rPr>
          <w:rFonts w:ascii="Arial" w:cs="Arial" w:eastAsia="Arial" w:hAnsi="Arial"/>
          <w:sz w:val="18"/>
          <w:szCs w:val="18"/>
          <w:color w:val="auto"/>
        </w:rPr>
        <w:t>We have a customer loyalty program, the Stuff Fur Stuff club, whereby guests enroll in the program and receive one point for every dollar spent. Points accumulate and expire after 12 months of inactivity. In North America, guests receive a coupon for free merchandise after reaching 50 points and a $10 reward certificate after reaching 100 points. Additional awards are earned for each additional 50 points earned up to 250 points in the 12 month period. In the UK, guests receive a £5 certificate for every 50 points they earn. An estimate of the obligation related to the program, based on historical redemption patterns, is recorded as deferred revenue and a reduction of net retail sales</w:t>
      </w:r>
    </w:p>
    <w:p>
      <w:pPr>
        <w:spacing w:after="0" w:line="188" w:lineRule="exact"/>
        <w:rPr>
          <w:sz w:val="20"/>
          <w:szCs w:val="20"/>
          <w:color w:val="auto"/>
        </w:rPr>
      </w:pPr>
    </w:p>
    <w:p>
      <w:pPr>
        <w:jc w:val="both"/>
        <w:ind w:right="100" w:firstLine="441"/>
        <w:spacing w:after="0" w:line="279" w:lineRule="auto"/>
        <w:rPr>
          <w:sz w:val="20"/>
          <w:szCs w:val="20"/>
          <w:color w:val="auto"/>
        </w:rPr>
      </w:pPr>
      <w:r>
        <w:rPr>
          <w:rFonts w:ascii="Arial" w:cs="Arial" w:eastAsia="Arial" w:hAnsi="Arial"/>
          <w:sz w:val="17"/>
          <w:szCs w:val="17"/>
          <w:color w:val="auto"/>
        </w:rPr>
        <w:t>We assess the adequacy of the deferred revenue liability based upon our review of point conversion and award redemption patterns at the end of each fiscal quarter. Due to the estimates involved in these assessments, adjustments to the historical rates are generally made no more often than annually in order to allow time for more definite trends to emerge. Based on this assessment at the end of fiscal 2013, the deferred revenue liability was adjusted downward by $0.1 million, with a corresponding increase to net retail sales, and a $0.1 million decrease in net loss.</w:t>
      </w:r>
    </w:p>
    <w:p>
      <w:pPr>
        <w:spacing w:after="0" w:line="171" w:lineRule="exact"/>
        <w:rPr>
          <w:sz w:val="20"/>
          <w:szCs w:val="20"/>
          <w:color w:val="auto"/>
        </w:rPr>
      </w:pPr>
    </w:p>
    <w:p>
      <w:pPr>
        <w:ind w:right="300" w:firstLine="441"/>
        <w:spacing w:after="0" w:line="308" w:lineRule="auto"/>
        <w:rPr>
          <w:sz w:val="20"/>
          <w:szCs w:val="20"/>
          <w:color w:val="auto"/>
        </w:rPr>
      </w:pPr>
      <w:r>
        <w:rPr>
          <w:rFonts w:ascii="Arial" w:cs="Arial" w:eastAsia="Arial" w:hAnsi="Arial"/>
          <w:sz w:val="17"/>
          <w:szCs w:val="17"/>
          <w:color w:val="auto"/>
        </w:rPr>
        <w:t>Based on this assessment at the end of fiscal 2012 and 2011, the deferred revenue liability was adjusted downward by $0.5 million and $1.5 million, respectively, with a corresponding increase to net retail sales, and a $0.5 million and $1.5 million decrease in net loss, respectively.</w:t>
      </w:r>
    </w:p>
    <w:p>
      <w:pPr>
        <w:spacing w:after="0" w:line="14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calculation of fair value could increase or decrease depending on changes in the inputs and assumptions used, specifically, expected conversion and redemption rates. In order to evaluate the sensitivity of the estimates used in the recognition of deferred revenue, we applied a hypothetical increase of 100 bps in the conversion and redemption rates which we believe is appropriate. Based on the analysis performed as of December 28, 2013, the change in our assumptions would have resulted in a $0.3 million reduction of net retail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income tax expense is based on our income, statutory tax rates, and tax planning opportunities available in the various jurisdictions in which we operate. Tax laws are complex and subject to different interpretations by the taxpayer and respective governmental taxing authorities. Significant judgment is required in determining our income tax expense and in evaluating our tax positions, including evaluating uncertainties. Management assesses the valuation allowance recorded against deferred tax assets at the end of each reporting period. Deferred tax assets and liabilities are recognized for the expected tax consequences of temporary differences between the tax bases of assets and liabilities and their reported amounts. We performed an analysis of all available evidence, consistent with the provisions under the Income Taxes topic of the ASC. As of December 28, 2013, we continue to maintain a valuation allowance on most of our deferred tax assets. The remaining net deferred tax assets as of December 28, 2013, represent the estimated future tax benefits to be received from taxing authorities or future reductions of taxes payable.</w:t>
      </w:r>
    </w:p>
    <w:p>
      <w:pPr>
        <w:spacing w:after="0" w:line="1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Under the Income Taxes topic of the ASC, in order to recognize an uncertain tax benefit, the taxpayer must be more likely than not of sustaining the position, and the measurement of the benefit is calculated as the largest amount that is more than 50 percent likely to be realized upon resolution of the benefit. Tax authorities regularly examine the Company’s returns in the jurisdictions in which the Company does business. Management regularly assesses the tax risk of the Company’s return filing positions and believes its accruals for uncertain tax benefits are adequate as of December 28, 2013 and December 29,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In July 2013, the FASB issued accounting guidance requiring entities to present unrecognized tax benefits as a reduction to any related deferred tax assets for net operating losses, similar tax losses, or tax credit carryforwards if such settlement is required or expected in the event an uncertain tax position is disallowed. Currently effective U.S. GAAP does not provide explicit guidance on the topic. This new presentation guidance will become effective prospectively for fiscal years, and interim periods within those years, beginning after December 15, 2013. Accordingly, we will adopt this standard in the first quarter of fiscal 2014. While we are evaluating the impact this standard will have on the presentation of unrecognized tax benefits in our consolidated balance sheet, it will not affect our results of operations, financial condition or cash flows.</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right="160" w:firstLine="441"/>
        <w:spacing w:after="0" w:line="293" w:lineRule="auto"/>
        <w:rPr>
          <w:sz w:val="20"/>
          <w:szCs w:val="20"/>
          <w:color w:val="auto"/>
        </w:rPr>
      </w:pPr>
      <w:r>
        <w:rPr>
          <w:rFonts w:ascii="Arial" w:cs="Arial" w:eastAsia="Arial" w:hAnsi="Arial"/>
          <w:sz w:val="16"/>
          <w:szCs w:val="16"/>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during fiscal 2013. Accordingly, a 100 basis point change in interest rates would result in no material change to our annual interest expense. The second component of interest rate risk involves the short term investment of excess cash in short term, investment grade interest-bearing securities. If there are changes in interest rates, those changes would affect the investment income we earn on these investments and, therefore, impact our cash flows and results of operations.</w:t>
      </w:r>
    </w:p>
    <w:p>
      <w:pPr>
        <w:spacing w:after="0" w:line="165"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ind w:right="320" w:firstLine="441"/>
        <w:spacing w:after="0" w:line="264" w:lineRule="auto"/>
        <w:rPr>
          <w:sz w:val="20"/>
          <w:szCs w:val="20"/>
          <w:color w:val="auto"/>
        </w:rPr>
      </w:pPr>
      <w:r>
        <w:rPr>
          <w:rFonts w:ascii="Arial" w:cs="Arial" w:eastAsia="Arial" w:hAnsi="Arial"/>
          <w:sz w:val="18"/>
          <w:szCs w:val="18"/>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engage in financial transactions for trading or speculative purposes.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are listed under Item 15(a) and filed as part of this Annual Report on Form 10-K.</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our Chief Operations and Financial Bear,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the Chief Operations and Financial Bear, concluded that our disclosure controls and procedures were effective as of December 28, 2013, the end of the period covered by this Annual Report.</w:t>
      </w:r>
    </w:p>
    <w:p>
      <w:pPr>
        <w:spacing w:after="0" w:line="179"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Operations and Financial Bear, do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Securities Exchange Act of 1934. Under the supervision and with the participation of our management, including the Chief Executive Officer and Chief President Bear and the Chief Operations and Financial Bear, we conducted an evaluation of the effectiveness of our internal control over financial reporting as of December 28, 2013. Our management, with the participation of our Chief Executive Officer and Chief President Bear and our Chief Operations and Financial Bear,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60" w:firstLine="441"/>
        <w:spacing w:after="0" w:line="264" w:lineRule="auto"/>
        <w:rPr>
          <w:sz w:val="20"/>
          <w:szCs w:val="20"/>
          <w:color w:val="auto"/>
        </w:rPr>
      </w:pPr>
      <w:r>
        <w:rPr>
          <w:rFonts w:ascii="Arial" w:cs="Arial" w:eastAsia="Arial" w:hAnsi="Arial"/>
          <w:sz w:val="18"/>
          <w:szCs w:val="18"/>
          <w:color w:val="auto"/>
        </w:rPr>
        <w:t>In making its evaluation, our management used the criteria set forth by the Committee of Sponsoring Organizations of the Treadway Commission (“COSO”) in Internal Control-Integrated Framework (1992 framework). Based upon this evaluation, our management has concluded that our internal control over financial reporting as of December 28, 2013 is effective.</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audited the effectiveness of our internal control over financial reporting, as stated in its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There were no changes in internal control over financial reporting (as defined in Exchange Act Rules 13a-15(f) and 15d-15(f)) that occurred during the fiscal 2013 fourth quarter that have materially affected, or are reasonably likely to materially affect, our internal control over financial reporting.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audited Build-A-Bear Workshop, Inc. and subsidiaries (collectively, the Company’s) internal control over financial reporting as of December 28, 2013,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(1992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opinion, Build-A-Bear Workshop, Inc. and subsidiaries, maintained, in all material respects, effective internal control over financial reporting as of December 28, 2013,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Build-A-Bear Workshop, Inc. and subsidiaries as of December 28, 2013 and December 29, 2012, and the related consolidated statements of operations, comprehensive loss, stockholders’ equity, and cash flows for the each of the three years in the period ended December 28, 2013, and our report dated March 13, 2014, expressed an unqualified opinion thereon.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13, 2014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Information concerning directors, appearing under the caption “Directors”, “The Board of Directors and its Committees”, “Committee Charters, Corporate Governance Guidelines, Business Conduct Policy and Code of Ethics” and “Section 16(a) Beneficial Ownership Reporting Compliance” in our Proxy Statement (the “Proxy Statement”) to be filed with the SEC in connection with our Annual Meeting of Shareholders scheduled to be held on May 8, 2014 is incorporated by reference in response to this Item 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Conduct Policy</w:t>
      </w:r>
    </w:p>
    <w:p>
      <w:pPr>
        <w:spacing w:after="0" w:line="22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spacing w:after="0" w:line="187"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information appearing under the caption “Committee Charters, Corporate Governance Guidelines, Business Conduct Policy and Code of Ethics” in the Proxy Statement is incorporated by reference in response to this Item 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229" w:lineRule="exact"/>
        <w:rPr>
          <w:sz w:val="20"/>
          <w:szCs w:val="20"/>
          <w:color w:val="auto"/>
        </w:rPr>
      </w:pPr>
    </w:p>
    <w:p>
      <w:pPr>
        <w:ind w:right="200" w:firstLine="567"/>
        <w:spacing w:after="0" w:line="271" w:lineRule="auto"/>
        <w:rPr>
          <w:sz w:val="20"/>
          <w:szCs w:val="20"/>
          <w:color w:val="auto"/>
        </w:rPr>
      </w:pPr>
      <w:r>
        <w:rPr>
          <w:rFonts w:ascii="Arial" w:cs="Arial" w:eastAsia="Arial" w:hAnsi="Arial"/>
          <w:sz w:val="17"/>
          <w:szCs w:val="17"/>
          <w:i w:val="1"/>
          <w:iCs w:val="1"/>
          <w:color w:val="auto"/>
        </w:rPr>
        <w:t xml:space="preserve">Sharon Price John, 50, </w:t>
      </w:r>
      <w:r>
        <w:rPr>
          <w:rFonts w:ascii="Arial" w:cs="Arial" w:eastAsia="Arial" w:hAnsi="Arial"/>
          <w:sz w:val="17"/>
          <w:szCs w:val="17"/>
          <w:color w:val="auto"/>
        </w:rPr>
        <w:t>was appointed to the Board of Directors on June 3, 2013 in connection with her employment as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President Bear of the Company after being recommended to our Board by a third-party search firm. From January 2010 through May 2013, Ms. John served as President of Stride Rite Children's Group LLC, a division of Wolverine World 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Hersey and the Snickers/M&amp;M Mars business.</w:t>
      </w:r>
    </w:p>
    <w:p>
      <w:pPr>
        <w:spacing w:after="0" w:line="179" w:lineRule="exact"/>
        <w:rPr>
          <w:sz w:val="20"/>
          <w:szCs w:val="20"/>
          <w:color w:val="auto"/>
        </w:rPr>
      </w:pPr>
    </w:p>
    <w:p>
      <w:pPr>
        <w:ind w:right="140" w:firstLine="567"/>
        <w:spacing w:after="0" w:line="276" w:lineRule="auto"/>
        <w:rPr>
          <w:sz w:val="20"/>
          <w:szCs w:val="20"/>
          <w:color w:val="auto"/>
        </w:rPr>
      </w:pPr>
      <w:r>
        <w:rPr>
          <w:rFonts w:ascii="Arial" w:cs="Arial" w:eastAsia="Arial" w:hAnsi="Arial"/>
          <w:sz w:val="17"/>
          <w:szCs w:val="17"/>
          <w:i w:val="1"/>
          <w:iCs w:val="1"/>
          <w:color w:val="auto"/>
        </w:rPr>
        <w:t xml:space="preserve">Gina Collins, 41, </w:t>
      </w:r>
      <w:r>
        <w:rPr>
          <w:rFonts w:ascii="Arial" w:cs="Arial" w:eastAsia="Arial" w:hAnsi="Arial"/>
          <w:sz w:val="17"/>
          <w:szCs w:val="17"/>
          <w:color w:val="auto"/>
        </w:rPr>
        <w:t>joined Build-A-Bear Workshop in January 2014 as Chief Marketing Officer and Brand Bear. Prior to joining the Company, Ms.</w:t>
      </w:r>
      <w:r>
        <w:rPr>
          <w:rFonts w:ascii="Arial" w:cs="Arial" w:eastAsia="Arial" w:hAnsi="Arial"/>
          <w:sz w:val="17"/>
          <w:szCs w:val="17"/>
          <w:i w:val="1"/>
          <w:iCs w:val="1"/>
          <w:color w:val="auto"/>
        </w:rPr>
        <w:t xml:space="preserve"> </w:t>
      </w:r>
      <w:r>
        <w:rPr>
          <w:rFonts w:ascii="Arial" w:cs="Arial" w:eastAsia="Arial" w:hAnsi="Arial"/>
          <w:sz w:val="17"/>
          <w:szCs w:val="17"/>
          <w:color w:val="auto"/>
        </w:rPr>
        <w:t>Collins was at The Coca-Cola Company from December 2001 to January 2014 in various senior leadership roles of increasing responsibility, including Area Vice President, North America, Entertainment Marketing from April 2012 to January 2014, Group Director, North America, Strategic Marketing from April 2010 to March 2012, and Global Director, Media and Interactive Marketing Procurement from January 2008 to March 2010. Before joining The Coca-Cola Company, Ms. Collins was a Principal/Senior Analyst at American Management Systems (CapGemini).</w:t>
      </w:r>
    </w:p>
    <w:p>
      <w:pPr>
        <w:spacing w:after="0" w:line="173" w:lineRule="exact"/>
        <w:rPr>
          <w:sz w:val="20"/>
          <w:szCs w:val="20"/>
          <w:color w:val="auto"/>
        </w:rPr>
      </w:pPr>
    </w:p>
    <w:p>
      <w:pPr>
        <w:ind w:right="100" w:firstLine="535"/>
        <w:spacing w:after="0" w:line="255" w:lineRule="auto"/>
        <w:rPr>
          <w:sz w:val="20"/>
          <w:szCs w:val="20"/>
          <w:color w:val="auto"/>
        </w:rPr>
      </w:pPr>
      <w:r>
        <w:rPr>
          <w:rFonts w:ascii="Arial" w:cs="Arial" w:eastAsia="Arial" w:hAnsi="Arial"/>
          <w:sz w:val="18"/>
          <w:szCs w:val="18"/>
          <w:i w:val="1"/>
          <w:iCs w:val="1"/>
          <w:color w:val="auto"/>
        </w:rPr>
        <w:t xml:space="preserve">Eric Fencl, 51, </w:t>
      </w:r>
      <w:r>
        <w:rPr>
          <w:rFonts w:ascii="Arial" w:cs="Arial" w:eastAsia="Arial" w:hAnsi="Arial"/>
          <w:sz w:val="18"/>
          <w:szCs w:val="18"/>
          <w:color w:val="auto"/>
        </w:rPr>
        <w:t>joined Build-A-Bear Workshop in July 2008 as Chief Bearrister—General Counsel. In 2009 he assumed responsibility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franchising and human resources and in November 2013 was appointed Corporate Secretary. He now holds the title of Chief Bearrister, General Counsel, International Franchising and Secretary. Prior to joining the Company, Mr. Fencl was Executive Vice President, General Counsel and Secretary for Outsourcing Solutions Inc., a national accounts receivable management firm from August 1998 to June 2008. From September 1990 to August 1998, he held legal positions for Monsanto Company, McDonnell Douglas Corporation and Bryan Cave LLP. Mr. Fencl began his career in 1984 as an auditor with Arthur Young &amp; Company.</w:t>
      </w:r>
    </w:p>
    <w:p>
      <w:pPr>
        <w:spacing w:after="0" w:line="193" w:lineRule="exact"/>
        <w:rPr>
          <w:sz w:val="20"/>
          <w:szCs w:val="20"/>
          <w:color w:val="auto"/>
        </w:rPr>
      </w:pPr>
    </w:p>
    <w:p>
      <w:pPr>
        <w:jc w:val="both"/>
        <w:ind w:firstLine="535"/>
        <w:spacing w:after="0" w:line="259" w:lineRule="auto"/>
        <w:rPr>
          <w:sz w:val="20"/>
          <w:szCs w:val="20"/>
          <w:color w:val="auto"/>
        </w:rPr>
      </w:pPr>
      <w:r>
        <w:rPr>
          <w:rFonts w:ascii="Arial" w:cs="Arial" w:eastAsia="Arial" w:hAnsi="Arial"/>
          <w:sz w:val="18"/>
          <w:szCs w:val="18"/>
          <w:i w:val="1"/>
          <w:iCs w:val="1"/>
          <w:color w:val="auto"/>
        </w:rPr>
        <w:t>Dave Finnegan</w:t>
      </w:r>
      <w:r>
        <w:rPr>
          <w:rFonts w:ascii="Arial" w:cs="Arial" w:eastAsia="Arial" w:hAnsi="Arial"/>
          <w:sz w:val="18"/>
          <w:szCs w:val="18"/>
          <w:color w:val="auto"/>
        </w:rPr>
        <w:t>,</w:t>
      </w:r>
      <w:r>
        <w:rPr>
          <w:rFonts w:ascii="Arial" w:cs="Arial" w:eastAsia="Arial" w:hAnsi="Arial"/>
          <w:sz w:val="18"/>
          <w:szCs w:val="18"/>
          <w:i w:val="1"/>
          <w:iCs w:val="1"/>
          <w:color w:val="auto"/>
        </w:rPr>
        <w:t xml:space="preserve"> 44</w:t>
      </w:r>
      <w:r>
        <w:rPr>
          <w:rFonts w:ascii="Arial" w:cs="Arial" w:eastAsia="Arial" w:hAnsi="Arial"/>
          <w:sz w:val="18"/>
          <w:szCs w:val="18"/>
          <w:color w:val="auto"/>
        </w:rPr>
        <w:t>, joined Build-A-Bear Workshop in December 1999 as Director Inbearmation Technology and was named Chief Information Bear</w:t>
      </w:r>
      <w:r>
        <w:rPr>
          <w:rFonts w:ascii="Arial" w:cs="Arial" w:eastAsia="Arial" w:hAnsi="Arial"/>
          <w:sz w:val="18"/>
          <w:szCs w:val="18"/>
          <w:i w:val="1"/>
          <w:iCs w:val="1"/>
          <w:color w:val="auto"/>
        </w:rPr>
        <w:t xml:space="preserve"> </w:t>
      </w:r>
      <w:r>
        <w:rPr>
          <w:rFonts w:ascii="Arial" w:cs="Arial" w:eastAsia="Arial" w:hAnsi="Arial"/>
          <w:sz w:val="18"/>
          <w:szCs w:val="18"/>
          <w:color w:val="auto"/>
        </w:rPr>
        <w:t>in January 2007, adding logistics responsibilities in March 2009 to become Chief Information and Logistics Bear, and in March 2010 he became Chief Information Bear. Prior to joining the Company, Mr. Finnegan held information systems management positions at Novell, Inc and Interchange Technologies Inc.</w:t>
      </w:r>
    </w:p>
    <w:p>
      <w:pPr>
        <w:spacing w:after="0" w:line="187" w:lineRule="exact"/>
        <w:rPr>
          <w:sz w:val="20"/>
          <w:szCs w:val="20"/>
          <w:color w:val="auto"/>
        </w:rPr>
      </w:pPr>
    </w:p>
    <w:p>
      <w:pPr>
        <w:jc w:val="both"/>
        <w:ind w:firstLine="567"/>
        <w:spacing w:after="0" w:line="293" w:lineRule="auto"/>
        <w:rPr>
          <w:sz w:val="20"/>
          <w:szCs w:val="20"/>
          <w:color w:val="auto"/>
        </w:rPr>
      </w:pPr>
      <w:r>
        <w:rPr>
          <w:rFonts w:ascii="Arial" w:cs="Arial" w:eastAsia="Arial" w:hAnsi="Arial"/>
          <w:sz w:val="16"/>
          <w:szCs w:val="16"/>
          <w:i w:val="1"/>
          <w:iCs w:val="1"/>
          <w:color w:val="auto"/>
        </w:rPr>
        <w:t xml:space="preserve">Tina Klocke, 54, </w:t>
      </w:r>
      <w:r>
        <w:rPr>
          <w:rFonts w:ascii="Arial" w:cs="Arial" w:eastAsia="Arial" w:hAnsi="Arial"/>
          <w:sz w:val="16"/>
          <w:szCs w:val="16"/>
          <w:color w:val="auto"/>
        </w:rPr>
        <w:t>has been our Chief Financial Bear since November 1997, our Treasurer since April 2000, and served as our Secretary from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2004 until November 2013. In March 2009, she assumed responsibility for store operations and in July 2011, she assumed responsibility for logistics and warehousing. From July 2011 until March 2013, she was responsible for merchandise planning. She now holds the title of Chief Operations and Financial Bear. Prior to joining the Company, Ms. Klocke was the Controller for Clayton Corporation, a manufacturing company, where she supervised all accounting and finance functions as well as human resources. Prior to joining Clayton Corporation in 1990, she was the controller for Love Real Estate Company, a diversified investment management and development firm. Ms. Klocke began her career in 1982 with Ernst &amp; Young LLP.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Kenneth Wine, 51, </w:t>
      </w:r>
      <w:r>
        <w:rPr>
          <w:rFonts w:ascii="Arial" w:cs="Arial" w:eastAsia="Arial" w:hAnsi="Arial"/>
          <w:sz w:val="16"/>
          <w:szCs w:val="16"/>
          <w:color w:val="auto"/>
        </w:rPr>
        <w:t>joined Build-A-Bear Workshop in December 2012 as Chief Merchandise Bear. Prior to joining the Company, Mr. Wine was</w:t>
      </w:r>
      <w:r>
        <w:rPr>
          <w:rFonts w:ascii="Arial" w:cs="Arial" w:eastAsia="Arial" w:hAnsi="Arial"/>
          <w:sz w:val="16"/>
          <w:szCs w:val="16"/>
          <w:i w:val="1"/>
          <w:iCs w:val="1"/>
          <w:color w:val="auto"/>
        </w:rPr>
        <w:t xml:space="preserve"> </w:t>
      </w:r>
      <w:r>
        <w:rPr>
          <w:rFonts w:ascii="Arial" w:cs="Arial" w:eastAsia="Arial" w:hAnsi="Arial"/>
          <w:sz w:val="16"/>
          <w:szCs w:val="16"/>
          <w:color w:val="auto"/>
        </w:rPr>
        <w:t>Senior Vice President of Merchandising at Weissman Designs for Dance, a national dancewear retailer, from June 2008 to December 2012, and Director of Merchandising at Oriental Trading Company, a direct retailer of value-priced party supplies, arts and crafts, school supplies, toys and novelties, from January 2007 to May 2008. Prior to that Mr. Wine held senior merchandising positions with Lands’ End, American Girl, Woolrich, Inc. and Polo Ralph Lauren.</w:t>
      </w:r>
    </w:p>
    <w:p>
      <w:pPr>
        <w:spacing w:after="0" w:line="150" w:lineRule="exact"/>
        <w:rPr>
          <w:sz w:val="20"/>
          <w:szCs w:val="20"/>
          <w:color w:val="auto"/>
        </w:rPr>
      </w:pPr>
    </w:p>
    <w:p>
      <w:pPr>
        <w:ind w:left="500"/>
        <w:spacing w:after="0"/>
        <w:tabs>
          <w:tab w:leader="none" w:pos="14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The information contained in the sections titled “Executive Compensation” and “Board of Directors Compensation” in the Proxy Statement is incorporated herein by reference in response to this Item 11.</w:t>
      </w:r>
    </w:p>
    <w:p>
      <w:pPr>
        <w:spacing w:after="0" w:line="166" w:lineRule="exact"/>
        <w:rPr>
          <w:sz w:val="20"/>
          <w:szCs w:val="20"/>
          <w:color w:val="auto"/>
        </w:rPr>
      </w:pPr>
    </w:p>
    <w:p>
      <w:pPr>
        <w:ind w:left="1000" w:right="540" w:hanging="985"/>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The information contained in the section titled “Security Ownership of Certain Beneficial Owners and Management” in the Proxy Statement is incorporated herein by reference in response to this Item 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32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Equity Compensation Plan Information</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0"/>
              </w:rPr>
              <w:t>(a)</w:t>
            </w:r>
          </w:p>
        </w:tc>
        <w:tc>
          <w:tcPr>
            <w:tcW w:w="120" w:type="dxa"/>
            <w:vAlign w:val="bottom"/>
          </w:tcPr>
          <w:p>
            <w:pPr>
              <w:spacing w:after="0"/>
              <w:rPr>
                <w:sz w:val="17"/>
                <w:szCs w:val="17"/>
                <w:color w:val="auto"/>
              </w:rPr>
            </w:pPr>
          </w:p>
        </w:tc>
        <w:tc>
          <w:tcPr>
            <w:tcW w:w="192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5"/>
              </w:rPr>
              <w:t>(b)</w:t>
            </w:r>
          </w:p>
        </w:tc>
        <w:tc>
          <w:tcPr>
            <w:tcW w:w="18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Number of securities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Number of securities to</w:t>
            </w:r>
          </w:p>
        </w:tc>
        <w:tc>
          <w:tcPr>
            <w:tcW w:w="1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Weighted-average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be issued upon exercise</w:t>
            </w: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exercise price of</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120" w:type="dxa"/>
            <w:vAlign w:val="bottom"/>
          </w:tcPr>
          <w:p>
            <w:pPr>
              <w:spacing w:after="0"/>
              <w:rPr>
                <w:sz w:val="18"/>
                <w:szCs w:val="18"/>
                <w:color w:val="auto"/>
              </w:rPr>
            </w:pPr>
          </w:p>
        </w:tc>
        <w:tc>
          <w:tcPr>
            <w:tcW w:w="1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 options,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category</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warrants and rights</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reflected in column (a))</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08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spacing w:after="0"/>
              <w:rPr>
                <w:sz w:val="18"/>
                <w:szCs w:val="18"/>
                <w:color w:val="auto"/>
              </w:rPr>
            </w:pPr>
          </w:p>
        </w:tc>
        <w:tc>
          <w:tcPr>
            <w:tcW w:w="1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1240" w:type="dxa"/>
            <w:vAlign w:val="bottom"/>
            <w:gridSpan w:val="2"/>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1,065,012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80" w:type="dxa"/>
            <w:vAlign w:val="bottom"/>
            <w:gridSpan w:val="3"/>
          </w:tcPr>
          <w:p>
            <w:pPr>
              <w:jc w:val="right"/>
              <w:spacing w:after="0"/>
              <w:rPr>
                <w:sz w:val="20"/>
                <w:szCs w:val="20"/>
                <w:color w:val="auto"/>
              </w:rPr>
            </w:pPr>
            <w:r>
              <w:rPr>
                <w:rFonts w:ascii="Arial" w:cs="Arial" w:eastAsia="Arial" w:hAnsi="Arial"/>
                <w:sz w:val="18"/>
                <w:szCs w:val="18"/>
                <w:color w:val="auto"/>
              </w:rPr>
              <w:t>1,065,012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8.72</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471,327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information contained in the section titled “Related Party Transactions” in the Proxy Statement is incorporated herein by reference in response to this Item 13.</w:t>
      </w:r>
    </w:p>
    <w:p>
      <w:pPr>
        <w:spacing w:after="0" w:line="16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780" w:firstLine="441"/>
        <w:spacing w:after="0" w:line="308" w:lineRule="auto"/>
        <w:rPr>
          <w:sz w:val="20"/>
          <w:szCs w:val="20"/>
          <w:color w:val="auto"/>
        </w:rPr>
      </w:pPr>
      <w:r>
        <w:rPr>
          <w:rFonts w:ascii="Arial" w:cs="Arial" w:eastAsia="Arial" w:hAnsi="Arial"/>
          <w:sz w:val="17"/>
          <w:szCs w:val="17"/>
          <w:color w:val="auto"/>
        </w:rPr>
        <w:t>The information contained in the section titled “Principal Accountant Fees” and “Policy Regarding Pre-Approval of Services Provided by the Independent Registered Public Accounting Firm” in the Proxy Statement is incorporated herein by reference in response to Item 14.</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0" w:name="page41"/>
    <w:bookmarkEnd w:id="40"/>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(a)(1) </w:t>
      </w: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financial statements and schedules set forth below are filed on the indicated pages as part of this Annual Report on Form 10-K.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1400" w:type="dxa"/>
            <w:vAlign w:val="bottom"/>
          </w:tcPr>
          <w:p>
            <w:pPr>
              <w:spacing w:after="0"/>
              <w:rPr>
                <w:sz w:val="20"/>
                <w:szCs w:val="20"/>
                <w:color w:val="auto"/>
              </w:rPr>
            </w:pPr>
          </w:p>
        </w:tc>
      </w:tr>
      <w:tr>
        <w:trPr>
          <w:trHeight w:val="210"/>
        </w:trPr>
        <w:tc>
          <w:tcPr>
            <w:tcW w:w="13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4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Consolidated Balance Sheets as of December 28, 2013 and December 29, 2012</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400" w:type="dxa"/>
            <w:vAlign w:val="bottom"/>
          </w:tcPr>
          <w:p>
            <w:pPr>
              <w:spacing w:after="0"/>
              <w:rPr>
                <w:sz w:val="18"/>
                <w:szCs w:val="18"/>
                <w:color w:val="auto"/>
              </w:rPr>
            </w:pPr>
          </w:p>
        </w:tc>
      </w:tr>
      <w:tr>
        <w:trPr>
          <w:trHeight w:val="202"/>
        </w:trPr>
        <w:tc>
          <w:tcPr>
            <w:tcW w:w="138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Consolidated Statements of Operations for the fiscal years ended December 28, 2013, December 29, 2012</w:t>
            </w:r>
          </w:p>
        </w:tc>
        <w:tc>
          <w:tcPr>
            <w:tcW w:w="740" w:type="dxa"/>
            <w:vAlign w:val="bottom"/>
            <w:shd w:val="clear" w:color="auto" w:fill="CCEEFF"/>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December 31, 2011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400" w:type="dxa"/>
            <w:vAlign w:val="bottom"/>
          </w:tcPr>
          <w:p>
            <w:pPr>
              <w:spacing w:after="0"/>
              <w:rPr>
                <w:sz w:val="20"/>
                <w:szCs w:val="20"/>
                <w:color w:val="auto"/>
              </w:rPr>
            </w:pPr>
          </w:p>
        </w:tc>
      </w:tr>
      <w:tr>
        <w:trPr>
          <w:trHeight w:val="202"/>
        </w:trPr>
        <w:tc>
          <w:tcPr>
            <w:tcW w:w="138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2"/>
              </w:rPr>
              <w:t>Consolidated Statements of Comprehensive Loss for the fiscal years ended December 28, 2013, December</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29, 2012 and December 31, 2011</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400" w:type="dxa"/>
            <w:vAlign w:val="bottom"/>
          </w:tcPr>
          <w:p>
            <w:pPr>
              <w:spacing w:after="0"/>
              <w:rPr>
                <w:sz w:val="20"/>
                <w:szCs w:val="20"/>
                <w:color w:val="auto"/>
              </w:rPr>
            </w:pPr>
          </w:p>
        </w:tc>
      </w:tr>
      <w:tr>
        <w:trPr>
          <w:trHeight w:val="202"/>
        </w:trPr>
        <w:tc>
          <w:tcPr>
            <w:tcW w:w="1380" w:type="dxa"/>
            <w:vAlign w:val="bottom"/>
          </w:tcPr>
          <w:p>
            <w:pPr>
              <w:spacing w:after="0"/>
              <w:rPr>
                <w:sz w:val="17"/>
                <w:szCs w:val="17"/>
                <w:color w:val="auto"/>
              </w:rPr>
            </w:pPr>
          </w:p>
        </w:tc>
        <w:tc>
          <w:tcPr>
            <w:tcW w:w="7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Consolidated Statements of Stockholders’ Equity for the fiscal years ended December 28, 2013, December</w:t>
            </w:r>
          </w:p>
        </w:tc>
        <w:tc>
          <w:tcPr>
            <w:tcW w:w="740" w:type="dxa"/>
            <w:vAlign w:val="bottom"/>
            <w:shd w:val="clear" w:color="auto" w:fill="CCEEFF"/>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7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29, 2012 and December 31, 2011</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400" w:type="dxa"/>
            <w:vAlign w:val="bottom"/>
          </w:tcPr>
          <w:p>
            <w:pPr>
              <w:spacing w:after="0"/>
              <w:rPr>
                <w:sz w:val="20"/>
                <w:szCs w:val="20"/>
                <w:color w:val="auto"/>
              </w:rPr>
            </w:pPr>
          </w:p>
        </w:tc>
      </w:tr>
      <w:tr>
        <w:trPr>
          <w:trHeight w:val="202"/>
        </w:trPr>
        <w:tc>
          <w:tcPr>
            <w:tcW w:w="138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2"/>
              </w:rPr>
              <w:t>Consolidated Statements of Cash Flows for the fiscal years ended December 28, 2013, December 29, 2012</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7940" w:type="dxa"/>
            <w:vAlign w:val="bottom"/>
          </w:tcPr>
          <w:p>
            <w:pPr>
              <w:ind w:left="220"/>
              <w:spacing w:after="0"/>
              <w:rPr>
                <w:sz w:val="20"/>
                <w:szCs w:val="20"/>
                <w:color w:val="auto"/>
              </w:rPr>
            </w:pPr>
            <w:r>
              <w:rPr>
                <w:rFonts w:ascii="Arial" w:cs="Arial" w:eastAsia="Arial" w:hAnsi="Arial"/>
                <w:sz w:val="18"/>
                <w:szCs w:val="18"/>
                <w:color w:val="auto"/>
              </w:rPr>
              <w:t>and December 31, 2011</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40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1400" w:type="dxa"/>
            <w:vAlign w:val="bottom"/>
          </w:tcPr>
          <w:p>
            <w:pPr>
              <w:spacing w:after="0"/>
              <w:rPr>
                <w:sz w:val="18"/>
                <w:szCs w:val="18"/>
                <w:color w:val="auto"/>
              </w:rPr>
            </w:pPr>
          </w:p>
        </w:tc>
      </w:tr>
      <w:tr>
        <w:trPr>
          <w:trHeight w:val="675"/>
        </w:trPr>
        <w:tc>
          <w:tcPr>
            <w:tcW w:w="9320" w:type="dxa"/>
            <w:vAlign w:val="bottom"/>
            <w:gridSpan w:val="2"/>
          </w:tcPr>
          <w:p>
            <w:pPr>
              <w:jc w:val="right"/>
              <w:ind w:right="3430"/>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5"/>
        </w:trPr>
        <w:tc>
          <w:tcPr>
            <w:tcW w:w="1380" w:type="dxa"/>
            <w:vAlign w:val="bottom"/>
          </w:tcPr>
          <w:p>
            <w:pPr>
              <w:spacing w:after="0"/>
              <w:rPr>
                <w:sz w:val="9"/>
                <w:szCs w:val="9"/>
                <w:color w:val="auto"/>
              </w:rPr>
            </w:pPr>
          </w:p>
        </w:tc>
        <w:tc>
          <w:tcPr>
            <w:tcW w:w="7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61"/>
        </w:trPr>
        <w:tc>
          <w:tcPr>
            <w:tcW w:w="1380" w:type="dxa"/>
            <w:vAlign w:val="bottom"/>
            <w:shd w:val="clear" w:color="auto" w:fill="808080"/>
          </w:tcPr>
          <w:p>
            <w:pPr>
              <w:spacing w:after="0"/>
              <w:rPr>
                <w:sz w:val="5"/>
                <w:szCs w:val="5"/>
                <w:color w:val="auto"/>
              </w:rPr>
            </w:pPr>
          </w:p>
        </w:tc>
        <w:tc>
          <w:tcPr>
            <w:tcW w:w="79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Build-A-Bear Workshop, Inc. and subsidiaries (collectively, the Company) as of December 28, 2013 and December 29, 2012, and the related consolidated statements of operations, comprehensive loss, stockholders’ equity, and cash flows for each of the three years in the period ended December 28, 2013.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Build-A-Bear Workshop, Inc. and subsidiaries at December 28, 2013 and December 29, 2012, and the consolidated results of their operations and their cash flows for each of the three years in the period ended December 28, 2013, in conformity with U.S. generally accepted accounting principles. Also, in our opinion, the financial statement schedule,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Build-A-Bear Workshop, Inc. and subsidiaries’ internal control over financial reporting as of December 28,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(1992 framework) and our report dated March 13, 2014 expressed an unqualified opinion thereon.</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59"/>
        <w:spacing w:after="0"/>
        <w:rPr>
          <w:sz w:val="20"/>
          <w:szCs w:val="20"/>
          <w:color w:val="auto"/>
        </w:rPr>
      </w:pPr>
      <w:r>
        <w:rPr>
          <w:rFonts w:ascii="Arial" w:cs="Arial" w:eastAsia="Arial" w:hAnsi="Arial"/>
          <w:sz w:val="22"/>
          <w:szCs w:val="22"/>
          <w:b w:val="1"/>
          <w:bCs w:val="1"/>
          <w:color w:val="auto"/>
        </w:rPr>
        <w:t>BUILD-A-BEAR WORKSHOP,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(Dollars in thousands, except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29,</w:t>
            </w:r>
          </w:p>
        </w:tc>
      </w:tr>
      <w:tr>
        <w:trPr>
          <w:trHeight w:val="234"/>
        </w:trPr>
        <w:tc>
          <w:tcPr>
            <w:tcW w:w="4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ind w:right="2280"/>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Current assets:</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44,665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45,171</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50,248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46,904</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w:t>
            </w: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9,428</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11,547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14,216</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r>
      <w:tr>
        <w:trPr>
          <w:trHeight w:val="20"/>
        </w:trPr>
        <w:tc>
          <w:tcPr>
            <w:tcW w:w="4240" w:type="dxa"/>
            <w:vAlign w:val="bottom"/>
            <w:shd w:val="clear" w:color="auto" w:fill="CCEEFF"/>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2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121,755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116,706</w:t>
            </w:r>
          </w:p>
        </w:tc>
      </w:tr>
      <w:tr>
        <w:trPr>
          <w:trHeight w:val="216"/>
        </w:trPr>
        <w:tc>
          <w:tcPr>
            <w:tcW w:w="4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585" w:right="239" w:bottom="1440" w:gutter="0" w:footer="0" w:header="0"/>
        </w:sectPr>
      </w:pPr>
    </w:p>
    <w:p>
      <w:pPr>
        <w:spacing w:after="0"/>
        <w:rPr>
          <w:sz w:val="20"/>
          <w:szCs w:val="20"/>
          <w:color w:val="auto"/>
        </w:rPr>
      </w:pPr>
      <w:r>
        <w:rPr>
          <w:rFonts w:ascii="Arial" w:cs="Arial" w:eastAsia="Arial" w:hAnsi="Arial"/>
          <w:sz w:val="16"/>
          <w:szCs w:val="16"/>
          <w:color w:val="auto"/>
        </w:rPr>
        <w:t>Property and equipment,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assets, net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70,163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71,459</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633</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3,304</w:t>
            </w: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194,642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192,102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-445135</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-162560</wp:posOffset>
            </wp:positionV>
            <wp:extent cx="724662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00" w:space="720"/>
            <w:col w:w="3300"/>
          </w:cols>
          <w:pgMar w:left="240" w:top="585"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34,977</w:t>
            </w:r>
          </w:p>
        </w:tc>
        <w:tc>
          <w:tcPr>
            <w:tcW w:w="5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16,380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33,786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89,830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franchise revenue</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Deferred rent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19,357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Preferred stock, par value $0.01, Shares authorized: 15,000,000; No shares issued or outstanding at</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December 28, 2013 and December 29, 2012</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par value $0.01, Shares authorized: 50,000,000; Issued and outstanding: 17,386,920 and</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17,068,182 shares, respectively</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69,094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22,425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84,390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83,137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194,642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BUILD-A-BEAR WORKSHOP,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22"/>
          <w:szCs w:val="22"/>
          <w:color w:val="auto"/>
        </w:rPr>
        <w:t>(Dollars 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373,173</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374,553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380,941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394,375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Cost of merchandise sold</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220,738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230,181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165,516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33,670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429,370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397,027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(48,429)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(49,295)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Loss per common share:</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ind w:left="16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(0.13)</w:t>
            </w:r>
          </w:p>
        </w:tc>
        <w:tc>
          <w:tcPr>
            <w:tcW w:w="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(3.02)</w:t>
            </w:r>
          </w:p>
        </w:tc>
        <w:tc>
          <w:tcPr>
            <w:tcW w:w="40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Shares used in computing per common share amounts: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16,465,138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16,331,672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17,371,315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16,465,138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16,331,672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17,371,315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4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(2,112)</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(49,295)</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2,889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 realized gain on liquidation of investment in a foreign entity</w:t>
            </w: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Other comprehensive income (loss)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(1,732)</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Additional</w:t>
            </w:r>
          </w:p>
        </w:tc>
        <w:tc>
          <w:tcPr>
            <w:tcW w:w="300" w:type="dxa"/>
            <w:vAlign w:val="bottom"/>
          </w:tcPr>
          <w:p>
            <w:pPr>
              <w:spacing w:after="0"/>
              <w:rPr>
                <w:sz w:val="18"/>
                <w:szCs w:val="18"/>
                <w:color w:val="auto"/>
              </w:rPr>
            </w:pPr>
          </w:p>
        </w:tc>
        <w:tc>
          <w:tcPr>
            <w:tcW w:w="1040" w:type="dxa"/>
            <w:vAlign w:val="bottom"/>
          </w:tcPr>
          <w:p>
            <w:pPr>
              <w:jc w:val="center"/>
              <w:ind w:right="271"/>
              <w:spacing w:after="0"/>
              <w:rPr>
                <w:sz w:val="20"/>
                <w:szCs w:val="20"/>
                <w:color w:val="auto"/>
              </w:rPr>
            </w:pPr>
            <w:r>
              <w:rPr>
                <w:rFonts w:ascii="Arial" w:cs="Arial" w:eastAsia="Arial" w:hAnsi="Arial"/>
                <w:sz w:val="18"/>
                <w:szCs w:val="18"/>
                <w:b w:val="1"/>
                <w:bCs w:val="1"/>
                <w:color w:val="auto"/>
                <w:w w:val="88"/>
              </w:rPr>
              <w:t>other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Common</w:t>
            </w:r>
          </w:p>
        </w:tc>
        <w:tc>
          <w:tcPr>
            <w:tcW w:w="220" w:type="dxa"/>
            <w:vAlign w:val="bottom"/>
          </w:tcPr>
          <w:p>
            <w:pPr>
              <w:spacing w:after="0"/>
              <w:rPr>
                <w:sz w:val="19"/>
                <w:szCs w:val="19"/>
                <w:color w:val="auto"/>
              </w:rPr>
            </w:pPr>
          </w:p>
        </w:tc>
        <w:tc>
          <w:tcPr>
            <w:tcW w:w="11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paid-in</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comprehensive</w:t>
            </w:r>
          </w:p>
        </w:tc>
        <w:tc>
          <w:tcPr>
            <w:tcW w:w="24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b w:val="1"/>
                <w:bCs w:val="1"/>
                <w:color w:val="auto"/>
                <w:w w:val="97"/>
              </w:rPr>
              <w:t>Retained</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20"/>
                <w:szCs w:val="20"/>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capital</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income (loss)</w:t>
            </w:r>
          </w:p>
        </w:tc>
        <w:tc>
          <w:tcPr>
            <w:tcW w:w="240" w:type="dxa"/>
            <w:vAlign w:val="bottom"/>
          </w:tcPr>
          <w:p>
            <w:pPr>
              <w:spacing w:after="0"/>
              <w:rPr>
                <w:sz w:val="20"/>
                <w:szCs w:val="20"/>
                <w:color w:val="auto"/>
              </w:rPr>
            </w:pPr>
          </w:p>
        </w:tc>
        <w:tc>
          <w:tcPr>
            <w:tcW w:w="1120" w:type="dxa"/>
            <w:vAlign w:val="bottom"/>
          </w:tcPr>
          <w:p>
            <w:pPr>
              <w:jc w:val="right"/>
              <w:ind w:right="292"/>
              <w:spacing w:after="0"/>
              <w:rPr>
                <w:sz w:val="20"/>
                <w:szCs w:val="20"/>
                <w:color w:val="auto"/>
              </w:rPr>
            </w:pPr>
            <w:r>
              <w:rPr>
                <w:rFonts w:ascii="Arial" w:cs="Arial" w:eastAsia="Arial" w:hAnsi="Arial"/>
                <w:sz w:val="18"/>
                <w:szCs w:val="18"/>
                <w:b w:val="1"/>
                <w:bCs w:val="1"/>
                <w:color w:val="auto"/>
                <w:w w:val="95"/>
              </w:rPr>
              <w:t>earnings</w:t>
            </w:r>
          </w:p>
        </w:tc>
        <w:tc>
          <w:tcPr>
            <w:tcW w:w="3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76,582</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90,894</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repurchase</w:t>
            </w: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(14,977)</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4,605</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issued under employee stock plans</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162"/>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4"/>
                <w:szCs w:val="14"/>
                <w:color w:val="auto"/>
              </w:rPr>
            </w:pPr>
          </w:p>
        </w:tc>
        <w:tc>
          <w:tcPr>
            <w:tcW w:w="11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4"/>
                <w:szCs w:val="14"/>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04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68"/>
        </w:trPr>
        <w:tc>
          <w:tcPr>
            <w:tcW w:w="4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jc w:val="right"/>
              <w:ind w:right="52"/>
              <w:spacing w:after="0" w:line="68" w:lineRule="exact"/>
              <w:rPr>
                <w:sz w:val="20"/>
                <w:szCs w:val="20"/>
                <w:color w:val="auto"/>
              </w:rPr>
            </w:pPr>
            <w:r>
              <w:rPr>
                <w:rFonts w:ascii="Arial" w:cs="Arial" w:eastAsia="Arial" w:hAnsi="Arial"/>
                <w:sz w:val="7"/>
                <w:szCs w:val="7"/>
                <w:color w:val="auto"/>
              </w:rPr>
              <w:t>(17,062</w:t>
            </w:r>
          </w:p>
        </w:tc>
        <w:tc>
          <w:tcPr>
            <w:tcW w:w="3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65,402</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73,832</w:t>
            </w: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3,611</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under employee stock plans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2,482</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December 29, 2012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66,112</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24,537</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83,137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 repurchase</w:t>
            </w:r>
          </w:p>
        </w:tc>
        <w:tc>
          <w:tcPr>
            <w:tcW w:w="16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2,849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issued under employee stock plans</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349</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w:t>
            </w: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gridSpan w:val="2"/>
          </w:tcPr>
          <w:p>
            <w:pPr>
              <w:spacing w:after="0"/>
              <w:rPr>
                <w:sz w:val="20"/>
                <w:szCs w:val="20"/>
                <w:color w:val="auto"/>
              </w:rPr>
            </w:pPr>
            <w:r>
              <w:rPr>
                <w:rFonts w:ascii="Arial" w:cs="Arial" w:eastAsia="Arial" w:hAnsi="Arial"/>
                <w:sz w:val="18"/>
                <w:szCs w:val="18"/>
                <w:color w:val="auto"/>
              </w:rPr>
              <w:t>Balance, December 28, 2013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69,094</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50" w:lineRule="exact"/>
              <w:rPr>
                <w:sz w:val="20"/>
                <w:szCs w:val="20"/>
                <w:color w:val="auto"/>
              </w:rPr>
            </w:pPr>
            <w:r>
              <w:rPr>
                <w:rFonts w:ascii="Arial" w:cs="Arial" w:eastAsia="Arial" w:hAnsi="Arial"/>
                <w:sz w:val="15"/>
                <w:szCs w:val="15"/>
                <w:color w:val="auto"/>
              </w:rPr>
              <w:t>(7,303</w:t>
            </w:r>
            <w:r>
              <w:rPr>
                <w:rFonts w:ascii="Arial" w:cs="Arial" w:eastAsia="Arial" w:hAnsi="Arial"/>
                <w:sz w:val="28"/>
                <w:szCs w:val="28"/>
                <w:color w:val="auto"/>
                <w:vertAlign w:val="superscript"/>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22,425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BUILD-A-BEAR WORKSHOP,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rPr>
          <w:sz w:val="20"/>
          <w:szCs w:val="20"/>
          <w:color w:val="auto"/>
        </w:rPr>
      </w:pPr>
      <w:r>
        <w:rPr>
          <w:rFonts w:ascii="Arial" w:cs="Arial" w:eastAsia="Arial" w:hAnsi="Arial"/>
          <w:sz w:val="22"/>
          <w:szCs w:val="22"/>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Fiscal Year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(49,295)</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19,216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21,422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Goodwill impairment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Losses from investment in affiliate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3,611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Trade credit utilization</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Receivables</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Lease related liabilities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Gift cards and customer deposits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19,058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16,542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(19,055)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(16,633)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other assets and other intangible assets</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 or maturity of short term investments</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 term investments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in unconsolidated affiliate</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flow used in investing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(19,362)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Proceeds from the exercise of employee stock options, net of withholding tax</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Company's common stock</w:t>
            </w: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(15,002)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Cash flow provided by (used in)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rates on cash</w:t>
            </w:r>
          </w:p>
        </w:tc>
        <w:tc>
          <w:tcPr>
            <w:tcW w:w="940" w:type="dxa"/>
            <w:vAlign w:val="bottom"/>
          </w:tcPr>
          <w:p>
            <w:pPr>
              <w:spacing w:after="0"/>
              <w:rPr>
                <w:sz w:val="13"/>
                <w:szCs w:val="13"/>
                <w:color w:val="auto"/>
              </w:rPr>
            </w:pPr>
          </w:p>
        </w:tc>
        <w:tc>
          <w:tcPr>
            <w:tcW w:w="72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68"/>
        </w:trPr>
        <w:tc>
          <w:tcPr>
            <w:tcW w:w="64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560" w:type="dxa"/>
            <w:vAlign w:val="bottom"/>
          </w:tcPr>
          <w:p>
            <w:pPr>
              <w:jc w:val="right"/>
              <w:spacing w:after="0" w:line="68" w:lineRule="exact"/>
              <w:rPr>
                <w:sz w:val="20"/>
                <w:szCs w:val="20"/>
                <w:color w:val="auto"/>
              </w:rPr>
            </w:pPr>
            <w:r>
              <w:rPr>
                <w:rFonts w:ascii="Arial" w:cs="Arial" w:eastAsia="Arial" w:hAnsi="Arial"/>
                <w:sz w:val="7"/>
                <w:szCs w:val="7"/>
                <w:color w:val="auto"/>
              </w:rPr>
              <w:t>(334</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45,171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46,367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58,755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44,665</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paid (received) during the period for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Preparation</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Build-A-Bear Workshop, Inc. (the Company) is a specialty retailer of plush animals and related products. The Company began operations in October 1997. The Company sells its products through its 323 company-owned stores operated primarily in leased locations in malls in the United States, Canada, Puerto Rico, the United Kingdom and Ireland along with its Web sites. Operations in foreign countries where the Company does not have company-owned stores are through franchise agreements.</w:t>
      </w:r>
    </w:p>
    <w:p>
      <w:pPr>
        <w:spacing w:after="0" w:line="220" w:lineRule="exact"/>
        <w:rPr>
          <w:sz w:val="20"/>
          <w:szCs w:val="20"/>
          <w:color w:val="auto"/>
        </w:rPr>
      </w:pPr>
    </w:p>
    <w:p>
      <w:pPr>
        <w:ind w:right="80" w:firstLine="441"/>
        <w:spacing w:after="0" w:line="276" w:lineRule="auto"/>
        <w:rPr>
          <w:sz w:val="20"/>
          <w:szCs w:val="20"/>
          <w:color w:val="auto"/>
        </w:rPr>
      </w:pPr>
      <w:r>
        <w:rPr>
          <w:rFonts w:ascii="Arial" w:cs="Arial" w:eastAsia="Arial" w:hAnsi="Arial"/>
          <w:sz w:val="22"/>
          <w:szCs w:val="22"/>
          <w:color w:val="auto"/>
        </w:rPr>
        <w:t>Certain reclassifications of prior year amounts have been made to conform to current year presentation, none of which impact net loss in any period.</w:t>
      </w:r>
    </w:p>
    <w:p>
      <w:pPr>
        <w:spacing w:after="0" w:line="191"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A summary of the Company’s significant accounting policies applied in the preparation of the accompanying consolidated financial statements follows:</w:t>
      </w:r>
    </w:p>
    <w:p>
      <w:pPr>
        <w:spacing w:after="0" w:line="248" w:lineRule="exact"/>
        <w:rPr>
          <w:sz w:val="20"/>
          <w:szCs w:val="20"/>
          <w:color w:val="auto"/>
        </w:rPr>
      </w:pPr>
    </w:p>
    <w:p>
      <w:pPr>
        <w:ind w:left="880" w:hanging="426"/>
        <w:spacing w:after="0"/>
        <w:tabs>
          <w:tab w:leader="none" w:pos="8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Build-A-Bear Workshop, Inc. and its wholly-owned subsidiaries. All significant intercompany accounts are eliminated in consolidation.</w:t>
      </w:r>
    </w:p>
    <w:p>
      <w:pPr>
        <w:spacing w:after="0" w:line="170" w:lineRule="exact"/>
        <w:rPr>
          <w:sz w:val="20"/>
          <w:szCs w:val="20"/>
          <w:color w:val="auto"/>
        </w:rPr>
      </w:pPr>
    </w:p>
    <w:p>
      <w:pPr>
        <w:ind w:left="880" w:hanging="426"/>
        <w:spacing w:after="0"/>
        <w:tabs>
          <w:tab w:leader="none" w:pos="88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The Company operates on a 52- or 53-week fiscal year ending on the Saturday closest to December 31. The periods presented in these financial statements are the fiscal years ended December 28, 2013 (fiscal 2013), December 29, 2012 (fiscal 2012) and December 31, 2011 (fiscal 2011). All fiscal years presented included 52 weeks. References to years in these financial statements relate to fiscal years or year ends rather than calendar years.</w:t>
      </w:r>
    </w:p>
    <w:p>
      <w:pPr>
        <w:spacing w:after="0" w:line="147" w:lineRule="exact"/>
        <w:rPr>
          <w:sz w:val="20"/>
          <w:szCs w:val="20"/>
          <w:color w:val="auto"/>
        </w:rPr>
      </w:pPr>
    </w:p>
    <w:p>
      <w:pPr>
        <w:ind w:left="880" w:hanging="426"/>
        <w:spacing w:after="0"/>
        <w:tabs>
          <w:tab w:leader="none" w:pos="8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Cash and cash equivalents include cash and short-term highly liquid investments with an original maturity of three months or less held in both domestic and foreign financial institutions.</w:t>
      </w:r>
    </w:p>
    <w:p>
      <w:pPr>
        <w:spacing w:after="0" w:line="170"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The majority of the Company’s cash and cash equivalents exceed federal deposit insurance limits. The Company has not experienced any losses in such accounts and management believes that the Company is not exposed to any significant credit risk on cash and cash equivalents.</w:t>
      </w:r>
    </w:p>
    <w:p>
      <w:pPr>
        <w:spacing w:after="0" w:line="147" w:lineRule="exact"/>
        <w:rPr>
          <w:sz w:val="20"/>
          <w:szCs w:val="20"/>
          <w:color w:val="auto"/>
        </w:rPr>
      </w:pPr>
    </w:p>
    <w:p>
      <w:pPr>
        <w:ind w:left="880" w:hanging="426"/>
        <w:spacing w:after="0"/>
        <w:tabs>
          <w:tab w:leader="none" w:pos="88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Inventories are stated at the lower of cost or market, with cost determined on an average-cost basis. Inventory includes supplies of $2.9 million and $3.5 million as of December 28, 2013 and December 29, 2012, respectively. A reserve for estimated shortage is accrued throughout the year based on detailed historical averages.</w:t>
      </w:r>
    </w:p>
    <w:p>
      <w:pPr>
        <w:spacing w:after="0" w:line="181" w:lineRule="exact"/>
        <w:rPr>
          <w:sz w:val="20"/>
          <w:szCs w:val="20"/>
          <w:color w:val="auto"/>
        </w:rPr>
      </w:pPr>
    </w:p>
    <w:p>
      <w:pPr>
        <w:ind w:left="880" w:hanging="426"/>
        <w:spacing w:after="0"/>
        <w:tabs>
          <w:tab w:leader="none" w:pos="88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225"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Receivables consist primarily of amounts due to the Company in relation to tenant allowances, wholesale and corporate product sales, franchisee royalties and product sales, certain amounts due from taxing authorities and licensing revenue. The Company assesses the collectability of all receivables on an ongoing basis by considering its historical credit loss experience, current economic conditions, and other relevant factors. Based on this analysis, the Company has determined that no material allowance for doubtful accounts was necessary at either December 28, 2013 and December 29, 2012.</w:t>
      </w:r>
    </w:p>
    <w:p>
      <w:pPr>
        <w:spacing w:after="0" w:line="154" w:lineRule="exact"/>
        <w:rPr>
          <w:sz w:val="20"/>
          <w:szCs w:val="20"/>
          <w:color w:val="auto"/>
        </w:rPr>
      </w:pPr>
    </w:p>
    <w:p>
      <w:pPr>
        <w:ind w:left="880" w:hanging="426"/>
        <w:spacing w:after="0"/>
        <w:tabs>
          <w:tab w:leader="none" w:pos="88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which is generally ten years. Furniture and fixtures and computer equipment are depreciated using the straight-line method over the estimated service lives ranging from three to seven years. Computer software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spacing w:after="0" w:line="178" w:lineRule="exact"/>
        <w:rPr>
          <w:sz w:val="20"/>
          <w:szCs w:val="20"/>
          <w:color w:val="auto"/>
        </w:rPr>
      </w:pPr>
    </w:p>
    <w:p>
      <w:pPr>
        <w:ind w:left="880" w:hanging="426"/>
        <w:spacing w:after="0"/>
        <w:tabs>
          <w:tab w:leader="none" w:pos="88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Goodwill is tested for impairment annually or more frequently if events or changes in circumstances indicate that the asset might be impaired. This testing requires comparison of the carrying value of the reporting unit to its fair value and a reconciliation to the Company’s total market capitalization, and when appropriate, the carrying value of impaired assets is reduced to fair value. The calculation of fair value requires multiple assumptions regarding our future operations to determine future cash flows, including but not limited to, sales volume, margin rates, store growth rates and discount rates, all of which are Level 3 fair value inputs. In 2012, we performed our annual evaluation of our goodwill as of December 29, 2012. As a result of the sustained decline in the market price of our common stock, coupled with the decline in the performance of the UK reporting unit, we determined that the fair value of the reporting unit, estimated using discounted cash flow analysis and reconciled to our market capitalization, was less than its carrying value. As a result, an impairment charge of $33.7 million was recorded as a component of net loss before income taxes in the Retail segment. This represented the entire balance of the Company’s goodwill. There was no tax-deductible goodwill as of December 28, 2013 and December 29, 2012. This does not change our long-term outlook for the UK reporting unit.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4763"/>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607" w:right="259" w:bottom="0"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ind w:left="880" w:hanging="426"/>
        <w:spacing w:after="0"/>
        <w:tabs>
          <w:tab w:leader="none" w:pos="88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right="80" w:firstLine="441"/>
        <w:spacing w:after="0" w:line="342" w:lineRule="auto"/>
        <w:rPr>
          <w:sz w:val="20"/>
          <w:szCs w:val="20"/>
          <w:color w:val="auto"/>
        </w:rPr>
      </w:pPr>
      <w:r>
        <w:rPr>
          <w:rFonts w:ascii="Arial" w:cs="Arial" w:eastAsia="Arial" w:hAnsi="Arial"/>
          <w:sz w:val="16"/>
          <w:szCs w:val="16"/>
          <w:color w:val="auto"/>
        </w:rPr>
        <w:t>Other intangible assets consist primarily of initial costs related to trademarks and other intellectual property. Trademarks and other intellectual property represent third-party costs that are capitalized and amortized over their estimated lives ranging from one to three years using the straight-line method.</w:t>
      </w:r>
    </w:p>
    <w:p>
      <w:pPr>
        <w:spacing w:after="0" w:line="124" w:lineRule="exact"/>
        <w:rPr>
          <w:sz w:val="20"/>
          <w:szCs w:val="20"/>
          <w:color w:val="auto"/>
        </w:rPr>
      </w:pPr>
    </w:p>
    <w:p>
      <w:pPr>
        <w:ind w:left="880" w:hanging="426"/>
        <w:spacing w:after="0"/>
        <w:tabs>
          <w:tab w:leader="none" w:pos="88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Other assets consist primarily of deferred leasing fees, deferred costs related to franchise agreements and trade credits. Deferred leasing fees are initial, direct costs related to the Company’s operating leases and are amortized over the term of the related leases. Deferred franchise costs are initial costs related to the Company’s franchise agreements that are deferred and amortized over the life of the respective franchise agreement. Amortization expense related to other assets was $0.2 million, $0.3 million and $0.5 million for 2013, 2012 and 2011, respectively. See Note 6 – Other Non-current Assets for further discussion regarding trade credits.</w:t>
      </w:r>
    </w:p>
    <w:p>
      <w:pPr>
        <w:spacing w:after="0" w:line="188" w:lineRule="exact"/>
        <w:rPr>
          <w:sz w:val="20"/>
          <w:szCs w:val="20"/>
          <w:color w:val="auto"/>
        </w:rPr>
      </w:pPr>
    </w:p>
    <w:p>
      <w:pPr>
        <w:ind w:left="880" w:hanging="426"/>
        <w:spacing w:after="0"/>
        <w:tabs>
          <w:tab w:leader="none" w:pos="880"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Whenever facts and circumstances indicate that the carrying value of a long-lived asset may not be recoverable,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See Note 4 – Property and Equipment and Note 6 – Other Non-current Assets for further discussion regarding the impairment of long-lived assets.</w:t>
      </w:r>
    </w:p>
    <w:p>
      <w:pPr>
        <w:spacing w:after="0" w:line="18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color w:val="auto"/>
        </w:rPr>
        <w:t>The calculation of fair value requires multiple assumptions regarding our future operations to determine future cash flows, including but not limited to, sales volume, margin rates and discount rates. If different assumptions were used in the analysis, it is possible that the amount of the impairment charge may have been significantly different than what was recorded.</w:t>
      </w:r>
    </w:p>
    <w:p>
      <w:pPr>
        <w:spacing w:after="0" w:line="181" w:lineRule="exact"/>
        <w:rPr>
          <w:sz w:val="20"/>
          <w:szCs w:val="20"/>
          <w:color w:val="auto"/>
        </w:rPr>
      </w:pPr>
    </w:p>
    <w:p>
      <w:pPr>
        <w:ind w:left="880" w:hanging="426"/>
        <w:spacing w:after="0"/>
        <w:tabs>
          <w:tab w:leader="none" w:pos="88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Certain of the Company’s operating leases contain predetermined fixed escalations of minimum rentals during the original lease terms. For these leases, the Company recognizes the related rental expense on a straight-line basis over the life of the lease and records the difference between the amounts charged to operations and amounts paid as deferred rent. The Company also receives certain lease incentives in conjunction with entering into operating leases. These lease incentives are recorded as deferred rent at the beginning of the lease term and recognized as a reduction of rent expense over the lease term. In addition, certain of the Company’s leases contain future contingent increases in rentals. Such increases in rental expense are recorded in the period that it is probable that store sales will meet or exceed the specified target that triggers contingent rental expense.</w:t>
      </w:r>
    </w:p>
    <w:p>
      <w:pPr>
        <w:spacing w:after="0" w:line="178" w:lineRule="exact"/>
        <w:rPr>
          <w:sz w:val="20"/>
          <w:szCs w:val="20"/>
          <w:color w:val="auto"/>
        </w:rPr>
      </w:pPr>
    </w:p>
    <w:p>
      <w:pPr>
        <w:ind w:left="880" w:hanging="426"/>
        <w:spacing w:after="0"/>
        <w:tabs>
          <w:tab w:leader="none" w:pos="88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Franchises</w:t>
      </w:r>
    </w:p>
    <w:p>
      <w:pPr>
        <w:spacing w:after="0" w:line="225"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The Company defers initial, one-time nonrefundable franchise fees and amortizes them over the initial term of the respective franchise agreements, which extend for periods up to 25 years. The Company’s obligations under the contract are ongoing and include operations and product development support and training, generally concentrated around new store openings. Continuing franchise fees are recognized as revenue as the fees are earned.</w:t>
      </w:r>
    </w:p>
    <w:p>
      <w:pPr>
        <w:spacing w:after="0" w:line="147" w:lineRule="exact"/>
        <w:rPr>
          <w:sz w:val="20"/>
          <w:szCs w:val="20"/>
          <w:color w:val="auto"/>
        </w:rPr>
      </w:pPr>
    </w:p>
    <w:p>
      <w:pPr>
        <w:ind w:left="460"/>
        <w:spacing w:after="0"/>
        <w:tabs>
          <w:tab w:leader="none" w:pos="860" w:val="left"/>
        </w:tabs>
        <w:rPr>
          <w:sz w:val="20"/>
          <w:szCs w:val="20"/>
          <w:color w:val="auto"/>
        </w:rPr>
      </w:pPr>
      <w:r>
        <w:rPr>
          <w:rFonts w:ascii="Arial" w:cs="Arial" w:eastAsia="Arial" w:hAnsi="Arial"/>
          <w:sz w:val="18"/>
          <w:szCs w:val="18"/>
          <w:b w:val="1"/>
          <w:bCs w:val="1"/>
          <w:i w:val="1"/>
          <w:iCs w:val="1"/>
          <w:color w:val="auto"/>
        </w:rPr>
        <w:t>(m)</w:t>
      </w:r>
      <w:r>
        <w:rPr>
          <w:sz w:val="20"/>
          <w:szCs w:val="20"/>
          <w:color w:val="auto"/>
        </w:rPr>
        <w:tab/>
      </w:r>
      <w:r>
        <w:rPr>
          <w:rFonts w:ascii="Arial" w:cs="Arial" w:eastAsia="Arial" w:hAnsi="Arial"/>
          <w:sz w:val="15"/>
          <w:szCs w:val="15"/>
          <w:b w:val="1"/>
          <w:bCs w:val="1"/>
          <w:i w:val="1"/>
          <w:iCs w:val="1"/>
          <w:color w:val="auto"/>
        </w:rPr>
        <w:t>Retail Revenue Recognition</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Net retail sales are net of discounts, exclude sales tax, and are recognized at the time of sale. Shipping and handling costs billed to customers are included in net retail sales.</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Revenues from the sale of gift cards are recognized at the time of redemption. Unredeemed gift cards are included in gift cards and customer deposits on the consolidated balance sheets. The company escheats a portion of unredeemed gift cards according to the escheatment regulations of the relevant authority that generally require remittance of the cost of merchandise portion of unredeemed gift cards over five years old. The difference between the value of gift cards and the amount escheated is recorded as income in the consolidated statement of operations.</w:t>
      </w:r>
    </w:p>
    <w:p>
      <w:pPr>
        <w:spacing w:after="0" w:line="171" w:lineRule="exact"/>
        <w:rPr>
          <w:sz w:val="20"/>
          <w:szCs w:val="20"/>
          <w:color w:val="auto"/>
        </w:rPr>
      </w:pPr>
    </w:p>
    <w:p>
      <w:pPr>
        <w:ind w:right="340" w:firstLine="441"/>
        <w:spacing w:after="0" w:line="286" w:lineRule="auto"/>
        <w:rPr>
          <w:sz w:val="20"/>
          <w:szCs w:val="20"/>
          <w:color w:val="auto"/>
        </w:rPr>
      </w:pPr>
      <w:r>
        <w:rPr>
          <w:rFonts w:ascii="Arial" w:cs="Arial" w:eastAsia="Arial" w:hAnsi="Arial"/>
          <w:sz w:val="17"/>
          <w:szCs w:val="17"/>
          <w:color w:val="auto"/>
        </w:rPr>
        <w:t>The Company has a customer loyalty program, the Stuff Fur Stuff club, whereby guests enroll in the program and receive one point for every dollar spent and receive awards for various discounts on future purchases after achieving defined point thresholds. An estimate of the obligation related to the program, based on historical redemption patterns, is recorded as deferred revenue and a reduction of net retail sales.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0" w:name="page51"/>
    <w:bookmarkEnd w:id="50"/>
    <w:p>
      <w:pPr>
        <w:ind w:right="40" w:firstLine="441"/>
        <w:spacing w:after="0" w:line="302" w:lineRule="auto"/>
        <w:rPr>
          <w:sz w:val="20"/>
          <w:szCs w:val="20"/>
          <w:color w:val="auto"/>
        </w:rPr>
      </w:pPr>
      <w:r>
        <w:rPr>
          <w:rFonts w:ascii="Arial" w:cs="Arial" w:eastAsia="Arial" w:hAnsi="Arial"/>
          <w:sz w:val="16"/>
          <w:szCs w:val="16"/>
          <w:color w:val="auto"/>
        </w:rPr>
        <w:t>For 2013, 2012 and 2011, historical rates for points converting into awards and ultimate award redemption were applied to actual points and awards outstanding at the respective balance sheet date to calculate the liability and corresponding adjustment to net retail sales. Management reviews these patterns and assesses the adequacy of the deferred revenue liability at the end of each fiscal quarter. Due to the estimates involved in these assessments, adjustments to the historical rates are generally made no more often than annually in order to allow time for more definite trends to emerge.</w:t>
      </w:r>
    </w:p>
    <w:p>
      <w:pPr>
        <w:spacing w:after="0" w:line="154"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Based on the assessment at the end of 2013, 2012 and 2011, the deferred revenue liability was adjusted downward by $0.1 million,$0.5 million and $1.5 million, respectively, with corresponding increases to net retail sales, and net loss was decreased by $0.1 million, $0.5 million and $1.5 million, respectively.</w:t>
      </w:r>
    </w:p>
    <w:p>
      <w:pPr>
        <w:spacing w:after="0" w:line="124" w:lineRule="exact"/>
        <w:rPr>
          <w:sz w:val="20"/>
          <w:szCs w:val="20"/>
          <w:color w:val="auto"/>
        </w:rPr>
      </w:pPr>
    </w:p>
    <w:p>
      <w:pPr>
        <w:ind w:left="880" w:hanging="426"/>
        <w:spacing w:after="0"/>
        <w:tabs>
          <w:tab w:leader="none" w:pos="88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Merchandise Sold</w:t>
      </w:r>
    </w:p>
    <w:p>
      <w:pPr>
        <w:spacing w:after="0" w:line="225" w:lineRule="exact"/>
        <w:rPr>
          <w:sz w:val="20"/>
          <w:szCs w:val="20"/>
          <w:color w:val="auto"/>
        </w:rPr>
      </w:pPr>
    </w:p>
    <w:p>
      <w:pPr>
        <w:ind w:right="400" w:firstLine="441"/>
        <w:spacing w:after="0" w:line="264" w:lineRule="auto"/>
        <w:rPr>
          <w:sz w:val="20"/>
          <w:szCs w:val="20"/>
          <w:color w:val="auto"/>
        </w:rPr>
      </w:pPr>
      <w:r>
        <w:rPr>
          <w:rFonts w:ascii="Arial" w:cs="Arial" w:eastAsia="Arial" w:hAnsi="Arial"/>
          <w:sz w:val="18"/>
          <w:szCs w:val="18"/>
          <w:color w:val="auto"/>
        </w:rPr>
        <w:t>Cost of merchandise sold includes the cost of the merchandise, including royalties paid to licensors of third party branded merchandise; store occupancy cost, including store depreciation and store asset impairment charges; cost of warehousing and distribution; packaging; stuffing; damages and shortages; and shipping and handling costs incurred in shipment to customers.</w:t>
      </w:r>
    </w:p>
    <w:p>
      <w:pPr>
        <w:spacing w:after="0" w:line="181" w:lineRule="exact"/>
        <w:rPr>
          <w:sz w:val="20"/>
          <w:szCs w:val="20"/>
          <w:color w:val="auto"/>
        </w:rPr>
      </w:pPr>
    </w:p>
    <w:p>
      <w:pPr>
        <w:ind w:left="880" w:hanging="426"/>
        <w:spacing w:after="0"/>
        <w:tabs>
          <w:tab w:leader="none" w:pos="88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It also includes depreciation and amortization of central office leasehold improvements, furniture, fixtures, and equipment, as well as amortization of trademarks and intellectual property.</w:t>
      </w:r>
    </w:p>
    <w:p>
      <w:pPr>
        <w:spacing w:after="0" w:line="187" w:lineRule="exact"/>
        <w:rPr>
          <w:sz w:val="20"/>
          <w:szCs w:val="20"/>
          <w:color w:val="auto"/>
        </w:rPr>
      </w:pPr>
    </w:p>
    <w:p>
      <w:pPr>
        <w:ind w:left="880" w:hanging="426"/>
        <w:spacing w:after="0"/>
        <w:tabs>
          <w:tab w:leader="none" w:pos="8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Store Preopening Expenses</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Store preopening expenses, including store set-up, certain labor and hiring costs, and rental charges incurred prior to store openings are expensed as incurred and are included in selling, general and administrative expenses.</w:t>
      </w:r>
    </w:p>
    <w:p>
      <w:pPr>
        <w:spacing w:after="0" w:line="170" w:lineRule="exact"/>
        <w:rPr>
          <w:sz w:val="20"/>
          <w:szCs w:val="20"/>
          <w:color w:val="auto"/>
        </w:rPr>
      </w:pPr>
    </w:p>
    <w:p>
      <w:pPr>
        <w:ind w:left="880" w:hanging="426"/>
        <w:spacing w:after="0"/>
        <w:tabs>
          <w:tab w:leader="none" w:pos="88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costs of advertising and marketing programs are charged to operations in the first period the program takes place. Advertising expense was $23.7 million, $23.0 million and $19.3 million for fiscal years 2013, 2012 and 2011, respectively.</w:t>
      </w:r>
    </w:p>
    <w:p>
      <w:pPr>
        <w:spacing w:after="0" w:line="170" w:lineRule="exact"/>
        <w:rPr>
          <w:sz w:val="20"/>
          <w:szCs w:val="20"/>
          <w:color w:val="auto"/>
        </w:rPr>
      </w:pPr>
    </w:p>
    <w:p>
      <w:pPr>
        <w:ind w:left="880" w:hanging="426"/>
        <w:spacing w:after="0"/>
        <w:tabs>
          <w:tab w:leader="none" w:pos="88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Income taxes are accounted for using a balance sheet approach known as the asset and liability method. The asset and liability method accounts for deferred income taxes by applying the statutory tax rates in effect at the date of the consolidated balance sheets to differences between the book basis and the tax basis of assets and liabilities. Deferred taxes are reported on a jurisdictional basis. Noncurrent deferred tax assets are included in other assets, net and noncurrent deferred tax liabilities are included in other liabilities.</w:t>
      </w:r>
    </w:p>
    <w:p>
      <w:pPr>
        <w:spacing w:after="0" w:line="187"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not that a deferred tax asset will be not recovered, a valuation allowance is established.</w:t>
      </w:r>
    </w:p>
    <w:p>
      <w:pPr>
        <w:spacing w:after="0" w:line="171" w:lineRule="exact"/>
        <w:rPr>
          <w:sz w:val="20"/>
          <w:szCs w:val="20"/>
          <w:color w:val="auto"/>
        </w:rPr>
      </w:pPr>
    </w:p>
    <w:p>
      <w:pPr>
        <w:ind w:right="40" w:firstLine="441"/>
        <w:spacing w:after="0" w:line="308" w:lineRule="auto"/>
        <w:rPr>
          <w:sz w:val="20"/>
          <w:szCs w:val="20"/>
          <w:color w:val="auto"/>
        </w:rPr>
      </w:pPr>
      <w:r>
        <w:rPr>
          <w:rFonts w:ascii="Arial" w:cs="Arial" w:eastAsia="Arial" w:hAnsi="Arial"/>
          <w:sz w:val="17"/>
          <w:szCs w:val="17"/>
          <w:color w:val="auto"/>
        </w:rPr>
        <w:t>The Company accounts for its total liability for uncertain tax positions according to the provisions of ASC section 740-10-25. The Company recognizes estimated interest and penalties related to uncertain tax positions in income tax expense. See Note 8—Income Taxes for further discussion.</w:t>
      </w:r>
    </w:p>
    <w:p>
      <w:pPr>
        <w:spacing w:after="0" w:line="147" w:lineRule="exact"/>
        <w:rPr>
          <w:sz w:val="20"/>
          <w:szCs w:val="20"/>
          <w:color w:val="auto"/>
        </w:rPr>
      </w:pPr>
    </w:p>
    <w:p>
      <w:pPr>
        <w:ind w:left="880" w:hanging="426"/>
        <w:spacing w:after="0"/>
        <w:tabs>
          <w:tab w:leader="none" w:pos="880" w:val="left"/>
        </w:tabs>
        <w:numPr>
          <w:ilvl w:val="0"/>
          <w:numId w:val="4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Under the two-class method, basic loss per share is determined by dividing net loss allocated to common stockholders by the weighted average number of common shares outstanding during the period since our participating securities do not contractually participate in losses. Diluted earnings or loss per share reflects the potential dilution that could occur if options to issue common stock were exercised. In periods in which the inclusion of such instruments is anti-dilutive, the effect of such securities is not given consideration.</w:t>
      </w:r>
    </w:p>
    <w:p>
      <w:pPr>
        <w:spacing w:after="0" w:line="187" w:lineRule="exact"/>
        <w:rPr>
          <w:sz w:val="20"/>
          <w:szCs w:val="20"/>
          <w:color w:val="auto"/>
        </w:rPr>
      </w:pPr>
    </w:p>
    <w:p>
      <w:pPr>
        <w:ind w:left="880" w:hanging="426"/>
        <w:spacing w:after="0"/>
        <w:tabs>
          <w:tab w:leader="none" w:pos="880" w:val="left"/>
        </w:tabs>
        <w:numPr>
          <w:ilvl w:val="0"/>
          <w:numId w:val="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 Company has share-based compensation plans covering the majority of its management groups and its Board of Directors. The Company accounts for share-based payments utilizing the fair value recognition provisions of ASC section 718. The Company recognizes compensation cost for equity awards over the requisite service period for the entire award. See Note 12 – Stock Incentive Plans. For fiscal 2013, 2012 and 2011, selling, general and administrative expense includes $2.8 million, $3.6 million and $4.6 million, respectively, of stock-based compensation expense.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880" w:hanging="426"/>
        <w:spacing w:after="0"/>
        <w:tabs>
          <w:tab w:leader="none" w:pos="880" w:val="left"/>
        </w:tabs>
        <w:numPr>
          <w:ilvl w:val="0"/>
          <w:numId w:val="4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is comprised of net loss and foreign currency translation adjustments.</w:t>
      </w:r>
    </w:p>
    <w:p>
      <w:pPr>
        <w:spacing w:after="0" w:line="225" w:lineRule="exact"/>
        <w:rPr>
          <w:sz w:val="20"/>
          <w:szCs w:val="20"/>
          <w:color w:val="auto"/>
        </w:rPr>
      </w:pPr>
    </w:p>
    <w:p>
      <w:pPr>
        <w:ind w:left="880" w:hanging="426"/>
        <w:spacing w:after="0"/>
        <w:tabs>
          <w:tab w:leader="none" w:pos="880" w:val="left"/>
        </w:tabs>
        <w:numPr>
          <w:ilvl w:val="0"/>
          <w:numId w:val="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580" w:firstLine="441"/>
        <w:spacing w:after="0" w:line="308" w:lineRule="auto"/>
        <w:rPr>
          <w:sz w:val="20"/>
          <w:szCs w:val="20"/>
          <w:color w:val="auto"/>
        </w:rPr>
      </w:pPr>
      <w:r>
        <w:rPr>
          <w:rFonts w:ascii="Arial" w:cs="Arial" w:eastAsia="Arial" w:hAnsi="Arial"/>
          <w:sz w:val="17"/>
          <w:szCs w:val="17"/>
          <w:color w:val="auto"/>
        </w:rPr>
        <w:t>For purposes of financial reporting, management has determined that the fair value of financial instruments, including cash and cash equivalents, receivables, accounts payable and accrued expenses, approximates book value at December 28, 2013 and December 29, 2012.</w:t>
      </w:r>
    </w:p>
    <w:p>
      <w:pPr>
        <w:spacing w:after="0" w:line="147" w:lineRule="exact"/>
        <w:rPr>
          <w:sz w:val="20"/>
          <w:szCs w:val="20"/>
          <w:color w:val="auto"/>
        </w:rPr>
      </w:pPr>
    </w:p>
    <w:p>
      <w:pPr>
        <w:ind w:left="880" w:hanging="426"/>
        <w:spacing w:after="0"/>
        <w:tabs>
          <w:tab w:leader="none" w:pos="880" w:val="left"/>
        </w:tabs>
        <w:numPr>
          <w:ilvl w:val="0"/>
          <w:numId w:val="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60" w:firstLine="441"/>
        <w:spacing w:after="0" w:line="286"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not limited to, challenging economic conditions. Accordingly, future estimates may change significantly.</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Significant items subject to such estimates and assumptions include the valuation of long-lived assets, including trade credits and deferred income tax assets, inventories, and the determination of deferred revenue under the Company’s customer loyalty program.</w:t>
      </w:r>
    </w:p>
    <w:p>
      <w:pPr>
        <w:spacing w:after="0" w:line="184" w:lineRule="exact"/>
        <w:rPr>
          <w:sz w:val="20"/>
          <w:szCs w:val="20"/>
          <w:color w:val="auto"/>
        </w:rPr>
      </w:pPr>
    </w:p>
    <w:p>
      <w:pPr>
        <w:ind w:left="880" w:hanging="426"/>
        <w:spacing w:after="0"/>
        <w:tabs>
          <w:tab w:leader="none" w:pos="88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Sales Tax Policy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revenues in the consolidated statement of operations are net of sales taxes.</w:t>
      </w:r>
    </w:p>
    <w:p>
      <w:pPr>
        <w:spacing w:after="0" w:line="225" w:lineRule="exact"/>
        <w:rPr>
          <w:sz w:val="20"/>
          <w:szCs w:val="20"/>
          <w:color w:val="auto"/>
        </w:rPr>
      </w:pPr>
    </w:p>
    <w:p>
      <w:pPr>
        <w:ind w:left="880" w:hanging="426"/>
        <w:spacing w:after="0"/>
        <w:tabs>
          <w:tab w:leader="none" w:pos="88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Assets and liabilities of the Company’s foreign operations with functional currencies other than the U.S. dollar are translated at the exchange rate in effect at the balance sheet date, while revenues and expenses are translated at average rates prevailing during the years. Translation adjustments are reported in accumulated other comprehensive income, a separate component of stockholders’ equity.</w:t>
      </w:r>
    </w:p>
    <w:p>
      <w:pPr>
        <w:spacing w:after="0" w:line="181" w:lineRule="exact"/>
        <w:rPr>
          <w:sz w:val="20"/>
          <w:szCs w:val="20"/>
          <w:color w:val="auto"/>
        </w:rPr>
      </w:pPr>
    </w:p>
    <w:p>
      <w:pPr>
        <w:ind w:left="880" w:hanging="426"/>
        <w:spacing w:after="0"/>
        <w:tabs>
          <w:tab w:leader="none" w:pos="88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in Affiliate</w:t>
      </w:r>
    </w:p>
    <w:p>
      <w:pPr>
        <w:spacing w:after="0" w:line="225" w:lineRule="exact"/>
        <w:rPr>
          <w:sz w:val="20"/>
          <w:szCs w:val="20"/>
          <w:color w:val="auto"/>
        </w:rPr>
      </w:pPr>
    </w:p>
    <w:p>
      <w:pPr>
        <w:ind w:right="240" w:firstLine="486"/>
        <w:spacing w:after="0" w:line="273" w:lineRule="auto"/>
        <w:rPr>
          <w:sz w:val="20"/>
          <w:szCs w:val="20"/>
          <w:color w:val="auto"/>
        </w:rPr>
      </w:pPr>
      <w:r>
        <w:rPr>
          <w:rFonts w:ascii="Arial" w:cs="Arial" w:eastAsia="Arial" w:hAnsi="Arial"/>
          <w:sz w:val="17"/>
          <w:szCs w:val="17"/>
          <w:color w:val="auto"/>
        </w:rPr>
        <w:t>The Company holds a minority interest in Ridemakerz, LLC of approximately 21%, which is accounted for under the equity method. In 2009, the carrying value of this investment was reduced to $-0-. No income or loss allocations, impairments or other charges related to Ridemakerz were recorded in fiscal 2013 or 2011. In 2012, certain investors exercised a put option on 1.25 million shares, requiring an additional investment of $0.5 million, which was immediately impaired and included in selling, general and administrative expenses as a component of net loss before income taxes in the Retail segment. Under the current agreements, the Company could, at its discretion, own up to approximately 28% of fully diluted equity in Ridemakerz. The Company has no further obligations relating to its investment in Ridemakerz.</w:t>
      </w:r>
    </w:p>
    <w:p>
      <w:pPr>
        <w:spacing w:after="0" w:line="20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Prepaid Expenses and Other Assets</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Prepaid income taxes</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7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11,547</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14,216</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00" w:type="dxa"/>
            <w:vAlign w:val="bottom"/>
            <w:vMerge w:val="restart"/>
          </w:tcPr>
          <w:p>
            <w:pPr>
              <w:jc w:val="right"/>
              <w:ind w:right="1770"/>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000" w:type="dxa"/>
            <w:vAlign w:val="bottom"/>
            <w:shd w:val="clear" w:color="auto" w:fill="808080"/>
          </w:tcPr>
          <w:p>
            <w:pPr>
              <w:spacing w:after="0"/>
              <w:rPr>
                <w:sz w:val="5"/>
                <w:szCs w:val="5"/>
                <w:color w:val="auto"/>
              </w:rPr>
            </w:pPr>
          </w:p>
        </w:tc>
        <w:tc>
          <w:tcPr>
            <w:tcW w:w="35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52" w:name="page53"/>
    <w:bookmarkEnd w:id="52"/>
    <w:p>
      <w:pPr>
        <w:ind w:left="440" w:hanging="432"/>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(in thousands):</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Building</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14,970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Computer software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40,943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247,675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260,593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177,512</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189,134</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70,163</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71,459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2013, 2012 and 2011, depreciation expense was $18.6 million, $20.4 million and $22.8 million, respectively.</w:t>
      </w:r>
    </w:p>
    <w:p>
      <w:pPr>
        <w:spacing w:after="0" w:line="22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In 2012, the Company made the decision to close a number of stores. The Company considers a more likely than not assessment that an individual location will close as a triggering event to review the store asset group for recoverability. As a result of these reviews, it was determined that certain stores would not be able to recover the carrying value of store leasehold improvements through expected undiscounted cash flows over the shortened remaining life of the related assets. Accordingly, the carrying value of the assets was reduced to fair value, calculated as the net present value of estimated future cash flows for each asset group, and asset impairment charges of $1.0 million and $0.9 million were recorded in fiscal 2013 and fiscal 2012, respectively, which are included in selling, general and administrative expenses as a component of net loss before income taxes in the Retail segment. Any remaining net book value is depreciated over the shortened expected life. The inputs used to determine the fair value of the assets are Level 3 fair value inputs as defined by ASC section 820-10.</w:t>
      </w:r>
    </w:p>
    <w:p>
      <w:pPr>
        <w:spacing w:after="0" w:line="179"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During 2013, the Company reviewed the operating performance and forecasts of future performance for the stores in its Retail segment. As a result of that review, it was determined that several stores would not be able to recover the carrying value of certain store leasehold improvements through expected undiscounted cash flows over the remaining life of the related assets. Accordingly, the carrying value of the assets was reduced to fair value, calculated as the net present value of estimated future cash flows for each asset group, and asset impairment charges of $0.1 million were recorded in the fourth quarter of fiscal 2013, which are included in cost of merchandise sold as a component of net loss before income taxes in the Retail segment. The inputs used to determine the fair value of the assets are Level 3 fair value inputs as defined by ASC section 820-10. In the event that we decide to close any or all of these stores in the future, we may be required to record additional impairments, lease termination charges, severance charges and other charges. The Company recorded asset impairment charges of $1.4 million in the fourth quarter of fiscal 2012 and $0.4 million in the fourth quarter of fiscal 2011.</w:t>
      </w:r>
    </w:p>
    <w:p>
      <w:pPr>
        <w:spacing w:after="0" w:line="216"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Intangible Assets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Other intangible assets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other intellectual property</w:t>
            </w:r>
          </w:p>
        </w:tc>
        <w:tc>
          <w:tcPr>
            <w:tcW w:w="1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1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Trademarks and intellectual property are amortized over three years. Amortization expense related to trademarks and intellectual property was $0.4 million, $0.7 million and $0.9 million in 2013, 2012 and 2011, respectively.</w:t>
      </w:r>
    </w:p>
    <w:p>
      <w:pPr>
        <w:spacing w:after="0" w:line="166"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2010, certain other non-current assets were obtained through a series of wholesale transactions whereby the Company exchanged $6.4 million of inventory, at cost, with a third-party vendor for $4.9 million of trade credits and $1.5 million in cash. The transaction was accounted for based upon the fair values of the assets involved in the transaction. In accordance with Accounting Standards Codification (ASC) Section 845-10, in an exchange transaction for trade credits, the fair value of the asset being surrendered cannot exceed its carrying value, meaning that the sale of the inventory was recorded at its cost in the Commercial segment. The trade credits expire in 2015.</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3" w:name="page54"/>
    <w:bookmarkEnd w:id="53"/>
    <w:p>
      <w:pPr>
        <w:ind w:right="100" w:firstLine="486"/>
        <w:spacing w:after="0" w:line="291" w:lineRule="auto"/>
        <w:rPr>
          <w:sz w:val="20"/>
          <w:szCs w:val="20"/>
          <w:color w:val="auto"/>
        </w:rPr>
      </w:pPr>
      <w:r>
        <w:rPr>
          <w:rFonts w:ascii="Arial" w:cs="Arial" w:eastAsia="Arial" w:hAnsi="Arial"/>
          <w:sz w:val="16"/>
          <w:szCs w:val="16"/>
          <w:color w:val="auto"/>
        </w:rPr>
        <w:t>The Company evaluated its trade credits to determine if an impairment existed at December 28, 2013. Based on current utilization expectations, the Company determined that the full value of the asset was not recoverable. Accordingly, the carrying value of the trade credits was reduced to fair value, calculated as the expected present value of estimated future utilization. An impairment charge of $0.3 million was recorded in the fiscal 2013 fourth quarter and is included in selling, general and administrative expenses as a component of net income before income taxes in the Commercial segment. The inputs used to determine the fair value of the asset are level 3 fair value inputs as defined by ASC 820-10. As of December 28, 2013 and December 29, 2012, $0.7 million and $0.7 million, respectively was included in prepaid expenses and other current assets and $0.4 million and $1.2 million, respectively, was included in other assets, net, related to these credits. An impairment charge of $2.2 million was recorded in the fiscal 2012 fourth quarter.</w:t>
      </w:r>
    </w:p>
    <w:p>
      <w:pPr>
        <w:spacing w:after="0" w:line="163" w:lineRule="exact"/>
        <w:rPr>
          <w:sz w:val="20"/>
          <w:szCs w:val="20"/>
          <w:color w:val="auto"/>
        </w:rPr>
      </w:pPr>
    </w:p>
    <w:p>
      <w:pPr>
        <w:ind w:left="440" w:hanging="432"/>
        <w:spacing w:after="0"/>
        <w:tabs>
          <w:tab w:leader="none" w:pos="4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Sales tax payable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ind w:left="440" w:hanging="432"/>
        <w:spacing w:after="0"/>
        <w:tabs>
          <w:tab w:leader="none" w:pos="4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5"/>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Federal</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11,592</w:t>
            </w:r>
          </w:p>
        </w:tc>
      </w:tr>
      <w:tr>
        <w:trPr>
          <w:trHeight w:val="216"/>
        </w:trPr>
        <w:tc>
          <w:tcPr>
            <w:tcW w:w="6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w:t>
            </w:r>
          </w:p>
        </w:tc>
      </w:tr>
      <w:tr>
        <w:trPr>
          <w:trHeight w:val="216"/>
        </w:trPr>
        <w:tc>
          <w:tcPr>
            <w:tcW w:w="6400" w:type="dxa"/>
            <w:vAlign w:val="bottom"/>
          </w:tcPr>
          <w:p>
            <w:pPr>
              <w:ind w:left="180"/>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0"/>
        </w:trPr>
        <w:tc>
          <w:tcPr>
            <w:tcW w:w="64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 (benefit)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w:t>
            </w:r>
          </w:p>
        </w:tc>
        <w:tc>
          <w:tcPr>
            <w:tcW w:w="100" w:type="dxa"/>
            <w:vAlign w:val="bottom"/>
            <w:shd w:val="clear" w:color="auto" w:fill="CCEEFF"/>
          </w:tcPr>
          <w:p>
            <w:pPr>
              <w:spacing w:after="0"/>
              <w:rPr>
                <w:sz w:val="19"/>
                <w:szCs w:val="19"/>
                <w:color w:val="auto"/>
              </w:rPr>
            </w:pP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between the statutory federal income tax rate and the effective income tax rate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(2,118)</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(48,429)</w:t>
            </w: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 (benefit) at statutory federal rate</w:t>
            </w:r>
          </w:p>
        </w:tc>
        <w:tc>
          <w:tcPr>
            <w:tcW w:w="144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 - Goodwill impairment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11,448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3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4,739</w:t>
            </w: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15,565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Effect of lower foreign taxes</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Release of state tax reserves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1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380" w:type="dxa"/>
            <w:vAlign w:val="bottom"/>
            <w:gridSpan w:val="2"/>
          </w:tcPr>
          <w:p>
            <w:pPr>
              <w:jc w:val="right"/>
              <w:ind w:right="785"/>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Effective tax rate</w:t>
            </w:r>
          </w:p>
        </w:tc>
        <w:tc>
          <w:tcPr>
            <w:tcW w:w="1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(543.4)%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7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54" w:name="page55"/>
    <w:bookmarkEnd w:id="54"/>
    <w:p>
      <w:pPr>
        <w:ind w:left="440"/>
        <w:spacing w:after="0"/>
        <w:rPr>
          <w:sz w:val="20"/>
          <w:szCs w:val="20"/>
          <w:color w:val="auto"/>
        </w:rPr>
      </w:pPr>
      <w:r>
        <w:rPr>
          <w:rFonts w:ascii="Arial" w:cs="Arial" w:eastAsia="Arial" w:hAnsi="Arial"/>
          <w:sz w:val="18"/>
          <w:szCs w:val="18"/>
          <w:color w:val="auto"/>
        </w:rPr>
        <w:t>Temporary differences that gave rise to deferred tax assets and liabilities are as follows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4,516</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4,676</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4,336</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2,089</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Carryforward of tax credits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4,585</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Receivable and investment write-offs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r>
      <w:tr>
        <w:trPr>
          <w:trHeight w:val="20"/>
        </w:trPr>
        <w:tc>
          <w:tcPr>
            <w:tcW w:w="7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24,114</w:t>
            </w: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Valuation allowance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20,865</w:t>
            </w:r>
          </w:p>
        </w:tc>
      </w:tr>
      <w:tr>
        <w:trPr>
          <w:trHeight w:val="20"/>
        </w:trPr>
        <w:tc>
          <w:tcPr>
            <w:tcW w:w="73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30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3,249</w:t>
            </w:r>
          </w:p>
        </w:tc>
      </w:tr>
      <w:tr>
        <w:trPr>
          <w:trHeight w:val="210"/>
        </w:trPr>
        <w:tc>
          <w:tcPr>
            <w:tcW w:w="73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(3,106)</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(2,321)</w:t>
            </w:r>
          </w:p>
        </w:tc>
      </w:tr>
      <w:tr>
        <w:trPr>
          <w:trHeight w:val="210"/>
        </w:trPr>
        <w:tc>
          <w:tcPr>
            <w:tcW w:w="7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300" w:type="dxa"/>
            <w:vAlign w:val="bottom"/>
          </w:tcPr>
          <w:p>
            <w:pPr>
              <w:ind w:left="320"/>
              <w:spacing w:after="0"/>
              <w:rPr>
                <w:sz w:val="20"/>
                <w:szCs w:val="20"/>
                <w:color w:val="auto"/>
              </w:rPr>
            </w:pPr>
            <w:r>
              <w:rPr>
                <w:rFonts w:ascii="Arial" w:cs="Arial" w:eastAsia="Arial" w:hAnsi="Arial"/>
                <w:sz w:val="18"/>
                <w:szCs w:val="18"/>
                <w:color w:val="auto"/>
              </w:rPr>
              <w:t>Net deferred tax asset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873</w:t>
            </w:r>
          </w:p>
        </w:tc>
        <w:tc>
          <w:tcPr>
            <w:tcW w:w="1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928</w:t>
            </w:r>
          </w:p>
        </w:tc>
      </w:tr>
      <w:tr>
        <w:trPr>
          <w:trHeight w:val="20"/>
        </w:trPr>
        <w:tc>
          <w:tcPr>
            <w:tcW w:w="7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evaluate the realizability of our deferred tax assets on a quarterly basis. The Company performed an analysis of all available evidence, both positive and negative, consistent with the provisions under the Income Taxes topic of the ASC. Some of the evidence evaluated includes our historical operating performance, the macroeconomic factors contributing to the recent fiscal loss and our forecast of future taxable income, including the availability of prudent and feasible tax planning strategies. In fiscal 2013, the Company remained in a three-year cumulative loss position, which represents negative evidence. The three-year cumulative loss is a significant piece of negative evidence and while management believes that it is primarily a result of losses that were primarily attributable to the recent significant economic conditions and not an indication of continuing operations, ASC 740 requires that objective historical evidence be given more weight than subjective evidence, such as forecasts of future income. Accordingly, in fiscal 2013, the Company continues to maintain a valuation allowance on most of its deferred tax assets. The valuation allowance on deferred tax assets will continue to fluctuate as a result of temporary differences between the financial reporting and tax basis of the assets and liabilities as well as the generation of net operating loss and tax credit carryforwards.</w:t>
      </w:r>
    </w:p>
    <w:p>
      <w:pPr>
        <w:spacing w:after="0" w:line="195" w:lineRule="exact"/>
        <w:rPr>
          <w:sz w:val="20"/>
          <w:szCs w:val="20"/>
          <w:color w:val="auto"/>
        </w:rPr>
      </w:pPr>
    </w:p>
    <w:p>
      <w:pPr>
        <w:ind w:right="40" w:firstLine="486"/>
        <w:spacing w:after="0" w:line="302" w:lineRule="auto"/>
        <w:rPr>
          <w:sz w:val="20"/>
          <w:szCs w:val="20"/>
          <w:color w:val="auto"/>
        </w:rPr>
      </w:pPr>
      <w:r>
        <w:rPr>
          <w:rFonts w:ascii="Arial" w:cs="Arial" w:eastAsia="Arial" w:hAnsi="Arial"/>
          <w:sz w:val="16"/>
          <w:szCs w:val="16"/>
          <w:color w:val="auto"/>
        </w:rPr>
        <w:t>Included in the deferred tax asset is $6.5 million related to federal, state and foreign net operating loss carryforwards for which a valuation allowance of $6.5 million has been recorded. US federal net operating loss carryforwards total $14.0 million as of December 28, 2013, and expire in 2032 and 2033. As of December 28, 2013, foreign net operating loss carry forwards total $2.0 million, of which $1.2 million expire in 2034 and $0.8 million do not expire. Also included in the deferred tax asset is $5.5 million related to tax credits for which a valuation allowance of $5.5 million has been recorded.</w:t>
      </w:r>
    </w:p>
    <w:p>
      <w:pPr>
        <w:spacing w:after="0" w:line="154"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Income taxes and remittance taxes have not been recorded on approximately $8.0 million of undistributed earnings of foreign operations of the Company, because the Company intends to reinvest those earnings indefinitely. It is not practicable to estimate the income tax liability that might be incurred if such earnings were remitted to the United States.</w:t>
      </w:r>
    </w:p>
    <w:p>
      <w:pPr>
        <w:spacing w:after="0" w:line="18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Company had total unrecognized tax benefits of $0.2 million as of December 28, 2013 and December 29, 2012. The Company reviews its uncertain tax positions periodically and accrues interest and penalties accordingly in income tax expense.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5" w:name="page56"/>
    <w:bookmarkEnd w:id="55"/>
    <w:p>
      <w:pPr>
        <w:ind w:left="500"/>
        <w:spacing w:after="0"/>
        <w:rPr>
          <w:sz w:val="20"/>
          <w:szCs w:val="20"/>
          <w:color w:val="auto"/>
        </w:rPr>
      </w:pPr>
      <w:r>
        <w:rPr>
          <w:rFonts w:ascii="Arial" w:cs="Arial" w:eastAsia="Arial" w:hAnsi="Arial"/>
          <w:sz w:val="16"/>
          <w:szCs w:val="16"/>
          <w:color w:val="auto"/>
        </w:rPr>
        <w:t>A reconciliation of the beginning and ending amount of unrecognized tax benefits is as follows (in thousands):</w:t>
      </w:r>
    </w:p>
    <w:p>
      <w:pPr>
        <w:spacing w:after="0" w:line="200" w:lineRule="exact"/>
        <w:rPr>
          <w:sz w:val="20"/>
          <w:szCs w:val="20"/>
          <w:color w:val="auto"/>
        </w:rPr>
      </w:pP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Lapse of statute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29, 2012</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Lapse of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8"/>
          <w:szCs w:val="18"/>
          <w:color w:val="auto"/>
        </w:rPr>
        <w:t>Audit settlement release</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Addition to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as of December 28,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Tax Reserve</w:t>
      </w:r>
    </w:p>
    <w:p>
      <w:pPr>
        <w:spacing w:after="0" w:line="23" w:lineRule="exact"/>
        <w:rPr>
          <w:sz w:val="20"/>
          <w:szCs w:val="20"/>
          <w:color w:val="auto"/>
        </w:rPr>
      </w:pPr>
    </w:p>
    <w:p>
      <w:pPr>
        <w:ind w:left="920" w:hanging="911"/>
        <w:spacing w:after="0"/>
        <w:tabs>
          <w:tab w:leader="none" w:pos="9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213</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6"/>
          <w:szCs w:val="16"/>
          <w:color w:val="auto"/>
        </w:rPr>
        <w:t>(28)</w:t>
      </w:r>
    </w:p>
    <w:p>
      <w:pPr>
        <w:spacing w:after="0" w:line="32"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-551180</wp:posOffset>
            </wp:positionV>
            <wp:extent cx="7543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3"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(139)</w:t>
      </w:r>
    </w:p>
    <w:p>
      <w:pPr>
        <w:spacing w:after="0" w:line="9"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1180"/>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ind w:left="1020" w:hanging="1011"/>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7543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31750</wp:posOffset>
            </wp:positionV>
            <wp:extent cx="7543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460" w:space="540"/>
            <w:col w:w="2380"/>
          </w:cols>
          <w:pgMar w:left="240" w:top="584" w:right="279" w:bottom="1440" w:gutter="0" w:footer="0" w:header="0"/>
        </w:sectPr>
      </w:pPr>
    </w:p>
    <w:p>
      <w:pPr>
        <w:spacing w:after="0" w:line="7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As of December 28, 2013, approximately $0.2 million of the unrecognized tax benefits would impact the Company’s provision for income taxes and effective tax rate if recognized. Management estimates that it is reasonably possible that the total amount of uncertain tax benefits could decrease by as much as $0.1 million within the next 12 months, primarily as a result of the resolution of audits currently in progress and the lapsing of the statute of limitations in certain jurisdictions.</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The Company’s income before income taxes from domestic and foreign operations (which include the United Kingdom, Canada, France and Ireland), are as follows (in thousands):</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0"/>
              </w:rPr>
              <w:t>(11,550)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26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(36,879)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0"/>
              </w:rPr>
              <w:t>(48,429)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tax years remain open in the Company’s major taxing jurisdictions as of December 28,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(Federal)</w:t>
            </w:r>
          </w:p>
        </w:tc>
        <w:tc>
          <w:tcPr>
            <w:tcW w:w="4420" w:type="dxa"/>
            <w:vAlign w:val="bottom"/>
            <w:shd w:val="clear" w:color="auto" w:fill="CCEEFF"/>
          </w:tcPr>
          <w:p>
            <w:pPr>
              <w:ind w:left="3040"/>
              <w:spacing w:after="0"/>
              <w:rPr>
                <w:sz w:val="20"/>
                <w:szCs w:val="20"/>
                <w:color w:val="auto"/>
              </w:rPr>
            </w:pPr>
            <w:r>
              <w:rPr>
                <w:rFonts w:ascii="Arial" w:cs="Arial" w:eastAsia="Arial" w:hAnsi="Arial"/>
                <w:sz w:val="18"/>
                <w:szCs w:val="18"/>
                <w:color w:val="auto"/>
                <w:w w:val="89"/>
              </w:rPr>
              <w:t>2010 through 2013</w:t>
            </w: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United Kingdom</w:t>
            </w:r>
          </w:p>
        </w:tc>
        <w:tc>
          <w:tcPr>
            <w:tcW w:w="4420" w:type="dxa"/>
            <w:vAlign w:val="bottom"/>
          </w:tcPr>
          <w:p>
            <w:pPr>
              <w:ind w:left="3040"/>
              <w:spacing w:after="0"/>
              <w:rPr>
                <w:sz w:val="20"/>
                <w:szCs w:val="20"/>
                <w:color w:val="auto"/>
              </w:rPr>
            </w:pPr>
            <w:r>
              <w:rPr>
                <w:rFonts w:ascii="Arial" w:cs="Arial" w:eastAsia="Arial" w:hAnsi="Arial"/>
                <w:sz w:val="18"/>
                <w:szCs w:val="18"/>
                <w:color w:val="auto"/>
                <w:w w:val="89"/>
              </w:rPr>
              <w:t>2007 through 2013</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4420" w:type="dxa"/>
            <w:vAlign w:val="bottom"/>
            <w:shd w:val="clear" w:color="auto" w:fill="CCEEFF"/>
          </w:tcPr>
          <w:p>
            <w:pPr>
              <w:ind w:left="3040"/>
              <w:spacing w:after="0"/>
              <w:rPr>
                <w:sz w:val="20"/>
                <w:szCs w:val="20"/>
                <w:color w:val="auto"/>
              </w:rPr>
            </w:pPr>
            <w:r>
              <w:rPr>
                <w:rFonts w:ascii="Arial" w:cs="Arial" w:eastAsia="Arial" w:hAnsi="Arial"/>
                <w:sz w:val="18"/>
                <w:szCs w:val="18"/>
                <w:color w:val="auto"/>
                <w:w w:val="89"/>
              </w:rPr>
              <w:t>2010 through 2013</w:t>
            </w: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Ireland</w:t>
            </w:r>
          </w:p>
        </w:tc>
        <w:tc>
          <w:tcPr>
            <w:tcW w:w="4420" w:type="dxa"/>
            <w:vAlign w:val="bottom"/>
          </w:tcPr>
          <w:p>
            <w:pPr>
              <w:ind w:left="3040"/>
              <w:spacing w:after="0"/>
              <w:rPr>
                <w:sz w:val="20"/>
                <w:szCs w:val="20"/>
                <w:color w:val="auto"/>
              </w:rPr>
            </w:pPr>
            <w:r>
              <w:rPr>
                <w:rFonts w:ascii="Arial" w:cs="Arial" w:eastAsia="Arial" w:hAnsi="Arial"/>
                <w:sz w:val="18"/>
                <w:szCs w:val="18"/>
                <w:color w:val="auto"/>
                <w:w w:val="89"/>
              </w:rPr>
              <w:t>2008 through 2013</w:t>
            </w:r>
          </w:p>
        </w:tc>
      </w:tr>
    </w:tbl>
    <w:p>
      <w:pPr>
        <w:spacing w:after="0" w:line="210"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As of December 28, 2013, the Company has a bank line of credit that provides borrowing capacity of $35 million. Borrowings under the credit agreement are secured by our assets and a pledge of 65% of the Company’s ownership interest in foreign subsidiaries. The credit agreement contains various restrictions on indebtedness, liens, guarantees, redemptions, mergers, acquisitions or sale of assets, loans, transactions with affiliates, and investments. It prohibits the Company from declaring dividends without the bank’s prior consent, unless such payment of dividends would not violate any terms of the credit agreement. The Company is also prohibited from repurchasing shares of its common stock unless such purchase would not violate any terms of the credit agreement; the Company may not use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On January 22, 2014, the Company amended the existing credit agreement, extending the term to December 31, 2015 and increasing the fixed charge coverage ratio. As of December 28, 2013: (i) the Company was in compliance with these covenants; (ii) there were no borrowings under the line of credit; and (iii) there was a standby letter of credit of approximately $1.1 million outstanding under the credit agreement. Giving effect to this standby letter of credit, there was approximately $33.9 million available for borrowing under the line of credit.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type w:val="continuous"/>
        </w:sectPr>
      </w:pPr>
    </w:p>
    <w:bookmarkStart w:id="56" w:name="page57"/>
    <w:bookmarkEnd w:id="56"/>
    <w:p>
      <w:pPr>
        <w:ind w:left="440" w:hanging="432"/>
        <w:spacing w:after="0"/>
        <w:tabs>
          <w:tab w:leader="none" w:pos="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880" w:hanging="426"/>
        <w:spacing w:after="0"/>
        <w:tabs>
          <w:tab w:leader="none" w:pos="880" w:val="left"/>
        </w:tabs>
        <w:numPr>
          <w:ilvl w:val="1"/>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0" w:firstLine="441"/>
        <w:spacing w:after="0" w:line="312" w:lineRule="auto"/>
        <w:rPr>
          <w:sz w:val="20"/>
          <w:szCs w:val="20"/>
          <w:color w:val="auto"/>
        </w:rPr>
      </w:pPr>
      <w:r>
        <w:rPr>
          <w:rFonts w:ascii="Arial" w:cs="Arial" w:eastAsia="Arial" w:hAnsi="Arial"/>
          <w:sz w:val="16"/>
          <w:szCs w:val="16"/>
          <w:color w:val="auto"/>
        </w:rPr>
        <w:t>The Company leases its retail stores and corporate offices under agreements which expire at various dates through 2030. The majority of leases contain provisions for base rent plus contingent payments based on defined sales as well as scheduled escalations. Total office and retail store base rent expense was $46.5 million, $48.2 million and $48.2 million, and contingent rents were $1.3 million, $1.2 million and $1.2 million for 2013, 2012 and 2011, respectively.</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Future minimum lease payments at December 28, 2013, were as follows (in thousands):</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 w:type="dxa"/>
            <w:vAlign w:val="bottom"/>
            <w:vMerge w:val="restart"/>
          </w:tcPr>
          <w:p>
            <w:pPr>
              <w:spacing w:after="0"/>
              <w:rPr>
                <w:sz w:val="21"/>
                <w:szCs w:val="21"/>
                <w:color w:val="auto"/>
              </w:rPr>
            </w:pPr>
          </w:p>
        </w:tc>
        <w:tc>
          <w:tcPr>
            <w:tcW w:w="6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2015</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2017</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Subsequent to 2018</w:t>
            </w:r>
          </w:p>
        </w:tc>
        <w:tc>
          <w:tcPr>
            <w:tcW w:w="1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200,769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80" w:hanging="426"/>
        <w:spacing w:after="0"/>
        <w:tabs>
          <w:tab w:leader="none" w:pos="88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In the normal course of business, the Company is subject to certain claims or lawsuits. Except as noted below, management is not aware of any claims or lawsuits that may have a material adverse effect on the consolidated financial position or results of operations of the Company.</w:t>
      </w:r>
    </w:p>
    <w:p>
      <w:pPr>
        <w:spacing w:after="0" w:line="14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December 28, 2013, $2.9 million had been paid in respect of the disputed duty and is included in receivables in the Retail segment.</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57" w:name="page58"/>
    <w:bookmarkEnd w:id="57"/>
    <w:p>
      <w:pPr>
        <w:spacing w:after="0"/>
        <w:tabs>
          <w:tab w:leader="none" w:pos="4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Loss Per Share</w:t>
      </w:r>
    </w:p>
    <w:p>
      <w:pPr>
        <w:spacing w:after="0" w:line="229"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The Company uses the two-class method to compute basic and diluted earnings per common share. In periods of net loss, no effect is given to the Company’s participating securities as they do not contractually participate in the losses of the Company. The following table sets forth the computation of basic and diluted earnings per share (in thousands, except share and per share data):</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(49,295)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(17,062)</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16,465,138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16,331,672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17,371,315</w:t>
            </w:r>
          </w:p>
        </w:tc>
        <w:tc>
          <w:tcPr>
            <w:tcW w:w="0" w:type="dxa"/>
            <w:vAlign w:val="bottom"/>
          </w:tcPr>
          <w:p>
            <w:pPr>
              <w:spacing w:after="0"/>
              <w:rPr>
                <w:sz w:val="1"/>
                <w:szCs w:val="1"/>
                <w:color w:val="auto"/>
              </w:rPr>
            </w:pPr>
          </w:p>
        </w:tc>
      </w:tr>
      <w:tr>
        <w:trPr>
          <w:trHeight w:val="216"/>
        </w:trPr>
        <w:tc>
          <w:tcPr>
            <w:tcW w:w="576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16,465,138</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16,331,672</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17,371,315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760" w:type="dxa"/>
            <w:vAlign w:val="bottom"/>
          </w:tcPr>
          <w:p>
            <w:pPr>
              <w:spacing w:after="0" w:line="182" w:lineRule="exact"/>
              <w:rPr>
                <w:sz w:val="20"/>
                <w:szCs w:val="20"/>
                <w:color w:val="auto"/>
              </w:rPr>
            </w:pPr>
            <w:r>
              <w:rPr>
                <w:rFonts w:ascii="Arial" w:cs="Arial" w:eastAsia="Arial" w:hAnsi="Arial"/>
                <w:sz w:val="18"/>
                <w:szCs w:val="18"/>
                <w:color w:val="auto"/>
                <w:w w:val="97"/>
              </w:rPr>
              <w:t>Basic loss per common share attributable to Build-A-Bear Workshop, Inc.,</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(0.13)</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(3.02)</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90"/>
        </w:trPr>
        <w:tc>
          <w:tcPr>
            <w:tcW w:w="5760" w:type="dxa"/>
            <w:vAlign w:val="bottom"/>
          </w:tcPr>
          <w:p>
            <w:pPr>
              <w:ind w:left="160"/>
              <w:spacing w:after="0" w:line="190" w:lineRule="exact"/>
              <w:rPr>
                <w:sz w:val="20"/>
                <w:szCs w:val="20"/>
                <w:color w:val="auto"/>
              </w:rPr>
            </w:pPr>
            <w:r>
              <w:rPr>
                <w:rFonts w:ascii="Arial" w:cs="Arial" w:eastAsia="Arial" w:hAnsi="Arial"/>
                <w:sz w:val="18"/>
                <w:szCs w:val="18"/>
                <w:color w:val="auto"/>
              </w:rPr>
              <w:t>stockholders</w:t>
            </w:r>
          </w:p>
        </w:tc>
        <w:tc>
          <w:tcPr>
            <w:tcW w:w="3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Diluted loss per common share attributable to Build-A-Bear Workshop, Inc.,</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(0.13)</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(3.02)</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0"/>
        </w:trPr>
        <w:tc>
          <w:tcPr>
            <w:tcW w:w="576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stockholders</w:t>
            </w:r>
          </w:p>
        </w:tc>
        <w:tc>
          <w:tcPr>
            <w:tcW w:w="30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calculating diluted earnings per share for fiscal 2013, 2012 and 2011, options to purchase 1,065,012; 1,155,239 and 1,210,816, respectively, shares of common stock were outstanding at the end of the period, but were not included in the computation of diluted earnings per share due to their anti-dilutive effect under provisions of ASC 260-10.</w:t>
      </w:r>
    </w:p>
    <w:p>
      <w:pPr>
        <w:spacing w:after="0" w:line="181" w:lineRule="exact"/>
        <w:rPr>
          <w:sz w:val="20"/>
          <w:szCs w:val="20"/>
          <w:color w:val="auto"/>
        </w:rPr>
      </w:pPr>
    </w:p>
    <w:p>
      <w:pPr>
        <w:ind w:right="420" w:firstLine="441"/>
        <w:spacing w:after="0" w:line="342" w:lineRule="auto"/>
        <w:rPr>
          <w:sz w:val="20"/>
          <w:szCs w:val="20"/>
          <w:color w:val="auto"/>
        </w:rPr>
      </w:pPr>
      <w:r>
        <w:rPr>
          <w:rFonts w:ascii="Arial" w:cs="Arial" w:eastAsia="Arial" w:hAnsi="Arial"/>
          <w:sz w:val="16"/>
          <w:szCs w:val="16"/>
          <w:color w:val="auto"/>
        </w:rPr>
        <w:t>Due to the net loss in fiscal 2013, 2012 and 2011, the denominator for diluted earnings per common share is the same as the denominator for basic earnings per common share for those periods because the inclusion of stock options and unvested restricted shares would be anti-dilutive.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Incentive Plans</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On April 3, 2000, the Company adopted the 2000 Stock Option Plan. In 2003, the Company adopted the Build-A-Bear Workshop, Inc. 2002 Stock Incentive Plan, in 2004, the Company adopted the Build-A-Bear Workshop, Inc. 2004 Stock Incentive Plan and in 2009, the Company amended and restated the Build-A-Bear Workshop, Inc. 2004 Stock Incentive Plan (collectively, the Plans).</w:t>
      </w:r>
    </w:p>
    <w:p>
      <w:pPr>
        <w:spacing w:after="0" w:line="181"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Under the Plans, as amended, from January 3, 2009, up to 3,230,000 shares of common stock were reserved and may be granted to employees and nonemployees of the Company. The Plans allow for the grant of incentive stock options, nonqualified stock options, stock appreciation rights (SAR) and restricted stock. Options granted under the Plans expire later than 10 years from the date of the grant. The exercise price of each incentive stock option shall not be less than 100% of the fair value of the stock subject to the option on the date the option is granted. The exercise price of all options shall be the fair market value on the date of the grant. The vesting provision of individual awards is at the discretion of the compensation committee of the board of directors and generally ranges from one to four years. Each share of stock awarded pursuant to an option or subject to the exercised portion of a SAR reduces the number of shares available by one share. Each share of stock awarded pursuant to any other stock-based awards, including restricted stock grants, reduces the number of shares available by 1.27 shares.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8" w:name="page59"/>
    <w:bookmarkEnd w:id="58"/>
    <w:p>
      <w:pPr>
        <w:ind w:left="880" w:hanging="426"/>
        <w:spacing w:after="0"/>
        <w:tabs>
          <w:tab w:leader="none" w:pos="880" w:val="left"/>
        </w:tabs>
        <w:numPr>
          <w:ilvl w:val="0"/>
          <w:numId w:val="6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the balance and activity for the Plans related to stock options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1,125,223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4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305,727</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55,501</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164,633</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7.04</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1,210,816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8.49</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8.32</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55,805</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7.79</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1,155,239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8.53</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195,512</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6.56</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204,658</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39,931</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8.20</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Canceled or 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gridSpan w:val="2"/>
          </w:tcPr>
          <w:p>
            <w:pPr>
              <w:spacing w:after="0"/>
              <w:rPr>
                <w:sz w:val="20"/>
                <w:szCs w:val="20"/>
                <w:color w:val="auto"/>
              </w:rPr>
            </w:pPr>
            <w:r>
              <w:rPr>
                <w:rFonts w:ascii="Arial" w:cs="Arial" w:eastAsia="Arial" w:hAnsi="Arial"/>
                <w:sz w:val="18"/>
                <w:szCs w:val="18"/>
                <w:color w:val="auto"/>
              </w:rPr>
              <w:t>Outstanding, December 28, 2013</w:t>
            </w:r>
          </w:p>
        </w:tc>
        <w:tc>
          <w:tcPr>
            <w:tcW w:w="1380" w:type="dxa"/>
            <w:vAlign w:val="bottom"/>
          </w:tcPr>
          <w:p>
            <w:pPr>
              <w:jc w:val="right"/>
              <w:spacing w:after="0"/>
              <w:rPr>
                <w:sz w:val="20"/>
                <w:szCs w:val="20"/>
                <w:color w:val="auto"/>
              </w:rPr>
            </w:pPr>
            <w:r>
              <w:rPr>
                <w:rFonts w:ascii="Arial" w:cs="Arial" w:eastAsia="Arial" w:hAnsi="Arial"/>
                <w:sz w:val="18"/>
                <w:szCs w:val="18"/>
                <w:color w:val="auto"/>
              </w:rPr>
              <w:t>1,065,012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8.72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Options Exercisable As Of:</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678,794</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79" w:lineRule="auto"/>
        <w:rPr>
          <w:sz w:val="20"/>
          <w:szCs w:val="20"/>
          <w:color w:val="auto"/>
        </w:rPr>
      </w:pPr>
      <w:r>
        <w:rPr>
          <w:rFonts w:ascii="Arial" w:cs="Arial" w:eastAsia="Arial" w:hAnsi="Arial"/>
          <w:sz w:val="17"/>
          <w:szCs w:val="17"/>
          <w:color w:val="auto"/>
        </w:rPr>
        <w:t>The expense recorded related to options granted during fiscal 2013 was determined using the Black-Scholes option pricing model and the provisions of Staff Accounting Bulletin (SAB) 107 and 110, which allow the use of a simplified method to estimate the expected term of “plain vanilla” options. The assumptions used in the option pricing model during fiscal 2013 were: (a) dividend yield of 0%; (b) historical volatility of 65%; (c) risk-free interest rates of 1.3%; and (d) an expected life of 6.25 years. The grant date fair value of options granted in 2013 was approximately $0.7 million.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expense recorded related to options granted during fiscal 2012 was immaterial. The assumptions used in the option pricing model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2011 were: (a) dividend yield of 0%; (b) historical volatility of 65%; (c) risk-free interest rates ranging from 1.2% to 2.5%; and (d) an expected life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6.25 years. The grant date fair value of options granted in 2011 was approximately $1.2 million.</w:t>
      </w:r>
    </w:p>
    <w:p>
      <w:pPr>
        <w:spacing w:after="0" w:line="21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The total intrinsic value of options exercised in fiscal 2013 and fiscal 2011 was approximately $0.4 million and $0.1 million, respectively. No options were exercised in 2012. The Company generally issues new shares to satisfy option exercises.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available for future option, non-vested stock and restricted stock grants were 471,327 and 608,864 at the end of 2013 and 2012,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left="880" w:hanging="426"/>
        <w:spacing w:after="0"/>
        <w:tabs>
          <w:tab w:leader="none" w:pos="880"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following table is a summary of the balance and activity for the Plans related to unvested restricted stock granted as compensation to employees and directors for the periods presented:</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7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7300" w:type="dxa"/>
            <w:vAlign w:val="bottom"/>
          </w:tcPr>
          <w:p>
            <w:pPr>
              <w:spacing w:after="0"/>
              <w:rPr>
                <w:sz w:val="18"/>
                <w:szCs w:val="18"/>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300" w:type="dxa"/>
            <w:vAlign w:val="bottom"/>
          </w:tcPr>
          <w:p>
            <w:pPr>
              <w:spacing w:after="0"/>
              <w:rPr>
                <w:sz w:val="20"/>
                <w:szCs w:val="20"/>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6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2011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1,468,373</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6.32</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532,791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6.46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8.52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168,267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5.68</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2011</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1,438,131</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5.85</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366,270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4.97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5.53</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69,224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6.03</w:t>
            </w: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29,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860,325</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5.78</w:t>
            </w: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321,664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6.00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399,405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5.39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62,386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5.78</w:t>
            </w:r>
          </w:p>
        </w:tc>
      </w:tr>
      <w:tr>
        <w:trPr>
          <w:trHeight w:val="250"/>
        </w:trPr>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28, 2013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720,198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79"/>
              </w:rPr>
              <w:t>5.91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vesting date fair value of shares that vested in fiscal 2013, 2012 and 2011was $2.2 million, $4.6 million and $2.5 million, respectively. The aggregate unearned compensation expense related to options and restricted stock was $3.3 million as of December 28, 2013 and is expected to be recognized over a weighted average period of 1.1 years</w:t>
      </w:r>
    </w:p>
    <w:p>
      <w:pPr>
        <w:spacing w:after="0" w:line="177" w:lineRule="exact"/>
        <w:rPr>
          <w:sz w:val="20"/>
          <w:szCs w:val="20"/>
          <w:color w:val="auto"/>
        </w:rPr>
      </w:pPr>
    </w:p>
    <w:p>
      <w:pPr>
        <w:ind w:left="440" w:hanging="432"/>
        <w:spacing w:after="0"/>
        <w:tabs>
          <w:tab w:leader="none" w:pos="4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changes in outstanding shares of common stock for fiscal 2011, 2012 and 2013:</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Common</w:t>
            </w:r>
          </w:p>
        </w:tc>
      </w:tr>
      <w:tr>
        <w:trPr>
          <w:trHeight w:val="234"/>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as of January 1, 2011</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19,631,623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180" w:type="dxa"/>
            <w:vAlign w:val="bottom"/>
          </w:tcPr>
          <w:p>
            <w:pPr>
              <w:jc w:val="right"/>
              <w:spacing w:after="0"/>
              <w:rPr>
                <w:sz w:val="20"/>
                <w:szCs w:val="20"/>
                <w:color w:val="auto"/>
              </w:rPr>
            </w:pPr>
            <w:r>
              <w:rPr>
                <w:rFonts w:ascii="Arial" w:cs="Arial" w:eastAsia="Arial" w:hAnsi="Arial"/>
                <w:sz w:val="18"/>
                <w:szCs w:val="18"/>
                <w:color w:val="auto"/>
              </w:rPr>
              <w:t>302,007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(2,528,360)</w:t>
            </w:r>
          </w:p>
        </w:tc>
      </w:tr>
      <w:tr>
        <w:trPr>
          <w:trHeight w:val="210"/>
        </w:trPr>
        <w:tc>
          <w:tcPr>
            <w:tcW w:w="20" w:type="dxa"/>
            <w:vAlign w:val="bottom"/>
          </w:tcPr>
          <w:p>
            <w:pPr>
              <w:spacing w:after="0"/>
              <w:rPr>
                <w:sz w:val="18"/>
                <w:szCs w:val="18"/>
                <w:color w:val="auto"/>
              </w:rPr>
            </w:pPr>
          </w:p>
        </w:tc>
        <w:tc>
          <w:tcPr>
            <w:tcW w:w="7860" w:type="dxa"/>
            <w:vAlign w:val="bottom"/>
            <w:tcBorders>
              <w:top w:val="single" w:sz="8" w:color="CCEEFF"/>
            </w:tcBorders>
          </w:tcPr>
          <w:p>
            <w:pPr>
              <w:jc w:val="right"/>
              <w:ind w:right="5450"/>
              <w:spacing w:after="0"/>
              <w:rPr>
                <w:sz w:val="20"/>
                <w:szCs w:val="20"/>
                <w:color w:val="auto"/>
              </w:rPr>
            </w:pPr>
            <w:r>
              <w:rPr>
                <w:rFonts w:ascii="Arial" w:cs="Arial" w:eastAsia="Arial" w:hAnsi="Arial"/>
                <w:sz w:val="18"/>
                <w:szCs w:val="18"/>
                <w:color w:val="auto"/>
                <w:w w:val="87"/>
              </w:rPr>
              <w:t>Shares as of December 31, 2011</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17,405,270</w:t>
            </w:r>
          </w:p>
        </w:tc>
        <w:tc>
          <w:tcPr>
            <w:tcW w:w="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Repurchase of shares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(366,700)</w:t>
            </w: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jc w:val="right"/>
              <w:ind w:right="5450"/>
              <w:spacing w:after="0"/>
              <w:rPr>
                <w:sz w:val="20"/>
                <w:szCs w:val="20"/>
                <w:color w:val="auto"/>
              </w:rPr>
            </w:pPr>
            <w:r>
              <w:rPr>
                <w:rFonts w:ascii="Arial" w:cs="Arial" w:eastAsia="Arial" w:hAnsi="Arial"/>
                <w:sz w:val="18"/>
                <w:szCs w:val="18"/>
                <w:color w:val="auto"/>
                <w:w w:val="87"/>
              </w:rPr>
              <w:t>Shares as of December 29, 2012</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17,068,182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60"/>
              <w:spacing w:after="0"/>
              <w:rPr>
                <w:sz w:val="20"/>
                <w:szCs w:val="20"/>
                <w:color w:val="auto"/>
              </w:rPr>
            </w:pPr>
            <w:r>
              <w:rPr>
                <w:rFonts w:ascii="Arial" w:cs="Arial" w:eastAsia="Arial" w:hAnsi="Arial"/>
                <w:sz w:val="18"/>
                <w:szCs w:val="18"/>
                <w:color w:val="auto"/>
              </w:rPr>
              <w:t>Shares issued under employee stock plans, net of shares withheld in lieu of tax withholding</w:t>
            </w:r>
          </w:p>
        </w:tc>
        <w:tc>
          <w:tcPr>
            <w:tcW w:w="1180" w:type="dxa"/>
            <w:vAlign w:val="bottom"/>
          </w:tcPr>
          <w:p>
            <w:pPr>
              <w:jc w:val="right"/>
              <w:spacing w:after="0"/>
              <w:rPr>
                <w:sz w:val="20"/>
                <w:szCs w:val="20"/>
                <w:color w:val="auto"/>
              </w:rPr>
            </w:pPr>
            <w:r>
              <w:rPr>
                <w:rFonts w:ascii="Arial" w:cs="Arial" w:eastAsia="Arial" w:hAnsi="Arial"/>
                <w:sz w:val="18"/>
                <w:szCs w:val="18"/>
                <w:color w:val="auto"/>
              </w:rPr>
              <w:t>346,271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shares</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(27,533)</w:t>
            </w: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7880" w:type="dxa"/>
            <w:vAlign w:val="bottom"/>
            <w:gridSpan w:val="2"/>
          </w:tcPr>
          <w:p>
            <w:pPr>
              <w:jc w:val="right"/>
              <w:ind w:right="5450"/>
              <w:spacing w:after="0"/>
              <w:rPr>
                <w:sz w:val="20"/>
                <w:szCs w:val="20"/>
                <w:color w:val="auto"/>
              </w:rPr>
            </w:pPr>
            <w:r>
              <w:rPr>
                <w:rFonts w:ascii="Arial" w:cs="Arial" w:eastAsia="Arial" w:hAnsi="Arial"/>
                <w:sz w:val="18"/>
                <w:szCs w:val="18"/>
                <w:color w:val="auto"/>
                <w:w w:val="87"/>
              </w:rPr>
              <w:t>Shares as of December 28, 2013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17,386,920</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Related-Party Transactions</w:t>
      </w:r>
    </w:p>
    <w:p>
      <w:pPr>
        <w:spacing w:after="0" w:line="229"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The Company bought fixtures for new stores and furniture for the corporate offices from a related party. The total payments to this related party for fixtures and furniture amounted to $1.3 million, $0.9 million and $0.5 million, in fiscal 2013, 2012 and 2011, respectively. The total amount due to this related party as of December 28, 2013 and December 29, 2012 was immaterial.</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60" w:name="page61"/>
    <w:bookmarkEnd w:id="60"/>
    <w:p>
      <w:pPr>
        <w:ind w:right="80" w:firstLine="441"/>
        <w:spacing w:after="0" w:line="255" w:lineRule="auto"/>
        <w:rPr>
          <w:sz w:val="20"/>
          <w:szCs w:val="20"/>
          <w:color w:val="auto"/>
        </w:rPr>
      </w:pPr>
      <w:r>
        <w:rPr>
          <w:rFonts w:ascii="Arial" w:cs="Arial" w:eastAsia="Arial" w:hAnsi="Arial"/>
          <w:sz w:val="18"/>
          <w:szCs w:val="18"/>
          <w:color w:val="auto"/>
        </w:rPr>
        <w:t>The Company collected $2.1 million, $2.2 million and $2.4 million in 2013, 2012 and 2011, respectively, from its guests on behalf of charitable foundations controlled by certain executive officers of the Company. Substantially all of the contributions are collected from guests at the point of sale via pin pad prompts or as a portion of the proceeds of specifically identified products. The foundations support a variety of children’s causes, domestic animal shelters, disaster relief and other concerns. The foundations distribute grants to qualifying charitable organizations based upon decisions of their respective contribution committees most of whose members are employees of the Company. The total due to the charitable foundations as of December 28, 2013 and December 29, 2012 was $0.5 million and $0.7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Major Vendors</w:t>
      </w:r>
    </w:p>
    <w:p>
      <w:pPr>
        <w:spacing w:after="0" w:line="229"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Three vendors, each of whose primary manufacturing facilities are located in China, accounted for approximately 79%, 80% and 81% of inventory purchases in fiscal 2013, 2012 and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the United Kingdom and Ireland and other retail delivery operations, including the Company’s web store, temporary stores and non-traditional store locations. The international franchising segment includes the licensing activities of the Company’s franchise agreements with store locations in Europe, Asia, Australia, Africa, the Middle East and Mexico. The commercial segment has been established to market the naming and branding rights of the Company’s intellectual properties for third party use.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 Following is a summary of the financial information for the Company’s reporting segments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Retail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Franchising</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Commercial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8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373,173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2,332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379,069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before income taxes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19,362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Fiscal 2012</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income (loss) before income taxes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(49,215)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1,993</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(48,429)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21,243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387,041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3,943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before income taxes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December 28, 2013</w:t>
            </w:r>
          </w:p>
        </w:tc>
        <w:tc>
          <w:tcPr>
            <w:tcW w:w="2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185,943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5,987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29, 2012</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182,186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61" w:name="page62"/>
    <w:bookmarkEnd w:id="61"/>
    <w:p>
      <w:pPr>
        <w:jc w:val="both"/>
        <w:ind w:right="520" w:firstLine="441"/>
        <w:spacing w:after="0" w:line="312"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North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America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Europe (2)</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Other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18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302,216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75,133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379,069</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70,163</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Fiscal 2012</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sales to external customers</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306,049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72,788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380,941</w:t>
            </w: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61,995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9,464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71,459</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Fiscal 2011</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Net sales to external customers</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316,853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75,469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394,375</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65,902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11,543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490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440" w:hanging="432"/>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Europe includes the United Kingdom, Ireland, franchise businesses in Europe</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29"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On February 24, 2014, the Company announced the extension of its previously announced $50 million share repurchase program until March 31, 2015, subject to further extension by the Company’s Board of Directors. The Company currently intends to purchase up to $50 million of its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the Company to repurchase any specific number of shares and may be modified, suspended or terminated at any time without prior notice. Shares repurchased under the program will be subsequently retired. As of March 7, 2014, there was $6.4 million of availability remaining under the program.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Asset Valuation Allowance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Balance as of December 31, 2011</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Charged to cost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Charged to other accounts</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Balance as of December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Charged to cost and expenses</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Charged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8"/>
          <w:szCs w:val="18"/>
          <w:color w:val="auto"/>
        </w:rPr>
        <w:t>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Balance as of December 28,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is a list of exhibits filed as a part of the Annual Report on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00" w:hanging="691"/>
        <w:spacing w:after="0"/>
        <w:tabs>
          <w:tab w:leader="none" w:pos="7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16,126</w:t>
      </w:r>
    </w:p>
    <w:p>
      <w:pPr>
        <w:spacing w:after="0" w:line="46" w:lineRule="exact"/>
        <w:rPr>
          <w:rFonts w:ascii="Arial" w:cs="Arial" w:eastAsia="Arial" w:hAnsi="Arial"/>
          <w:sz w:val="16"/>
          <w:szCs w:val="16"/>
          <w:color w:val="auto"/>
        </w:rPr>
      </w:pPr>
    </w:p>
    <w:p>
      <w:pPr>
        <w:ind w:left="800"/>
        <w:spacing w:after="0"/>
        <w:rPr>
          <w:rFonts w:ascii="Arial" w:cs="Arial" w:eastAsia="Arial" w:hAnsi="Arial"/>
          <w:sz w:val="16"/>
          <w:szCs w:val="16"/>
          <w:color w:val="auto"/>
        </w:rPr>
      </w:pPr>
      <w:r>
        <w:rPr>
          <w:rFonts w:ascii="Arial" w:cs="Arial" w:eastAsia="Arial" w:hAnsi="Arial"/>
          <w:sz w:val="15"/>
          <w:szCs w:val="15"/>
          <w:color w:val="auto"/>
        </w:rPr>
        <w:t>4,739</w:t>
      </w:r>
    </w:p>
    <w:p>
      <w:pPr>
        <w:spacing w:after="0" w:line="43"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20,865</w:t>
      </w:r>
    </w:p>
    <w:p>
      <w:pPr>
        <w:spacing w:after="0" w:line="247"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122</w:t>
      </w:r>
    </w:p>
    <w:p>
      <w:pPr>
        <w:spacing w:after="0" w:line="23"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2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700" w:hanging="691"/>
        <w:spacing w:after="0"/>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20,987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-116205</wp:posOffset>
            </wp:positionV>
            <wp:extent cx="7543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280" w:space="720"/>
            <w:col w:w="2460"/>
          </w:cols>
          <w:pgMar w:left="240" w:top="584" w:right="199" w:bottom="1440" w:gutter="0" w:footer="0" w:header="0"/>
        </w:sectPr>
      </w:pP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1"/>
              </w:rPr>
              <w:t>Agreement and Plan of Merger dated April 3, 2000 between Build-A-Bear Workshop, L.L.C. and the Registrant (incorporated by reference from</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Third Amended and Restated Certificate of Incorporation (incorporated by reference from Exhibit 3.1 of our Current Report on Form 8-K, filed</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on November 8, 2004)</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Specimen Stock Certificate (incorporated by reference from Exhibit 4.1 to Amendment No. 3 to our Registration Statement on Form S-1, filed</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on October 1, 2004, 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Build-A-Bear Workshop, Inc. 2000 Stock Option Plan (incorporated by reference from Exhibit 10.1 to our Registration Statement on Form S-1,</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filed on August 12, 2004, 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Form of Incentive Stock Option Agreement under the Build-A-Bear Workshop, Inc. 2000 Stock Option Plan (incorporated by reference from</w:t>
            </w:r>
          </w:p>
        </w:tc>
        <w:tc>
          <w:tcPr>
            <w:tcW w:w="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Exhibit 10.1.1 to Pre-Effective Amendment No. 3 to our Registration Statement on Form S-1, filed on October 1, 2004, Registration No. 333-</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Form of Nonqualified Stock Option Agreement under the Build-A-Bear Workshop, Inc. 2000 Stock Option Plan (incorporated by reference</w:t>
            </w:r>
          </w:p>
        </w:tc>
        <w:tc>
          <w:tcPr>
            <w:tcW w:w="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from Exhibit 10.1.2 to Pre-Effective Amendment No. 3 to our Registration Statement on Form S-1, filed on October 1, 2004, Registration No.</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8"/>
              </w:rPr>
              <w:t>Build-A-Bear Workshop, Inc. 2002 Stock Incentive Plan, as amended (incorporated by reference from Exhibit 10.2 to our Registration</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4"/>
              </w:rPr>
              <w:t>Form of Manager-Level Incentive Stock Option Agreement under the Build-A-Bear Workshop, Inc. 2002 Stock Option Plan (incorporated by</w:t>
            </w:r>
          </w:p>
        </w:tc>
        <w:tc>
          <w:tcPr>
            <w:tcW w:w="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8"/>
              </w:rPr>
              <w:t>reference from Exhibit 10.2.1 to Pre-Effective Amendment No. 3 to our Registration Statement on Form S-1, filed on October 1, 2004,</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Registration No. 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5"/>
              </w:rPr>
              <w:t>Form of Nonqualified Stock Option Agreement under the Build-A-Bear Workshop, Inc. 2002 Stock Option Plan (incorporated by reference</w:t>
            </w:r>
          </w:p>
        </w:tc>
        <w:tc>
          <w:tcPr>
            <w:tcW w:w="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3"/>
              </w:rPr>
              <w:t>from Exhibit 10.2.2 to Pre-Effective Amendment No. 3 to our Registration Statement on Form S-1, filed on October 1, 2004, Registration No.</w:t>
            </w:r>
          </w:p>
        </w:tc>
        <w:tc>
          <w:tcPr>
            <w:tcW w:w="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333-118142)</w:t>
            </w:r>
          </w:p>
        </w:tc>
        <w:tc>
          <w:tcPr>
            <w:tcW w:w="40" w:type="dxa"/>
            <w:vAlign w:val="bottom"/>
          </w:tcPr>
          <w:p>
            <w:pPr>
              <w:spacing w:after="0"/>
              <w:rPr>
                <w:sz w:val="20"/>
                <w:szCs w:val="20"/>
                <w:color w:val="auto"/>
              </w:rPr>
            </w:pPr>
          </w:p>
        </w:tc>
      </w:tr>
      <w:tr>
        <w:trPr>
          <w:trHeight w:val="418"/>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w w:val="92"/>
              </w:rPr>
              <w:t>Build-A-Bear Workshop, Inc. 2004 Stock Incentive Plan (incorporated by reference from Exhibit 10.3 to Pre-Effective Amendment No. 3 to our</w:t>
            </w:r>
          </w:p>
        </w:tc>
        <w:tc>
          <w:tcPr>
            <w:tcW w:w="40" w:type="dxa"/>
            <w:vAlign w:val="bottom"/>
          </w:tcPr>
          <w:p>
            <w:pPr>
              <w:spacing w:after="0"/>
              <w:rPr>
                <w:sz w:val="24"/>
                <w:szCs w:val="24"/>
                <w:color w:val="auto"/>
              </w:rPr>
            </w:pPr>
          </w:p>
        </w:tc>
      </w:tr>
      <w:tr>
        <w:trPr>
          <w:trHeight w:val="230"/>
        </w:trPr>
        <w:tc>
          <w:tcPr>
            <w:tcW w:w="760" w:type="dxa"/>
            <w:vAlign w:val="bottom"/>
          </w:tcPr>
          <w:p>
            <w:pPr>
              <w:spacing w:after="0"/>
              <w:rPr>
                <w:sz w:val="20"/>
                <w:szCs w:val="20"/>
                <w:color w:val="auto"/>
              </w:rPr>
            </w:pPr>
          </w:p>
        </w:tc>
        <w:tc>
          <w:tcPr>
            <w:tcW w:w="10660" w:type="dxa"/>
            <w:vAlign w:val="bottom"/>
            <w:gridSpan w:val="2"/>
          </w:tcPr>
          <w:p>
            <w:pPr>
              <w:ind w:left="220"/>
              <w:spacing w:after="0"/>
              <w:rPr>
                <w:sz w:val="20"/>
                <w:szCs w:val="20"/>
                <w:color w:val="auto"/>
              </w:rPr>
            </w:pPr>
            <w:r>
              <w:rPr>
                <w:rFonts w:ascii="Arial" w:cs="Arial" w:eastAsia="Arial" w:hAnsi="Arial"/>
                <w:sz w:val="18"/>
                <w:szCs w:val="18"/>
                <w:color w:val="auto"/>
              </w:rPr>
              <w:t>Registration Statement on Form S-1, filed on October 1, 2004, Registration No. 333-118142)</w:t>
            </w:r>
          </w:p>
        </w:tc>
        <w:tc>
          <w:tcPr>
            <w:tcW w:w="40" w:type="dxa"/>
            <w:vAlign w:val="bottom"/>
          </w:tcPr>
          <w:p>
            <w:pPr>
              <w:spacing w:after="0"/>
              <w:rPr>
                <w:sz w:val="20"/>
                <w:szCs w:val="20"/>
                <w:color w:val="auto"/>
              </w:rPr>
            </w:pPr>
          </w:p>
        </w:tc>
      </w:tr>
      <w:tr>
        <w:trPr>
          <w:trHeight w:val="945"/>
        </w:trPr>
        <w:tc>
          <w:tcPr>
            <w:tcW w:w="760" w:type="dxa"/>
            <w:vAlign w:val="bottom"/>
          </w:tcPr>
          <w:p>
            <w:pPr>
              <w:spacing w:after="0"/>
              <w:rPr>
                <w:sz w:val="24"/>
                <w:szCs w:val="24"/>
                <w:color w:val="auto"/>
              </w:rPr>
            </w:pPr>
          </w:p>
        </w:tc>
        <w:tc>
          <w:tcPr>
            <w:tcW w:w="10660" w:type="dxa"/>
            <w:vAlign w:val="bottom"/>
            <w:gridSpan w:val="2"/>
          </w:tcPr>
          <w:p>
            <w:pPr>
              <w:jc w:val="right"/>
              <w:ind w:right="553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105"/>
        </w:trPr>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7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4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type w:val="continuous"/>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10.3.1*</w:t>
            </w:r>
          </w:p>
        </w:tc>
        <w:tc>
          <w:tcPr>
            <w:tcW w:w="10660" w:type="dxa"/>
            <w:vAlign w:val="bottom"/>
          </w:tcPr>
          <w:p>
            <w:pPr>
              <w:ind w:left="180"/>
              <w:spacing w:after="0"/>
              <w:rPr>
                <w:sz w:val="20"/>
                <w:szCs w:val="20"/>
                <w:color w:val="auto"/>
              </w:rPr>
            </w:pPr>
            <w:r>
              <w:rPr>
                <w:rFonts w:ascii="Arial" w:cs="Arial" w:eastAsia="Arial" w:hAnsi="Arial"/>
                <w:sz w:val="18"/>
                <w:szCs w:val="18"/>
                <w:color w:val="auto"/>
                <w:w w:val="93"/>
              </w:rPr>
              <w:t>Form of Incentive Stock Option Agreement under the Build-A-Bear Workshop, Inc. 2004 Stock Incentive Plan (incorporated by reference from</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3"/>
              </w:rPr>
              <w:t>Exhibit 10.3.1 to Pre-Effective Amendment No. 3 to our Registration Statement on Form S-1, filed on October 1, 2004, Registration No. 333-</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rPr>
              <w:t>118142)</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10.3.2*</w:t>
            </w:r>
          </w:p>
        </w:tc>
        <w:tc>
          <w:tcPr>
            <w:tcW w:w="10660" w:type="dxa"/>
            <w:vAlign w:val="bottom"/>
          </w:tcPr>
          <w:p>
            <w:pPr>
              <w:ind w:left="180"/>
              <w:spacing w:after="0"/>
              <w:rPr>
                <w:sz w:val="20"/>
                <w:szCs w:val="20"/>
                <w:color w:val="auto"/>
              </w:rPr>
            </w:pPr>
            <w:r>
              <w:rPr>
                <w:rFonts w:ascii="Arial" w:cs="Arial" w:eastAsia="Arial" w:hAnsi="Arial"/>
                <w:sz w:val="18"/>
                <w:szCs w:val="18"/>
                <w:color w:val="auto"/>
                <w:w w:val="93"/>
              </w:rPr>
              <w:t>Model Incentive Stock Option Agreement Under the Registrant’s 2004 Stock Incentive Plan (incorporated by reference from Exhibit 10.3.3 to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9"/>
              </w:rPr>
              <w:t>Pre-Effective Amendment No. 5 to our Registration Statement on Form S-1, filed on October 12, 2004, Registration No. 333-118142)</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10.3.3*</w:t>
            </w:r>
          </w:p>
        </w:tc>
        <w:tc>
          <w:tcPr>
            <w:tcW w:w="10660" w:type="dxa"/>
            <w:vAlign w:val="bottom"/>
          </w:tcPr>
          <w:p>
            <w:pPr>
              <w:ind w:left="180"/>
              <w:spacing w:after="0"/>
              <w:rPr>
                <w:sz w:val="20"/>
                <w:szCs w:val="20"/>
                <w:color w:val="auto"/>
              </w:rPr>
            </w:pPr>
            <w:r>
              <w:rPr>
                <w:rFonts w:ascii="Arial" w:cs="Arial" w:eastAsia="Arial" w:hAnsi="Arial"/>
                <w:sz w:val="18"/>
                <w:szCs w:val="18"/>
                <w:color w:val="auto"/>
                <w:w w:val="92"/>
              </w:rPr>
              <w:t>Form of Employee Nonqualified Stock Option Under the Registrant’s 2004 Stock Incentive Plan (incorporated by reference from Exhibit 10.3.4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180"/>
              <w:spacing w:after="0"/>
              <w:rPr>
                <w:sz w:val="20"/>
                <w:szCs w:val="20"/>
                <w:color w:val="auto"/>
              </w:rPr>
            </w:pPr>
            <w:r>
              <w:rPr>
                <w:rFonts w:ascii="Arial" w:cs="Arial" w:eastAsia="Arial" w:hAnsi="Arial"/>
                <w:sz w:val="18"/>
                <w:szCs w:val="18"/>
                <w:color w:val="auto"/>
                <w:w w:val="97"/>
              </w:rPr>
              <w:t>to Pre-Effective Amendment No. 5 to our Registration Statement on Form S-1, filed on October 12, 2004, Registration No. 333-118142)</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10.3.4*</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Form of Restricted Stock Grant Agreement under the Company’s 2004 Stock Incentive Plan (incorporated by reference from Exhibit 10.1 to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our Current Report on Form 8-K, filed on August 1, 2006)</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10.3.5*</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Form of Restricted Stock Grant Agreement under the Company’s 2004 Stock Incentive Plan (incorporated by reference from Exhibit 10.1 to</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our Quarterly Report on Form 10-Q, filed on May 8, 2008)</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10.3.6*</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Second Amended and Restated Build-A-Bear Workshop, Inc. 2004 Stock Incentive Plan (incorporated by reference from Exhibit 99.1 to our</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Registration Statement on Form S-8, filed on May 18, 2009)</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10.3.8*</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Incentive Plan (incorporated by reference from Exhibit 10.1 on our Quarterly Report on Form 10-Q, filed on May 14, 2009)</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10.3.9*</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Form of the Restricted Stock Agreement under the Registrant’s Second Amended and Restated 2004 Stock Incentive Plan (incorporated by</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reference from Exhibit 10.3 on our Current Report on Form 8-K, filed on May 20, 2009)</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10.3.10*</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Form of the Restricted Stock and Non-Qualified Stock Option Agreement under the Registrant’s Second Amended and Restated 2004 Stock</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Incentive Plan (incorporated by reference from Exhibit 10.2 on our Current Report on Form 8-K, filed on March 28, 2011)</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Employment, Confidentiality and Noncompete Agreement dated May 1, 2004 between Maxine Clark and the Registrant (incorporated by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reference from Exhibit 10.4 to Pre-Effective Amendment No. 2 to our Registration Statement on Form S-1, filed on September 20, 2004,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Registration No. 333-118142)</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10.4.1*</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First Amendment dated February 22, 2006 to the Employment, Confidentiality and Noncompete Agreement dated May 1, 2004 between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7"/>
              </w:rPr>
              <w:t>Maxine Clark and the Registrant (incorporated by reference from Exhibit 10.4.1 to our Annual Report on Form 10-K for the year ended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10.4.2*</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Second Amendment dated March 22, 2011 to Employment, Confidentiality and Noncompete Agreement dated May 1, 2004 between Maxine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9"/>
              </w:rPr>
              <w:t>Clark and the Registrant (incorporated by reference from Exhibit 10.1 on our Current Report on Form 8-K, filed on March 28, 2011)</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10.4.3*</w:t>
            </w:r>
          </w:p>
        </w:tc>
        <w:tc>
          <w:tcPr>
            <w:tcW w:w="10660" w:type="dxa"/>
            <w:vAlign w:val="bottom"/>
          </w:tcPr>
          <w:p>
            <w:pPr>
              <w:ind w:left="280"/>
              <w:spacing w:after="0"/>
              <w:rPr>
                <w:sz w:val="20"/>
                <w:szCs w:val="20"/>
                <w:color w:val="auto"/>
              </w:rPr>
            </w:pPr>
            <w:r>
              <w:rPr>
                <w:rFonts w:ascii="Arial" w:cs="Arial" w:eastAsia="Arial" w:hAnsi="Arial"/>
                <w:sz w:val="18"/>
                <w:szCs w:val="18"/>
                <w:color w:val="auto"/>
                <w:w w:val="92"/>
              </w:rPr>
              <w:t>Retirement, Separation Agreement and General Release by and between Maxine Clark and Build-A-Bear Workshop, Inc., dated January 28,</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2013 (incorporated by reference from Exhibit 10.1 to our Current Report on Form 8-K, filed on January 31, 2013)</w:t>
            </w:r>
          </w:p>
        </w:tc>
        <w:tc>
          <w:tcPr>
            <w:tcW w:w="0" w:type="dxa"/>
            <w:vAlign w:val="bottom"/>
          </w:tcPr>
          <w:p>
            <w:pPr>
              <w:spacing w:after="0"/>
              <w:rPr>
                <w:sz w:val="1"/>
                <w:szCs w:val="1"/>
                <w:color w:val="auto"/>
              </w:rPr>
            </w:pPr>
          </w:p>
        </w:tc>
      </w:tr>
      <w:tr>
        <w:trPr>
          <w:trHeight w:val="418"/>
        </w:trPr>
        <w:tc>
          <w:tcPr>
            <w:tcW w:w="800" w:type="dxa"/>
            <w:vAlign w:val="bottom"/>
            <w:vMerge w:val="restart"/>
          </w:tcPr>
          <w:p>
            <w:pPr>
              <w:spacing w:after="0"/>
              <w:rPr>
                <w:sz w:val="20"/>
                <w:szCs w:val="20"/>
                <w:color w:val="auto"/>
              </w:rPr>
            </w:pPr>
            <w:r>
              <w:rPr>
                <w:rFonts w:ascii="Arial" w:cs="Arial" w:eastAsia="Arial" w:hAnsi="Arial"/>
                <w:sz w:val="18"/>
                <w:szCs w:val="18"/>
                <w:color w:val="auto"/>
              </w:rPr>
              <w:t>10.4.4*</w:t>
            </w:r>
          </w:p>
        </w:tc>
        <w:tc>
          <w:tcPr>
            <w:tcW w:w="10660" w:type="dxa"/>
            <w:vAlign w:val="bottom"/>
          </w:tcPr>
          <w:p>
            <w:pPr>
              <w:ind w:left="280"/>
              <w:spacing w:after="0"/>
              <w:rPr>
                <w:sz w:val="20"/>
                <w:szCs w:val="20"/>
                <w:color w:val="auto"/>
              </w:rPr>
            </w:pPr>
            <w:r>
              <w:rPr>
                <w:rFonts w:ascii="Arial" w:cs="Arial" w:eastAsia="Arial" w:hAnsi="Arial"/>
                <w:sz w:val="18"/>
                <w:szCs w:val="18"/>
                <w:color w:val="auto"/>
                <w:w w:val="93"/>
              </w:rPr>
              <w:t>Consulting Agreement by and between Maxine Clark and Build-A-Bear Workshop, Inc., dated January 28, 2013 (incorporated by reference</w:t>
            </w:r>
          </w:p>
        </w:tc>
        <w:tc>
          <w:tcPr>
            <w:tcW w:w="0" w:type="dxa"/>
            <w:vAlign w:val="bottom"/>
          </w:tcPr>
          <w:p>
            <w:pPr>
              <w:spacing w:after="0"/>
              <w:rPr>
                <w:sz w:val="1"/>
                <w:szCs w:val="1"/>
                <w:color w:val="auto"/>
              </w:rPr>
            </w:pPr>
          </w:p>
        </w:tc>
      </w:tr>
      <w:tr>
        <w:trPr>
          <w:trHeight w:val="122"/>
        </w:trPr>
        <w:tc>
          <w:tcPr>
            <w:tcW w:w="800" w:type="dxa"/>
            <w:vAlign w:val="bottom"/>
            <w:vMerge w:val="continue"/>
          </w:tcPr>
          <w:p>
            <w:pPr>
              <w:spacing w:after="0"/>
              <w:rPr>
                <w:sz w:val="10"/>
                <w:szCs w:val="10"/>
                <w:color w:val="auto"/>
              </w:rPr>
            </w:pPr>
          </w:p>
        </w:tc>
        <w:tc>
          <w:tcPr>
            <w:tcW w:w="10660" w:type="dxa"/>
            <w:vAlign w:val="bottom"/>
            <w:vMerge w:val="restart"/>
          </w:tcPr>
          <w:p>
            <w:pPr>
              <w:ind w:left="280"/>
              <w:spacing w:after="0"/>
              <w:rPr>
                <w:sz w:val="20"/>
                <w:szCs w:val="20"/>
                <w:color w:val="auto"/>
              </w:rPr>
            </w:pPr>
            <w:r>
              <w:rPr>
                <w:rFonts w:ascii="Arial" w:cs="Arial" w:eastAsia="Arial" w:hAnsi="Arial"/>
                <w:sz w:val="18"/>
                <w:szCs w:val="18"/>
                <w:color w:val="auto"/>
              </w:rPr>
              <w:t>from Exhibit 10.2 to our Current Report on Form 8-K, filed on January 31, 2013)</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0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10.5*</w:t>
            </w: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Employment, Confidentiality and Noncompete Agreement dated March 7, 2004 between Tina Klocke and the Registrant (incorporated by</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5"/>
              </w:rPr>
              <w:t>reference from Exhibit 10.6 to Pre-Effective Amendment No. 2 to our Registration Statement on Form S-1, filed on September 20, 2004,</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Registration No. 333-118142)</w:t>
            </w:r>
          </w:p>
        </w:tc>
        <w:tc>
          <w:tcPr>
            <w:tcW w:w="0" w:type="dxa"/>
            <w:vAlign w:val="bottom"/>
          </w:tcPr>
          <w:p>
            <w:pPr>
              <w:spacing w:after="0"/>
              <w:rPr>
                <w:sz w:val="1"/>
                <w:szCs w:val="1"/>
                <w:color w:val="auto"/>
              </w:rPr>
            </w:pP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10.5.1*</w:t>
            </w:r>
          </w:p>
        </w:tc>
        <w:tc>
          <w:tcPr>
            <w:tcW w:w="10660" w:type="dxa"/>
            <w:vAlign w:val="bottom"/>
          </w:tcPr>
          <w:p>
            <w:pPr>
              <w:ind w:left="280"/>
              <w:spacing w:after="0"/>
              <w:rPr>
                <w:sz w:val="20"/>
                <w:szCs w:val="20"/>
                <w:color w:val="auto"/>
              </w:rPr>
            </w:pPr>
            <w:r>
              <w:rPr>
                <w:rFonts w:ascii="Arial" w:cs="Arial" w:eastAsia="Arial" w:hAnsi="Arial"/>
                <w:sz w:val="18"/>
                <w:szCs w:val="18"/>
                <w:color w:val="auto"/>
                <w:w w:val="94"/>
              </w:rPr>
              <w:t>First Amendment dated February 22, 2006 to the Employment, Confidentiality and Noncompete Agreement dated March 7, 2004 between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w w:val="98"/>
              </w:rPr>
              <w:t>Tina Klocke and the Registrant (incorporated by reference from Exhibit 10.6.1 to our Annual Report on Form 10-K for the year ended</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0660" w:type="dxa"/>
            <w:vAlign w:val="bottom"/>
          </w:tcPr>
          <w:p>
            <w:pPr>
              <w:ind w:left="28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945"/>
        </w:trPr>
        <w:tc>
          <w:tcPr>
            <w:tcW w:w="800" w:type="dxa"/>
            <w:vAlign w:val="bottom"/>
          </w:tcPr>
          <w:p>
            <w:pPr>
              <w:spacing w:after="0"/>
              <w:rPr>
                <w:sz w:val="24"/>
                <w:szCs w:val="24"/>
                <w:color w:val="auto"/>
              </w:rPr>
            </w:pPr>
          </w:p>
        </w:tc>
        <w:tc>
          <w:tcPr>
            <w:tcW w:w="10660" w:type="dxa"/>
            <w:vAlign w:val="bottom"/>
          </w:tcPr>
          <w:p>
            <w:pPr>
              <w:ind w:left="48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05"/>
        </w:trPr>
        <w:tc>
          <w:tcPr>
            <w:tcW w:w="800" w:type="dxa"/>
            <w:vAlign w:val="bottom"/>
          </w:tcPr>
          <w:p>
            <w:pPr>
              <w:spacing w:after="0"/>
              <w:rPr>
                <w:sz w:val="9"/>
                <w:szCs w:val="9"/>
                <w:color w:val="auto"/>
              </w:rPr>
            </w:pPr>
          </w:p>
        </w:tc>
        <w:tc>
          <w:tcPr>
            <w:tcW w:w="10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 w:type="dxa"/>
            <w:vAlign w:val="bottom"/>
            <w:shd w:val="clear" w:color="auto" w:fill="808080"/>
          </w:tcPr>
          <w:p>
            <w:pPr>
              <w:spacing w:after="0"/>
              <w:rPr>
                <w:sz w:val="5"/>
                <w:szCs w:val="5"/>
                <w:color w:val="auto"/>
              </w:rPr>
            </w:pPr>
          </w:p>
        </w:tc>
        <w:tc>
          <w:tcPr>
            <w:tcW w:w="106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00" w:right="19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620" w:type="dxa"/>
            <w:vAlign w:val="bottom"/>
          </w:tcPr>
          <w:p>
            <w:pPr>
              <w:ind w:left="260"/>
              <w:spacing w:after="0"/>
              <w:rPr>
                <w:sz w:val="20"/>
                <w:szCs w:val="20"/>
                <w:color w:val="auto"/>
              </w:rPr>
            </w:pPr>
            <w:r>
              <w:rPr>
                <w:rFonts w:ascii="Arial" w:cs="Arial" w:eastAsia="Arial" w:hAnsi="Arial"/>
                <w:sz w:val="18"/>
                <w:szCs w:val="18"/>
                <w:color w:val="auto"/>
                <w:w w:val="98"/>
              </w:rPr>
              <w:t>Employment, Confidentiality and Noncompete Agreement dated as of January 10, 2007 between Dave Finnegan and the Registrant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(incorporated by reference from Exhibit 10.6 to our Annual Report on Form 10-K for the year ended January 2, 2010)</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10620" w:type="dxa"/>
            <w:vAlign w:val="bottom"/>
          </w:tcPr>
          <w:p>
            <w:pPr>
              <w:ind w:left="260"/>
              <w:spacing w:after="0"/>
              <w:rPr>
                <w:sz w:val="20"/>
                <w:szCs w:val="20"/>
                <w:color w:val="auto"/>
              </w:rPr>
            </w:pPr>
            <w:r>
              <w:rPr>
                <w:rFonts w:ascii="Arial" w:cs="Arial" w:eastAsia="Arial" w:hAnsi="Arial"/>
                <w:sz w:val="18"/>
                <w:szCs w:val="18"/>
                <w:color w:val="auto"/>
                <w:w w:val="97"/>
              </w:rPr>
              <w:t>Employment, Confidentiality and Noncompete Agreement dated July 1, 2008 between Eric Fencl and the Registrant (incorporated by</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from Exhibit 10.1 to our Quarterly Report on Form 10-Q, filed on November 6, 2008)</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Employment, Confidentiality and Noncompete Agreement dated December 3, 2012 between Kenneth Wine and the Registrant (incorporated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by reference from Exhibit 10.9 to our Annual Report on Form 10-K for the year ended December 29, 2012)</w:t>
            </w:r>
          </w:p>
        </w:tc>
        <w:tc>
          <w:tcPr>
            <w:tcW w:w="0" w:type="dxa"/>
            <w:vAlign w:val="bottom"/>
          </w:tcPr>
          <w:p>
            <w:pPr>
              <w:spacing w:after="0"/>
              <w:rPr>
                <w:sz w:val="1"/>
                <w:szCs w:val="1"/>
                <w:color w:val="auto"/>
              </w:rPr>
            </w:pPr>
          </w:p>
        </w:tc>
      </w:tr>
      <w:tr>
        <w:trPr>
          <w:trHeight w:val="418"/>
        </w:trPr>
        <w:tc>
          <w:tcPr>
            <w:tcW w:w="84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Employment, Confidentiality and Noncompete Agreement dated June 3, 2013 between Sharon Price John and the Registrant (incorporated by</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0620" w:type="dxa"/>
            <w:vAlign w:val="bottom"/>
            <w:vMerge w:val="restart"/>
          </w:tcPr>
          <w:p>
            <w:pPr>
              <w:ind w:left="260"/>
              <w:spacing w:after="0"/>
              <w:rPr>
                <w:sz w:val="20"/>
                <w:szCs w:val="20"/>
                <w:color w:val="auto"/>
              </w:rPr>
            </w:pPr>
            <w:r>
              <w:rPr>
                <w:rFonts w:ascii="Arial" w:cs="Arial" w:eastAsia="Arial" w:hAnsi="Arial"/>
                <w:sz w:val="18"/>
                <w:szCs w:val="18"/>
                <w:color w:val="auto"/>
              </w:rPr>
              <w:t>reference from Exhibit 10.1 to our Quarterly Report on Form 10-Q, filed on August 8, 2013)</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620" w:type="dxa"/>
            <w:vAlign w:val="bottom"/>
          </w:tcPr>
          <w:p>
            <w:pPr>
              <w:ind w:left="260"/>
              <w:spacing w:after="0"/>
              <w:rPr>
                <w:sz w:val="20"/>
                <w:szCs w:val="20"/>
                <w:color w:val="auto"/>
              </w:rPr>
            </w:pPr>
            <w:r>
              <w:rPr>
                <w:rFonts w:ascii="Arial" w:cs="Arial" w:eastAsia="Arial" w:hAnsi="Arial"/>
                <w:sz w:val="18"/>
                <w:szCs w:val="18"/>
                <w:color w:val="auto"/>
              </w:rPr>
              <w:t>Employment, Confidentiality and Noncompete Agreement dated January 20, 2014 between Gina Collins and the Registrant</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Employment, Confidentiality and Noncompete Agreement dated September 10, 2001 between Teresa Kroll and the Registrant (incorporated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by reference from Exhibit 10.9 to Pre-Effective Amendment No. 2 to our Registration Statement on Form S-1, filed on September 20, 2004,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Registration No. 333-118142)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10.11.1*</w:t>
            </w:r>
          </w:p>
        </w:tc>
        <w:tc>
          <w:tcPr>
            <w:tcW w:w="10620" w:type="dxa"/>
            <w:vAlign w:val="bottom"/>
          </w:tcPr>
          <w:p>
            <w:pPr>
              <w:ind w:left="260"/>
              <w:spacing w:after="0"/>
              <w:rPr>
                <w:sz w:val="20"/>
                <w:szCs w:val="20"/>
                <w:color w:val="auto"/>
              </w:rPr>
            </w:pPr>
            <w:r>
              <w:rPr>
                <w:rFonts w:ascii="Arial" w:cs="Arial" w:eastAsia="Arial" w:hAnsi="Arial"/>
                <w:sz w:val="18"/>
                <w:szCs w:val="18"/>
                <w:color w:val="auto"/>
                <w:w w:val="96"/>
              </w:rPr>
              <w:t>First Amendment dated February 22, 2006 to the Employment, Confidentiality and Noncompete Agreement dated September 10, 2001</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between Teresa Kroll and the Registrant (incorporated by reference from Exhibit 10.9.1 to our Annual Report on Form 10-K for the year ended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December 31, 2005)</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10.11.2*</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Separation Agreement and General Release by and between Teresa Kroll and the Registrant, dated November 11, 2013 (incorporated by</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from Exhibit 10.1 to our Quarterly Report on Form 10-Q, filed November 12, 2013)</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Form of Indemnification Agreement between the Registrant and its directors and executive officers (incorporated by reference from Exhibit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10.11 to our Registration Statement on Form S-1, filed on August 12, 2004, Registration No. 333-118142)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620" w:type="dxa"/>
            <w:vAlign w:val="bottom"/>
          </w:tcPr>
          <w:p>
            <w:pPr>
              <w:ind w:left="260"/>
              <w:spacing w:after="0"/>
              <w:rPr>
                <w:sz w:val="20"/>
                <w:szCs w:val="20"/>
                <w:color w:val="auto"/>
              </w:rPr>
            </w:pPr>
            <w:r>
              <w:rPr>
                <w:rFonts w:ascii="Arial" w:cs="Arial" w:eastAsia="Arial" w:hAnsi="Arial"/>
                <w:sz w:val="18"/>
                <w:szCs w:val="18"/>
                <w:color w:val="auto"/>
                <w:w w:val="97"/>
              </w:rPr>
              <w:t>Third Amendment to Loan Documents among the Registrant, Shirts Illustrated, LLC, Build-A-Bear Workshop Franchise Holdings, Inc.,</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Build-A-Bear Entertainment, LLC, Build-A-Bear Retail Management, LLC (incorporated by reference from Exhibit 10.12 to our Registration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Statement on Form S-1, filed on August 12, 2004, Registration No. 333-118142)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10.13.1</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Fifth Amendment to Loan Documents among the Registrant, Shirts Illustrated, LLC, Build-A-Bear Workshop Franchise Holdings, Inc., Build-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A-Bear Entertainment, LLC, Build-A-Bear Retail Management, LLC (incorporated by reference from Exhibit 10.1 of our Current Report 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Form 8-K, filed on July 10, 2006)</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10.13.2</w:t>
            </w: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Sixth Amendment to Loan Documents between Build-A-Bear Workshop, Inc., Build-A-Bear Workshop Franchise Holdings, Inc. Build-A-Bear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6"/>
              </w:rPr>
              <w:t>Entertainment, LLC, Build-A-Bear Retail Management, Inc., and Build-A-Bear Workshop UK Holdings Ltd., as borrowers, Build-A-Bear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3"/>
              </w:rPr>
              <w:t>Workshop Canada, Ltd. and US Bank National Association, as lender entered into on and effective as of on June 19, 2007 (incorporated by</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rPr>
              <w:t>reference from Exhibit 10.1 to our Current Report on Form 8-K filed on June 20, 2007)</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10.13.3</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Seventh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1"/>
              </w:rPr>
              <w:t>Bear Entertainment, LLC, and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7"/>
              </w:rPr>
              <w:t>as of on October 28, 2009 (incorporated by reference from Exhibit 10.1 to our Current Report on Form 8-K filed on October 29, 2009)</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10.13.4</w:t>
            </w: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Eighth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2"/>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60"/>
              <w:spacing w:after="0"/>
              <w:rPr>
                <w:sz w:val="20"/>
                <w:szCs w:val="20"/>
                <w:color w:val="auto"/>
              </w:rPr>
            </w:pPr>
            <w:r>
              <w:rPr>
                <w:rFonts w:ascii="Arial" w:cs="Arial" w:eastAsia="Arial" w:hAnsi="Arial"/>
                <w:sz w:val="18"/>
                <w:szCs w:val="18"/>
                <w:color w:val="auto"/>
                <w:w w:val="94"/>
              </w:rPr>
              <w:t>effective as of December 31, 2010 (incorporated by reference to Exhibit 10.1 to our Current Report on Form 8-K filed on January 4, 2011)</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10.13.5</w:t>
            </w:r>
          </w:p>
        </w:tc>
        <w:tc>
          <w:tcPr>
            <w:tcW w:w="10620" w:type="dxa"/>
            <w:vAlign w:val="bottom"/>
          </w:tcPr>
          <w:p>
            <w:pPr>
              <w:ind w:left="200"/>
              <w:spacing w:after="0"/>
              <w:rPr>
                <w:sz w:val="20"/>
                <w:szCs w:val="20"/>
                <w:color w:val="auto"/>
              </w:rPr>
            </w:pPr>
            <w:r>
              <w:rPr>
                <w:rFonts w:ascii="Arial" w:cs="Arial" w:eastAsia="Arial" w:hAnsi="Arial"/>
                <w:sz w:val="18"/>
                <w:szCs w:val="18"/>
                <w:color w:val="auto"/>
                <w:w w:val="96"/>
              </w:rPr>
              <w:t>Ninth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w w:val="93"/>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20" w:type="dxa"/>
            <w:vAlign w:val="bottom"/>
          </w:tcPr>
          <w:p>
            <w:pPr>
              <w:ind w:left="200"/>
              <w:spacing w:after="0"/>
              <w:rPr>
                <w:sz w:val="20"/>
                <w:szCs w:val="20"/>
                <w:color w:val="auto"/>
              </w:rPr>
            </w:pPr>
            <w:r>
              <w:rPr>
                <w:rFonts w:ascii="Arial" w:cs="Arial" w:eastAsia="Arial" w:hAnsi="Arial"/>
                <w:sz w:val="18"/>
                <w:szCs w:val="18"/>
                <w:color w:val="auto"/>
                <w:w w:val="92"/>
              </w:rPr>
              <w:t>effective as of December 30, 2011 (incorporated by reference from Exhibit 10.1 to our Current Report on Form 8-K, filed on January 4, 2012)</w:t>
            </w:r>
          </w:p>
        </w:tc>
        <w:tc>
          <w:tcPr>
            <w:tcW w:w="0" w:type="dxa"/>
            <w:vAlign w:val="bottom"/>
          </w:tcPr>
          <w:p>
            <w:pPr>
              <w:spacing w:after="0"/>
              <w:rPr>
                <w:sz w:val="1"/>
                <w:szCs w:val="1"/>
                <w:color w:val="auto"/>
              </w:rPr>
            </w:pPr>
          </w:p>
        </w:tc>
      </w:tr>
      <w:tr>
        <w:trPr>
          <w:trHeight w:val="945"/>
        </w:trPr>
        <w:tc>
          <w:tcPr>
            <w:tcW w:w="840" w:type="dxa"/>
            <w:vAlign w:val="bottom"/>
          </w:tcPr>
          <w:p>
            <w:pPr>
              <w:spacing w:after="0"/>
              <w:rPr>
                <w:sz w:val="24"/>
                <w:szCs w:val="24"/>
                <w:color w:val="auto"/>
              </w:rPr>
            </w:pPr>
          </w:p>
        </w:tc>
        <w:tc>
          <w:tcPr>
            <w:tcW w:w="10620" w:type="dxa"/>
            <w:vAlign w:val="bottom"/>
          </w:tcPr>
          <w:p>
            <w:pPr>
              <w:ind w:left="47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05"/>
        </w:trPr>
        <w:tc>
          <w:tcPr>
            <w:tcW w:w="840" w:type="dxa"/>
            <w:vAlign w:val="bottom"/>
          </w:tcPr>
          <w:p>
            <w:pPr>
              <w:spacing w:after="0"/>
              <w:rPr>
                <w:sz w:val="9"/>
                <w:szCs w:val="9"/>
                <w:color w:val="auto"/>
              </w:rPr>
            </w:pPr>
          </w:p>
        </w:tc>
        <w:tc>
          <w:tcPr>
            <w:tcW w:w="10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0" w:type="dxa"/>
            <w:vAlign w:val="bottom"/>
            <w:shd w:val="clear" w:color="auto" w:fill="808080"/>
          </w:tcPr>
          <w:p>
            <w:pPr>
              <w:spacing w:after="0"/>
              <w:rPr>
                <w:sz w:val="5"/>
                <w:szCs w:val="5"/>
                <w:color w:val="auto"/>
              </w:rPr>
            </w:pPr>
          </w:p>
        </w:tc>
        <w:tc>
          <w:tcPr>
            <w:tcW w:w="10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800" w:right="1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10.13.6</w:t>
            </w: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Tenth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7"/>
              </w:rPr>
              <w:t>effective as of June 30, 2012 (incorporated by reference from Exhibit 10.1 to our Current Report on Form 8-K, filed on July 26, 2012)</w:t>
            </w:r>
          </w:p>
        </w:tc>
        <w:tc>
          <w:tcPr>
            <w:tcW w:w="0" w:type="dxa"/>
            <w:vAlign w:val="bottom"/>
          </w:tcPr>
          <w:p>
            <w:pPr>
              <w:spacing w:after="0"/>
              <w:rPr>
                <w:sz w:val="1"/>
                <w:szCs w:val="1"/>
                <w:color w:val="auto"/>
              </w:rPr>
            </w:pPr>
          </w:p>
        </w:tc>
      </w:tr>
      <w:tr>
        <w:trPr>
          <w:trHeight w:val="418"/>
        </w:trPr>
        <w:tc>
          <w:tcPr>
            <w:tcW w:w="840" w:type="dxa"/>
            <w:vAlign w:val="bottom"/>
            <w:vMerge w:val="restart"/>
          </w:tcPr>
          <w:p>
            <w:pPr>
              <w:spacing w:after="0"/>
              <w:rPr>
                <w:sz w:val="20"/>
                <w:szCs w:val="20"/>
                <w:color w:val="auto"/>
              </w:rPr>
            </w:pPr>
            <w:r>
              <w:rPr>
                <w:rFonts w:ascii="Arial" w:cs="Arial" w:eastAsia="Arial" w:hAnsi="Arial"/>
                <w:sz w:val="18"/>
                <w:szCs w:val="18"/>
                <w:color w:val="auto"/>
              </w:rPr>
              <w:t>10.13.7</w:t>
            </w: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Eleventh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0560" w:type="dxa"/>
            <w:vAlign w:val="bottom"/>
            <w:vMerge w:val="restart"/>
          </w:tcPr>
          <w:p>
            <w:pPr>
              <w:ind w:left="240"/>
              <w:spacing w:after="0"/>
              <w:rPr>
                <w:sz w:val="20"/>
                <w:szCs w:val="20"/>
                <w:color w:val="auto"/>
              </w:rPr>
            </w:pPr>
            <w:r>
              <w:rPr>
                <w:rFonts w:ascii="Arial" w:cs="Arial" w:eastAsia="Arial" w:hAnsi="Arial"/>
                <w:sz w:val="18"/>
                <w:szCs w:val="18"/>
                <w:color w:val="auto"/>
                <w:w w:val="92"/>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0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effective as of December 21, 2012 (incorporated by reference from Exhibit 10.1 to our Current Report on Form 8-K, filed on December 21,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10.13.8</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Twelfth Amendment to Loan Documents between Build-A-Bear Workshop, Inc., Build-A-Bear Workshop Franchise Holdings, Inc., Build-A-</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Bear Entertainment, LLC, Build-A-Bear Retail Management, Inc., as Borrowers, and U.S. Bank National Association, as Lender, entered into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effective as of February 13, 2013 (incorporated by reference from Exhibit 10.1 to our Current Report on Form 8-K, filed on February 14, 2013)</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10.13.9</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Thirteenth Amendment to Loan Documents between Build-A-Bear Workshop, Inc., Build-A-Bear Workshop Franchise Holdings, Inc., Build-</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A-Bear Entertainment, LLC, Build-A-Bear Retail Management, Inc., as Borrowers, and U.S. Bank National Association, as Lender, entered</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5"/>
              </w:rPr>
              <w:t>into effective as of April 30, 2013 (incorporated by reference from Exhibit 10.1 to our Current Report on Form 8-K, filed on May 2, 2013)</w:t>
            </w:r>
          </w:p>
        </w:tc>
        <w:tc>
          <w:tcPr>
            <w:tcW w:w="0" w:type="dxa"/>
            <w:vAlign w:val="bottom"/>
          </w:tcPr>
          <w:p>
            <w:pPr>
              <w:spacing w:after="0"/>
              <w:rPr>
                <w:sz w:val="1"/>
                <w:szCs w:val="1"/>
                <w:color w:val="auto"/>
              </w:rPr>
            </w:pPr>
          </w:p>
        </w:tc>
      </w:tr>
      <w:tr>
        <w:trPr>
          <w:trHeight w:val="418"/>
        </w:trPr>
        <w:tc>
          <w:tcPr>
            <w:tcW w:w="840" w:type="dxa"/>
            <w:vAlign w:val="bottom"/>
            <w:vMerge w:val="restart"/>
          </w:tcPr>
          <w:p>
            <w:pPr>
              <w:spacing w:after="0"/>
              <w:rPr>
                <w:sz w:val="20"/>
                <w:szCs w:val="20"/>
                <w:color w:val="auto"/>
              </w:rPr>
            </w:pPr>
            <w:r>
              <w:rPr>
                <w:rFonts w:ascii="Arial" w:cs="Arial" w:eastAsia="Arial" w:hAnsi="Arial"/>
                <w:sz w:val="18"/>
                <w:szCs w:val="18"/>
                <w:color w:val="auto"/>
              </w:rPr>
              <w:t>10.13.10</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Fourteenth Amendment to Loan Documents between Build-A-Bear Workshop, Inc., Build-A-Bear Workshop Franchise Holdings, Inc., Build-</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10560" w:type="dxa"/>
            <w:vAlign w:val="bottom"/>
            <w:vMerge w:val="restart"/>
          </w:tcPr>
          <w:p>
            <w:pPr>
              <w:ind w:left="240"/>
              <w:spacing w:after="0"/>
              <w:rPr>
                <w:sz w:val="20"/>
                <w:szCs w:val="20"/>
                <w:color w:val="auto"/>
              </w:rPr>
            </w:pPr>
            <w:r>
              <w:rPr>
                <w:rFonts w:ascii="Arial" w:cs="Arial" w:eastAsia="Arial" w:hAnsi="Arial"/>
                <w:sz w:val="18"/>
                <w:szCs w:val="18"/>
                <w:color w:val="auto"/>
                <w:w w:val="93"/>
              </w:rPr>
              <w:t>A-Bear Entertainment, LLC, Build-A-Bear Retail Management, Inc., as Borrowers, and U.S. Bank National Association, as Lender, entered</w:t>
            </w: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10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into effective as of January 22, 2014 (incorporated by reference from Exhibit 10.1 to our Current Report on Form 8-K, filed on January 23,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Third Amended and Restated Loan Agreement between the Registrant, Shirts Illustrated, LLC, Build-A-Bear Workshop Franchise Holdings,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Inc., Build-A-Bear Entertainment, LLC, and Build-A-Bear Retail Management, Inc., as borrowers, and U.S. Bank National Association, as</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6"/>
              </w:rPr>
              <w:t>Lender, entered into on September 27, 2005 with an effective date of May 31, 2005 (incorporated by reference from Exhibit 10.1 to our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Current Report on Form 8-K, filed on October 3, 2005)</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Second Amended and Restated Revolving Credit Note dated May 31, 2005 by the Registrant, Shirts Illustrated, LLC, Build-A-Bear Workshop</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Franchise Holdings, Inc., Build-A-Bear Entertainment, LLC, and Build-A-Bear Retail Management, Inc., as Borrowers, in favor of U.S. Bank</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National Association (incorporated by reference from Exhibit 10.2 to our Current Report on Form 8-K, filed on October 3, 2005)</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240"/>
              <w:spacing w:after="0"/>
              <w:rPr>
                <w:sz w:val="20"/>
                <w:szCs w:val="20"/>
                <w:color w:val="auto"/>
              </w:rPr>
            </w:pPr>
            <w:r>
              <w:rPr>
                <w:rFonts w:ascii="Arial" w:cs="Arial" w:eastAsia="Arial" w:hAnsi="Arial"/>
                <w:sz w:val="18"/>
                <w:szCs w:val="18"/>
                <w:color w:val="auto"/>
                <w:w w:val="95"/>
              </w:rPr>
              <w:t>Fourth Amended and Restated Loan Agreement between the Registrant, Build-A-Bear Workshop Franchise Holdings, Inc., Build-A-Bear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Entertainment, LLC, Build-A-Bear Retail Management, Inc., as borrowers, and U.S. Bank National Association, as lender, dated as of August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11, 2008 (incorporated by reference from Exhibit 10.1 to our Current Report on Form 8-K, filed on August 13, 2008)</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10.16.1</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Fourth Amended And Restated Revolving Credit Note dated as of October 28, 2009 by the Registrant, Franchise Holdings, Inc., Build-A-Bear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9"/>
              </w:rPr>
              <w:t>Entertainment, LLC (“BABE”), and Build-A-Bear Retail Management, Inc., as borrowers, in favor of U.S. Bank National Association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(incorporated by reference from Exhibit 10.2 to our Current Report on Form 8-K, filed on August 13, 2008)</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200"/>
              <w:spacing w:after="0"/>
              <w:rPr>
                <w:sz w:val="20"/>
                <w:szCs w:val="20"/>
                <w:color w:val="auto"/>
              </w:rPr>
            </w:pPr>
            <w:r>
              <w:rPr>
                <w:rFonts w:ascii="Arial" w:cs="Arial" w:eastAsia="Arial" w:hAnsi="Arial"/>
                <w:sz w:val="18"/>
                <w:szCs w:val="18"/>
                <w:color w:val="auto"/>
                <w:w w:val="93"/>
              </w:rPr>
              <w:t>Agreement dated July 19, 2001 between the Registrant and Adrienne Weiss Company (incorporated by reference from Exhibit 10.32 to our</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Registration Statement on Form S-1, filed on August 12, 2004, Registration No. 333-118142)</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200"/>
              <w:spacing w:after="0"/>
              <w:rPr>
                <w:sz w:val="20"/>
                <w:szCs w:val="20"/>
                <w:color w:val="auto"/>
              </w:rPr>
            </w:pPr>
            <w:r>
              <w:rPr>
                <w:rFonts w:ascii="Arial" w:cs="Arial" w:eastAsia="Arial" w:hAnsi="Arial"/>
                <w:sz w:val="18"/>
                <w:szCs w:val="18"/>
                <w:color w:val="auto"/>
                <w:w w:val="93"/>
              </w:rPr>
              <w:t>Standard Form Industrial Building Lease dated August 28, 2004 between First Industrial, L.P. and the Registrant (incorporated by reference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w w:val="93"/>
              </w:rPr>
              <w:t>from Exhibit 10.35 to Pre-Effective Amendment No. 4 to our Registration Statement on Form S-1, filed on October 5, 2004, Registration No.</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60" w:type="dxa"/>
            <w:vAlign w:val="bottom"/>
          </w:tcPr>
          <w:p>
            <w:pPr>
              <w:ind w:left="200"/>
              <w:spacing w:after="0"/>
              <w:rPr>
                <w:sz w:val="20"/>
                <w:szCs w:val="20"/>
                <w:color w:val="auto"/>
              </w:rPr>
            </w:pPr>
            <w:r>
              <w:rPr>
                <w:rFonts w:ascii="Arial" w:cs="Arial" w:eastAsia="Arial" w:hAnsi="Arial"/>
                <w:sz w:val="18"/>
                <w:szCs w:val="18"/>
                <w:color w:val="auto"/>
              </w:rPr>
              <w:t>333-118142)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800" w:right="259" w:bottom="1440" w:gutter="0" w:footer="0" w:header="0"/>
        </w:sectPr>
      </w:pP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10.18.1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10.18.2</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Third Amendment to Lease between First Industrial, L.P. and Registrant, dated as of November 21, 2007 (incorporated by reference from Exhibit 10.19.1 to our Annual Report on Form 10-K, filed on March 15, 2012)</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Fourth Amendment to Lease between First Industrial, L.P. and Registrant, dated as of November 21, 2007 (incorporated by reference from Exhibit 10.19.2 to our Annual Report on Form 10-K, filed on March 15, 2012)</w:t>
      </w:r>
    </w:p>
    <w:p>
      <w:pPr>
        <w:spacing w:after="0" w:line="200" w:lineRule="exact"/>
        <w:rPr>
          <w:sz w:val="20"/>
          <w:szCs w:val="20"/>
          <w:color w:val="auto"/>
        </w:rPr>
      </w:pPr>
    </w:p>
    <w:p>
      <w:pPr>
        <w:sectPr>
          <w:pgSz w:w="11900" w:h="16838" w:orient="portrait"/>
          <w:cols w:equalWidth="0" w:num="2">
            <w:col w:w="540" w:space="500"/>
            <w:col w:w="10360"/>
          </w:cols>
          <w:pgMar w:left="240" w:top="800" w:right="25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10440" w:type="dxa"/>
            <w:vAlign w:val="bottom"/>
          </w:tcPr>
          <w:p>
            <w:pPr>
              <w:ind w:left="200"/>
              <w:spacing w:after="0"/>
              <w:rPr>
                <w:sz w:val="20"/>
                <w:szCs w:val="20"/>
                <w:color w:val="auto"/>
              </w:rPr>
            </w:pPr>
            <w:r>
              <w:rPr>
                <w:rFonts w:ascii="Arial" w:cs="Arial" w:eastAsia="Arial" w:hAnsi="Arial"/>
                <w:sz w:val="18"/>
                <w:szCs w:val="18"/>
                <w:color w:val="auto"/>
                <w:w w:val="91"/>
              </w:rPr>
              <w:t>Facility Construction Agreement dated December 22, 2005 between the Registrant and Duke Construction Limited Partnership (incorporated</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by reference from Exhibit 10.35 to our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Real Estate Purchase Agreement dated December 19, 2005 between Duke Realty Ohio and the Registrant (incorporated by reference from</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Exhibit 10.36 to our Annual Report on Form 10-K, for the year ended December 31,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Nonqualified Deferred Compensation Plan (incorporated by reference from Exhibit 10.42 to our Annual Report on Form 10-K, for the year</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ended December 30,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11.1</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Statement regarding computation of earnings per share (incorporated by reference from Note 11 of the Registrant’s audited consolidated</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financial statements included herein)</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10440" w:type="dxa"/>
            <w:vAlign w:val="bottom"/>
          </w:tcPr>
          <w:p>
            <w:pPr>
              <w:ind w:left="200"/>
              <w:spacing w:after="0"/>
              <w:rPr>
                <w:sz w:val="20"/>
                <w:szCs w:val="20"/>
                <w:color w:val="auto"/>
              </w:rPr>
            </w:pPr>
            <w:r>
              <w:rPr>
                <w:rFonts w:ascii="Arial" w:cs="Arial" w:eastAsia="Arial" w:hAnsi="Arial"/>
                <w:sz w:val="18"/>
                <w:szCs w:val="18"/>
                <w:color w:val="auto"/>
                <w:w w:val="94"/>
              </w:rPr>
              <w:t>List of Subsidiaries of the Registrant (incorporated by reference from Exhibit 21.1 to our Annual Report on Form 10-K, for the year ended</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December 29, 2012)</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10440" w:type="dxa"/>
            <w:vAlign w:val="bottom"/>
          </w:tcPr>
          <w:p>
            <w:pPr>
              <w:ind w:left="20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Rule 13a-14(a)/15d-14(a) certification (pursuant to Section 302 of the Sarbanes-Oxley Act of 2002, executed by the Chief Executive Officer</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and Chief President Bear)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Chief Operations and</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Financial Bear)</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440" w:type="dxa"/>
            <w:vAlign w:val="bottom"/>
          </w:tcPr>
          <w:p>
            <w:pPr>
              <w:ind w:left="200"/>
              <w:spacing w:after="0"/>
              <w:rPr>
                <w:sz w:val="20"/>
                <w:szCs w:val="20"/>
                <w:color w:val="auto"/>
              </w:rPr>
            </w:pPr>
            <w:r>
              <w:rPr>
                <w:rFonts w:ascii="Arial" w:cs="Arial" w:eastAsia="Arial" w:hAnsi="Arial"/>
                <w:sz w:val="18"/>
                <w:szCs w:val="18"/>
                <w:color w:val="auto"/>
                <w:w w:val="93"/>
              </w:rPr>
              <w:t>Section 1350 Certification (pursuant to Section 906 of the Sarbanes-Oxley Act of 2002, executed by the Chief Executive Officer and Chief</w:t>
            </w:r>
          </w:p>
        </w:tc>
      </w:tr>
      <w:tr>
        <w:trPr>
          <w:trHeight w:val="230"/>
        </w:trPr>
        <w:tc>
          <w:tcPr>
            <w:tcW w:w="900" w:type="dxa"/>
            <w:vAlign w:val="bottom"/>
          </w:tcPr>
          <w:p>
            <w:pPr>
              <w:spacing w:after="0"/>
              <w:rPr>
                <w:sz w:val="20"/>
                <w:szCs w:val="20"/>
                <w:color w:val="auto"/>
              </w:rPr>
            </w:pPr>
          </w:p>
        </w:tc>
        <w:tc>
          <w:tcPr>
            <w:tcW w:w="10440" w:type="dxa"/>
            <w:vAlign w:val="bottom"/>
          </w:tcPr>
          <w:p>
            <w:pPr>
              <w:ind w:left="200"/>
              <w:spacing w:after="0"/>
              <w:rPr>
                <w:sz w:val="20"/>
                <w:szCs w:val="20"/>
                <w:color w:val="auto"/>
              </w:rPr>
            </w:pPr>
            <w:r>
              <w:rPr>
                <w:rFonts w:ascii="Arial" w:cs="Arial" w:eastAsia="Arial" w:hAnsi="Arial"/>
                <w:sz w:val="18"/>
                <w:szCs w:val="18"/>
                <w:color w:val="auto"/>
              </w:rPr>
              <w:t>President Bear)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440" w:type="dxa"/>
            <w:vAlign w:val="bottom"/>
          </w:tcPr>
          <w:p>
            <w:pPr>
              <w:ind w:left="200"/>
              <w:spacing w:after="0"/>
              <w:rPr>
                <w:sz w:val="20"/>
                <w:szCs w:val="20"/>
                <w:color w:val="auto"/>
              </w:rPr>
            </w:pPr>
            <w:r>
              <w:rPr>
                <w:rFonts w:ascii="Arial" w:cs="Arial" w:eastAsia="Arial" w:hAnsi="Arial"/>
                <w:sz w:val="18"/>
                <w:szCs w:val="18"/>
                <w:color w:val="auto"/>
                <w:w w:val="90"/>
              </w:rPr>
              <w:t>Section 1350 Certification (pursuant to Section 906 of the Sarbanes-Oxley Act of 2002, executed by the Chief Operations and Financial Bear)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Extension Schema</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Extension Calculation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Extension Definition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Extension Label</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440" w:type="dxa"/>
            <w:vAlign w:val="bottom"/>
          </w:tcPr>
          <w:p>
            <w:pPr>
              <w:ind w:left="200"/>
              <w:spacing w:after="0"/>
              <w:rPr>
                <w:sz w:val="20"/>
                <w:szCs w:val="20"/>
                <w:color w:val="auto"/>
              </w:rPr>
            </w:pPr>
            <w:r>
              <w:rPr>
                <w:rFonts w:ascii="Arial" w:cs="Arial" w:eastAsia="Arial" w:hAnsi="Arial"/>
                <w:sz w:val="18"/>
                <w:szCs w:val="18"/>
                <w:color w:val="auto"/>
              </w:rPr>
              <w:t>XBRL Extension Presentation</w:t>
            </w:r>
          </w:p>
        </w:tc>
      </w:tr>
    </w:tbl>
    <w:p>
      <w:pPr>
        <w:spacing w:after="0" w:line="202" w:lineRule="exact"/>
        <w:rPr>
          <w:sz w:val="20"/>
          <w:szCs w:val="20"/>
          <w:color w:val="auto"/>
        </w:rPr>
      </w:pPr>
    </w:p>
    <w:p>
      <w:pPr>
        <w:ind w:left="1100" w:hanging="1092"/>
        <w:spacing w:after="0"/>
        <w:tabs>
          <w:tab w:leader="none" w:pos="11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800"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BUILD-A-BEAR WORKSHOP,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6840" w:type="dxa"/>
            <w:vAlign w:val="bottom"/>
            <w:gridSpan w:val="2"/>
          </w:tcPr>
          <w:p>
            <w:pPr>
              <w:ind w:left="3020"/>
              <w:spacing w:after="0"/>
              <w:rPr>
                <w:sz w:val="20"/>
                <w:szCs w:val="20"/>
                <w:color w:val="auto"/>
              </w:rPr>
            </w:pPr>
            <w:r>
              <w:rPr>
                <w:rFonts w:ascii="Arial" w:cs="Arial" w:eastAsia="Arial" w:hAnsi="Arial"/>
                <w:sz w:val="18"/>
                <w:szCs w:val="18"/>
                <w:color w:val="auto"/>
              </w:rPr>
              <w:t>BUILD-A-BEAR WORKSHOP, INC.</w:t>
            </w:r>
          </w:p>
        </w:tc>
      </w:tr>
      <w:tr>
        <w:trPr>
          <w:trHeight w:val="230"/>
        </w:trPr>
        <w:tc>
          <w:tcPr>
            <w:tcW w:w="4580" w:type="dxa"/>
            <w:vAlign w:val="bottom"/>
          </w:tcPr>
          <w:p>
            <w:pPr>
              <w:spacing w:after="0"/>
              <w:rPr>
                <w:sz w:val="20"/>
                <w:szCs w:val="20"/>
                <w:color w:val="auto"/>
              </w:rPr>
            </w:pPr>
          </w:p>
        </w:tc>
        <w:tc>
          <w:tcPr>
            <w:tcW w:w="6840" w:type="dxa"/>
            <w:vAlign w:val="bottom"/>
            <w:gridSpan w:val="2"/>
          </w:tcPr>
          <w:p>
            <w:pPr>
              <w:ind w:left="3000"/>
              <w:spacing w:after="0"/>
              <w:rPr>
                <w:sz w:val="20"/>
                <w:szCs w:val="20"/>
                <w:color w:val="auto"/>
              </w:rPr>
            </w:pPr>
            <w:r>
              <w:rPr>
                <w:rFonts w:ascii="Arial" w:cs="Arial" w:eastAsia="Arial" w:hAnsi="Arial"/>
                <w:sz w:val="18"/>
                <w:szCs w:val="18"/>
                <w:color w:val="auto"/>
              </w:rPr>
              <w:t>(Registrant)</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Date: March 13, 2014</w:t>
            </w:r>
          </w:p>
        </w:tc>
        <w:tc>
          <w:tcPr>
            <w:tcW w:w="6840" w:type="dxa"/>
            <w:vAlign w:val="bottom"/>
            <w:gridSpan w:val="2"/>
          </w:tcPr>
          <w:p>
            <w:pPr>
              <w:ind w:left="3000"/>
              <w:spacing w:after="0"/>
              <w:rPr>
                <w:sz w:val="20"/>
                <w:szCs w:val="20"/>
                <w:color w:val="auto"/>
              </w:rPr>
            </w:pPr>
            <w:r>
              <w:rPr>
                <w:rFonts w:ascii="Arial" w:cs="Arial" w:eastAsia="Arial" w:hAnsi="Arial"/>
                <w:sz w:val="18"/>
                <w:szCs w:val="18"/>
                <w:color w:val="auto"/>
              </w:rPr>
              <w:t>By:  /s/ Sharon John</w:t>
            </w:r>
          </w:p>
        </w:tc>
      </w:tr>
      <w:tr>
        <w:trPr>
          <w:trHeight w:val="195"/>
        </w:trPr>
        <w:tc>
          <w:tcPr>
            <w:tcW w:w="4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45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Chief Executive Officer and Chief President</w:t>
            </w:r>
          </w:p>
        </w:tc>
      </w:tr>
      <w:tr>
        <w:trPr>
          <w:trHeight w:val="230"/>
        </w:trPr>
        <w:tc>
          <w:tcPr>
            <w:tcW w:w="4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Bear</w:t>
            </w:r>
          </w:p>
        </w:tc>
      </w:tr>
      <w:tr>
        <w:trPr>
          <w:trHeight w:val="432"/>
        </w:trPr>
        <w:tc>
          <w:tcPr>
            <w:tcW w:w="4580" w:type="dxa"/>
            <w:vAlign w:val="bottom"/>
          </w:tcPr>
          <w:p>
            <w:pPr>
              <w:spacing w:after="0"/>
              <w:rPr>
                <w:sz w:val="24"/>
                <w:szCs w:val="24"/>
                <w:color w:val="auto"/>
              </w:rPr>
            </w:pPr>
          </w:p>
        </w:tc>
        <w:tc>
          <w:tcPr>
            <w:tcW w:w="6840" w:type="dxa"/>
            <w:vAlign w:val="bottom"/>
            <w:gridSpan w:val="2"/>
          </w:tcPr>
          <w:p>
            <w:pPr>
              <w:ind w:left="3000"/>
              <w:spacing w:after="0"/>
              <w:rPr>
                <w:sz w:val="20"/>
                <w:szCs w:val="20"/>
                <w:color w:val="auto"/>
              </w:rPr>
            </w:pPr>
            <w:r>
              <w:rPr>
                <w:rFonts w:ascii="Arial" w:cs="Arial" w:eastAsia="Arial" w:hAnsi="Arial"/>
                <w:sz w:val="18"/>
                <w:szCs w:val="18"/>
                <w:color w:val="auto"/>
              </w:rPr>
              <w:t>By:  /s/ Tina Klocke</w:t>
            </w:r>
          </w:p>
        </w:tc>
      </w:tr>
      <w:tr>
        <w:trPr>
          <w:trHeight w:val="195"/>
        </w:trPr>
        <w:tc>
          <w:tcPr>
            <w:tcW w:w="4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Tina Klocke</w:t>
            </w:r>
          </w:p>
        </w:tc>
      </w:tr>
      <w:tr>
        <w:trPr>
          <w:trHeight w:val="230"/>
        </w:trPr>
        <w:tc>
          <w:tcPr>
            <w:tcW w:w="45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0"/>
              </w:rPr>
              <w:t>Chief Operations and Financial Bear, Treasurer</w:t>
            </w:r>
          </w:p>
        </w:tc>
      </w:tr>
    </w:tbl>
    <w:p>
      <w:pPr>
        <w:spacing w:after="0" w:line="202"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Sharon John and Tina Klocke,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December 28, 2013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Signatures</w:t>
            </w:r>
          </w:p>
        </w:tc>
        <w:tc>
          <w:tcPr>
            <w:tcW w:w="5000" w:type="dxa"/>
            <w:vAlign w:val="bottom"/>
          </w:tcPr>
          <w:p>
            <w:pPr>
              <w:ind w:left="230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18"/>
                <w:szCs w:val="18"/>
                <w:color w:val="auto"/>
              </w:rPr>
            </w:pPr>
          </w:p>
        </w:tc>
        <w:tc>
          <w:tcPr>
            <w:tcW w:w="1900" w:type="dxa"/>
            <w:vAlign w:val="bottom"/>
          </w:tcPr>
          <w:p>
            <w:pPr>
              <w:ind w:left="760"/>
              <w:spacing w:after="0"/>
              <w:rPr>
                <w:sz w:val="20"/>
                <w:szCs w:val="20"/>
                <w:color w:val="auto"/>
              </w:rPr>
            </w:pPr>
            <w:r>
              <w:rPr>
                <w:rFonts w:ascii="Arial" w:cs="Arial" w:eastAsia="Arial" w:hAnsi="Arial"/>
                <w:sz w:val="18"/>
                <w:szCs w:val="18"/>
                <w:b w:val="1"/>
                <w:bCs w:val="1"/>
                <w:color w:val="auto"/>
              </w:rPr>
              <w:t>Date</w:t>
            </w:r>
          </w:p>
        </w:tc>
      </w:tr>
      <w:tr>
        <w:trPr>
          <w:trHeight w:val="20"/>
        </w:trPr>
        <w:tc>
          <w:tcPr>
            <w:tcW w:w="82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413"/>
        </w:trPr>
        <w:tc>
          <w:tcPr>
            <w:tcW w:w="4400" w:type="dxa"/>
            <w:vAlign w:val="bottom"/>
            <w:gridSpan w:val="3"/>
          </w:tcPr>
          <w:p>
            <w:pPr>
              <w:spacing w:after="0"/>
              <w:rPr>
                <w:sz w:val="20"/>
                <w:szCs w:val="20"/>
                <w:color w:val="auto"/>
              </w:rPr>
            </w:pPr>
            <w:r>
              <w:rPr>
                <w:rFonts w:ascii="Arial" w:cs="Arial" w:eastAsia="Arial" w:hAnsi="Arial"/>
                <w:sz w:val="18"/>
                <w:szCs w:val="18"/>
                <w:color w:val="auto"/>
              </w:rPr>
              <w:t>/s/ Mary Lou Fiala</w:t>
            </w:r>
          </w:p>
        </w:tc>
        <w:tc>
          <w:tcPr>
            <w:tcW w:w="5000" w:type="dxa"/>
            <w:vAlign w:val="bottom"/>
          </w:tcPr>
          <w:p>
            <w:pPr>
              <w:ind w:left="120"/>
              <w:spacing w:after="0"/>
              <w:rPr>
                <w:sz w:val="20"/>
                <w:szCs w:val="20"/>
                <w:color w:val="auto"/>
              </w:rPr>
            </w:pPr>
            <w:r>
              <w:rPr>
                <w:rFonts w:ascii="Arial" w:cs="Arial" w:eastAsia="Arial" w:hAnsi="Arial"/>
                <w:sz w:val="18"/>
                <w:szCs w:val="18"/>
                <w:color w:val="auto"/>
              </w:rPr>
              <w:t>Non-Executive Chairman</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Mary Lou Fiala</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Maxine Clark</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Maxine Clark</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James M. Gould</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M. Gould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Virginia Kent</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Virginia Kent</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Braden Leonard</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Braden Leonard</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Louis M. Mucci</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Louis M. Mucci</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Coleman Peterson</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Coleman Peterson</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Thomas Pinnau</w:t>
            </w:r>
          </w:p>
        </w:tc>
        <w:tc>
          <w:tcPr>
            <w:tcW w:w="50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Pinnau</w:t>
            </w:r>
          </w:p>
        </w:tc>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Sharon John</w:t>
            </w:r>
          </w:p>
        </w:tc>
        <w:tc>
          <w:tcPr>
            <w:tcW w:w="5000" w:type="dxa"/>
            <w:vAlign w:val="bottom"/>
          </w:tcPr>
          <w:p>
            <w:pPr>
              <w:ind w:left="120"/>
              <w:spacing w:after="0"/>
              <w:rPr>
                <w:sz w:val="20"/>
                <w:szCs w:val="20"/>
                <w:color w:val="auto"/>
              </w:rPr>
            </w:pPr>
            <w:r>
              <w:rPr>
                <w:rFonts w:ascii="Arial" w:cs="Arial" w:eastAsia="Arial" w:hAnsi="Arial"/>
                <w:sz w:val="18"/>
                <w:szCs w:val="18"/>
                <w:color w:val="auto"/>
                <w:w w:val="98"/>
              </w:rPr>
              <w:t>Director and Chief Executive Officer and Chief President Bear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Sharon John</w:t>
            </w:r>
          </w:p>
        </w:tc>
        <w:tc>
          <w:tcPr>
            <w:tcW w:w="12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4400" w:type="dxa"/>
            <w:vAlign w:val="bottom"/>
            <w:gridSpan w:val="3"/>
          </w:tcPr>
          <w:p>
            <w:pPr>
              <w:spacing w:after="0"/>
              <w:rPr>
                <w:sz w:val="20"/>
                <w:szCs w:val="20"/>
                <w:color w:val="auto"/>
              </w:rPr>
            </w:pPr>
            <w:r>
              <w:rPr>
                <w:rFonts w:ascii="Arial" w:cs="Arial" w:eastAsia="Arial" w:hAnsi="Arial"/>
                <w:sz w:val="18"/>
                <w:szCs w:val="18"/>
                <w:color w:val="auto"/>
              </w:rPr>
              <w:t>/s/ Tina Klocke</w:t>
            </w:r>
          </w:p>
        </w:tc>
        <w:tc>
          <w:tcPr>
            <w:tcW w:w="5000" w:type="dxa"/>
            <w:vAlign w:val="bottom"/>
          </w:tcPr>
          <w:p>
            <w:pPr>
              <w:ind w:left="120"/>
              <w:spacing w:after="0"/>
              <w:rPr>
                <w:sz w:val="20"/>
                <w:szCs w:val="20"/>
                <w:color w:val="auto"/>
              </w:rPr>
            </w:pPr>
            <w:r>
              <w:rPr>
                <w:rFonts w:ascii="Arial" w:cs="Arial" w:eastAsia="Arial" w:hAnsi="Arial"/>
                <w:sz w:val="18"/>
                <w:szCs w:val="18"/>
                <w:color w:val="auto"/>
              </w:rPr>
              <w:t>Chief Operations and Financial Bear, Treasurer</w:t>
            </w:r>
          </w:p>
        </w:tc>
        <w:tc>
          <w:tcPr>
            <w:tcW w:w="120" w:type="dxa"/>
            <w:vAlign w:val="bottom"/>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March 13, 2014</w:t>
            </w:r>
          </w:p>
        </w:tc>
      </w:tr>
      <w:tr>
        <w:trPr>
          <w:trHeight w:val="224"/>
        </w:trPr>
        <w:tc>
          <w:tcPr>
            <w:tcW w:w="4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Tina Klocke</w:t>
            </w:r>
          </w:p>
        </w:tc>
        <w:tc>
          <w:tcPr>
            <w:tcW w:w="120" w:type="dxa"/>
            <w:vAlign w:val="bottom"/>
          </w:tcPr>
          <w:p>
            <w:pPr>
              <w:spacing w:after="0"/>
              <w:rPr>
                <w:sz w:val="19"/>
                <w:szCs w:val="19"/>
                <w:color w:val="auto"/>
              </w:rPr>
            </w:pPr>
          </w:p>
        </w:tc>
        <w:tc>
          <w:tcPr>
            <w:tcW w:w="50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8"/>
        </w:trPr>
        <w:tc>
          <w:tcPr>
            <w:tcW w:w="8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0" w:type="dxa"/>
            <w:vAlign w:val="bottom"/>
          </w:tcPr>
          <w:p>
            <w:pPr>
              <w:ind w:left="12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CONFIDENTIALITY AND NONCOMPETE AGREEMENT</w:t>
      </w:r>
    </w:p>
    <w:p>
      <w:pPr>
        <w:spacing w:after="0" w:line="206" w:lineRule="exact"/>
        <w:rPr>
          <w:sz w:val="20"/>
          <w:szCs w:val="20"/>
          <w:color w:val="auto"/>
        </w:rPr>
      </w:pPr>
    </w:p>
    <w:p>
      <w:pPr>
        <w:jc w:val="both"/>
        <w:ind w:firstLine="1297"/>
        <w:spacing w:after="0" w:line="204" w:lineRule="auto"/>
        <w:rPr>
          <w:sz w:val="20"/>
          <w:szCs w:val="20"/>
          <w:color w:val="auto"/>
        </w:rPr>
      </w:pPr>
      <w:r>
        <w:rPr>
          <w:rFonts w:ascii="Arial" w:cs="Arial" w:eastAsia="Arial" w:hAnsi="Arial"/>
          <w:sz w:val="18"/>
          <w:szCs w:val="18"/>
          <w:color w:val="auto"/>
        </w:rPr>
        <w:t>This Employment, Confidentiality and Noncompete Agreement (“Agreement”) is entered into effective as of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January, 2014, by and between Build-A-Bear Workshop, Inc., a Delaware corporation (“Company”), and Gina Collins (“Employee”).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Company desires to employ and Employee desires to be employed as the Chief Marketing Officer and Brand Bear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Company has pioneered the retail concept of “make your own” stuff plush toys, including animals and dolls, and is engaged in, among other things, the business of production, marketing, promotion and distribution of plush stuff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are located in, and this Agreement is being signed in, St. Louis, Missouri.</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conducts business in selected locations throughout the United States and internationally directly and through franchise arrangements.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success of Company depends to a substantial extent upon the protection of its Confidential Information and goodwill by 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its employees.</w:t>
      </w:r>
    </w:p>
    <w:p>
      <w:pPr>
        <w:spacing w:after="0" w:line="21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170" w:lineRule="exact"/>
        <w:rPr>
          <w:sz w:val="20"/>
          <w:szCs w:val="20"/>
          <w:color w:val="auto"/>
        </w:rPr>
      </w:pPr>
    </w:p>
    <w:p>
      <w:pPr>
        <w:ind w:left="1900" w:hanging="352"/>
        <w:spacing w:after="0"/>
        <w:tabs>
          <w:tab w:leader="none" w:pos="190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Employment Services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64" w:lineRule="auto"/>
        <w:tabs>
          <w:tab w:leader="none" w:pos="24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Employee is hereby employed by Company, and Employee hereby accepts such employment, upon the terms and conditions hereinafter set forth. Employee shall serve as Chief Marketing Officer and Brand Bear throughout the Employment Period, and agrees to do so on a full-time basis. Employee shall carry out such duties as are assigned to her by Company’s Chief Executive Officer.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both"/>
        <w:ind w:firstLine="2034"/>
        <w:spacing w:after="0" w:line="279" w:lineRule="auto"/>
        <w:tabs>
          <w:tab w:leader="none" w:pos="2461" w:val="left"/>
        </w:tabs>
        <w:numPr>
          <w:ilvl w:val="3"/>
          <w:numId w:val="68"/>
        </w:numPr>
        <w:rPr>
          <w:rFonts w:ascii="Arial" w:cs="Arial" w:eastAsia="Arial" w:hAnsi="Arial"/>
          <w:sz w:val="17"/>
          <w:szCs w:val="17"/>
          <w:color w:val="auto"/>
        </w:rPr>
      </w:pPr>
      <w:r>
        <w:rPr>
          <w:rFonts w:ascii="Arial" w:cs="Arial" w:eastAsia="Arial" w:hAnsi="Arial"/>
          <w:sz w:val="17"/>
          <w:szCs w:val="17"/>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1" w:lineRule="exact"/>
        <w:rPr>
          <w:rFonts w:ascii="Arial" w:cs="Arial" w:eastAsia="Arial" w:hAnsi="Arial"/>
          <w:sz w:val="17"/>
          <w:szCs w:val="17"/>
          <w:color w:val="auto"/>
        </w:rPr>
      </w:pPr>
    </w:p>
    <w:p>
      <w:pPr>
        <w:jc w:val="both"/>
        <w:ind w:right="20" w:firstLine="2034"/>
        <w:spacing w:after="0" w:line="264" w:lineRule="auto"/>
        <w:tabs>
          <w:tab w:leader="none" w:pos="2477" w:val="left"/>
        </w:tabs>
        <w:numPr>
          <w:ilvl w:val="3"/>
          <w:numId w:val="68"/>
        </w:numPr>
        <w:rPr>
          <w:rFonts w:ascii="Arial" w:cs="Arial" w:eastAsia="Arial" w:hAnsi="Arial"/>
          <w:sz w:val="18"/>
          <w:szCs w:val="18"/>
          <w:color w:val="auto"/>
        </w:rPr>
      </w:pPr>
      <w:r>
        <w:rPr>
          <w:rFonts w:ascii="Arial" w:cs="Arial" w:eastAsia="Arial" w:hAnsi="Arial"/>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81" w:lineRule="exact"/>
        <w:rPr>
          <w:rFonts w:ascii="Arial" w:cs="Arial" w:eastAsia="Arial" w:hAnsi="Arial"/>
          <w:sz w:val="18"/>
          <w:szCs w:val="18"/>
          <w:color w:val="auto"/>
        </w:rPr>
      </w:pPr>
    </w:p>
    <w:p>
      <w:pPr>
        <w:jc w:val="both"/>
        <w:ind w:firstLine="1305"/>
        <w:spacing w:after="0" w:line="293" w:lineRule="auto"/>
        <w:tabs>
          <w:tab w:leader="none" w:pos="1778"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term of this Agreement shall commence on the date first set forth above, and shall end on the third anniversary hereof, unless sooner terminated as provided in Section 4 hereof (the “Initial Term”). Following the Initial Term, this Agreement shall renew for successive one-year periods (each a “Renewal Period”; collectively, the Initial Term and each Renewal Period, the “Employment Period”), unless either party notifies the other party of its decision not to renew the Agreement at least 30 days prior to the third anniversary date or the expiration of any Renewal Period, or unless the Agreement is sooner terminated as provided in Section 4 hereof. For the avoidance of doubt, if either party provides notice of non-renewal of the Agreement at least 30 days prior to the end of the Initial Term or the end of any Renewal Period, then the Agreement shall expire.</w:t>
      </w:r>
    </w:p>
    <w:p>
      <w:pPr>
        <w:spacing w:after="0" w:line="164" w:lineRule="exact"/>
        <w:rPr>
          <w:rFonts w:ascii="Arial" w:cs="Arial" w:eastAsia="Arial" w:hAnsi="Arial"/>
          <w:sz w:val="16"/>
          <w:szCs w:val="16"/>
          <w:color w:val="auto"/>
        </w:rPr>
      </w:pPr>
    </w:p>
    <w:p>
      <w:pPr>
        <w:ind w:left="1900" w:hanging="352"/>
        <w:spacing w:after="0"/>
        <w:tabs>
          <w:tab w:leader="none" w:pos="190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3"/>
        <w:spacing w:after="0" w:line="297" w:lineRule="auto"/>
        <w:tabs>
          <w:tab w:leader="none" w:pos="2428" w:val="left"/>
        </w:tabs>
        <w:numPr>
          <w:ilvl w:val="2"/>
          <w:numId w:val="69"/>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Throughout the Employment Period, Company shall pay Employee as compensation for her services an annual base salary of not less than Three Hundred Thousand Dollars ($300,000),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58" w:lineRule="exact"/>
        <w:rPr>
          <w:rFonts w:ascii="Arial" w:cs="Arial" w:eastAsia="Arial" w:hAnsi="Arial"/>
          <w:sz w:val="16"/>
          <w:szCs w:val="16"/>
          <w:color w:val="auto"/>
        </w:rPr>
      </w:pPr>
    </w:p>
    <w:p>
      <w:pPr>
        <w:jc w:val="both"/>
        <w:ind w:firstLine="1953"/>
        <w:spacing w:after="0" w:line="255" w:lineRule="auto"/>
        <w:tabs>
          <w:tab w:leader="none" w:pos="2438"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Should Company meet or exceed the sales, profits and other objectives established by Compensation Committee for any fiscal year, Employee shall be eligible to receive a bonus for such fiscal year in the amount as determined by the Compensation Committee; provided however the potential bonus opportunity for Employee in any given fiscal year will be set by the Compensation Committee such that, if Company exceeds its objectives, Company will pay Employee not less than Forty percent (40%)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 different payout schedule is applicable for all executive employees of Company, any such bonus payment will be payable in a single, lump sum payment in the calendar year following such fiscal year but no later than April 30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such following year. In the event of termination of this Agreement because of Employee’s death or disability (as defined by Section 4.1(b)), termination by Company without Cause pursuant to Section 4.1(c), or pursuant to Employee’s right to terminate this Agreement for Good Reason under Section 4.1(d), the bonus criteria shall not change and any bonus shall be pro-rated based on the number of full calendar weeks during the applicable fiscal year during which Employee was employed hereunder and shall be paid at the time and in the form such bonus would have been paid had Employee’s employment continued. Notwithstanding anything herein to the contrary, no bonus shall be payable hereunder in the event that Employee’s employment terminates for any other reason prior to the date on which any bonus is actually paid.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0" w:name="page71"/>
    <w:bookmarkEnd w:id="70"/>
    <w:p>
      <w:pPr>
        <w:jc w:val="both"/>
        <w:ind w:firstLine="1945"/>
        <w:spacing w:after="0" w:line="257" w:lineRule="auto"/>
        <w:rPr>
          <w:sz w:val="20"/>
          <w:szCs w:val="20"/>
          <w:color w:val="auto"/>
        </w:rPr>
      </w:pPr>
      <w:r>
        <w:rPr>
          <w:rFonts w:ascii="Arial" w:cs="Arial" w:eastAsia="Arial" w:hAnsi="Arial"/>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following the applicable fiscal year but no later than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such following year.</w:t>
      </w:r>
    </w:p>
    <w:p>
      <w:pPr>
        <w:spacing w:after="0" w:line="52" w:lineRule="exact"/>
        <w:rPr>
          <w:sz w:val="20"/>
          <w:szCs w:val="20"/>
          <w:color w:val="auto"/>
        </w:rPr>
      </w:pPr>
    </w:p>
    <w:p>
      <w:pPr>
        <w:jc w:val="both"/>
        <w:ind w:firstLine="1953"/>
        <w:spacing w:after="0" w:line="257" w:lineRule="auto"/>
        <w:tabs>
          <w:tab w:leader="none" w:pos="256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Employee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2004 Stock Incentive Plan (or any successor plan) (the “Plan”). The Plan and applicable Stock Agreement(s) shall govern any grants of restricted shares and/or stock options to purchase shares of Company’s Common Stock and/or such other awards.</w:t>
      </w:r>
    </w:p>
    <w:p>
      <w:pPr>
        <w:spacing w:after="0" w:line="188" w:lineRule="exact"/>
        <w:rPr>
          <w:rFonts w:ascii="Arial" w:cs="Arial" w:eastAsia="Arial" w:hAnsi="Arial"/>
          <w:sz w:val="18"/>
          <w:szCs w:val="18"/>
          <w:color w:val="auto"/>
        </w:rPr>
      </w:pPr>
    </w:p>
    <w:p>
      <w:pPr>
        <w:ind w:left="2460" w:hanging="507"/>
        <w:spacing w:after="0"/>
        <w:tabs>
          <w:tab w:leader="none" w:pos="246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Discounts</w:t>
      </w:r>
      <w:r>
        <w:rPr>
          <w:rFonts w:ascii="Arial" w:cs="Arial" w:eastAsia="Arial" w:hAnsi="Arial"/>
          <w:sz w:val="16"/>
          <w:szCs w:val="16"/>
          <w:color w:val="auto"/>
        </w:rPr>
        <w:t>. Employee and her immediate family will be entitled to a minimum 20% discount for all merchandise purchased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at Company’s stores.</w:t>
      </w:r>
    </w:p>
    <w:p>
      <w:pPr>
        <w:spacing w:after="0" w:line="210" w:lineRule="exact"/>
        <w:rPr>
          <w:rFonts w:ascii="Arial" w:cs="Arial" w:eastAsia="Arial" w:hAnsi="Arial"/>
          <w:sz w:val="16"/>
          <w:szCs w:val="16"/>
          <w:color w:val="auto"/>
        </w:rPr>
      </w:pPr>
    </w:p>
    <w:p>
      <w:pPr>
        <w:jc w:val="both"/>
        <w:ind w:firstLine="1953"/>
        <w:spacing w:after="0" w:line="297" w:lineRule="auto"/>
        <w:tabs>
          <w:tab w:leader="none" w:pos="2442"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her birthday.</w:t>
      </w:r>
    </w:p>
    <w:p>
      <w:pPr>
        <w:spacing w:after="0" w:line="158" w:lineRule="exact"/>
        <w:rPr>
          <w:rFonts w:ascii="Arial" w:cs="Arial" w:eastAsia="Arial" w:hAnsi="Arial"/>
          <w:sz w:val="16"/>
          <w:szCs w:val="16"/>
          <w:color w:val="auto"/>
        </w:rPr>
      </w:pPr>
    </w:p>
    <w:p>
      <w:pPr>
        <w:jc w:val="both"/>
        <w:ind w:firstLine="1953"/>
        <w:spacing w:after="0" w:line="276" w:lineRule="auto"/>
        <w:tabs>
          <w:tab w:leader="none" w:pos="2439"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her then current location of employment.</w:t>
      </w:r>
    </w:p>
    <w:p>
      <w:pPr>
        <w:spacing w:after="0" w:line="172" w:lineRule="exact"/>
        <w:rPr>
          <w:rFonts w:ascii="Arial" w:cs="Arial" w:eastAsia="Arial" w:hAnsi="Arial"/>
          <w:sz w:val="17"/>
          <w:szCs w:val="17"/>
          <w:color w:val="auto"/>
        </w:rPr>
      </w:pPr>
    </w:p>
    <w:p>
      <w:pPr>
        <w:jc w:val="both"/>
        <w:ind w:left="80" w:firstLine="1954"/>
        <w:spacing w:after="0" w:line="297" w:lineRule="auto"/>
        <w:tabs>
          <w:tab w:leader="none" w:pos="2473"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Signing Bonus</w:t>
      </w:r>
      <w:r>
        <w:rPr>
          <w:rFonts w:ascii="Arial" w:cs="Arial" w:eastAsia="Arial" w:hAnsi="Arial"/>
          <w:sz w:val="16"/>
          <w:szCs w:val="16"/>
          <w:color w:val="auto"/>
        </w:rPr>
        <w:t>. Employee shall receive a lump sum cash bonus in the amount of Fifty Thousand Dollars ($50,000) paid on the Company’s first regular pay date following execution of this Agreement and a lump sum cash bonus in the amount of Twenty Five Thousand Dollars ($25,000) paid on July 17, 2014 (collectively, the “Signing Bonus Payments”). Both Signing Bonus Payments will be (i) subject to withholding and other employment taxes as required and (ii) immediately repaid by Employee to Company should Employee’s employment be terminated on or before January 20, 2015 by Employee without Good Reason (as defined in Section 4.1(d) below) or by the Company with Cause (as defined in Section 4.1(c)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1" w:name="page72"/>
    <w:bookmarkEnd w:id="71"/>
    <w:p>
      <w:pPr>
        <w:ind w:left="1900" w:hanging="352"/>
        <w:spacing w:after="0"/>
        <w:tabs>
          <w:tab w:leader="none" w:pos="190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Termination Provisions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Prior to the expiration of the Employment Period, this Agreement and Employee’s employment may be terminated as follows:</w:t>
      </w:r>
    </w:p>
    <w:p>
      <w:pPr>
        <w:spacing w:after="0" w:line="170" w:lineRule="exact"/>
        <w:rPr>
          <w:sz w:val="20"/>
          <w:szCs w:val="20"/>
          <w:color w:val="auto"/>
        </w:rPr>
      </w:pPr>
    </w:p>
    <w:p>
      <w:pPr>
        <w:ind w:left="1720" w:hanging="415"/>
        <w:spacing w:after="0"/>
        <w:tabs>
          <w:tab w:leader="none" w:pos="17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Employee’s death;</w:t>
      </w:r>
    </w:p>
    <w:p>
      <w:pPr>
        <w:spacing w:after="0" w:line="225" w:lineRule="exact"/>
        <w:rPr>
          <w:rFonts w:ascii="Arial" w:cs="Arial" w:eastAsia="Arial" w:hAnsi="Arial"/>
          <w:sz w:val="18"/>
          <w:szCs w:val="18"/>
          <w:color w:val="auto"/>
        </w:rPr>
      </w:pPr>
    </w:p>
    <w:p>
      <w:pPr>
        <w:jc w:val="both"/>
        <w:ind w:firstLine="1305"/>
        <w:spacing w:after="0" w:line="271" w:lineRule="auto"/>
        <w:tabs>
          <w:tab w:leader="none" w:pos="1812" w:val="left"/>
        </w:tabs>
        <w:numPr>
          <w:ilvl w:val="0"/>
          <w:numId w:val="72"/>
        </w:numPr>
        <w:rPr>
          <w:rFonts w:ascii="Arial" w:cs="Arial" w:eastAsia="Arial" w:hAnsi="Arial"/>
          <w:sz w:val="17"/>
          <w:szCs w:val="17"/>
          <w:color w:val="auto"/>
        </w:rPr>
      </w:pPr>
      <w:r>
        <w:rPr>
          <w:rFonts w:ascii="Arial" w:cs="Arial" w:eastAsia="Arial" w:hAnsi="Arial"/>
          <w:sz w:val="17"/>
          <w:szCs w:val="17"/>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her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2" w:name="page73"/>
    <w:bookmarkEnd w:id="72"/>
    <w:p>
      <w:pPr>
        <w:jc w:val="both"/>
        <w:ind w:firstLine="1305"/>
        <w:spacing w:after="0" w:line="269" w:lineRule="auto"/>
        <w:tabs>
          <w:tab w:leader="none" w:pos="1789" w:val="left"/>
        </w:tabs>
        <w:numPr>
          <w:ilvl w:val="0"/>
          <w:numId w:val="73"/>
        </w:numPr>
        <w:rPr>
          <w:rFonts w:ascii="Arial" w:cs="Arial" w:eastAsia="Arial" w:hAnsi="Arial"/>
          <w:sz w:val="17"/>
          <w:szCs w:val="17"/>
          <w:color w:val="auto"/>
        </w:rPr>
      </w:pPr>
      <w:r>
        <w:rPr>
          <w:rFonts w:ascii="Arial" w:cs="Arial" w:eastAsia="Arial" w:hAnsi="Arial"/>
          <w:sz w:val="17"/>
          <w:szCs w:val="17"/>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 (30) 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her counsel if she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179" w:lineRule="exact"/>
        <w:rPr>
          <w:rFonts w:ascii="Arial" w:cs="Arial" w:eastAsia="Arial" w:hAnsi="Arial"/>
          <w:sz w:val="17"/>
          <w:szCs w:val="17"/>
          <w:color w:val="auto"/>
        </w:rPr>
      </w:pPr>
    </w:p>
    <w:p>
      <w:pPr>
        <w:jc w:val="both"/>
        <w:ind w:firstLine="1305"/>
        <w:spacing w:after="0" w:line="272" w:lineRule="auto"/>
        <w:tabs>
          <w:tab w:leader="none" w:pos="1731" w:val="left"/>
        </w:tabs>
        <w:numPr>
          <w:ilvl w:val="0"/>
          <w:numId w:val="73"/>
        </w:numPr>
        <w:rPr>
          <w:rFonts w:ascii="Arial" w:cs="Arial" w:eastAsia="Arial" w:hAnsi="Arial"/>
          <w:sz w:val="17"/>
          <w:szCs w:val="17"/>
          <w:color w:val="auto"/>
        </w:rPr>
      </w:pPr>
      <w:r>
        <w:rPr>
          <w:rFonts w:ascii="Arial" w:cs="Arial" w:eastAsia="Arial" w:hAnsi="Arial"/>
          <w:sz w:val="17"/>
          <w:szCs w:val="17"/>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base compensation, (iv) a material diminution in Employee’s authority, duties or responsibilities, or (v) a change in the geographic location at which Employee must perform services hereunder of more than twenty-five (25) miles; provided, that, Employee provides the Board of Directors with written notice of Good Reason within thirty (30) days of the date on which Employee becomes aware of the condition alleged to give rise to Good Reason, Company does not cure such condition within thirty (30) days after such notice (to the extent curable), and Employee terminates her employment within ninety (90) days following the onset of one or more conditions giving rise to Good Reason.</w:t>
      </w:r>
    </w:p>
    <w:p>
      <w:pPr>
        <w:spacing w:after="0" w:line="178" w:lineRule="exact"/>
        <w:rPr>
          <w:sz w:val="20"/>
          <w:szCs w:val="20"/>
          <w:color w:val="auto"/>
        </w:rPr>
      </w:pPr>
    </w:p>
    <w:p>
      <w:pPr>
        <w:ind w:left="1620"/>
        <w:spacing w:after="0"/>
        <w:tabs>
          <w:tab w:leader="none" w:pos="2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Impact of Termination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89"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Survival of Covenants</w:t>
      </w:r>
      <w:r>
        <w:rPr>
          <w:rFonts w:ascii="Arial" w:cs="Arial" w:eastAsia="Arial" w:hAnsi="Arial"/>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81" w:lineRule="exact"/>
        <w:rPr>
          <w:rFonts w:ascii="Arial" w:cs="Arial" w:eastAsia="Arial" w:hAnsi="Arial"/>
          <w:sz w:val="18"/>
          <w:szCs w:val="18"/>
          <w:color w:val="auto"/>
        </w:rPr>
      </w:pPr>
    </w:p>
    <w:p>
      <w:pPr>
        <w:jc w:val="both"/>
        <w:ind w:firstLine="1305"/>
        <w:spacing w:after="0" w:line="286" w:lineRule="auto"/>
        <w:tabs>
          <w:tab w:leader="none" w:pos="1772"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Severance</w:t>
      </w:r>
      <w:r>
        <w:rPr>
          <w:rFonts w:ascii="Arial" w:cs="Arial" w:eastAsia="Arial" w:hAnsi="Arial"/>
          <w:sz w:val="16"/>
          <w:szCs w:val="16"/>
          <w:color w:val="auto"/>
        </w:rPr>
        <w:t>. In the event during the Employment Period (i) Company terminates Employee’s employment without Cause pursuant to Section 4.1(c) or (ii) the Employee terminates her employment for Good Reason pursuant to Section 4.1(d), subject to the execution and non-revocation of a release and waiver of all claims described below, Company shall continue her base salary in accordance with its regular payroll practices for a period of (A) twelve (12) months, commencing on the date that is thirty (30) days after the termination in the case of a termination of employment either prior to a Change in Control or following a period of twelve (12) months after a Change in Control or (B) eighteen (18) months, commencing on the date that is thirty (30) days after the termination in the case of a termination of employment during the twelve (12)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her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her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17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6-month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3" w:name="page74"/>
    <w:bookmarkEnd w:id="73"/>
    <w:p>
      <w:pPr>
        <w:jc w:val="both"/>
        <w:ind w:firstLine="1297"/>
        <w:spacing w:after="0" w:line="286" w:lineRule="auto"/>
        <w:rPr>
          <w:sz w:val="20"/>
          <w:szCs w:val="20"/>
          <w:color w:val="auto"/>
        </w:rPr>
      </w:pPr>
      <w:r>
        <w:rPr>
          <w:rFonts w:ascii="Arial" w:cs="Arial" w:eastAsia="Arial" w:hAnsi="Arial"/>
          <w:sz w:val="16"/>
          <w:szCs w:val="16"/>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72" w:lineRule="exact"/>
        <w:rPr>
          <w:sz w:val="20"/>
          <w:szCs w:val="20"/>
          <w:color w:val="auto"/>
        </w:rPr>
      </w:pPr>
    </w:p>
    <w:p>
      <w:pPr>
        <w:jc w:val="both"/>
        <w:ind w:firstLine="1305"/>
        <w:spacing w:after="0" w:line="272" w:lineRule="auto"/>
        <w:tabs>
          <w:tab w:leader="none" w:pos="1775"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Termination due to Employee Non-Renewal of Term or Termination by Employee without Good Reason</w:t>
      </w:r>
      <w:r>
        <w:rPr>
          <w:rFonts w:ascii="Arial" w:cs="Arial" w:eastAsia="Arial" w:hAnsi="Arial"/>
          <w:sz w:val="17"/>
          <w:szCs w:val="17"/>
          <w:color w:val="auto"/>
        </w:rPr>
        <w:t>. If the Agreement expires either at the end of the Initial Term or at the end of any Renewal Period, due to the issuance of notice of non-renewal by Employee under Section 2, then no severance under Section 4.2(b) shall be paid to the Employee and her employment shall terminate upon the anniversary date. If Employee terminates her employment without Good Reason, then no severance under Section 4.2(b) shall be paid to Employee and her employment shall terminate on the effective date of such termination. For the avoidance of doubt, if Company ends the employment relationship either at the end of the Initial Term or at the end of any Renewal Period without Cause under Section 4.1(c), Company shall remit to Employee the severance specified in Section 4.2(b) provided Company has received the release and waiver referred to in Section 4.2(b).</w:t>
      </w:r>
    </w:p>
    <w:p>
      <w:pPr>
        <w:spacing w:after="0" w:line="177" w:lineRule="exact"/>
        <w:rPr>
          <w:rFonts w:ascii="Arial" w:cs="Arial" w:eastAsia="Arial" w:hAnsi="Arial"/>
          <w:sz w:val="17"/>
          <w:szCs w:val="17"/>
          <w:color w:val="auto"/>
        </w:rPr>
      </w:pPr>
    </w:p>
    <w:p>
      <w:pPr>
        <w:jc w:val="both"/>
        <w:ind w:firstLine="1305"/>
        <w:spacing w:after="0" w:line="259" w:lineRule="auto"/>
        <w:tabs>
          <w:tab w:leader="none" w:pos="17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Section 4.2(b) above, during the period that Welfare Benefits are continued under COBRA, Company shall continue to pay Company’s portion of the medical, dental, and vision plan premiums for the benefit of Employee.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4" w:name="page75"/>
    <w:bookmarkEnd w:id="74"/>
    <w:p>
      <w:pPr>
        <w:ind w:left="1900" w:hanging="352"/>
        <w:spacing w:after="0"/>
        <w:tabs>
          <w:tab w:leader="none" w:pos="1900"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7" w:lineRule="auto"/>
        <w:tabs>
          <w:tab w:leader="none" w:pos="18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1812"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 acknowledges and confirms that certain data and other information (whether in human or machine readable form) that comes into her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86" w:lineRule="exact"/>
        <w:rPr>
          <w:rFonts w:ascii="Arial" w:cs="Arial" w:eastAsia="Arial" w:hAnsi="Arial"/>
          <w:sz w:val="18"/>
          <w:szCs w:val="18"/>
          <w:color w:val="auto"/>
        </w:rPr>
      </w:pPr>
    </w:p>
    <w:p>
      <w:pPr>
        <w:ind w:left="3040" w:hanging="439"/>
        <w:spacing w:after="0"/>
        <w:tabs>
          <w:tab w:leader="none" w:pos="3040" w:val="left"/>
        </w:tabs>
        <w:numPr>
          <w:ilvl w:val="2"/>
          <w:numId w:val="77"/>
        </w:numPr>
        <w:rPr>
          <w:rFonts w:ascii="Arial" w:cs="Arial" w:eastAsia="Arial" w:hAnsi="Arial"/>
          <w:sz w:val="18"/>
          <w:szCs w:val="18"/>
          <w:color w:val="auto"/>
        </w:rPr>
      </w:pPr>
      <w:r>
        <w:rPr>
          <w:rFonts w:ascii="Arial" w:cs="Arial" w:eastAsia="Arial" w:hAnsi="Arial"/>
          <w:sz w:val="18"/>
          <w:szCs w:val="18"/>
          <w:color w:val="auto"/>
        </w:rPr>
        <w:t>lists or other identification of customers or prospective customers of Company;</w:t>
      </w:r>
    </w:p>
    <w:p>
      <w:pPr>
        <w:spacing w:after="0" w:line="225" w:lineRule="exact"/>
        <w:rPr>
          <w:rFonts w:ascii="Arial" w:cs="Arial" w:eastAsia="Arial" w:hAnsi="Arial"/>
          <w:sz w:val="18"/>
          <w:szCs w:val="18"/>
          <w:color w:val="auto"/>
        </w:rPr>
      </w:pPr>
    </w:p>
    <w:p>
      <w:pPr>
        <w:jc w:val="both"/>
        <w:ind w:left="1300" w:firstLine="1301"/>
        <w:spacing w:after="0" w:line="264" w:lineRule="auto"/>
        <w:tabs>
          <w:tab w:leader="none" w:pos="3126" w:val="left"/>
        </w:tabs>
        <w:numPr>
          <w:ilvl w:val="2"/>
          <w:numId w:val="77"/>
        </w:numPr>
        <w:rPr>
          <w:rFonts w:ascii="Arial" w:cs="Arial" w:eastAsia="Arial" w:hAnsi="Arial"/>
          <w:sz w:val="18"/>
          <w:szCs w:val="18"/>
          <w:color w:val="auto"/>
        </w:rPr>
      </w:pPr>
      <w:r>
        <w:rPr>
          <w:rFonts w:ascii="Arial" w:cs="Arial" w:eastAsia="Arial" w:hAnsi="Arial"/>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81" w:lineRule="exact"/>
        <w:rPr>
          <w:rFonts w:ascii="Arial" w:cs="Arial" w:eastAsia="Arial" w:hAnsi="Arial"/>
          <w:sz w:val="18"/>
          <w:szCs w:val="18"/>
          <w:color w:val="auto"/>
        </w:rPr>
      </w:pPr>
    </w:p>
    <w:p>
      <w:pPr>
        <w:ind w:left="1300" w:firstLine="1301"/>
        <w:spacing w:after="0" w:line="308" w:lineRule="auto"/>
        <w:tabs>
          <w:tab w:leader="none" w:pos="3031" w:val="left"/>
        </w:tabs>
        <w:numPr>
          <w:ilvl w:val="2"/>
          <w:numId w:val="77"/>
        </w:numPr>
        <w:rPr>
          <w:rFonts w:ascii="Arial" w:cs="Arial" w:eastAsia="Arial" w:hAnsi="Arial"/>
          <w:sz w:val="17"/>
          <w:szCs w:val="17"/>
          <w:color w:val="auto"/>
        </w:rPr>
      </w:pPr>
      <w:r>
        <w:rPr>
          <w:rFonts w:ascii="Arial" w:cs="Arial" w:eastAsia="Arial" w:hAnsi="Arial"/>
          <w:sz w:val="17"/>
          <w:szCs w:val="17"/>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2"/>
          <w:numId w:val="77"/>
        </w:numPr>
        <w:rPr>
          <w:rFonts w:ascii="Arial" w:cs="Arial" w:eastAsia="Arial" w:hAnsi="Arial"/>
          <w:sz w:val="18"/>
          <w:szCs w:val="18"/>
          <w:color w:val="auto"/>
        </w:rPr>
      </w:pPr>
      <w:r>
        <w:rPr>
          <w:rFonts w:ascii="Arial" w:cs="Arial" w:eastAsia="Arial" w:hAnsi="Arial"/>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81" w:lineRule="exact"/>
        <w:rPr>
          <w:rFonts w:ascii="Arial" w:cs="Arial" w:eastAsia="Arial" w:hAnsi="Arial"/>
          <w:sz w:val="18"/>
          <w:szCs w:val="18"/>
          <w:color w:val="auto"/>
        </w:rPr>
      </w:pPr>
    </w:p>
    <w:p>
      <w:pPr>
        <w:ind w:left="1300" w:firstLine="1301"/>
        <w:spacing w:after="0" w:line="308" w:lineRule="auto"/>
        <w:tabs>
          <w:tab w:leader="none" w:pos="3180" w:val="left"/>
        </w:tabs>
        <w:numPr>
          <w:ilvl w:val="2"/>
          <w:numId w:val="77"/>
        </w:numPr>
        <w:rPr>
          <w:rFonts w:ascii="Arial" w:cs="Arial" w:eastAsia="Arial" w:hAnsi="Arial"/>
          <w:sz w:val="17"/>
          <w:szCs w:val="17"/>
          <w:color w:val="auto"/>
        </w:rPr>
      </w:pPr>
      <w:r>
        <w:rPr>
          <w:rFonts w:ascii="Arial" w:cs="Arial" w:eastAsia="Arial" w:hAnsi="Arial"/>
          <w:sz w:val="17"/>
          <w:szCs w:val="17"/>
          <w:color w:val="auto"/>
        </w:rPr>
        <w:t>equipment, materials, designs, procedures, processes, and techniques used in, or related to, the development, manufacture, assembly, fabrication or other production and quality control of Company’s products, stores and services;</w:t>
      </w:r>
    </w:p>
    <w:p>
      <w:pPr>
        <w:spacing w:after="0" w:line="146" w:lineRule="exact"/>
        <w:rPr>
          <w:rFonts w:ascii="Arial" w:cs="Arial" w:eastAsia="Arial" w:hAnsi="Arial"/>
          <w:sz w:val="17"/>
          <w:szCs w:val="17"/>
          <w:color w:val="auto"/>
        </w:rPr>
      </w:pPr>
    </w:p>
    <w:p>
      <w:pPr>
        <w:jc w:val="both"/>
        <w:ind w:left="1300" w:firstLine="1301"/>
        <w:spacing w:after="0" w:line="264" w:lineRule="auto"/>
        <w:tabs>
          <w:tab w:leader="none" w:pos="3072" w:val="left"/>
        </w:tabs>
        <w:numPr>
          <w:ilvl w:val="2"/>
          <w:numId w:val="77"/>
        </w:numPr>
        <w:rPr>
          <w:rFonts w:ascii="Arial" w:cs="Arial" w:eastAsia="Arial" w:hAnsi="Arial"/>
          <w:sz w:val="18"/>
          <w:szCs w:val="18"/>
          <w:color w:val="auto"/>
        </w:rPr>
      </w:pPr>
      <w:r>
        <w:rPr>
          <w:rFonts w:ascii="Arial" w:cs="Arial" w:eastAsia="Arial" w:hAnsi="Arial"/>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81" w:lineRule="exact"/>
        <w:rPr>
          <w:rFonts w:ascii="Arial" w:cs="Arial" w:eastAsia="Arial" w:hAnsi="Arial"/>
          <w:sz w:val="18"/>
          <w:szCs w:val="18"/>
          <w:color w:val="auto"/>
        </w:rPr>
      </w:pPr>
    </w:p>
    <w:p>
      <w:pPr>
        <w:ind w:left="3040" w:hanging="439"/>
        <w:spacing w:after="0"/>
        <w:tabs>
          <w:tab w:leader="none" w:pos="3040" w:val="left"/>
        </w:tabs>
        <w:numPr>
          <w:ilvl w:val="2"/>
          <w:numId w:val="77"/>
        </w:numPr>
        <w:rPr>
          <w:rFonts w:ascii="Arial" w:cs="Arial" w:eastAsia="Arial" w:hAnsi="Arial"/>
          <w:sz w:val="16"/>
          <w:szCs w:val="16"/>
          <w:color w:val="auto"/>
        </w:rPr>
      </w:pPr>
      <w:r>
        <w:rPr>
          <w:rFonts w:ascii="Arial" w:cs="Arial" w:eastAsia="Arial" w:hAnsi="Arial"/>
          <w:sz w:val="16"/>
          <w:szCs w:val="16"/>
          <w:color w:val="auto"/>
        </w:rPr>
        <w:t>Company’s relations with its employees (including, without limitation, salaries, job classifications and skill levels);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firstLine="1301"/>
        <w:spacing w:after="0" w:line="277" w:lineRule="auto"/>
        <w:tabs>
          <w:tab w:leader="none" w:pos="3166"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w:t>
      </w:r>
    </w:p>
    <w:p>
      <w:pPr>
        <w:spacing w:after="0" w:line="170" w:lineRule="exact"/>
        <w:rPr>
          <w:sz w:val="20"/>
          <w:szCs w:val="20"/>
          <w:color w:val="auto"/>
        </w:rPr>
      </w:pPr>
    </w:p>
    <w:p>
      <w:pPr>
        <w:jc w:val="both"/>
        <w:ind w:firstLine="1305"/>
        <w:spacing w:after="0" w:line="264" w:lineRule="auto"/>
        <w:tabs>
          <w:tab w:leader="none" w:pos="17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her duties on behalf of Company.</w:t>
      </w:r>
    </w:p>
    <w:p>
      <w:pPr>
        <w:spacing w:after="0" w:line="181" w:lineRule="exact"/>
        <w:rPr>
          <w:sz w:val="20"/>
          <w:szCs w:val="20"/>
          <w:color w:val="auto"/>
        </w:rPr>
      </w:pPr>
    </w:p>
    <w:p>
      <w:pPr>
        <w:jc w:val="both"/>
        <w:ind w:firstLine="1305"/>
        <w:spacing w:after="0" w:line="269" w:lineRule="auto"/>
        <w:tabs>
          <w:tab w:leader="none" w:pos="1711"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Post-Termination Restrictions</w:t>
      </w:r>
      <w:r>
        <w:rPr>
          <w:rFonts w:ascii="Arial" w:cs="Arial" w:eastAsia="Arial" w:hAnsi="Arial"/>
          <w:sz w:val="17"/>
          <w:szCs w:val="17"/>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herself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83" w:lineRule="exact"/>
        <w:rPr>
          <w:sz w:val="20"/>
          <w:szCs w:val="20"/>
          <w:color w:val="auto"/>
        </w:rPr>
      </w:pPr>
    </w:p>
    <w:p>
      <w:pPr>
        <w:jc w:val="both"/>
        <w:ind w:firstLine="1305"/>
        <w:spacing w:after="0" w:line="257" w:lineRule="auto"/>
        <w:tabs>
          <w:tab w:leader="none" w:pos="17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or</w:t>
      </w:r>
    </w:p>
    <w:p>
      <w:pPr>
        <w:spacing w:after="0" w:line="188" w:lineRule="exact"/>
        <w:rPr>
          <w:rFonts w:ascii="Arial" w:cs="Arial" w:eastAsia="Arial" w:hAnsi="Arial"/>
          <w:sz w:val="18"/>
          <w:szCs w:val="18"/>
          <w:color w:val="auto"/>
        </w:rPr>
      </w:pPr>
    </w:p>
    <w:p>
      <w:pPr>
        <w:jc w:val="both"/>
        <w:ind w:firstLine="1305"/>
        <w:spacing w:after="0" w:line="290" w:lineRule="auto"/>
        <w:tabs>
          <w:tab w:leader="none" w:pos="1772"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for one (1) year, induce or attempt to induce any employee, consultant, partner or advisor of Company to accept employment or an affiliation with any entity engaged in a Restricted Activity;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termination of her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her relatives, nor any other entities with which she is affiliated own more than 1% of the entity. As used in this Section 6, “material business” shall mean that either (A) greater than 10% of annual revenues received by such entity were derived from the sale of stuffed plush toys and related products, or (B) the annual revenues received or projected to be received by such entity from the sale of stuffed plush toys and related products exceeded $10 million, or (C) or the entity otherwise annually derives or is projected to derive annual revenues in excess of $5 million from a retail concept that is similar in any material regard to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6" w:name="page77"/>
    <w:bookmarkEnd w:id="76"/>
    <w:p>
      <w:pPr>
        <w:jc w:val="both"/>
        <w:ind w:firstLine="1305"/>
        <w:spacing w:after="0" w:line="286" w:lineRule="auto"/>
        <w:tabs>
          <w:tab w:leader="none" w:pos="1697"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Restrictions</w:t>
      </w:r>
      <w:r>
        <w:rPr>
          <w:rFonts w:ascii="Arial" w:cs="Arial" w:eastAsia="Arial" w:hAnsi="Arial"/>
          <w:sz w:val="17"/>
          <w:szCs w:val="17"/>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65" w:lineRule="exact"/>
        <w:rPr>
          <w:rFonts w:ascii="Arial" w:cs="Arial" w:eastAsia="Arial" w:hAnsi="Arial"/>
          <w:sz w:val="17"/>
          <w:szCs w:val="17"/>
          <w:color w:val="auto"/>
        </w:rPr>
      </w:pPr>
    </w:p>
    <w:p>
      <w:pPr>
        <w:ind w:left="1900" w:hanging="352"/>
        <w:spacing w:after="0"/>
        <w:tabs>
          <w:tab w:leader="none" w:pos="1900"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Inventions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034"/>
        <w:spacing w:after="0" w:line="253" w:lineRule="auto"/>
        <w:tabs>
          <w:tab w:leader="none" w:pos="2504" w:val="left"/>
        </w:tabs>
        <w:numPr>
          <w:ilvl w:val="2"/>
          <w:numId w:val="81"/>
        </w:numPr>
        <w:rPr>
          <w:rFonts w:ascii="Arial" w:cs="Arial" w:eastAsia="Arial" w:hAnsi="Arial"/>
          <w:sz w:val="18"/>
          <w:szCs w:val="18"/>
          <w:color w:val="auto"/>
        </w:rPr>
      </w:pPr>
      <w:r>
        <w:rPr>
          <w:rFonts w:ascii="Arial" w:cs="Arial" w:eastAsia="Arial" w:hAnsi="Arial"/>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197" w:lineRule="exact"/>
        <w:rPr>
          <w:rFonts w:ascii="Arial" w:cs="Arial" w:eastAsia="Arial" w:hAnsi="Arial"/>
          <w:sz w:val="18"/>
          <w:szCs w:val="18"/>
          <w:color w:val="auto"/>
        </w:rPr>
      </w:pPr>
    </w:p>
    <w:p>
      <w:pPr>
        <w:jc w:val="both"/>
        <w:ind w:firstLine="2034"/>
        <w:spacing w:after="0" w:line="286" w:lineRule="auto"/>
        <w:tabs>
          <w:tab w:leader="none" w:pos="2474" w:val="left"/>
        </w:tabs>
        <w:numPr>
          <w:ilvl w:val="2"/>
          <w:numId w:val="81"/>
        </w:numPr>
        <w:rPr>
          <w:rFonts w:ascii="Arial" w:cs="Arial" w:eastAsia="Arial" w:hAnsi="Arial"/>
          <w:sz w:val="16"/>
          <w:szCs w:val="16"/>
          <w:color w:val="auto"/>
        </w:rPr>
      </w:pPr>
      <w:r>
        <w:rPr>
          <w:rFonts w:ascii="Arial" w:cs="Arial" w:eastAsia="Arial" w:hAnsi="Arial"/>
          <w:sz w:val="16"/>
          <w:szCs w:val="16"/>
          <w:color w:val="auto"/>
        </w:rPr>
        <w:t>Employee acknowledges that as part of her work for Company she may be asked to create, or contribute to the creation of, computer programs, documentation and other copyrightable works. Employee hereby agrees that any and all computer programs, documentation and other copyrightable materials that she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she may have arising under 17 U.S.C. §§ 106A, rights that may arise under any federal, state, or foreign law that conveys rights that are similar in nature to those conveyed under 17 U.S.C. §§ 106A, and any other type of moral right or droit moral.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7" w:name="page78"/>
    <w:bookmarkEnd w:id="77"/>
    <w:p>
      <w:pPr>
        <w:jc w:val="both"/>
        <w:ind w:firstLine="2034"/>
        <w:spacing w:after="0" w:line="259" w:lineRule="auto"/>
        <w:tabs>
          <w:tab w:leader="none" w:pos="285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Company Property</w:t>
      </w:r>
      <w:r>
        <w:rPr>
          <w:rFonts w:ascii="Arial" w:cs="Arial" w:eastAsia="Arial" w:hAnsi="Arial"/>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186" w:lineRule="exact"/>
        <w:rPr>
          <w:rFonts w:ascii="Arial" w:cs="Arial" w:eastAsia="Arial" w:hAnsi="Arial"/>
          <w:sz w:val="18"/>
          <w:szCs w:val="18"/>
          <w:color w:val="auto"/>
        </w:rPr>
      </w:pPr>
    </w:p>
    <w:p>
      <w:pPr>
        <w:jc w:val="both"/>
        <w:ind w:firstLine="2034"/>
        <w:spacing w:after="0" w:line="255" w:lineRule="auto"/>
        <w:tabs>
          <w:tab w:leader="none" w:pos="2516"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Employee agrees that she will not in any way disparage Company or its affiliated entities, officers, or directors; and the officers and directors shall not in any way disparage Employee. Further, Employee agrees that she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w:t>
      </w:r>
    </w:p>
    <w:p>
      <w:pPr>
        <w:spacing w:after="0" w:line="193" w:lineRule="exact"/>
        <w:rPr>
          <w:rFonts w:ascii="Arial" w:cs="Arial" w:eastAsia="Arial" w:hAnsi="Arial"/>
          <w:sz w:val="18"/>
          <w:szCs w:val="18"/>
          <w:color w:val="auto"/>
        </w:rPr>
      </w:pPr>
    </w:p>
    <w:p>
      <w:pPr>
        <w:jc w:val="both"/>
        <w:ind w:firstLine="2034"/>
        <w:spacing w:after="0" w:line="259" w:lineRule="auto"/>
        <w:tabs>
          <w:tab w:leader="none" w:pos="248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Non-Waiver of Rights</w:t>
      </w:r>
      <w:r>
        <w:rPr>
          <w:rFonts w:ascii="Arial" w:cs="Arial" w:eastAsia="Arial" w:hAnsi="Arial"/>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86" w:lineRule="exact"/>
        <w:rPr>
          <w:rFonts w:ascii="Arial" w:cs="Arial" w:eastAsia="Arial" w:hAnsi="Arial"/>
          <w:sz w:val="18"/>
          <w:szCs w:val="18"/>
          <w:color w:val="auto"/>
        </w:rPr>
      </w:pPr>
    </w:p>
    <w:p>
      <w:pPr>
        <w:jc w:val="both"/>
        <w:ind w:firstLine="2034"/>
        <w:spacing w:after="0" w:line="297" w:lineRule="auto"/>
        <w:tabs>
          <w:tab w:leader="none" w:pos="258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Company’s Right to Injunctive Relief</w:t>
      </w:r>
      <w:r>
        <w:rPr>
          <w:rFonts w:ascii="Arial" w:cs="Arial" w:eastAsia="Arial" w:hAnsi="Arial"/>
          <w:sz w:val="16"/>
          <w:szCs w:val="16"/>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58" w:lineRule="exact"/>
        <w:rPr>
          <w:rFonts w:ascii="Arial" w:cs="Arial" w:eastAsia="Arial" w:hAnsi="Arial"/>
          <w:sz w:val="16"/>
          <w:szCs w:val="16"/>
          <w:color w:val="auto"/>
        </w:rPr>
      </w:pPr>
    </w:p>
    <w:p>
      <w:pPr>
        <w:jc w:val="both"/>
        <w:ind w:firstLine="2034"/>
        <w:spacing w:after="0" w:line="276" w:lineRule="auto"/>
        <w:tabs>
          <w:tab w:leader="none" w:pos="2476"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Judicial Enforcement</w:t>
      </w:r>
      <w:r>
        <w:rPr>
          <w:rFonts w:ascii="Arial" w:cs="Arial" w:eastAsia="Arial" w:hAnsi="Arial"/>
          <w:sz w:val="17"/>
          <w:szCs w:val="17"/>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172" w:lineRule="exact"/>
        <w:rPr>
          <w:rFonts w:ascii="Arial" w:cs="Arial" w:eastAsia="Arial" w:hAnsi="Arial"/>
          <w:sz w:val="17"/>
          <w:szCs w:val="17"/>
          <w:color w:val="auto"/>
        </w:rPr>
      </w:pPr>
    </w:p>
    <w:p>
      <w:pPr>
        <w:jc w:val="both"/>
        <w:ind w:firstLine="2034"/>
        <w:spacing w:after="0" w:line="257" w:lineRule="auto"/>
        <w:tabs>
          <w:tab w:leader="none" w:pos="265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Employee Representations</w:t>
      </w:r>
      <w:r>
        <w:rPr>
          <w:rFonts w:ascii="Arial" w:cs="Arial" w:eastAsia="Arial" w:hAnsi="Arial"/>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she will not, during her employment with Company, improperly use or disclose any proprietary information or trade secrets of former employers and will not bring on to the premises of Company any unpublished documents or any property belonging to her former employers unless consented to in writing by such employers.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8" w:name="page79"/>
    <w:bookmarkEnd w:id="78"/>
    <w:p>
      <w:pPr>
        <w:jc w:val="both"/>
        <w:ind w:firstLine="2034"/>
        <w:spacing w:after="0" w:line="286" w:lineRule="auto"/>
        <w:tabs>
          <w:tab w:leader="none" w:pos="2503"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65" w:lineRule="exact"/>
        <w:rPr>
          <w:rFonts w:ascii="Arial" w:cs="Arial" w:eastAsia="Arial" w:hAnsi="Arial"/>
          <w:sz w:val="17"/>
          <w:szCs w:val="17"/>
          <w:color w:val="auto"/>
        </w:rPr>
      </w:pPr>
    </w:p>
    <w:p>
      <w:pPr>
        <w:jc w:val="both"/>
        <w:ind w:right="20" w:firstLine="2034"/>
        <w:spacing w:after="0" w:line="286" w:lineRule="auto"/>
        <w:tabs>
          <w:tab w:leader="none" w:pos="253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Assignments</w:t>
      </w:r>
      <w:r>
        <w:rPr>
          <w:rFonts w:ascii="Arial" w:cs="Arial" w:eastAsia="Arial" w:hAnsi="Arial"/>
          <w:sz w:val="17"/>
          <w:szCs w:val="17"/>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65" w:lineRule="exact"/>
        <w:rPr>
          <w:rFonts w:ascii="Arial" w:cs="Arial" w:eastAsia="Arial" w:hAnsi="Arial"/>
          <w:sz w:val="17"/>
          <w:szCs w:val="17"/>
          <w:color w:val="auto"/>
        </w:rPr>
      </w:pPr>
    </w:p>
    <w:p>
      <w:pPr>
        <w:jc w:val="both"/>
        <w:ind w:firstLine="2034"/>
        <w:spacing w:after="0" w:line="255" w:lineRule="auto"/>
        <w:tabs>
          <w:tab w:leader="none" w:pos="253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Choice of Forum and Governing Law</w:t>
      </w:r>
      <w:r>
        <w:rPr>
          <w:rFonts w:ascii="Arial" w:cs="Arial" w:eastAsia="Arial" w:hAnsi="Arial"/>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93" w:lineRule="exact"/>
        <w:rPr>
          <w:rFonts w:ascii="Arial" w:cs="Arial" w:eastAsia="Arial" w:hAnsi="Arial"/>
          <w:sz w:val="18"/>
          <w:szCs w:val="18"/>
          <w:color w:val="auto"/>
        </w:rPr>
      </w:pPr>
    </w:p>
    <w:p>
      <w:pPr>
        <w:ind w:right="20" w:firstLine="2034"/>
        <w:spacing w:after="0" w:line="342" w:lineRule="auto"/>
        <w:tabs>
          <w:tab w:leader="none" w:pos="251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124" w:lineRule="exact"/>
        <w:rPr>
          <w:sz w:val="20"/>
          <w:szCs w:val="20"/>
          <w:color w:val="auto"/>
        </w:rPr>
      </w:pPr>
    </w:p>
    <w:p>
      <w:pPr>
        <w:ind w:left="2460" w:hanging="426"/>
        <w:spacing w:after="0"/>
        <w:tabs>
          <w:tab w:leader="none" w:pos="2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to Company:</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Sharon Price John</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Eric Fencl</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Chief Bearrister—General Counsel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1954 Innerbelt Business Center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St. Louis, MO 63114</w:t>
      </w:r>
    </w:p>
    <w:p>
      <w:pPr>
        <w:spacing w:after="0" w:line="200" w:lineRule="exact"/>
        <w:rPr>
          <w:sz w:val="20"/>
          <w:szCs w:val="20"/>
          <w:color w:val="auto"/>
        </w:rPr>
      </w:pPr>
    </w:p>
    <w:p>
      <w:pPr>
        <w:spacing w:after="0" w:line="227" w:lineRule="exact"/>
        <w:rPr>
          <w:sz w:val="20"/>
          <w:szCs w:val="20"/>
          <w:color w:val="auto"/>
        </w:rPr>
      </w:pPr>
    </w:p>
    <w:p>
      <w:pPr>
        <w:ind w:left="2600" w:right="7820" w:hanging="566"/>
        <w:spacing w:after="0" w:line="624" w:lineRule="auto"/>
        <w:tabs>
          <w:tab w:leader="none" w:pos="2468"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to Employee: Gina Collins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79" w:name="page80"/>
    <w:bookmarkEnd w:id="79"/>
    <w:p>
      <w:pPr>
        <w:jc w:val="both"/>
        <w:ind w:firstLine="1305"/>
        <w:spacing w:after="0" w:line="270" w:lineRule="auto"/>
        <w:tabs>
          <w:tab w:leader="none" w:pos="176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181" w:lineRule="exact"/>
        <w:rPr>
          <w:rFonts w:ascii="Arial" w:cs="Arial" w:eastAsia="Arial" w:hAnsi="Arial"/>
          <w:sz w:val="17"/>
          <w:szCs w:val="17"/>
          <w:color w:val="auto"/>
        </w:rPr>
      </w:pPr>
    </w:p>
    <w:p>
      <w:pPr>
        <w:jc w:val="both"/>
        <w:ind w:firstLine="1305"/>
        <w:spacing w:after="0" w:line="253" w:lineRule="auto"/>
        <w:tabs>
          <w:tab w:leader="none" w:pos="17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Reduction</w:t>
      </w:r>
      <w:r>
        <w:rPr>
          <w:rFonts w:ascii="Arial" w:cs="Arial" w:eastAsia="Arial" w:hAnsi="Arial"/>
          <w:sz w:val="18"/>
          <w:szCs w:val="18"/>
          <w:color w:val="auto"/>
        </w:rPr>
        <w:t>. Any provision of this Agreement to the contrary notwithstanding, if any payments or benefits which Employee has the right to receive (“Payments”), whether provided hereunder or under a different arrangement, are subject to the excise tax imposed by Section 4999 of the Code (“Excise Tax”), then the Payments shall be reduced (but not below zero) to the greatest amount which may be paid without Employee becoming subject to the Excise Tax. The determinations as to the Payments to be reduced and the amount of reduction shall be made by Company in good faith, and such determinations shall be conclusive and binding on Employee. If a reduced payment is made and through error or otherwise that payment, when aggregated with other Payments used in determining if a “parachute payment” exists, would trigger an Excise Tax, Employee shall immediately repay such excess to Company upon notification that an overpayment has been made.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2" w:lineRule="exact"/>
        <w:rPr>
          <w:rFonts w:ascii="Arial" w:cs="Arial" w:eastAsia="Arial" w:hAnsi="Arial"/>
          <w:sz w:val="18"/>
          <w:szCs w:val="18"/>
          <w:color w:val="auto"/>
        </w:rPr>
      </w:pPr>
    </w:p>
    <w:p>
      <w:pPr>
        <w:ind w:left="1800" w:hanging="495"/>
        <w:spacing w:after="0"/>
        <w:tabs>
          <w:tab w:leader="none" w:pos="180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provided in this Agreement for convenience only and shall not be deemed to substantively alter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content of such sections.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0" w:name="page81"/>
    <w:bookmarkEnd w:id="80"/>
    <w:p>
      <w:pPr>
        <w:jc w:val="both"/>
        <w:spacing w:after="0" w:line="258" w:lineRule="auto"/>
        <w:rPr>
          <w:sz w:val="20"/>
          <w:szCs w:val="20"/>
          <w:color w:val="auto"/>
        </w:rPr>
      </w:pPr>
      <w:r>
        <w:rPr>
          <w:rFonts w:ascii="Arial" w:cs="Arial" w:eastAsia="Arial" w:hAnsi="Arial"/>
          <w:sz w:val="18"/>
          <w:szCs w:val="18"/>
          <w:b w:val="1"/>
          <w:bCs w:val="1"/>
          <w:u w:val="single" w:color="auto"/>
          <w:color w:val="auto"/>
        </w:rPr>
        <w:t>PLEASE NOTE</w:t>
      </w:r>
      <w:r>
        <w:rPr>
          <w:rFonts w:ascii="Arial" w:cs="Arial" w:eastAsia="Arial" w:hAnsi="Arial"/>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EMPLOYEE’S RIGHTS AND OBLIGATIONS UNDER THE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parties hereto have caused this Agreement to be executed as of January 20, 2014.</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Gina Collins</w:t>
      </w:r>
    </w:p>
    <w:p>
      <w:pPr>
        <w:spacing w:after="0" w:line="5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Gina Collins</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BUILD-A-BEAR WORKSHOP,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Sharon Price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Sharon Price John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3"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Build-A-Bear Workshop, Inc.:</w:t>
      </w:r>
    </w:p>
    <w:p>
      <w:pPr>
        <w:spacing w:after="0" w:line="200" w:lineRule="exact"/>
        <w:rPr>
          <w:sz w:val="20"/>
          <w:szCs w:val="20"/>
          <w:color w:val="auto"/>
        </w:rPr>
      </w:pP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(Forms S-8 No. 333-120012 and No. 333-159313) pertaining to various stock incentive plans of Build-A-Bear Workshop, Inc. and Subsidiaries of our reports dated March 13, 2014, with respect to the consolidated financial statements and schedule of Build-A-Bear Workshop, Inc. and Subsidiaries, and the effectiveness of internal control over financial reporting of Build-A-Bear Workshop, Inc. and Subsidiaries, included in this Annual Report (Form 10-K) for the year-ended December 28,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2014</w:t>
      </w:r>
    </w:p>
    <w:p>
      <w:pPr>
        <w:sectPr>
          <w:pgSz w:w="11900" w:h="16838" w:orient="portrait"/>
          <w:cols w:equalWidth="0" w:num="1">
            <w:col w:w="11420"/>
          </w:cols>
          <w:pgMar w:left="240" w:top="125"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13, 2014</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Tina Klocke, certify that:</w:t>
      </w:r>
    </w:p>
    <w:p>
      <w:pPr>
        <w:spacing w:after="0" w:line="225" w:lineRule="exact"/>
        <w:rPr>
          <w:sz w:val="20"/>
          <w:szCs w:val="20"/>
          <w:color w:val="auto"/>
        </w:rPr>
      </w:pPr>
    </w:p>
    <w:p>
      <w:pPr>
        <w:ind w:left="880" w:hanging="426"/>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spacing w:after="0" w:line="264" w:lineRule="auto"/>
        <w:tabs>
          <w:tab w:leader="none" w:pos="168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60"/>
        <w:spacing w:after="0" w:line="264" w:lineRule="auto"/>
        <w:tabs>
          <w:tab w:leader="none" w:pos="169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40" w:right="40"/>
        <w:spacing w:after="0" w:line="342" w:lineRule="auto"/>
        <w:tabs>
          <w:tab w:leader="none" w:pos="1685"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380"/>
        <w:spacing w:after="0" w:line="264" w:lineRule="auto"/>
        <w:tabs>
          <w:tab w:leader="none" w:pos="169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240"/>
        <w:spacing w:after="0" w:line="308" w:lineRule="auto"/>
        <w:tabs>
          <w:tab w:leader="none" w:pos="1685"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40" w:right="520"/>
        <w:spacing w:after="0" w:line="277" w:lineRule="auto"/>
        <w:tabs>
          <w:tab w:leader="none" w:pos="169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March 13, 2014</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Tina Klocke</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Tina Klocke</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Operations and Financial Bear, Treasurer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28, 2013 as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13, 2014</w:t>
            </w:r>
          </w:p>
        </w:tc>
        <w:tc>
          <w:tcPr>
            <w:tcW w:w="5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Sharon John</w:t>
            </w:r>
          </w:p>
        </w:tc>
      </w:tr>
      <w:tr>
        <w:trPr>
          <w:trHeight w:val="195"/>
        </w:trPr>
        <w:tc>
          <w:tcPr>
            <w:tcW w:w="5980" w:type="dxa"/>
            <w:vAlign w:val="bottom"/>
          </w:tcPr>
          <w:p>
            <w:pPr>
              <w:spacing w:after="0"/>
              <w:rPr>
                <w:sz w:val="16"/>
                <w:szCs w:val="16"/>
                <w:color w:val="auto"/>
              </w:rPr>
            </w:pPr>
          </w:p>
        </w:tc>
        <w:tc>
          <w:tcPr>
            <w:tcW w:w="5440" w:type="dxa"/>
            <w:vAlign w:val="bottom"/>
          </w:tcPr>
          <w:p>
            <w:pPr>
              <w:ind w:left="60"/>
              <w:spacing w:after="0" w:line="195" w:lineRule="exact"/>
              <w:rPr>
                <w:sz w:val="20"/>
                <w:szCs w:val="20"/>
                <w:color w:val="auto"/>
              </w:rPr>
            </w:pPr>
            <w:r>
              <w:rPr>
                <w:rFonts w:ascii="Arial" w:cs="Arial" w:eastAsia="Arial" w:hAnsi="Arial"/>
                <w:sz w:val="18"/>
                <w:szCs w:val="18"/>
                <w:color w:val="auto"/>
              </w:rPr>
              <w:t>Sharon John</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Chief Executive Officer and Chief President Bear</w:t>
            </w:r>
          </w:p>
        </w:tc>
      </w:tr>
      <w:tr>
        <w:trPr>
          <w:trHeight w:val="216"/>
        </w:trPr>
        <w:tc>
          <w:tcPr>
            <w:tcW w:w="5980" w:type="dxa"/>
            <w:vAlign w:val="bottom"/>
          </w:tcPr>
          <w:p>
            <w:pPr>
              <w:spacing w:after="0"/>
              <w:rPr>
                <w:sz w:val="18"/>
                <w:szCs w:val="18"/>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6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441"/>
        <w:spacing w:after="0" w:line="259" w:lineRule="auto"/>
        <w:rPr>
          <w:sz w:val="20"/>
          <w:szCs w:val="20"/>
          <w:color w:val="auto"/>
        </w:rPr>
      </w:pPr>
      <w:r>
        <w:rPr>
          <w:rFonts w:ascii="Arial" w:cs="Arial" w:eastAsia="Arial" w:hAnsi="Arial"/>
          <w:sz w:val="18"/>
          <w:szCs w:val="18"/>
          <w:color w:val="auto"/>
        </w:rPr>
        <w:t>In connection with the Annual Report of Build-A-Bear Workshop, Inc. (the “Company”) on Form 10-K for the period ended December 28, 2013 as filed with the Securities and Exchange Commission on the date hereof (the “Report”), I, Tina Klocke, Chief Operations and Financial Bear and Treasurer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00" w:hanging="251"/>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00" w:hanging="251"/>
        <w:spacing w:after="0"/>
        <w:tabs>
          <w:tab w:leader="none" w:pos="7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Date: March 13, 2014</w:t>
            </w:r>
          </w:p>
        </w:tc>
        <w:tc>
          <w:tcPr>
            <w:tcW w:w="54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Tina Klocke</w:t>
            </w:r>
          </w:p>
        </w:tc>
      </w:tr>
      <w:tr>
        <w:trPr>
          <w:trHeight w:val="195"/>
        </w:trPr>
        <w:tc>
          <w:tcPr>
            <w:tcW w:w="5980" w:type="dxa"/>
            <w:vAlign w:val="bottom"/>
          </w:tcPr>
          <w:p>
            <w:pPr>
              <w:spacing w:after="0"/>
              <w:rPr>
                <w:sz w:val="16"/>
                <w:szCs w:val="16"/>
                <w:color w:val="auto"/>
              </w:rPr>
            </w:pPr>
          </w:p>
        </w:tc>
        <w:tc>
          <w:tcPr>
            <w:tcW w:w="5440" w:type="dxa"/>
            <w:vAlign w:val="bottom"/>
          </w:tcPr>
          <w:p>
            <w:pPr>
              <w:ind w:left="80"/>
              <w:spacing w:after="0" w:line="195" w:lineRule="exact"/>
              <w:rPr>
                <w:sz w:val="20"/>
                <w:szCs w:val="20"/>
                <w:color w:val="auto"/>
              </w:rPr>
            </w:pPr>
            <w:r>
              <w:rPr>
                <w:rFonts w:ascii="Arial" w:cs="Arial" w:eastAsia="Arial" w:hAnsi="Arial"/>
                <w:sz w:val="18"/>
                <w:szCs w:val="18"/>
                <w:color w:val="auto"/>
              </w:rPr>
              <w:t>Tina Klocke</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Chief Operations and Financial Bear, Treasurer</w:t>
            </w:r>
          </w:p>
        </w:tc>
      </w:tr>
      <w:tr>
        <w:trPr>
          <w:trHeight w:val="216"/>
        </w:trPr>
        <w:tc>
          <w:tcPr>
            <w:tcW w:w="5980" w:type="dxa"/>
            <w:vAlign w:val="bottom"/>
          </w:tcPr>
          <w:p>
            <w:pPr>
              <w:spacing w:after="0"/>
              <w:rPr>
                <w:sz w:val="18"/>
                <w:szCs w:val="18"/>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Build-A-Bear Workshop, Inc.</w:t>
            </w:r>
          </w:p>
        </w:tc>
      </w:tr>
      <w:tr>
        <w:trPr>
          <w:trHeight w:val="230"/>
        </w:trPr>
        <w:tc>
          <w:tcPr>
            <w:tcW w:w="5980" w:type="dxa"/>
            <w:vAlign w:val="bottom"/>
          </w:tcPr>
          <w:p>
            <w:pPr>
              <w:spacing w:after="0"/>
              <w:rPr>
                <w:sz w:val="20"/>
                <w:szCs w:val="20"/>
                <w:color w:val="auto"/>
              </w:rPr>
            </w:pPr>
          </w:p>
        </w:tc>
        <w:tc>
          <w:tcPr>
            <w:tcW w:w="544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1."/>
      <w:numFmt w:val="decimal"/>
      <w:start w:val="1"/>
    </w:lvl>
  </w:abstractNum>
  <w:abstractNum w:abstractNumId="4">
    <w:nsid w:val="38437FDB"/>
    <w:multiLevelType w:val="hybridMultilevel"/>
    <w:lvl w:ilvl="0">
      <w:lvlJc w:val="left"/>
      <w:lvlText w:val="%1."/>
      <w:numFmt w:val="decimal"/>
      <w:start w:val="3"/>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1)"/>
      <w:numFmt w:val="decimal"/>
      <w:start w:val="1"/>
    </w:lvl>
  </w:abstractNum>
  <w:abstractNum w:abstractNumId="11">
    <w:nsid w:val="1BA026FA"/>
    <w:multiLevelType w:val="hybridMultilevel"/>
    <w:lvl w:ilvl="0">
      <w:lvlJc w:val="left"/>
      <w:lvlText w:val="(%1)"/>
      <w:numFmt w:val="decimal"/>
      <w:start w:val="1"/>
    </w:lvl>
  </w:abstractNum>
  <w:abstractNum w:abstractNumId="12">
    <w:nsid w:val="79A1DEAA"/>
    <w:multiLevelType w:val="hybridMultilevel"/>
    <w:lvl w:ilvl="0">
      <w:lvlJc w:val="left"/>
      <w:lvlText w:val="(%1)"/>
      <w:numFmt w:val="decimal"/>
      <w:start w:val="4"/>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1)"/>
      <w:numFmt w:val="decimal"/>
      <w:start w:val="1"/>
    </w:lvl>
  </w:abstractNum>
  <w:abstractNum w:abstractNumId="16">
    <w:nsid w:val="520EEDD1"/>
    <w:multiLevelType w:val="hybridMultilevel"/>
    <w:lvl w:ilvl="0">
      <w:lvlJc w:val="left"/>
      <w:lvlText w:val="●"/>
      <w:numFmt w:val="bullet"/>
      <w:start w:val="1"/>
    </w:lvl>
    <w:lvl w:ilvl="1">
      <w:lvlJc w:val="left"/>
      <w:lvlText w:val="•"/>
      <w:numFmt w:val="bullet"/>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decimal"/>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decimal"/>
      <w:start w:val="2"/>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2"/>
    </w:lvl>
  </w:abstractNum>
  <w:abstractNum w:abstractNumId="26">
    <w:nsid w:val="47398C89"/>
    <w:multiLevelType w:val="hybridMultilevel"/>
    <w:lvl w:ilvl="0">
      <w:lvlJc w:val="left"/>
      <w:lvlText w:val="(%1)"/>
      <w:numFmt w:val="lowerLetter"/>
      <w:start w:val="3"/>
    </w:lvl>
  </w:abstractNum>
  <w:abstractNum w:abstractNumId="27">
    <w:nsid w:val="354FE9F9"/>
    <w:multiLevelType w:val="hybridMultilevel"/>
    <w:lvl w:ilvl="0">
      <w:lvlJc w:val="left"/>
      <w:lvlText w:val="(%1)"/>
      <w:numFmt w:val="lowerLetter"/>
      <w:start w:val="4"/>
    </w:lvl>
  </w:abstractNum>
  <w:abstractNum w:abstractNumId="28">
    <w:nsid w:val="15B5AF5C"/>
    <w:multiLevelType w:val="hybridMultilevel"/>
    <w:lvl w:ilvl="0">
      <w:lvlJc w:val="left"/>
      <w:lvlText w:val="(%1)"/>
      <w:numFmt w:val="lowerLetter"/>
      <w:start w:val="5"/>
    </w:lvl>
  </w:abstractNum>
  <w:abstractNum w:abstractNumId="29">
    <w:nsid w:val="741226BB"/>
    <w:multiLevelType w:val="hybridMultilevel"/>
    <w:lvl w:ilvl="0">
      <w:lvlJc w:val="left"/>
      <w:lvlText w:val="(%1)"/>
      <w:numFmt w:val="lowerLetter"/>
      <w:start w:val="6"/>
    </w:lvl>
  </w:abstractNum>
  <w:abstractNum w:abstractNumId="30">
    <w:nsid w:val="D34B6A8"/>
    <w:multiLevelType w:val="hybridMultilevel"/>
    <w:lvl w:ilvl="0">
      <w:lvlJc w:val="left"/>
      <w:lvlText w:val="(%1)"/>
      <w:numFmt w:val="lowerLetter"/>
      <w:start w:val="7"/>
    </w:lvl>
  </w:abstractNum>
  <w:abstractNum w:abstractNumId="31">
    <w:nsid w:val="10233C99"/>
    <w:multiLevelType w:val="hybridMultilevel"/>
    <w:lvl w:ilvl="0">
      <w:lvlJc w:val="left"/>
      <w:lvlText w:val="(%1)"/>
      <w:numFmt w:val="lowerLetter"/>
      <w:start w:val="8"/>
    </w:lvl>
  </w:abstractNum>
  <w:abstractNum w:abstractNumId="32">
    <w:nsid w:val="3F6AB60F"/>
    <w:multiLevelType w:val="hybridMultilevel"/>
    <w:lvl w:ilvl="0">
      <w:lvlJc w:val="left"/>
      <w:lvlText w:val="(%1)"/>
      <w:numFmt w:val="lowerRoman"/>
      <w:start w:val="1"/>
    </w:lvl>
  </w:abstractNum>
  <w:abstractNum w:abstractNumId="33">
    <w:nsid w:val="61574095"/>
    <w:multiLevelType w:val="hybridMultilevel"/>
    <w:lvl w:ilvl="0">
      <w:lvlJc w:val="left"/>
      <w:lvlText w:val="(%1)"/>
      <w:numFmt w:val="lowerLetter"/>
      <w:start w:val="10"/>
    </w:lvl>
  </w:abstractNum>
  <w:abstractNum w:abstractNumId="34">
    <w:nsid w:val="7E0C57B1"/>
    <w:multiLevelType w:val="hybridMultilevel"/>
    <w:lvl w:ilvl="0">
      <w:lvlJc w:val="left"/>
      <w:lvlText w:val="(%1)"/>
      <w:numFmt w:val="lowerLetter"/>
      <w:start w:val="11"/>
    </w:lvl>
  </w:abstractNum>
  <w:abstractNum w:abstractNumId="35">
    <w:nsid w:val="77AE35EB"/>
    <w:multiLevelType w:val="hybridMultilevel"/>
    <w:lvl w:ilvl="0">
      <w:lvlJc w:val="left"/>
      <w:lvlText w:val="(%1)"/>
      <w:numFmt w:val="lowerLetter"/>
      <w:start w:val="12"/>
    </w:lvl>
  </w:abstractNum>
  <w:abstractNum w:abstractNumId="36">
    <w:nsid w:val="579BE4F1"/>
    <w:multiLevelType w:val="hybridMultilevel"/>
    <w:lvl w:ilvl="0">
      <w:lvlJc w:val="left"/>
      <w:lvlText w:val="(%1)"/>
      <w:numFmt w:val="lowerLetter"/>
      <w:start w:val="14"/>
    </w:lvl>
  </w:abstractNum>
  <w:abstractNum w:abstractNumId="37">
    <w:nsid w:val="310C50B3"/>
    <w:multiLevelType w:val="hybridMultilevel"/>
    <w:lvl w:ilvl="0">
      <w:lvlJc w:val="left"/>
      <w:lvlText w:val="(%1)"/>
      <w:numFmt w:val="lowerLetter"/>
      <w:start w:val="15"/>
    </w:lvl>
  </w:abstractNum>
  <w:abstractNum w:abstractNumId="38">
    <w:nsid w:val="5FF87E05"/>
    <w:multiLevelType w:val="hybridMultilevel"/>
    <w:lvl w:ilvl="0">
      <w:lvlJc w:val="left"/>
      <w:lvlText w:val="(%1)"/>
      <w:numFmt w:val="lowerLetter"/>
      <w:start w:val="16"/>
    </w:lvl>
  </w:abstractNum>
  <w:abstractNum w:abstractNumId="39">
    <w:nsid w:val="2F305DEF"/>
    <w:multiLevelType w:val="hybridMultilevel"/>
    <w:lvl w:ilvl="0">
      <w:lvlJc w:val="left"/>
      <w:lvlText w:val="(%1)"/>
      <w:numFmt w:val="lowerLetter"/>
      <w:start w:val="17"/>
    </w:lvl>
  </w:abstractNum>
  <w:abstractNum w:abstractNumId="40">
    <w:nsid w:val="25A70BF7"/>
    <w:multiLevelType w:val="hybridMultilevel"/>
    <w:lvl w:ilvl="0">
      <w:lvlJc w:val="left"/>
      <w:lvlText w:val="(%1)"/>
      <w:numFmt w:val="lowerLetter"/>
      <w:start w:val="18"/>
    </w:lvl>
  </w:abstractNum>
  <w:abstractNum w:abstractNumId="41">
    <w:nsid w:val="1DBABF00"/>
    <w:multiLevelType w:val="hybridMultilevel"/>
    <w:lvl w:ilvl="0">
      <w:lvlJc w:val="left"/>
      <w:lvlText w:val="(%1)"/>
      <w:numFmt w:val="lowerLetter"/>
      <w:start w:val="19"/>
    </w:lvl>
  </w:abstractNum>
  <w:abstractNum w:abstractNumId="42">
    <w:nsid w:val="4AD084E9"/>
    <w:multiLevelType w:val="hybridMultilevel"/>
    <w:lvl w:ilvl="0">
      <w:lvlJc w:val="left"/>
      <w:lvlText w:val="(%1)"/>
      <w:numFmt w:val="lowerLetter"/>
      <w:start w:val="20"/>
    </w:lvl>
  </w:abstractNum>
  <w:abstractNum w:abstractNumId="43">
    <w:nsid w:val="1F48EAA1"/>
    <w:multiLevelType w:val="hybridMultilevel"/>
    <w:lvl w:ilvl="0">
      <w:lvlJc w:val="left"/>
      <w:lvlText w:val="(%1)"/>
      <w:numFmt w:val="lowerLetter"/>
      <w:start w:val="21"/>
    </w:lvl>
  </w:abstractNum>
  <w:abstractNum w:abstractNumId="44">
    <w:nsid w:val="1381823A"/>
    <w:multiLevelType w:val="hybridMultilevel"/>
    <w:lvl w:ilvl="0">
      <w:lvlJc w:val="left"/>
      <w:lvlText w:val="(%1)"/>
      <w:numFmt w:val="lowerRoman"/>
      <w:start w:val="5"/>
    </w:lvl>
  </w:abstractNum>
  <w:abstractNum w:abstractNumId="45">
    <w:nsid w:val="5DB70AE5"/>
    <w:multiLevelType w:val="hybridMultilevel"/>
    <w:lvl w:ilvl="0">
      <w:lvlJc w:val="left"/>
      <w:lvlText w:val="(%1)"/>
      <w:numFmt w:val="lowerLetter"/>
      <w:start w:val="23"/>
    </w:lvl>
  </w:abstractNum>
  <w:abstractNum w:abstractNumId="46">
    <w:nsid w:val="100F8FCA"/>
    <w:multiLevelType w:val="hybridMultilevel"/>
    <w:lvl w:ilvl="0">
      <w:lvlJc w:val="left"/>
      <w:lvlText w:val="(%1)"/>
      <w:numFmt w:val="lowerRoman"/>
      <w:start w:val="10"/>
    </w:lvl>
  </w:abstractNum>
  <w:abstractNum w:abstractNumId="47">
    <w:nsid w:val="6590700B"/>
    <w:multiLevelType w:val="hybridMultilevel"/>
    <w:lvl w:ilvl="0">
      <w:lvlJc w:val="left"/>
      <w:lvlText w:val="(%1)"/>
      <w:numFmt w:val="lowerLetter"/>
      <w:start w:val="25"/>
    </w:lvl>
  </w:abstractNum>
  <w:abstractNum w:abstractNumId="48">
    <w:nsid w:val="15014ACB"/>
    <w:multiLevelType w:val="hybridMultilevel"/>
    <w:lvl w:ilvl="0">
      <w:lvlJc w:val="left"/>
      <w:lvlText w:val="(%1)"/>
      <w:numFmt w:val="lowerLetter"/>
      <w:start w:val="26"/>
    </w:lvl>
  </w:abstractNum>
  <w:abstractNum w:abstractNumId="49">
    <w:nsid w:val="5F5E7FD0"/>
    <w:multiLevelType w:val="hybridMultilevel"/>
    <w:lvl w:ilvl="0">
      <w:lvlJc w:val="left"/>
      <w:lvlText w:val="(%1)"/>
      <w:numFmt w:val="decimal"/>
      <w:start w:val="4"/>
    </w:lvl>
  </w:abstractNum>
  <w:abstractNum w:abstractNumId="50">
    <w:nsid w:val="98A3148"/>
    <w:multiLevelType w:val="hybridMultilevel"/>
    <w:lvl w:ilvl="0">
      <w:lvlJc w:val="left"/>
      <w:lvlText w:val="(%1)"/>
      <w:numFmt w:val="decimal"/>
      <w:start w:val="5"/>
    </w:lvl>
  </w:abstractNum>
  <w:abstractNum w:abstractNumId="51">
    <w:nsid w:val="799D0247"/>
    <w:multiLevelType w:val="hybridMultilevel"/>
    <w:lvl w:ilvl="0">
      <w:lvlJc w:val="left"/>
      <w:lvlText w:val="(%1)"/>
      <w:numFmt w:val="decimal"/>
      <w:start w:val="6"/>
    </w:lvl>
  </w:abstractNum>
  <w:abstractNum w:abstractNumId="52">
    <w:nsid w:val="6B94764"/>
    <w:multiLevelType w:val="hybridMultilevel"/>
    <w:lvl w:ilvl="0">
      <w:lvlJc w:val="left"/>
      <w:lvlText w:val="(%1)"/>
      <w:numFmt w:val="decimal"/>
      <w:start w:val="7"/>
    </w:lvl>
  </w:abstractNum>
  <w:abstractNum w:abstractNumId="53">
    <w:nsid w:val="42C296BD"/>
    <w:multiLevelType w:val="hybridMultilevel"/>
    <w:lvl w:ilvl="0">
      <w:lvlJc w:val="left"/>
      <w:lvlText w:val="(%1)"/>
      <w:numFmt w:val="decimal"/>
      <w:start w:val="8"/>
    </w:lvl>
  </w:abstractNum>
  <w:abstractNum w:abstractNumId="54">
    <w:nsid w:val="168E121F"/>
    <w:multiLevelType w:val="hybridMultilevel"/>
    <w:lvl w:ilvl="0">
      <w:lvlJc w:val="left"/>
      <w:lvlText w:val="$"/>
      <w:numFmt w:val="bullet"/>
      <w:start w:val="1"/>
    </w:lvl>
  </w:abstractNum>
  <w:abstractNum w:abstractNumId="55">
    <w:nsid w:val="1EBA5D23"/>
    <w:multiLevelType w:val="hybridMultilevel"/>
    <w:lvl w:ilvl="0">
      <w:lvlJc w:val="left"/>
      <w:lvlText w:val="$"/>
      <w:numFmt w:val="bullet"/>
      <w:start w:val="1"/>
    </w:lvl>
  </w:abstractNum>
  <w:abstractNum w:abstractNumId="56">
    <w:nsid w:val="661E3F1E"/>
    <w:multiLevelType w:val="hybridMultilevel"/>
    <w:lvl w:ilvl="0">
      <w:lvlJc w:val="left"/>
      <w:lvlText w:val="(%1)"/>
      <w:numFmt w:val="decimal"/>
      <w:start w:val="9"/>
    </w:lvl>
  </w:abstractNum>
  <w:abstractNum w:abstractNumId="57">
    <w:nsid w:val="5DC79EA8"/>
    <w:multiLevelType w:val="hybridMultilevel"/>
    <w:lvl w:ilvl="0">
      <w:lvlJc w:val="left"/>
      <w:lvlText w:val="(%1)"/>
      <w:numFmt w:val="decimal"/>
      <w:start w:val="10"/>
    </w:lvl>
    <w:lvl w:ilvl="1">
      <w:lvlJc w:val="left"/>
      <w:lvlText w:val="(%2)"/>
      <w:numFmt w:val="lowerLetter"/>
      <w:start w:val="1"/>
    </w:lvl>
  </w:abstractNum>
  <w:abstractNum w:abstractNumId="58">
    <w:nsid w:val="540A471C"/>
    <w:multiLevelType w:val="hybridMultilevel"/>
    <w:lvl w:ilvl="0">
      <w:lvlJc w:val="left"/>
      <w:lvlText w:val="(%1)"/>
      <w:numFmt w:val="lowerLetter"/>
      <w:start w:val="2"/>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2"/>
    </w:lvl>
  </w:abstractNum>
  <w:abstractNum w:abstractNumId="61">
    <w:nsid w:val="613EFDC5"/>
    <w:multiLevelType w:val="hybridMultilevel"/>
    <w:lvl w:ilvl="0">
      <w:lvlJc w:val="left"/>
      <w:lvlText w:val="(%1)"/>
      <w:numFmt w:val="decimal"/>
      <w:start w:val="13"/>
    </w:lvl>
  </w:abstractNum>
  <w:abstractNum w:abstractNumId="62">
    <w:nsid w:val="BF72B14"/>
    <w:multiLevelType w:val="hybridMultilevel"/>
    <w:lvl w:ilvl="0">
      <w:lvlJc w:val="left"/>
      <w:lvlText w:val="(%1)"/>
      <w:numFmt w:val="decimal"/>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1."/>
      <w:numFmt w:val="decimal"/>
      <w:start w:val="1"/>
    </w:lvl>
    <w:lvl w:ilvl="1">
      <w:lvlJc w:val="left"/>
      <w:lvlText w:val="(%2)"/>
      <w:numFmt w:val="lowerLetter"/>
      <w:start w:val="1"/>
    </w:lvl>
  </w:abstractNum>
  <w:abstractNum w:abstractNumId="67">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68">
    <w:nsid w:val="3B0FD379"/>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69">
    <w:nsid w:val="68EB2F63"/>
    <w:multiLevelType w:val="hybridMultilevel"/>
    <w:lvl w:ilvl="0">
      <w:lvlJc w:val="left"/>
      <w:lvlText w:val="(%1)"/>
      <w:numFmt w:val="lowerLetter"/>
      <w:start w:val="3"/>
    </w:lvl>
    <w:lvl w:ilvl="1">
      <w:lvlJc w:val="left"/>
      <w:lvlText w:val="(%2)"/>
      <w:numFmt w:val="lowerLetter"/>
      <w:start w:val="7"/>
    </w:lvl>
  </w:abstractNum>
  <w:abstractNum w:abstractNumId="70">
    <w:nsid w:val="4962813B"/>
    <w:multiLevelType w:val="hybridMultilevel"/>
    <w:lvl w:ilvl="0">
      <w:lvlJc w:val="left"/>
      <w:lvlText w:val="%1."/>
      <w:numFmt w:val="decimal"/>
      <w:start w:val="4"/>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3"/>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1)"/>
      <w:numFmt w:val="lowerLetter"/>
      <w:start w:val="3"/>
    </w:lvl>
  </w:abstractNum>
  <w:abstractNum w:abstractNumId="75">
    <w:nsid w:val="1A27709E"/>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76">
    <w:nsid w:val="71EA110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77">
    <w:nsid w:val="100F59DC"/>
    <w:multiLevelType w:val="hybridMultilevel"/>
    <w:lvl w:ilvl="0">
      <w:lvlJc w:val="left"/>
      <w:lvlText w:val="(%1)"/>
      <w:numFmt w:val="lowerLetter"/>
      <w:start w:val="3"/>
    </w:lvl>
  </w:abstractNum>
  <w:abstractNum w:abstractNumId="78">
    <w:nsid w:val="7FB7E0AA"/>
    <w:multiLevelType w:val="hybridMultilevel"/>
    <w:lvl w:ilvl="0">
      <w:lvlJc w:val="left"/>
      <w:lvlText w:val="%1."/>
      <w:numFmt w:val="decimal"/>
      <w:start w:val="6"/>
    </w:lvl>
  </w:abstractNum>
  <w:abstractNum w:abstractNumId="79">
    <w:nsid w:val="6EB5BD4"/>
    <w:multiLevelType w:val="hybridMultilevel"/>
    <w:lvl w:ilvl="0">
      <w:lvlJc w:val="left"/>
      <w:lvlText w:val="(%1)"/>
      <w:numFmt w:val="lowerLetter"/>
      <w:start w:val="1"/>
    </w:lvl>
  </w:abstractNum>
  <w:abstractNum w:abstractNumId="80">
    <w:nsid w:val="6F6DD9AC"/>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81">
    <w:nsid w:val="94211F2"/>
    <w:multiLevelType w:val="hybridMultilevel"/>
    <w:lvl w:ilvl="0">
      <w:lvlJc w:val="left"/>
      <w:lvlText w:val="%1."/>
      <w:numFmt w:val="decimal"/>
      <w:start w:val="9"/>
    </w:lvl>
  </w:abstractNum>
  <w:abstractNum w:abstractNumId="82">
    <w:nsid w:val="885E1B"/>
    <w:multiLevelType w:val="hybridMultilevel"/>
    <w:lvl w:ilvl="0">
      <w:lvlJc w:val="left"/>
      <w:lvlText w:val="%1."/>
      <w:numFmt w:val="decimal"/>
      <w:start w:val="15"/>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lowerLetter"/>
      <w:start w:val="2"/>
    </w:lvl>
  </w:abstractNum>
  <w:abstractNum w:abstractNumId="85">
    <w:nsid w:val="1716703B"/>
    <w:multiLevelType w:val="hybridMultilevel"/>
    <w:lvl w:ilvl="0">
      <w:lvlJc w:val="left"/>
      <w:lvlText w:val="%1."/>
      <w:numFmt w:val="decimal"/>
      <w:start w:val="19"/>
    </w:lvl>
  </w:abstractNum>
  <w:abstractNum w:abstractNumId="86">
    <w:nsid w:val="14E17E33"/>
    <w:multiLevelType w:val="hybridMultilevel"/>
    <w:lvl w:ilvl="0">
      <w:lvlJc w:val="left"/>
      <w:lvlText w:val="%1."/>
      <w:numFmt w:val="decimal"/>
      <w:start w:val="1"/>
    </w:lvl>
    <w:lvl w:ilvl="1">
      <w:lvlJc w:val="left"/>
      <w:lvlText w:val="(%2)"/>
      <w:numFmt w:val="lowerLetter"/>
      <w:start w:val="1"/>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decimal"/>
      <w:start w:val="1"/>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2019-12-07T00:04:18Z</dcterms:created>
  <dcterms:modified xsi:type="dcterms:W3CDTF">2019-12-07T00:04:18Z</dcterms:modified>
</cp:coreProperties>
</file>