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134620</wp:posOffset>
            </wp:positionH>
            <wp:positionV relativeFrom="page">
              <wp:posOffset>351790</wp:posOffset>
            </wp:positionV>
            <wp:extent cx="72923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1714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391795</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1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3282950</wp:posOffset>
            </wp:positionH>
            <wp:positionV relativeFrom="paragraph">
              <wp:posOffset>186055</wp:posOffset>
            </wp:positionV>
            <wp:extent cx="7264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440" cy="571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3282950</wp:posOffset>
            </wp:positionH>
            <wp:positionV relativeFrom="paragraph">
              <wp:posOffset>156845</wp:posOffset>
            </wp:positionV>
            <wp:extent cx="7264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 cy="5715"/>
                    </a:xfrm>
                    <a:prstGeom prst="rect">
                      <a:avLst/>
                    </a:prstGeom>
                    <a:noFill/>
                  </pic:spPr>
                </pic:pic>
              </a:graphicData>
            </a:graphic>
          </wp:anchor>
        </w:drawing>
      </w:r>
    </w:p>
    <w:p>
      <w:pPr>
        <w:spacing w:after="0" w:line="36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8" w:lineRule="exact"/>
        <w:rPr>
          <w:sz w:val="24"/>
          <w:szCs w:val="24"/>
          <w:color w:val="auto"/>
        </w:rPr>
      </w:pPr>
    </w:p>
    <w:p>
      <w:pPr>
        <w:ind w:left="568" w:right="6440" w:hanging="568"/>
        <w:spacing w:after="0" w:line="491" w:lineRule="auto"/>
        <w:tabs>
          <w:tab w:leader="none" w:pos="568"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Quarterly report pursuant to Section 13 or 15(d) of the Securities Exchange Act of 1934 For the quarterly period ended May 4, 2019</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50" w:lineRule="exact"/>
        <w:rPr>
          <w:sz w:val="24"/>
          <w:szCs w:val="24"/>
          <w:color w:val="auto"/>
        </w:rPr>
      </w:pPr>
    </w:p>
    <w:p>
      <w:pPr>
        <w:ind w:left="568" w:hanging="568"/>
        <w:spacing w:after="0"/>
        <w:tabs>
          <w:tab w:leader="none" w:pos="568" w:val="left"/>
        </w:tabs>
        <w:numPr>
          <w:ilvl w:val="0"/>
          <w:numId w:val="2"/>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144" w:lineRule="exact"/>
        <w:rPr>
          <w:sz w:val="24"/>
          <w:szCs w:val="24"/>
          <w:color w:val="auto"/>
        </w:rPr>
      </w:pPr>
    </w:p>
    <w:tbl>
      <w:tblPr>
        <w:tblLayout w:type="fixed"/>
        <w:tblInd w:w="568" w:type="dxa"/>
        <w:tblCellMar>
          <w:top w:w="0" w:type="dxa"/>
          <w:left w:w="0" w:type="dxa"/>
          <w:bottom w:w="0" w:type="dxa"/>
          <w:right w:w="0" w:type="dxa"/>
        </w:tblCellMar>
      </w:tblPr>
      <w:tr>
        <w:trPr>
          <w:trHeight w:val="138"/>
        </w:trPr>
        <w:tc>
          <w:tcPr>
            <w:tcW w:w="1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tc>
        <w:tc>
          <w:tcPr>
            <w:tcW w:w="380" w:type="dxa"/>
            <w:vAlign w:val="bottom"/>
          </w:tcPr>
          <w:p>
            <w:pPr>
              <w:spacing w:after="0"/>
              <w:rPr>
                <w:sz w:val="12"/>
                <w:szCs w:val="12"/>
                <w:color w:val="auto"/>
              </w:rPr>
            </w:pPr>
          </w:p>
        </w:tc>
        <w:tc>
          <w:tcPr>
            <w:tcW w:w="41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to</w:t>
            </w:r>
          </w:p>
        </w:tc>
      </w:tr>
      <w:tr>
        <w:trPr>
          <w:trHeight w:val="295"/>
        </w:trPr>
        <w:tc>
          <w:tcPr>
            <w:tcW w:w="15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600" w:type="dxa"/>
            <w:vAlign w:val="bottom"/>
          </w:tcPr>
          <w:p>
            <w:pPr>
              <w:ind w:left="1740"/>
              <w:spacing w:after="0"/>
              <w:rPr>
                <w:sz w:val="20"/>
                <w:szCs w:val="20"/>
                <w:color w:val="auto"/>
              </w:rPr>
            </w:pPr>
            <w:r>
              <w:rPr>
                <w:rFonts w:ascii="Times New Roman" w:cs="Times New Roman" w:eastAsia="Times New Roman" w:hAnsi="Times New Roman"/>
                <w:sz w:val="12"/>
                <w:szCs w:val="12"/>
                <w:b w:val="1"/>
                <w:bCs w:val="1"/>
                <w:color w:val="auto"/>
                <w:w w:val="99"/>
              </w:rPr>
              <w:t>Commission file number: 001-32320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3282950</wp:posOffset>
            </wp:positionH>
            <wp:positionV relativeFrom="paragraph">
              <wp:posOffset>274320</wp:posOffset>
            </wp:positionV>
            <wp:extent cx="7264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4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6"/>
          <w:szCs w:val="26"/>
          <w:b w:val="1"/>
          <w:bCs w:val="1"/>
          <w:color w:val="auto"/>
        </w:rPr>
        <w:t>BUILD-A-BEAR WORKSHOP, INC.</w:t>
      </w:r>
    </w:p>
    <w:p>
      <w:pPr>
        <w:spacing w:after="0" w:line="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3282950</wp:posOffset>
            </wp:positionH>
            <wp:positionV relativeFrom="paragraph">
              <wp:posOffset>186055</wp:posOffset>
            </wp:positionV>
            <wp:extent cx="7264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440" cy="571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tbl>
      <w:tblPr>
        <w:tblLayout w:type="fixed"/>
        <w:tblInd w:w="8" w:type="dxa"/>
        <w:tblCellMar>
          <w:top w:w="0" w:type="dxa"/>
          <w:left w:w="0" w:type="dxa"/>
          <w:bottom w:w="0" w:type="dxa"/>
          <w:right w:w="0" w:type="dxa"/>
        </w:tblCellMar>
      </w:tblPr>
      <w:tr>
        <w:trPr>
          <w:trHeight w:val="144"/>
        </w:trPr>
        <w:tc>
          <w:tcPr>
            <w:tcW w:w="4100" w:type="dxa"/>
            <w:vAlign w:val="bottom"/>
          </w:tcPr>
          <w:p>
            <w:pPr>
              <w:jc w:val="center"/>
              <w:ind w:left="15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40" w:type="dxa"/>
            <w:vAlign w:val="bottom"/>
          </w:tcPr>
          <w:p>
            <w:pPr>
              <w:jc w:val="right"/>
              <w:ind w:right="2520"/>
              <w:spacing w:after="0"/>
              <w:rPr>
                <w:sz w:val="20"/>
                <w:szCs w:val="20"/>
                <w:color w:val="auto"/>
              </w:rPr>
            </w:pPr>
            <w:r>
              <w:rPr>
                <w:rFonts w:ascii="Times New Roman" w:cs="Times New Roman" w:eastAsia="Times New Roman" w:hAnsi="Times New Roman"/>
                <w:sz w:val="12"/>
                <w:szCs w:val="12"/>
                <w:b w:val="1"/>
                <w:bCs w:val="1"/>
                <w:color w:val="auto"/>
              </w:rPr>
              <w:t>43-1883836</w:t>
            </w:r>
          </w:p>
        </w:tc>
        <w:tc>
          <w:tcPr>
            <w:tcW w:w="0" w:type="dxa"/>
            <w:vAlign w:val="bottom"/>
          </w:tcPr>
          <w:p>
            <w:pPr>
              <w:spacing w:after="0"/>
              <w:rPr>
                <w:sz w:val="1"/>
                <w:szCs w:val="1"/>
                <w:color w:val="auto"/>
              </w:rPr>
            </w:pPr>
          </w:p>
        </w:tc>
      </w:tr>
      <w:tr>
        <w:trPr>
          <w:trHeight w:val="144"/>
        </w:trPr>
        <w:tc>
          <w:tcPr>
            <w:tcW w:w="4100" w:type="dxa"/>
            <w:vAlign w:val="bottom"/>
          </w:tcPr>
          <w:p>
            <w:pPr>
              <w:jc w:val="center"/>
              <w:ind w:left="156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40" w:type="dxa"/>
            <w:vAlign w:val="bottom"/>
          </w:tcPr>
          <w:p>
            <w:pPr>
              <w:jc w:val="center"/>
              <w:ind w:right="1840"/>
              <w:spacing w:after="0"/>
              <w:rPr>
                <w:sz w:val="20"/>
                <w:szCs w:val="20"/>
                <w:color w:val="auto"/>
              </w:rPr>
            </w:pPr>
            <w:r>
              <w:rPr>
                <w:rFonts w:ascii="Times New Roman" w:cs="Times New Roman" w:eastAsia="Times New Roman" w:hAnsi="Times New Roman"/>
                <w:sz w:val="12"/>
                <w:szCs w:val="12"/>
                <w:b w:val="1"/>
                <w:bCs w:val="1"/>
                <w:color w:val="auto"/>
              </w:rPr>
              <w:t>(IRS Employer</w:t>
            </w:r>
          </w:p>
        </w:tc>
        <w:tc>
          <w:tcPr>
            <w:tcW w:w="0" w:type="dxa"/>
            <w:vAlign w:val="bottom"/>
          </w:tcPr>
          <w:p>
            <w:pPr>
              <w:spacing w:after="0"/>
              <w:rPr>
                <w:sz w:val="1"/>
                <w:szCs w:val="1"/>
                <w:color w:val="auto"/>
              </w:rPr>
            </w:pPr>
          </w:p>
        </w:tc>
      </w:tr>
      <w:tr>
        <w:trPr>
          <w:trHeight w:val="159"/>
        </w:trPr>
        <w:tc>
          <w:tcPr>
            <w:tcW w:w="4100" w:type="dxa"/>
            <w:vAlign w:val="bottom"/>
          </w:tcPr>
          <w:p>
            <w:pPr>
              <w:jc w:val="center"/>
              <w:ind w:left="15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840" w:type="dxa"/>
            <w:vAlign w:val="bottom"/>
          </w:tcPr>
          <w:p>
            <w:pPr>
              <w:jc w:val="center"/>
              <w:ind w:right="184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c>
          <w:tcPr>
            <w:tcW w:w="0" w:type="dxa"/>
            <w:vAlign w:val="bottom"/>
          </w:tcPr>
          <w:p>
            <w:pPr>
              <w:spacing w:after="0"/>
              <w:rPr>
                <w:sz w:val="1"/>
                <w:szCs w:val="1"/>
                <w:color w:val="auto"/>
              </w:rPr>
            </w:pPr>
          </w:p>
        </w:tc>
      </w:tr>
      <w:tr>
        <w:trPr>
          <w:trHeight w:val="417"/>
        </w:trPr>
        <w:tc>
          <w:tcPr>
            <w:tcW w:w="4100" w:type="dxa"/>
            <w:vAlign w:val="bottom"/>
          </w:tcPr>
          <w:p>
            <w:pPr>
              <w:jc w:val="center"/>
              <w:ind w:left="1560"/>
              <w:spacing w:after="0"/>
              <w:rPr>
                <w:sz w:val="20"/>
                <w:szCs w:val="20"/>
                <w:color w:val="auto"/>
              </w:rPr>
            </w:pPr>
            <w:r>
              <w:rPr>
                <w:rFonts w:ascii="Times New Roman" w:cs="Times New Roman" w:eastAsia="Times New Roman" w:hAnsi="Times New Roman"/>
                <w:sz w:val="12"/>
                <w:szCs w:val="12"/>
                <w:b w:val="1"/>
                <w:bCs w:val="1"/>
                <w:color w:val="auto"/>
                <w:w w:val="99"/>
              </w:rPr>
              <w:t>1954 Innerbelt Business Center Drive</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100" w:type="dxa"/>
            <w:vAlign w:val="bottom"/>
          </w:tcPr>
          <w:p>
            <w:pPr>
              <w:jc w:val="center"/>
              <w:ind w:left="1560"/>
              <w:spacing w:after="0"/>
              <w:rPr>
                <w:sz w:val="20"/>
                <w:szCs w:val="20"/>
                <w:color w:val="auto"/>
              </w:rPr>
            </w:pPr>
            <w:r>
              <w:rPr>
                <w:rFonts w:ascii="Times New Roman" w:cs="Times New Roman" w:eastAsia="Times New Roman" w:hAnsi="Times New Roman"/>
                <w:sz w:val="12"/>
                <w:szCs w:val="12"/>
                <w:b w:val="1"/>
                <w:bCs w:val="1"/>
                <w:color w:val="auto"/>
                <w:w w:val="99"/>
              </w:rPr>
              <w:t>St. Louis, Missouri</w:t>
            </w: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40" w:type="dxa"/>
            <w:vAlign w:val="bottom"/>
          </w:tcPr>
          <w:p>
            <w:pPr>
              <w:jc w:val="right"/>
              <w:ind w:right="2660"/>
              <w:spacing w:after="0"/>
              <w:rPr>
                <w:sz w:val="20"/>
                <w:szCs w:val="20"/>
                <w:color w:val="auto"/>
              </w:rPr>
            </w:pPr>
            <w:r>
              <w:rPr>
                <w:rFonts w:ascii="Times New Roman" w:cs="Times New Roman" w:eastAsia="Times New Roman" w:hAnsi="Times New Roman"/>
                <w:sz w:val="12"/>
                <w:szCs w:val="12"/>
                <w:b w:val="1"/>
                <w:bCs w:val="1"/>
                <w:color w:val="auto"/>
              </w:rPr>
              <w:t>63114</w:t>
            </w:r>
          </w:p>
        </w:tc>
        <w:tc>
          <w:tcPr>
            <w:tcW w:w="0" w:type="dxa"/>
            <w:vAlign w:val="bottom"/>
          </w:tcPr>
          <w:p>
            <w:pPr>
              <w:spacing w:after="0"/>
              <w:rPr>
                <w:sz w:val="1"/>
                <w:szCs w:val="1"/>
                <w:color w:val="auto"/>
              </w:rPr>
            </w:pPr>
          </w:p>
        </w:tc>
      </w:tr>
      <w:tr>
        <w:trPr>
          <w:trHeight w:val="159"/>
        </w:trPr>
        <w:tc>
          <w:tcPr>
            <w:tcW w:w="4100" w:type="dxa"/>
            <w:vAlign w:val="bottom"/>
          </w:tcPr>
          <w:p>
            <w:pPr>
              <w:jc w:val="center"/>
              <w:ind w:left="158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840" w:type="dxa"/>
            <w:vAlign w:val="bottom"/>
          </w:tcPr>
          <w:p>
            <w:pPr>
              <w:jc w:val="center"/>
              <w:ind w:right="1860"/>
              <w:spacing w:after="0"/>
              <w:rPr>
                <w:sz w:val="20"/>
                <w:szCs w:val="20"/>
                <w:color w:val="auto"/>
              </w:rPr>
            </w:pPr>
            <w:r>
              <w:rPr>
                <w:rFonts w:ascii="Times New Roman" w:cs="Times New Roman" w:eastAsia="Times New Roman" w:hAnsi="Times New Roman"/>
                <w:sz w:val="12"/>
                <w:szCs w:val="12"/>
                <w:b w:val="1"/>
                <w:bCs w:val="1"/>
                <w:color w:val="auto"/>
              </w:rPr>
              <w:t>(Zip Code)</w:t>
            </w:r>
          </w:p>
        </w:tc>
        <w:tc>
          <w:tcPr>
            <w:tcW w:w="0" w:type="dxa"/>
            <w:vAlign w:val="bottom"/>
          </w:tcPr>
          <w:p>
            <w:pPr>
              <w:spacing w:after="0"/>
              <w:rPr>
                <w:sz w:val="1"/>
                <w:szCs w:val="1"/>
                <w:color w:val="auto"/>
              </w:rPr>
            </w:pPr>
          </w:p>
        </w:tc>
      </w:tr>
      <w:tr>
        <w:trPr>
          <w:trHeight w:val="273"/>
        </w:trPr>
        <w:tc>
          <w:tcPr>
            <w:tcW w:w="4100" w:type="dxa"/>
            <w:vAlign w:val="bottom"/>
          </w:tcPr>
          <w:p>
            <w:pPr>
              <w:spacing w:after="0"/>
              <w:rPr>
                <w:sz w:val="23"/>
                <w:szCs w:val="23"/>
                <w:color w:val="auto"/>
              </w:rPr>
            </w:pPr>
          </w:p>
        </w:tc>
        <w:tc>
          <w:tcPr>
            <w:tcW w:w="2200" w:type="dxa"/>
            <w:vAlign w:val="bottom"/>
            <w:gridSpan w:val="2"/>
          </w:tcPr>
          <w:p>
            <w:pPr>
              <w:jc w:val="center"/>
              <w:ind w:left="1000"/>
              <w:spacing w:after="0"/>
              <w:rPr>
                <w:sz w:val="20"/>
                <w:szCs w:val="20"/>
                <w:color w:val="auto"/>
              </w:rPr>
            </w:pPr>
            <w:r>
              <w:rPr>
                <w:rFonts w:ascii="Times New Roman" w:cs="Times New Roman" w:eastAsia="Times New Roman" w:hAnsi="Times New Roman"/>
                <w:sz w:val="12"/>
                <w:szCs w:val="12"/>
                <w:b w:val="1"/>
                <w:bCs w:val="1"/>
                <w:color w:val="auto"/>
                <w:w w:val="98"/>
              </w:rPr>
              <w:t>(314) 423-8000</w:t>
            </w:r>
          </w:p>
        </w:tc>
        <w:tc>
          <w:tcPr>
            <w:tcW w:w="13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4100" w:type="dxa"/>
            <w:vAlign w:val="bottom"/>
          </w:tcPr>
          <w:p>
            <w:pPr>
              <w:spacing w:after="0"/>
              <w:rPr>
                <w:sz w:val="13"/>
                <w:szCs w:val="13"/>
                <w:color w:val="auto"/>
              </w:rPr>
            </w:pPr>
          </w:p>
        </w:tc>
        <w:tc>
          <w:tcPr>
            <w:tcW w:w="354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w:t>
            </w: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10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10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1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100" w:type="dxa"/>
            <w:vAlign w:val="bottom"/>
            <w:tcBorders>
              <w:bottom w:val="single" w:sz="8" w:color="auto"/>
            </w:tcBorders>
          </w:tcPr>
          <w:p>
            <w:pPr>
              <w:jc w:val="center"/>
              <w:ind w:left="80"/>
              <w:spacing w:after="0"/>
              <w:rPr>
                <w:sz w:val="20"/>
                <w:szCs w:val="20"/>
                <w:color w:val="auto"/>
              </w:rPr>
            </w:pPr>
            <w:r>
              <w:rPr>
                <w:rFonts w:ascii="Times New Roman" w:cs="Times New Roman" w:eastAsia="Times New Roman" w:hAnsi="Times New Roman"/>
                <w:sz w:val="12"/>
                <w:szCs w:val="12"/>
                <w:color w:val="auto"/>
              </w:rPr>
              <w:t>Title of each class</w:t>
            </w:r>
          </w:p>
        </w:tc>
        <w:tc>
          <w:tcPr>
            <w:tcW w:w="106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2"/>
          </w:tcPr>
          <w:p>
            <w:pPr>
              <w:jc w:val="center"/>
              <w:ind w:right="1340"/>
              <w:spacing w:after="0"/>
              <w:rPr>
                <w:sz w:val="20"/>
                <w:szCs w:val="20"/>
                <w:color w:val="auto"/>
              </w:rPr>
            </w:pPr>
            <w:r>
              <w:rPr>
                <w:rFonts w:ascii="Times New Roman" w:cs="Times New Roman" w:eastAsia="Times New Roman" w:hAnsi="Times New Roman"/>
                <w:sz w:val="12"/>
                <w:szCs w:val="12"/>
                <w:color w:val="auto"/>
                <w:w w:val="99"/>
              </w:rPr>
              <w:t>Trading Symbol</w:t>
            </w:r>
          </w:p>
        </w:tc>
        <w:tc>
          <w:tcPr>
            <w:tcW w:w="3840" w:type="dxa"/>
            <w:vAlign w:val="bottom"/>
            <w:tcBorders>
              <w:bottom w:val="single" w:sz="8" w:color="auto"/>
            </w:tcBorders>
          </w:tcPr>
          <w:p>
            <w:pPr>
              <w:jc w:val="center"/>
              <w:ind w:right="34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c>
          <w:tcPr>
            <w:tcW w:w="0" w:type="dxa"/>
            <w:vAlign w:val="bottom"/>
          </w:tcPr>
          <w:p>
            <w:pPr>
              <w:spacing w:after="0"/>
              <w:rPr>
                <w:sz w:val="1"/>
                <w:szCs w:val="1"/>
                <w:color w:val="auto"/>
              </w:rPr>
            </w:pPr>
          </w:p>
        </w:tc>
      </w:tr>
      <w:tr>
        <w:trPr>
          <w:trHeight w:val="144"/>
        </w:trPr>
        <w:tc>
          <w:tcPr>
            <w:tcW w:w="410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8"/>
              </w:rPr>
              <w:t>Common stock</w:t>
            </w:r>
          </w:p>
        </w:tc>
        <w:tc>
          <w:tcPr>
            <w:tcW w:w="1060" w:type="dxa"/>
            <w:vAlign w:val="bottom"/>
          </w:tcPr>
          <w:p>
            <w:pPr>
              <w:spacing w:after="0"/>
              <w:rPr>
                <w:sz w:val="12"/>
                <w:szCs w:val="12"/>
                <w:color w:val="auto"/>
              </w:rPr>
            </w:pPr>
          </w:p>
        </w:tc>
        <w:tc>
          <w:tcPr>
            <w:tcW w:w="2480" w:type="dxa"/>
            <w:vAlign w:val="bottom"/>
            <w:gridSpan w:val="2"/>
          </w:tcPr>
          <w:p>
            <w:pPr>
              <w:jc w:val="center"/>
              <w:ind w:right="1320"/>
              <w:spacing w:after="0"/>
              <w:rPr>
                <w:sz w:val="20"/>
                <w:szCs w:val="20"/>
                <w:color w:val="auto"/>
              </w:rPr>
            </w:pPr>
            <w:r>
              <w:rPr>
                <w:rFonts w:ascii="Times New Roman" w:cs="Times New Roman" w:eastAsia="Times New Roman" w:hAnsi="Times New Roman"/>
                <w:sz w:val="12"/>
                <w:szCs w:val="12"/>
                <w:color w:val="auto"/>
              </w:rPr>
              <w:t>BBW</w:t>
            </w:r>
          </w:p>
        </w:tc>
        <w:tc>
          <w:tcPr>
            <w:tcW w:w="3840" w:type="dxa"/>
            <w:vAlign w:val="bottom"/>
          </w:tcPr>
          <w:p>
            <w:pPr>
              <w:jc w:val="center"/>
              <w:ind w:right="360"/>
              <w:spacing w:after="0"/>
              <w:rPr>
                <w:sz w:val="20"/>
                <w:szCs w:val="20"/>
                <w:color w:val="auto"/>
              </w:rPr>
            </w:pPr>
            <w:r>
              <w:rPr>
                <w:rFonts w:ascii="Times New Roman" w:cs="Times New Roman" w:eastAsia="Times New Roman" w:hAnsi="Times New Roman"/>
                <w:sz w:val="12"/>
                <w:szCs w:val="12"/>
                <w:color w:val="auto"/>
                <w:w w:val="99"/>
              </w:rPr>
              <w:t>New York Stock Exchange</w:t>
            </w:r>
          </w:p>
        </w:tc>
        <w:tc>
          <w:tcPr>
            <w:tcW w:w="0" w:type="dxa"/>
            <w:vAlign w:val="bottom"/>
          </w:tcPr>
          <w:p>
            <w:pPr>
              <w:spacing w:after="0"/>
              <w:rPr>
                <w:sz w:val="1"/>
                <w:szCs w:val="1"/>
                <w:color w:val="auto"/>
              </w:rPr>
            </w:pPr>
          </w:p>
        </w:tc>
      </w:tr>
      <w:tr>
        <w:trPr>
          <w:trHeight w:val="367"/>
        </w:trPr>
        <w:tc>
          <w:tcPr>
            <w:tcW w:w="4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8"/>
          </w:cols>
          <w:pgMar w:left="212" w:top="775" w:right="199" w:bottom="1440" w:gutter="0" w:footer="0" w:header="0"/>
        </w:sectPr>
      </w:pPr>
    </w:p>
    <w:bookmarkStart w:id="1" w:name="page2"/>
    <w:bookmarkEnd w:id="1"/>
    <w:p>
      <w:pPr>
        <w:ind w:firstLine="432"/>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22" w:lineRule="exact"/>
        <w:rPr>
          <w:sz w:val="20"/>
          <w:szCs w:val="20"/>
          <w:color w:val="auto"/>
        </w:rPr>
      </w:pPr>
    </w:p>
    <w:p>
      <w:pPr>
        <w:ind w:firstLine="432"/>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22" w:lineRule="exact"/>
        <w:rPr>
          <w:sz w:val="20"/>
          <w:szCs w:val="20"/>
          <w:color w:val="auto"/>
        </w:rPr>
      </w:pPr>
    </w:p>
    <w:p>
      <w:pPr>
        <w:ind w:right="260" w:firstLine="432"/>
        <w:spacing w:after="0" w:line="280"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80"/>
          </w:cols>
          <w:pgMar w:left="220" w:top="435" w:right="199" w:bottom="1440" w:gutter="0" w:footer="0" w:header="0"/>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Large accelerated filer</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p>
    <w:p>
      <w:pPr>
        <w:spacing w:after="0" w:line="161" w:lineRule="exact"/>
        <w:rPr>
          <w:sz w:val="20"/>
          <w:szCs w:val="20"/>
          <w:color w:val="auto"/>
        </w:rPr>
      </w:pPr>
    </w:p>
    <w:p>
      <w:pPr>
        <w:sectPr>
          <w:pgSz w:w="11900" w:h="16838" w:orient="portrait"/>
          <w:cols w:equalWidth="0" w:num="3">
            <w:col w:w="1060" w:space="60"/>
            <w:col w:w="6460" w:space="720"/>
            <w:col w:w="3180"/>
          </w:cols>
          <w:pgMar w:left="220" w:top="435" w:right="199" w:bottom="1440" w:gutter="0" w:footer="0" w:header="0"/>
          <w:type w:val="continuous"/>
        </w:sect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p>
    <w:p>
      <w:pPr>
        <w:spacing w:after="0" w:line="50" w:lineRule="exact"/>
        <w:rPr>
          <w:sz w:val="20"/>
          <w:szCs w:val="20"/>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50" w:lineRule="exact"/>
        <w:rPr>
          <w:sz w:val="20"/>
          <w:szCs w:val="20"/>
          <w:color w:val="auto"/>
        </w:rPr>
      </w:pPr>
    </w:p>
    <w:p>
      <w:pPr>
        <w:sectPr>
          <w:pgSz w:w="11900" w:h="16838" w:orient="portrait"/>
          <w:cols w:equalWidth="0" w:num="2">
            <w:col w:w="7580" w:space="720"/>
            <w:col w:w="3180"/>
          </w:cols>
          <w:pgMar w:left="220" w:top="435" w:right="199" w:bottom="1440" w:gutter="0" w:footer="0" w:header="0"/>
          <w:type w:val="continuous"/>
        </w:sectPr>
      </w:pPr>
    </w:p>
    <w:p>
      <w:pPr>
        <w:ind w:right="260" w:firstLine="432"/>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14(a) of the Exchange Act. </w:t>
      </w:r>
      <w:r>
        <w:rPr>
          <w:rFonts w:ascii="MS PGothic" w:cs="MS PGothic" w:eastAsia="MS PGothic" w:hAnsi="MS PGothic"/>
          <w:sz w:val="12"/>
          <w:szCs w:val="12"/>
          <w:color w:val="auto"/>
        </w:rPr>
        <w:t>☐</w:t>
      </w:r>
    </w:p>
    <w:p>
      <w:pPr>
        <w:spacing w:after="0" w:line="101" w:lineRule="exact"/>
        <w:rPr>
          <w:sz w:val="20"/>
          <w:szCs w:val="20"/>
          <w:color w:val="auto"/>
        </w:rPr>
      </w:pPr>
    </w:p>
    <w:p>
      <w:pPr>
        <w:ind w:left="420"/>
        <w:spacing w:after="0" w:line="138" w:lineRule="exact"/>
        <w:tabs>
          <w:tab w:leader="none" w:pos="5980" w:val="left"/>
          <w:tab w:leader="none" w:pos="644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of June 10, 2019, there were 15,130,418 issued and outstanding shares of the registrant’s common stock.</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923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435" w:right="199" w:bottom="1440" w:gutter="0" w:footer="0" w:header="0"/>
          <w:type w:val="continuous"/>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BUILD-A-BEAR WORKSHOP,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INDEX TO FORM 10-Q</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6040" w:type="dxa"/>
            <w:vAlign w:val="bottom"/>
            <w:gridSpan w:val="3"/>
          </w:tcPr>
          <w:p>
            <w:pPr>
              <w:ind w:left="5700"/>
              <w:spacing w:after="0"/>
              <w:rPr>
                <w:sz w:val="20"/>
                <w:szCs w:val="20"/>
                <w:color w:val="auto"/>
              </w:rPr>
            </w:pPr>
            <w:r>
              <w:rPr>
                <w:rFonts w:ascii="Times New Roman" w:cs="Times New Roman" w:eastAsia="Times New Roman" w:hAnsi="Times New Roman"/>
                <w:sz w:val="12"/>
                <w:szCs w:val="12"/>
                <w:color w:val="auto"/>
              </w:rPr>
              <w:t>Page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Part I Financial Information</w:t>
            </w:r>
          </w:p>
        </w:tc>
        <w:tc>
          <w:tcPr>
            <w:tcW w:w="57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Item 1.</w:t>
            </w: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Financial Statements (Unaudited)</w:t>
            </w:r>
          </w:p>
        </w:tc>
        <w:tc>
          <w:tcPr>
            <w:tcW w:w="5940" w:type="dxa"/>
            <w:vAlign w:val="bottom"/>
            <w:gridSpan w:val="2"/>
            <w:shd w:val="clear" w:color="auto" w:fill="CCEEFF"/>
          </w:tcPr>
          <w:p>
            <w:pPr>
              <w:jc w:val="center"/>
              <w:ind w:left="5660"/>
              <w:spacing w:after="0"/>
              <w:rPr>
                <w:sz w:val="20"/>
                <w:szCs w:val="20"/>
                <w:color w:val="auto"/>
              </w:rPr>
            </w:pPr>
            <w:r>
              <w:rPr>
                <w:rFonts w:ascii="Times New Roman" w:cs="Times New Roman" w:eastAsia="Times New Roman" w:hAnsi="Times New Roman"/>
                <w:sz w:val="12"/>
                <w:szCs w:val="12"/>
                <w:color w:val="auto"/>
                <w:w w:val="99"/>
              </w:rPr>
              <w:t>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Condensed Consolidated Balance Sheets</w:t>
            </w:r>
          </w:p>
        </w:tc>
        <w:tc>
          <w:tcPr>
            <w:tcW w:w="5940" w:type="dxa"/>
            <w:vAlign w:val="bottom"/>
            <w:gridSpan w:val="2"/>
          </w:tcPr>
          <w:p>
            <w:pPr>
              <w:jc w:val="center"/>
              <w:ind w:left="5660"/>
              <w:spacing w:after="0"/>
              <w:rPr>
                <w:sz w:val="20"/>
                <w:szCs w:val="20"/>
                <w:color w:val="auto"/>
              </w:rPr>
            </w:pPr>
            <w:r>
              <w:rPr>
                <w:rFonts w:ascii="Times New Roman" w:cs="Times New Roman" w:eastAsia="Times New Roman" w:hAnsi="Times New Roman"/>
                <w:sz w:val="12"/>
                <w:szCs w:val="12"/>
                <w:color w:val="auto"/>
                <w:w w:val="99"/>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Condensed Consolidated Statements of Operations and Comprehensive Income (Loss)</w:t>
            </w:r>
          </w:p>
        </w:tc>
        <w:tc>
          <w:tcPr>
            <w:tcW w:w="5940" w:type="dxa"/>
            <w:vAlign w:val="bottom"/>
            <w:gridSpan w:val="2"/>
            <w:shd w:val="clear" w:color="auto" w:fill="CCEEFF"/>
          </w:tcPr>
          <w:p>
            <w:pPr>
              <w:jc w:val="center"/>
              <w:ind w:left="5660"/>
              <w:spacing w:after="0"/>
              <w:rPr>
                <w:sz w:val="20"/>
                <w:szCs w:val="20"/>
                <w:color w:val="auto"/>
              </w:rPr>
            </w:pPr>
            <w:r>
              <w:rPr>
                <w:rFonts w:ascii="Times New Roman" w:cs="Times New Roman" w:eastAsia="Times New Roman" w:hAnsi="Times New Roman"/>
                <w:sz w:val="12"/>
                <w:szCs w:val="12"/>
                <w:color w:val="auto"/>
                <w:w w:val="99"/>
              </w:rPr>
              <w:t>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Condensed Consolidated Statements of Cash Flows</w:t>
            </w:r>
          </w:p>
        </w:tc>
        <w:tc>
          <w:tcPr>
            <w:tcW w:w="5940" w:type="dxa"/>
            <w:vAlign w:val="bottom"/>
            <w:gridSpan w:val="2"/>
          </w:tcPr>
          <w:p>
            <w:pPr>
              <w:jc w:val="center"/>
              <w:ind w:left="5660"/>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Notes to Condensed Consolidated Financial Statements</w:t>
            </w:r>
          </w:p>
        </w:tc>
        <w:tc>
          <w:tcPr>
            <w:tcW w:w="5940" w:type="dxa"/>
            <w:vAlign w:val="bottom"/>
            <w:gridSpan w:val="2"/>
            <w:shd w:val="clear" w:color="auto" w:fill="CCEEFF"/>
          </w:tcPr>
          <w:p>
            <w:pPr>
              <w:jc w:val="center"/>
              <w:ind w:left="5660"/>
              <w:spacing w:after="0"/>
              <w:rPr>
                <w:sz w:val="20"/>
                <w:szCs w:val="20"/>
                <w:color w:val="auto"/>
              </w:rPr>
            </w:pPr>
            <w:r>
              <w:rPr>
                <w:rFonts w:ascii="Times New Roman" w:cs="Times New Roman" w:eastAsia="Times New Roman" w:hAnsi="Times New Roman"/>
                <w:sz w:val="12"/>
                <w:szCs w:val="12"/>
                <w:color w:val="auto"/>
                <w:w w:val="99"/>
              </w:rPr>
              <w:t>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Item 2.</w:t>
            </w: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Management’s Discussion and Analysis of Financial Condition and Results of Operations</w:t>
            </w:r>
          </w:p>
        </w:tc>
        <w:tc>
          <w:tcPr>
            <w:tcW w:w="5940" w:type="dxa"/>
            <w:vAlign w:val="bottom"/>
            <w:gridSpan w:val="2"/>
            <w:shd w:val="clear" w:color="auto" w:fill="CCEEFF"/>
          </w:tcPr>
          <w:p>
            <w:pPr>
              <w:jc w:val="center"/>
              <w:ind w:left="5640"/>
              <w:spacing w:after="0"/>
              <w:rPr>
                <w:sz w:val="20"/>
                <w:szCs w:val="20"/>
                <w:color w:val="auto"/>
              </w:rPr>
            </w:pPr>
            <w:r>
              <w:rPr>
                <w:rFonts w:ascii="Times New Roman" w:cs="Times New Roman" w:eastAsia="Times New Roman" w:hAnsi="Times New Roman"/>
                <w:sz w:val="12"/>
                <w:szCs w:val="12"/>
                <w:color w:val="auto"/>
                <w:w w:val="99"/>
              </w:rPr>
              <w:t>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Item 3.</w:t>
            </w: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Quantitative and Qualitative Disclosures About Market Risk</w:t>
            </w:r>
          </w:p>
        </w:tc>
        <w:tc>
          <w:tcPr>
            <w:tcW w:w="5940" w:type="dxa"/>
            <w:vAlign w:val="bottom"/>
            <w:gridSpan w:val="2"/>
            <w:shd w:val="clear" w:color="auto" w:fill="CCEEFF"/>
          </w:tcPr>
          <w:p>
            <w:pPr>
              <w:jc w:val="center"/>
              <w:ind w:left="5640"/>
              <w:spacing w:after="0"/>
              <w:rPr>
                <w:sz w:val="20"/>
                <w:szCs w:val="20"/>
                <w:color w:val="auto"/>
              </w:rPr>
            </w:pPr>
            <w:r>
              <w:rPr>
                <w:rFonts w:ascii="Times New Roman" w:cs="Times New Roman" w:eastAsia="Times New Roman" w:hAnsi="Times New Roman"/>
                <w:sz w:val="12"/>
                <w:szCs w:val="12"/>
                <w:color w:val="auto"/>
                <w:w w:val="99"/>
              </w:rPr>
              <w:t>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Item 4.</w:t>
            </w: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Controls and Procedures</w:t>
            </w:r>
          </w:p>
        </w:tc>
        <w:tc>
          <w:tcPr>
            <w:tcW w:w="5940" w:type="dxa"/>
            <w:vAlign w:val="bottom"/>
            <w:gridSpan w:val="2"/>
            <w:shd w:val="clear" w:color="auto" w:fill="CCEEFF"/>
          </w:tcPr>
          <w:p>
            <w:pPr>
              <w:jc w:val="center"/>
              <w:ind w:left="5640"/>
              <w:spacing w:after="0"/>
              <w:rPr>
                <w:sz w:val="20"/>
                <w:szCs w:val="20"/>
                <w:color w:val="auto"/>
              </w:rPr>
            </w:pPr>
            <w:r>
              <w:rPr>
                <w:rFonts w:ascii="Times New Roman" w:cs="Times New Roman" w:eastAsia="Times New Roman" w:hAnsi="Times New Roman"/>
                <w:sz w:val="12"/>
                <w:szCs w:val="12"/>
                <w:color w:val="auto"/>
                <w:w w:val="99"/>
              </w:rPr>
              <w:t>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420" w:type="dxa"/>
            <w:vAlign w:val="bottom"/>
            <w:gridSpan w:val="2"/>
          </w:tcPr>
          <w:p>
            <w:pPr>
              <w:spacing w:after="0"/>
              <w:rPr>
                <w:sz w:val="12"/>
                <w:szCs w:val="12"/>
                <w:color w:val="auto"/>
              </w:rPr>
            </w:pPr>
          </w:p>
        </w:tc>
        <w:tc>
          <w:tcPr>
            <w:tcW w:w="5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Part II Other Information</w:t>
            </w:r>
          </w:p>
        </w:tc>
        <w:tc>
          <w:tcPr>
            <w:tcW w:w="5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Item 1A.</w:t>
            </w: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Risk Factors</w:t>
            </w:r>
          </w:p>
        </w:tc>
        <w:tc>
          <w:tcPr>
            <w:tcW w:w="5940" w:type="dxa"/>
            <w:vAlign w:val="bottom"/>
            <w:gridSpan w:val="2"/>
            <w:shd w:val="clear" w:color="auto" w:fill="CCEEFF"/>
          </w:tcPr>
          <w:p>
            <w:pPr>
              <w:jc w:val="center"/>
              <w:ind w:left="5640"/>
              <w:spacing w:after="0"/>
              <w:rPr>
                <w:sz w:val="20"/>
                <w:szCs w:val="20"/>
                <w:color w:val="auto"/>
              </w:rPr>
            </w:pPr>
            <w:r>
              <w:rPr>
                <w:rFonts w:ascii="Times New Roman" w:cs="Times New Roman" w:eastAsia="Times New Roman" w:hAnsi="Times New Roman"/>
                <w:sz w:val="12"/>
                <w:szCs w:val="12"/>
                <w:color w:val="auto"/>
                <w:w w:val="99"/>
              </w:rPr>
              <w:t>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Item 2.</w:t>
            </w: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Unregistered Sales of Equity Securities and Use of Proceeds</w:t>
            </w:r>
          </w:p>
        </w:tc>
        <w:tc>
          <w:tcPr>
            <w:tcW w:w="5940" w:type="dxa"/>
            <w:vAlign w:val="bottom"/>
            <w:gridSpan w:val="2"/>
            <w:shd w:val="clear" w:color="auto" w:fill="CCEEFF"/>
          </w:tcPr>
          <w:p>
            <w:pPr>
              <w:jc w:val="center"/>
              <w:ind w:left="5640"/>
              <w:spacing w:after="0"/>
              <w:rPr>
                <w:sz w:val="20"/>
                <w:szCs w:val="20"/>
                <w:color w:val="auto"/>
              </w:rPr>
            </w:pPr>
            <w:r>
              <w:rPr>
                <w:rFonts w:ascii="Times New Roman" w:cs="Times New Roman" w:eastAsia="Times New Roman" w:hAnsi="Times New Roman"/>
                <w:sz w:val="12"/>
                <w:szCs w:val="12"/>
                <w:color w:val="auto"/>
                <w:w w:val="99"/>
              </w:rPr>
              <w:t>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Item 6.</w:t>
            </w: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Exhibits</w:t>
            </w:r>
          </w:p>
        </w:tc>
        <w:tc>
          <w:tcPr>
            <w:tcW w:w="5940" w:type="dxa"/>
            <w:vAlign w:val="bottom"/>
            <w:gridSpan w:val="2"/>
            <w:shd w:val="clear" w:color="auto" w:fill="CCEEFF"/>
          </w:tcPr>
          <w:p>
            <w:pPr>
              <w:jc w:val="center"/>
              <w:ind w:left="5640"/>
              <w:spacing w:after="0"/>
              <w:rPr>
                <w:sz w:val="20"/>
                <w:szCs w:val="20"/>
                <w:color w:val="auto"/>
              </w:rPr>
            </w:pPr>
            <w:r>
              <w:rPr>
                <w:rFonts w:ascii="Times New Roman" w:cs="Times New Roman" w:eastAsia="Times New Roman" w:hAnsi="Times New Roman"/>
                <w:sz w:val="12"/>
                <w:szCs w:val="12"/>
                <w:color w:val="auto"/>
                <w:w w:val="99"/>
              </w:rPr>
              <w:t>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Signatures</w:t>
            </w:r>
          </w:p>
        </w:tc>
        <w:tc>
          <w:tcPr>
            <w:tcW w:w="4820" w:type="dxa"/>
            <w:vAlign w:val="bottom"/>
            <w:shd w:val="clear" w:color="auto" w:fill="CCEEFF"/>
          </w:tcPr>
          <w:p>
            <w:pPr>
              <w:spacing w:after="0"/>
              <w:rPr>
                <w:sz w:val="12"/>
                <w:szCs w:val="12"/>
                <w:color w:val="auto"/>
              </w:rPr>
            </w:pPr>
          </w:p>
        </w:tc>
        <w:tc>
          <w:tcPr>
            <w:tcW w:w="5940" w:type="dxa"/>
            <w:vAlign w:val="bottom"/>
            <w:gridSpan w:val="2"/>
            <w:shd w:val="clear" w:color="auto" w:fill="CCEEFF"/>
          </w:tcPr>
          <w:p>
            <w:pPr>
              <w:jc w:val="center"/>
              <w:ind w:left="5640"/>
              <w:spacing w:after="0"/>
              <w:rPr>
                <w:sz w:val="20"/>
                <w:szCs w:val="20"/>
                <w:color w:val="auto"/>
              </w:rPr>
            </w:pPr>
            <w:r>
              <w:rPr>
                <w:rFonts w:ascii="Times New Roman" w:cs="Times New Roman" w:eastAsia="Times New Roman" w:hAnsi="Times New Roman"/>
                <w:sz w:val="12"/>
                <w:szCs w:val="12"/>
                <w:color w:val="auto"/>
                <w:w w:val="99"/>
              </w:rPr>
              <w:t>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700" w:type="dxa"/>
            <w:vAlign w:val="bottom"/>
          </w:tcPr>
          <w:p>
            <w:pPr>
              <w:jc w:val="right"/>
              <w:ind w:right="5320"/>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820" w:type="dxa"/>
            <w:vAlign w:val="bottom"/>
            <w:tcBorders>
              <w:bottom w:val="single" w:sz="8" w:color="auto"/>
            </w:tcBorders>
          </w:tcPr>
          <w:p>
            <w:pPr>
              <w:spacing w:after="0"/>
              <w:rPr>
                <w:sz w:val="6"/>
                <w:szCs w:val="6"/>
                <w:color w:val="auto"/>
              </w:rPr>
            </w:pPr>
          </w:p>
        </w:tc>
        <w:tc>
          <w:tcPr>
            <w:tcW w:w="57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593" w:right="1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PART I-FINANCIAL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BUILD-A-BEAR WORKSHOP,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share and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80" w:type="dxa"/>
            <w:vAlign w:val="bottom"/>
          </w:tcPr>
          <w:p>
            <w:pPr>
              <w:jc w:val="center"/>
              <w:ind w:left="343"/>
              <w:spacing w:after="0"/>
              <w:rPr>
                <w:sz w:val="20"/>
                <w:szCs w:val="20"/>
                <w:color w:val="auto"/>
              </w:rPr>
            </w:pPr>
            <w:r>
              <w:rPr>
                <w:rFonts w:ascii="Times New Roman" w:cs="Times New Roman" w:eastAsia="Times New Roman" w:hAnsi="Times New Roman"/>
                <w:sz w:val="12"/>
                <w:szCs w:val="12"/>
                <w:b w:val="1"/>
                <w:bCs w:val="1"/>
                <w:color w:val="auto"/>
              </w:rPr>
              <w:t>May 4,</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February 2,</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May 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1080" w:type="dxa"/>
            <w:vAlign w:val="bottom"/>
            <w:tcBorders>
              <w:bottom w:val="single" w:sz="8" w:color="auto"/>
            </w:tcBorders>
          </w:tcPr>
          <w:p>
            <w:pPr>
              <w:jc w:val="center"/>
              <w:ind w:left="343"/>
              <w:spacing w:after="0"/>
              <w:rPr>
                <w:sz w:val="20"/>
                <w:szCs w:val="20"/>
                <w:color w:val="auto"/>
              </w:rPr>
            </w:pPr>
            <w:r>
              <w:rPr>
                <w:rFonts w:ascii="Times New Roman" w:cs="Times New Roman" w:eastAsia="Times New Roman" w:hAnsi="Times New Roman"/>
                <w:sz w:val="12"/>
                <w:szCs w:val="12"/>
                <w:b w:val="1"/>
                <w:bCs w:val="1"/>
                <w:color w:val="auto"/>
                <w:w w:val="99"/>
              </w:rPr>
              <w:t>2019</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2"/>
                <w:szCs w:val="12"/>
                <w:b w:val="1"/>
                <w:bCs w:val="1"/>
                <w:color w:val="auto"/>
              </w:rPr>
              <w:t>2019</w:t>
            </w:r>
          </w:p>
        </w:tc>
        <w:tc>
          <w:tcPr>
            <w:tcW w:w="4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1080" w:type="dxa"/>
            <w:vAlign w:val="bottom"/>
          </w:tcPr>
          <w:p>
            <w:pPr>
              <w:jc w:val="center"/>
              <w:ind w:left="363"/>
              <w:spacing w:after="0" w:line="133" w:lineRule="exact"/>
              <w:rPr>
                <w:sz w:val="20"/>
                <w:szCs w:val="20"/>
                <w:color w:val="auto"/>
              </w:rPr>
            </w:pPr>
            <w:r>
              <w:rPr>
                <w:rFonts w:ascii="Times New Roman" w:cs="Times New Roman" w:eastAsia="Times New Roman" w:hAnsi="Times New Roman"/>
                <w:sz w:val="12"/>
                <w:szCs w:val="12"/>
                <w:color w:val="auto"/>
                <w:w w:val="99"/>
              </w:rPr>
              <w:t>(Unaudited)</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center"/>
              <w:ind w:right="180"/>
              <w:spacing w:after="0" w:line="133" w:lineRule="exact"/>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ind w:left="544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08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20,238</w:t>
            </w:r>
          </w:p>
        </w:tc>
        <w:tc>
          <w:tcPr>
            <w:tcW w:w="106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17,894</w:t>
            </w: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18,881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Inventories, net</w:t>
            </w:r>
          </w:p>
        </w:tc>
        <w:tc>
          <w:tcPr>
            <w:tcW w:w="108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56,004</w:t>
            </w:r>
          </w:p>
        </w:tc>
        <w:tc>
          <w:tcPr>
            <w:tcW w:w="106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58,356</w:t>
            </w: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49,423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Receivables, net</w:t>
            </w: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8,836</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10,588</w:t>
            </w:r>
          </w:p>
        </w:tc>
        <w:tc>
          <w:tcPr>
            <w:tcW w:w="2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8,968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0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8,541</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12,960</w:t>
            </w: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420" w:type="dxa"/>
            <w:vAlign w:val="bottom"/>
            <w:shd w:val="clear" w:color="auto" w:fill="CCEEFF"/>
          </w:tcPr>
          <w:p>
            <w:pPr>
              <w:ind w:left="400"/>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10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93,619</w:t>
            </w: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99,798</w:t>
            </w:r>
          </w:p>
        </w:tc>
        <w:tc>
          <w:tcPr>
            <w:tcW w:w="26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88,765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right-of-use asset</w:t>
            </w: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144,483</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08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65,357</w:t>
            </w:r>
          </w:p>
        </w:tc>
        <w:tc>
          <w:tcPr>
            <w:tcW w:w="106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66,368</w:t>
            </w: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76,410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3,241</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3,099</w:t>
            </w:r>
          </w:p>
        </w:tc>
        <w:tc>
          <w:tcPr>
            <w:tcW w:w="2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4,102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2"/>
                <w:szCs w:val="12"/>
                <w:color w:val="auto"/>
              </w:rPr>
              <w:t>Other intangible assets, net</w:t>
            </w:r>
          </w:p>
        </w:tc>
        <w:tc>
          <w:tcPr>
            <w:tcW w:w="10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731</w:t>
            </w: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 net</w:t>
            </w: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2,224</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2,050</w:t>
            </w:r>
          </w:p>
        </w:tc>
        <w:tc>
          <w:tcPr>
            <w:tcW w:w="2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4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Assets</w:t>
            </w:r>
          </w:p>
        </w:tc>
        <w:tc>
          <w:tcPr>
            <w:tcW w:w="1080" w:type="dxa"/>
            <w:vAlign w:val="bottom"/>
          </w:tcPr>
          <w:p>
            <w:pPr>
              <w:jc w:val="right"/>
              <w:ind w:right="96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309,531</w:t>
            </w:r>
          </w:p>
        </w:tc>
        <w:tc>
          <w:tcPr>
            <w:tcW w:w="240" w:type="dxa"/>
            <w:vAlign w:val="bottom"/>
          </w:tcPr>
          <w:p>
            <w:pPr>
              <w:spacing w:after="0"/>
              <w:rPr>
                <w:sz w:val="12"/>
                <w:szCs w:val="12"/>
                <w:color w:val="auto"/>
              </w:rPr>
            </w:pPr>
          </w:p>
        </w:tc>
        <w:tc>
          <w:tcPr>
            <w:tcW w:w="1060" w:type="dxa"/>
            <w:vAlign w:val="bottom"/>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172,046</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172,654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00" w:type="dxa"/>
            <w:vAlign w:val="bottom"/>
            <w:gridSpan w:val="2"/>
          </w:tcPr>
          <w:p>
            <w:pPr>
              <w:ind w:left="4360"/>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w:t>
            </w:r>
          </w:p>
        </w:tc>
        <w:tc>
          <w:tcPr>
            <w:tcW w:w="1080" w:type="dxa"/>
            <w:vAlign w:val="bottom"/>
          </w:tcPr>
          <w:p>
            <w:pPr>
              <w:jc w:val="right"/>
              <w:ind w:right="9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20,887</w:t>
            </w:r>
          </w:p>
        </w:tc>
        <w:tc>
          <w:tcPr>
            <w:tcW w:w="1060" w:type="dxa"/>
            <w:vAlign w:val="bottom"/>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22,551</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12,965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Accrued expenses</w:t>
            </w: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7,785</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10,047</w:t>
            </w:r>
          </w:p>
        </w:tc>
        <w:tc>
          <w:tcPr>
            <w:tcW w:w="2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8,739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lease liability short term</w:t>
            </w:r>
          </w:p>
        </w:tc>
        <w:tc>
          <w:tcPr>
            <w:tcW w:w="108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30,558</w:t>
            </w:r>
          </w:p>
        </w:tc>
        <w:tc>
          <w:tcPr>
            <w:tcW w:w="106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Gift cards and customer deposits</w:t>
            </w:r>
          </w:p>
        </w:tc>
        <w:tc>
          <w:tcPr>
            <w:tcW w:w="10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19,026</w:t>
            </w:r>
          </w:p>
        </w:tc>
        <w:tc>
          <w:tcPr>
            <w:tcW w:w="10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21,643</w:t>
            </w:r>
          </w:p>
        </w:tc>
        <w:tc>
          <w:tcPr>
            <w:tcW w:w="2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17,007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Deferred revenue and other</w:t>
            </w:r>
          </w:p>
        </w:tc>
        <w:tc>
          <w:tcPr>
            <w:tcW w:w="10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2,006</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1,936</w:t>
            </w: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420" w:type="dxa"/>
            <w:vAlign w:val="bottom"/>
            <w:shd w:val="clear" w:color="auto" w:fill="CCEEFF"/>
          </w:tcPr>
          <w:p>
            <w:pPr>
              <w:ind w:left="400"/>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10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80,262</w:t>
            </w: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56,177</w:t>
            </w:r>
          </w:p>
        </w:tc>
        <w:tc>
          <w:tcPr>
            <w:tcW w:w="26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40,604</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420" w:type="dxa"/>
            <w:vAlign w:val="bottom"/>
            <w:tcBorders>
              <w:top w:val="single" w:sz="8" w:color="CCEEFF"/>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liability long term</w:t>
            </w: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137,666</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2"/>
                <w:szCs w:val="12"/>
                <w:color w:val="auto"/>
              </w:rPr>
              <w:t>Deferred rent</w:t>
            </w:r>
          </w:p>
        </w:tc>
        <w:tc>
          <w:tcPr>
            <w:tcW w:w="10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18,440</w:t>
            </w: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17,697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franchise revenue</w:t>
            </w: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1,580</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1,625</w:t>
            </w:r>
          </w:p>
        </w:tc>
        <w:tc>
          <w:tcPr>
            <w:tcW w:w="2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10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1,586</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1,490</w:t>
            </w: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Commitments and contingencies</w:t>
            </w: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2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Preferred stock, par value $0.01, Shares authorized: 15,000,000; No shares issued or outstanding at May 4, 2019, February 2,</w:t>
            </w: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2019 and May 5, 2018</w:t>
            </w:r>
          </w:p>
        </w:tc>
        <w:tc>
          <w:tcPr>
            <w:tcW w:w="10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20" w:type="dxa"/>
            <w:vAlign w:val="bottom"/>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Common stock, par value $0.01, Shares authorized: 50,000,000; Issued and outstanding: 15,130,418, 14,953,142 and 14,997,791</w:t>
            </w:r>
          </w:p>
        </w:tc>
        <w:tc>
          <w:tcPr>
            <w:tcW w:w="10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shares, respectively</w:t>
            </w:r>
          </w:p>
        </w:tc>
        <w:tc>
          <w:tcPr>
            <w:tcW w:w="10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150</w:t>
            </w:r>
          </w:p>
        </w:tc>
        <w:tc>
          <w:tcPr>
            <w:tcW w:w="2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08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69,550</w:t>
            </w:r>
          </w:p>
        </w:tc>
        <w:tc>
          <w:tcPr>
            <w:tcW w:w="106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69,088</w:t>
            </w: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66,908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0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(12,123)</w:t>
            </w:r>
          </w:p>
        </w:tc>
        <w:tc>
          <w:tcPr>
            <w:tcW w:w="10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(12,018)</w:t>
            </w:r>
          </w:p>
        </w:tc>
        <w:tc>
          <w:tcPr>
            <w:tcW w:w="2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(11,546)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Retained earnings</w:t>
            </w:r>
          </w:p>
        </w:tc>
        <w:tc>
          <w:tcPr>
            <w:tcW w:w="10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30,861</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37,094</w:t>
            </w: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55,904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420" w:type="dxa"/>
            <w:vAlign w:val="bottom"/>
            <w:shd w:val="clear" w:color="auto" w:fill="CCEEFF"/>
          </w:tcPr>
          <w:p>
            <w:pPr>
              <w:ind w:left="400"/>
              <w:spacing w:after="0" w:line="133" w:lineRule="exact"/>
              <w:rPr>
                <w:sz w:val="20"/>
                <w:szCs w:val="20"/>
                <w:color w:val="auto"/>
              </w:rPr>
            </w:pPr>
            <w:r>
              <w:rPr>
                <w:rFonts w:ascii="Times New Roman" w:cs="Times New Roman" w:eastAsia="Times New Roman" w:hAnsi="Times New Roman"/>
                <w:sz w:val="12"/>
                <w:szCs w:val="12"/>
                <w:color w:val="auto"/>
              </w:rPr>
              <w:t>Total stockholders' equity</w:t>
            </w:r>
          </w:p>
        </w:tc>
        <w:tc>
          <w:tcPr>
            <w:tcW w:w="10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88,437</w:t>
            </w: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94,314</w:t>
            </w:r>
          </w:p>
        </w:tc>
        <w:tc>
          <w:tcPr>
            <w:tcW w:w="26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111,417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4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Liabilities and Stockholders' Equity</w:t>
            </w:r>
          </w:p>
        </w:tc>
        <w:tc>
          <w:tcPr>
            <w:tcW w:w="1080" w:type="dxa"/>
            <w:vAlign w:val="bottom"/>
          </w:tcPr>
          <w:p>
            <w:pPr>
              <w:jc w:val="right"/>
              <w:ind w:right="96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309,531</w:t>
            </w:r>
          </w:p>
        </w:tc>
        <w:tc>
          <w:tcPr>
            <w:tcW w:w="240" w:type="dxa"/>
            <w:vAlign w:val="bottom"/>
          </w:tcPr>
          <w:p>
            <w:pPr>
              <w:spacing w:after="0"/>
              <w:rPr>
                <w:sz w:val="11"/>
                <w:szCs w:val="11"/>
                <w:color w:val="auto"/>
              </w:rPr>
            </w:pPr>
          </w:p>
        </w:tc>
        <w:tc>
          <w:tcPr>
            <w:tcW w:w="1060" w:type="dxa"/>
            <w:vAlign w:val="bottom"/>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172,046</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172,654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923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593" w:right="1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BUILD-A-BEAR WORKSHOP,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AND COMPREHENSIVE INCOME (LOSS)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(Dollars in thousands,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Thirteen weeks ended</w:t>
            </w: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40" w:type="dxa"/>
            <w:vAlign w:val="bottom"/>
          </w:tcPr>
          <w:p>
            <w:pPr>
              <w:spacing w:after="0"/>
              <w:rPr>
                <w:sz w:val="10"/>
                <w:szCs w:val="10"/>
                <w:color w:val="auto"/>
              </w:rPr>
            </w:pP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May 4,</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jc w:val="center"/>
              <w:ind w:right="440"/>
              <w:spacing w:after="0" w:line="118" w:lineRule="exact"/>
              <w:rPr>
                <w:sz w:val="20"/>
                <w:szCs w:val="20"/>
                <w:color w:val="auto"/>
              </w:rPr>
            </w:pPr>
            <w:r>
              <w:rPr>
                <w:rFonts w:ascii="Times New Roman" w:cs="Times New Roman" w:eastAsia="Times New Roman" w:hAnsi="Times New Roman"/>
                <w:sz w:val="12"/>
                <w:szCs w:val="12"/>
                <w:b w:val="1"/>
                <w:bCs w:val="1"/>
                <w:color w:val="auto"/>
              </w:rPr>
              <w:t>May 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2019</w:t>
            </w:r>
          </w:p>
        </w:tc>
        <w:tc>
          <w:tcPr>
            <w:tcW w:w="5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Revenues:</w:t>
            </w:r>
          </w:p>
        </w:tc>
        <w:tc>
          <w:tcPr>
            <w:tcW w:w="9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Net retail sales</w:t>
            </w:r>
          </w:p>
        </w:tc>
        <w:tc>
          <w:tcPr>
            <w:tcW w:w="940" w:type="dxa"/>
            <w:vAlign w:val="bottom"/>
          </w:tcPr>
          <w:p>
            <w:pPr>
              <w:jc w:val="right"/>
              <w:ind w:right="8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81,048</w:t>
            </w:r>
          </w:p>
        </w:tc>
        <w:tc>
          <w:tcPr>
            <w:tcW w:w="500" w:type="dxa"/>
            <w:vAlign w:val="bottom"/>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81,425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Commercial revenue</w:t>
            </w:r>
          </w:p>
        </w:tc>
        <w:tc>
          <w:tcPr>
            <w:tcW w:w="9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2,754</w:t>
            </w: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International franchising</w:t>
            </w: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140" w:type="dxa"/>
            <w:vAlign w:val="bottom"/>
            <w:shd w:val="clear" w:color="auto" w:fill="CCEEFF"/>
          </w:tcPr>
          <w:p>
            <w:pPr>
              <w:ind w:left="520"/>
              <w:spacing w:after="0" w:line="133" w:lineRule="exact"/>
              <w:rPr>
                <w:sz w:val="20"/>
                <w:szCs w:val="20"/>
                <w:color w:val="auto"/>
              </w:rPr>
            </w:pPr>
            <w:r>
              <w:rPr>
                <w:rFonts w:ascii="Times New Roman" w:cs="Times New Roman" w:eastAsia="Times New Roman" w:hAnsi="Times New Roman"/>
                <w:sz w:val="12"/>
                <w:szCs w:val="12"/>
                <w:color w:val="auto"/>
              </w:rPr>
              <w:t>Total revenues</w:t>
            </w:r>
          </w:p>
        </w:tc>
        <w:tc>
          <w:tcPr>
            <w:tcW w:w="9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84,362</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83,184</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8140" w:type="dxa"/>
            <w:vAlign w:val="bottom"/>
            <w:tcBorders>
              <w:top w:val="single" w:sz="8" w:color="CCEEFF"/>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Costs and expenses:</w:t>
            </w:r>
          </w:p>
        </w:tc>
        <w:tc>
          <w:tcPr>
            <w:tcW w:w="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Cost of merchandise sold - retail</w:t>
            </w:r>
          </w:p>
        </w:tc>
        <w:tc>
          <w:tcPr>
            <w:tcW w:w="9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44,420</w:t>
            </w:r>
          </w:p>
        </w:tc>
        <w:tc>
          <w:tcPr>
            <w:tcW w:w="50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45,385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Cost of merchandise sold - commercial</w:t>
            </w:r>
          </w:p>
        </w:tc>
        <w:tc>
          <w:tcPr>
            <w:tcW w:w="9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1,264</w:t>
            </w: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Cost of merchandise sold - international franchising</w:t>
            </w: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140" w:type="dxa"/>
            <w:vAlign w:val="bottom"/>
            <w:shd w:val="clear" w:color="auto" w:fill="CCEEFF"/>
          </w:tcPr>
          <w:p>
            <w:pPr>
              <w:ind w:left="520"/>
              <w:spacing w:after="0" w:line="133" w:lineRule="exact"/>
              <w:rPr>
                <w:sz w:val="20"/>
                <w:szCs w:val="20"/>
                <w:color w:val="auto"/>
              </w:rPr>
            </w:pPr>
            <w:r>
              <w:rPr>
                <w:rFonts w:ascii="Times New Roman" w:cs="Times New Roman" w:eastAsia="Times New Roman" w:hAnsi="Times New Roman"/>
                <w:sz w:val="12"/>
                <w:szCs w:val="12"/>
                <w:color w:val="auto"/>
              </w:rPr>
              <w:t>Total cost of merchandise sold</w:t>
            </w:r>
          </w:p>
        </w:tc>
        <w:tc>
          <w:tcPr>
            <w:tcW w:w="9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46,124</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46,196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81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Consolidated gross profit</w:t>
            </w:r>
          </w:p>
        </w:tc>
        <w:tc>
          <w:tcPr>
            <w:tcW w:w="94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38,238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36,988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Selling, general and administrative expense</w:t>
            </w:r>
          </w:p>
        </w:tc>
        <w:tc>
          <w:tcPr>
            <w:tcW w:w="9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35,808</w:t>
            </w: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36,337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Interest expense, net</w:t>
            </w: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140" w:type="dxa"/>
            <w:vAlign w:val="bottom"/>
            <w:shd w:val="clear" w:color="auto" w:fill="CCEEFF"/>
          </w:tcPr>
          <w:p>
            <w:pPr>
              <w:ind w:left="520"/>
              <w:spacing w:after="0" w:line="133" w:lineRule="exact"/>
              <w:rPr>
                <w:sz w:val="20"/>
                <w:szCs w:val="20"/>
                <w:color w:val="auto"/>
              </w:rPr>
            </w:pPr>
            <w:r>
              <w:rPr>
                <w:rFonts w:ascii="Times New Roman" w:cs="Times New Roman" w:eastAsia="Times New Roman" w:hAnsi="Times New Roman"/>
                <w:sz w:val="12"/>
                <w:szCs w:val="12"/>
                <w:color w:val="auto"/>
              </w:rPr>
              <w:t>Income (loss) before income taxes</w:t>
            </w:r>
          </w:p>
        </w:tc>
        <w:tc>
          <w:tcPr>
            <w:tcW w:w="9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2,410</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646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1,213</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8140" w:type="dxa"/>
            <w:vAlign w:val="bottom"/>
            <w:shd w:val="clear" w:color="auto" w:fill="CCEEFF"/>
          </w:tcPr>
          <w:p>
            <w:pPr>
              <w:ind w:left="520"/>
              <w:spacing w:after="0" w:line="133" w:lineRule="exact"/>
              <w:rPr>
                <w:sz w:val="20"/>
                <w:szCs w:val="20"/>
                <w:color w:val="auto"/>
              </w:rPr>
            </w:pPr>
            <w:r>
              <w:rPr>
                <w:rFonts w:ascii="Times New Roman" w:cs="Times New Roman" w:eastAsia="Times New Roman" w:hAnsi="Times New Roman"/>
                <w:sz w:val="12"/>
                <w:szCs w:val="12"/>
                <w:color w:val="auto"/>
              </w:rPr>
              <w:t>Net income (loss)</w:t>
            </w:r>
          </w:p>
        </w:tc>
        <w:tc>
          <w:tcPr>
            <w:tcW w:w="94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1,197</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tcBorders>
              <w:top w:val="single" w:sz="8" w:color="CCEEFF"/>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9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(105)</w:t>
            </w: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1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Comprehensive income (loss)</w:t>
            </w:r>
          </w:p>
        </w:tc>
        <w:tc>
          <w:tcPr>
            <w:tcW w:w="940" w:type="dxa"/>
            <w:vAlign w:val="bottom"/>
          </w:tcPr>
          <w:p>
            <w:pPr>
              <w:jc w:val="right"/>
              <w:ind w:right="8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1,092</w:t>
            </w:r>
          </w:p>
        </w:tc>
        <w:tc>
          <w:tcPr>
            <w:tcW w:w="500" w:type="dxa"/>
            <w:vAlign w:val="bottom"/>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(393)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14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2"/>
                <w:szCs w:val="12"/>
                <w:color w:val="auto"/>
              </w:rPr>
              <w:t>Income (loss) per common share:</w:t>
            </w: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Basic</w:t>
            </w:r>
          </w:p>
        </w:tc>
        <w:tc>
          <w:tcPr>
            <w:tcW w:w="94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81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Diluted</w:t>
            </w:r>
          </w:p>
        </w:tc>
        <w:tc>
          <w:tcPr>
            <w:tcW w:w="940" w:type="dxa"/>
            <w:vAlign w:val="bottom"/>
          </w:tcPr>
          <w:p>
            <w:pPr>
              <w:jc w:val="right"/>
              <w:ind w:right="8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220" w:type="dxa"/>
            <w:vAlign w:val="bottom"/>
          </w:tcPr>
          <w:p>
            <w:pPr>
              <w:spacing w:after="0"/>
              <w:rPr>
                <w:sz w:val="13"/>
                <w:szCs w:val="13"/>
                <w:color w:val="auto"/>
              </w:rPr>
            </w:pPr>
          </w:p>
        </w:tc>
        <w:tc>
          <w:tcPr>
            <w:tcW w:w="500" w:type="dxa"/>
            <w:vAlign w:val="bottom"/>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14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2"/>
                <w:szCs w:val="12"/>
                <w:color w:val="auto"/>
              </w:rPr>
              <w:t>Shares used in computing common per share amounts:</w:t>
            </w: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Basic</w:t>
            </w:r>
          </w:p>
        </w:tc>
        <w:tc>
          <w:tcPr>
            <w:tcW w:w="9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14,612,575</w:t>
            </w: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14,582,573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1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Diluted</w:t>
            </w:r>
          </w:p>
        </w:tc>
        <w:tc>
          <w:tcPr>
            <w:tcW w:w="94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9"/>
              </w:rPr>
              <w:t>14,738,240</w:t>
            </w:r>
          </w:p>
        </w:tc>
        <w:tc>
          <w:tcPr>
            <w:tcW w:w="50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14,722,989</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accompanying notes to condensed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923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593" w:right="1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2"/>
          <w:szCs w:val="12"/>
          <w:b w:val="1"/>
          <w:bCs w:val="1"/>
          <w:color w:val="auto"/>
        </w:rPr>
        <w:t>BUILD-A-BEAR WORKSHOP,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2"/>
          <w:szCs w:val="12"/>
          <w:color w:val="auto"/>
        </w:rPr>
        <w:t>(Dollars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Thirteen weeks ended</w:t>
            </w: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May 4,</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jc w:val="right"/>
              <w:ind w:right="500"/>
              <w:spacing w:after="0" w:line="118" w:lineRule="exact"/>
              <w:rPr>
                <w:sz w:val="20"/>
                <w:szCs w:val="20"/>
                <w:color w:val="auto"/>
              </w:rPr>
            </w:pPr>
            <w:r>
              <w:rPr>
                <w:rFonts w:ascii="Times New Roman" w:cs="Times New Roman" w:eastAsia="Times New Roman" w:hAnsi="Times New Roman"/>
                <w:sz w:val="12"/>
                <w:szCs w:val="12"/>
                <w:b w:val="1"/>
                <w:bCs w:val="1"/>
                <w:color w:val="auto"/>
              </w:rPr>
              <w:t>May 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2019</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8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provided by (used in) operating activities: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Net income (loss)</w:t>
            </w:r>
          </w:p>
        </w:tc>
        <w:tc>
          <w:tcPr>
            <w:tcW w:w="1100" w:type="dxa"/>
            <w:vAlign w:val="bottom"/>
            <w:gridSpan w:val="2"/>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1,197</w:t>
            </w:r>
          </w:p>
        </w:tc>
        <w:tc>
          <w:tcPr>
            <w:tcW w:w="500" w:type="dxa"/>
            <w:vAlign w:val="bottom"/>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3,512</w:t>
            </w:r>
          </w:p>
        </w:tc>
        <w:tc>
          <w:tcPr>
            <w:tcW w:w="50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4,115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Stock-based compensation</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720</w:t>
            </w: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Deferred taxes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(142)</w:t>
            </w:r>
          </w:p>
        </w:tc>
        <w:tc>
          <w:tcPr>
            <w:tcW w:w="50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Provision for doubtful accounts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w:t>
            </w: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(Gain) loss on disposal of property and equipment</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w:t>
            </w:r>
          </w:p>
        </w:tc>
        <w:tc>
          <w:tcPr>
            <w:tcW w:w="50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Change in assets and liabilities: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Inventories, net</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2,424</w:t>
            </w:r>
          </w:p>
        </w:tc>
        <w:tc>
          <w:tcPr>
            <w:tcW w:w="50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8,233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Receivables, net</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1,762</w:t>
            </w: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Prepaid expenses and other assets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4,423</w:t>
            </w:r>
          </w:p>
        </w:tc>
        <w:tc>
          <w:tcPr>
            <w:tcW w:w="50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(1,910)</w:t>
            </w: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(10,662)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Operating leases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(2,988)</w:t>
            </w:r>
          </w:p>
        </w:tc>
        <w:tc>
          <w:tcPr>
            <w:tcW w:w="50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Gift cards and customer deposits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(2,621)</w:t>
            </w: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Deferred revenue</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(1,239)</w:t>
            </w:r>
          </w:p>
        </w:tc>
        <w:tc>
          <w:tcPr>
            <w:tcW w:w="50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020" w:type="dxa"/>
            <w:vAlign w:val="bottom"/>
            <w:shd w:val="clear" w:color="auto" w:fill="CCEEFF"/>
          </w:tcPr>
          <w:p>
            <w:pPr>
              <w:ind w:left="840"/>
              <w:spacing w:after="0" w:line="133" w:lineRule="exact"/>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5,141</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1,364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20" w:type="dxa"/>
            <w:vAlign w:val="bottom"/>
            <w:tcBorders>
              <w:top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Cash flows used in investing activities:</w:t>
            </w:r>
          </w:p>
        </w:tc>
        <w:tc>
          <w:tcPr>
            <w:tcW w:w="120" w:type="dxa"/>
            <w:vAlign w:val="bottom"/>
            <w:tcBorders>
              <w:top w:val="single" w:sz="8" w:color="CCEEFF"/>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(2,440)</w:t>
            </w: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property insurance</w:t>
            </w:r>
          </w:p>
        </w:tc>
        <w:tc>
          <w:tcPr>
            <w:tcW w:w="12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20" w:type="dxa"/>
            <w:vAlign w:val="bottom"/>
            <w:shd w:val="clear" w:color="auto" w:fill="CCEEFF"/>
          </w:tcPr>
          <w:p>
            <w:pPr>
              <w:ind w:left="840"/>
              <w:spacing w:after="0" w:line="133"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(2,440)</w:t>
            </w:r>
          </w:p>
        </w:tc>
        <w:tc>
          <w:tcPr>
            <w:tcW w:w="5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(2,945)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20" w:type="dxa"/>
            <w:vAlign w:val="bottom"/>
            <w:tcBorders>
              <w:top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Cash flows used in financing activities:</w:t>
            </w:r>
          </w:p>
        </w:tc>
        <w:tc>
          <w:tcPr>
            <w:tcW w:w="120" w:type="dxa"/>
            <w:vAlign w:val="bottom"/>
            <w:tcBorders>
              <w:top w:val="single" w:sz="8" w:color="CCEEFF"/>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Proceeds from the exercise of employee stock options, net of withholding tax payments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(258)</w:t>
            </w: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Purchases of Company’s common stock</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020" w:type="dxa"/>
            <w:vAlign w:val="bottom"/>
          </w:tcPr>
          <w:p>
            <w:pPr>
              <w:ind w:left="840"/>
              <w:spacing w:after="0" w:line="133" w:lineRule="exact"/>
              <w:rPr>
                <w:sz w:val="20"/>
                <w:szCs w:val="20"/>
                <w:color w:val="auto"/>
              </w:rPr>
            </w:pPr>
            <w:r>
              <w:rPr>
                <w:rFonts w:ascii="Times New Roman" w:cs="Times New Roman" w:eastAsia="Times New Roman" w:hAnsi="Times New Roman"/>
                <w:sz w:val="12"/>
                <w:szCs w:val="12"/>
                <w:color w:val="auto"/>
              </w:rPr>
              <w:t>Net cash used in financing activities</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(258)</w:t>
            </w:r>
          </w:p>
        </w:tc>
        <w:tc>
          <w:tcPr>
            <w:tcW w:w="500" w:type="dxa"/>
            <w:vAlign w:val="bottom"/>
          </w:tcPr>
          <w:p>
            <w:pPr>
              <w:spacing w:after="0"/>
              <w:rPr>
                <w:sz w:val="11"/>
                <w:szCs w:val="11"/>
                <w:color w:val="auto"/>
              </w:rPr>
            </w:pPr>
          </w:p>
        </w:tc>
        <w:tc>
          <w:tcPr>
            <w:tcW w:w="11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(1,138)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8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Effect of exchange rates on cash</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(99)</w:t>
            </w:r>
          </w:p>
        </w:tc>
        <w:tc>
          <w:tcPr>
            <w:tcW w:w="5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80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increase (decrease) in cash and cash equivalents</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2,344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(2,618)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beginning of period</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17,894</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0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Cash and cash equivalents, end of period</w:t>
            </w:r>
          </w:p>
        </w:tc>
        <w:tc>
          <w:tcPr>
            <w:tcW w:w="1100" w:type="dxa"/>
            <w:vAlign w:val="bottom"/>
            <w:gridSpan w:val="2"/>
          </w:tcPr>
          <w:p>
            <w:pPr>
              <w:jc w:val="right"/>
              <w:ind w:right="8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20,238</w:t>
            </w:r>
          </w:p>
        </w:tc>
        <w:tc>
          <w:tcPr>
            <w:tcW w:w="500" w:type="dxa"/>
            <w:vAlign w:val="bottom"/>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18,881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Supplemental disclosure of cash flow information:</w:t>
            </w:r>
          </w:p>
        </w:tc>
        <w:tc>
          <w:tcPr>
            <w:tcW w:w="120" w:type="dxa"/>
            <w:vAlign w:val="bottom"/>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Net cash paid (received) during the period for income taxes</w:t>
            </w:r>
          </w:p>
        </w:tc>
        <w:tc>
          <w:tcPr>
            <w:tcW w:w="1100" w:type="dxa"/>
            <w:vAlign w:val="bottom"/>
            <w:gridSpan w:val="2"/>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(1,000)</w:t>
            </w:r>
          </w:p>
        </w:tc>
        <w:tc>
          <w:tcPr>
            <w:tcW w:w="500" w:type="dxa"/>
            <w:vAlign w:val="bottom"/>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923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593" w:right="1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Basis of Presentation</w:t>
      </w:r>
    </w:p>
    <w:p>
      <w:pPr>
        <w:spacing w:after="0" w:line="15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2"/>
          <w:szCs w:val="12"/>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February 2, 2019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February 2, 2019, which were included in the Company’s Annual Report on Form 10-K filed with the SEC on April 18, 2019.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Recent Accounting Pronouncements – Adopted in the Current Year</w:t>
      </w:r>
    </w:p>
    <w:p>
      <w:pPr>
        <w:spacing w:after="0" w:line="15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Effective February 3, 2019, the Company adopted the Financial Accounting Standards Board ("FASB") new guidance on leases (“Topic 842”), which replaced most existing lease accounting guidance in U.S. GAAP. The Company elected the optional transition method that gives companies the option to use the effective date as the date of initial application on transition, and as a result, the Company did not adjust its comparative period financial information or make the new required lease disclosures for periods before the effective date.</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See Note 3 — Leases for additional information.</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Revenue</w:t>
      </w:r>
    </w:p>
    <w:p>
      <w:pPr>
        <w:spacing w:after="0" w:line="154" w:lineRule="exact"/>
        <w:rPr>
          <w:sz w:val="20"/>
          <w:szCs w:val="20"/>
          <w:color w:val="auto"/>
        </w:rPr>
      </w:pPr>
    </w:p>
    <w:p>
      <w:pPr>
        <w:ind w:right="60" w:firstLine="324"/>
        <w:spacing w:after="0" w:line="265" w:lineRule="auto"/>
        <w:rPr>
          <w:sz w:val="20"/>
          <w:szCs w:val="20"/>
          <w:color w:val="auto"/>
        </w:rPr>
      </w:pPr>
      <w:r>
        <w:rPr>
          <w:rFonts w:ascii="Times New Roman" w:cs="Times New Roman" w:eastAsia="Times New Roman" w:hAnsi="Times New Roman"/>
          <w:sz w:val="12"/>
          <w:szCs w:val="12"/>
          <w:color w:val="auto"/>
        </w:rPr>
        <w:t>Nearly all the Company’s revenue is derived from retail sales (including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nearly 97% of consolidated revenue. The majority of these sales transactions are single performance obligations that are recorded when control is transferred to the customer.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following is a description of principal activities from which the Company generates its revenue, by reportable segment.</w:t>
      </w:r>
    </w:p>
    <w:p>
      <w:pPr>
        <w:spacing w:after="0" w:line="152" w:lineRule="exact"/>
        <w:rPr>
          <w:sz w:val="20"/>
          <w:szCs w:val="20"/>
          <w:color w:val="auto"/>
        </w:rPr>
      </w:pPr>
    </w:p>
    <w:p>
      <w:pPr>
        <w:ind w:right="20" w:firstLine="324"/>
        <w:spacing w:after="0" w:line="260" w:lineRule="auto"/>
        <w:rPr>
          <w:sz w:val="20"/>
          <w:szCs w:val="20"/>
          <w:color w:val="auto"/>
        </w:rPr>
      </w:pPr>
      <w:r>
        <w:rPr>
          <w:rFonts w:ascii="Times New Roman" w:cs="Times New Roman" w:eastAsia="Times New Roman" w:hAnsi="Times New Roman"/>
          <w:sz w:val="12"/>
          <w:szCs w:val="12"/>
          <w:color w:val="auto"/>
        </w:rPr>
        <w:t>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generally upon delivery to the customer. Revenue is measured as the amount of consideration, including any discounts or incentives, the Company expects to receive in exchange for transferring the merchandise. Product returns have historically averaged less than one-tenth of one percent due to the interactive nature of sales, where consumers customize their own stuffed animal. The Company has elected to exclude from revenue all collected sales, value added and other taxes paid by its customers.</w:t>
      </w:r>
    </w:p>
    <w:p>
      <w:pPr>
        <w:spacing w:after="0" w:line="12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2"/>
          <w:szCs w:val="12"/>
          <w:color w:val="auto"/>
        </w:rPr>
        <w:t>For the Company’s gift cards, revenue is deferred for single transactions until redemption including any related gift card discounts. Historically, most gift card redemptions have occurred within three years of acquisition and approximately 75% of gift cards have been redeemed within the first twelve months. In addition, unredeemed gift cards or breakage revenue is recorded in proportion to the customer’s redemption period using an estimated breakage rate based on historical experience. 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In regard to the consolidated balance sheet, contract liabilities for gift cards are classified as gift cards and customer deposits.</w:t>
      </w:r>
    </w:p>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923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00"/>
          </w:cols>
          <w:pgMar w:left="220" w:top="431" w:right="279" w:bottom="1440" w:gutter="0" w:footer="0" w:header="0"/>
        </w:sectPr>
      </w:pPr>
    </w:p>
    <w:bookmarkStart w:id="7" w:name="page8"/>
    <w:bookmarkEnd w:id="7"/>
    <w:p>
      <w:pPr>
        <w:ind w:firstLine="324"/>
        <w:spacing w:after="0" w:line="258" w:lineRule="auto"/>
        <w:rPr>
          <w:sz w:val="20"/>
          <w:szCs w:val="20"/>
          <w:color w:val="auto"/>
        </w:rPr>
      </w:pPr>
      <w:r>
        <w:rPr>
          <w:rFonts w:ascii="Times New Roman" w:cs="Times New Roman" w:eastAsia="Times New Roman" w:hAnsi="Times New Roman"/>
          <w:sz w:val="12"/>
          <w:szCs w:val="12"/>
          <w:color w:val="auto"/>
        </w:rPr>
        <w:t>The Company’s commercial segment includes transactions with other businesses and are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on the consolidated balance sheet.</w:t>
      </w:r>
    </w:p>
    <w:p>
      <w:pPr>
        <w:spacing w:after="0" w:line="12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2"/>
          <w:szCs w:val="12"/>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 are ongoing and include operations and product development support and training, generally concentrated around new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on the consolidated balance sheet. Revenue from merchandise and fixture sales is recognized when control is transferred to the franchisee which generally occurs upon delivery to the customer.</w:t>
      </w:r>
    </w:p>
    <w:p>
      <w:pPr>
        <w:spacing w:after="0" w:line="123" w:lineRule="exact"/>
        <w:rPr>
          <w:sz w:val="20"/>
          <w:szCs w:val="20"/>
          <w:color w:val="auto"/>
        </w:rPr>
      </w:pPr>
    </w:p>
    <w:p>
      <w:pPr>
        <w:ind w:right="260" w:firstLine="324"/>
        <w:spacing w:after="0" w:line="265" w:lineRule="auto"/>
        <w:rPr>
          <w:sz w:val="20"/>
          <w:szCs w:val="20"/>
          <w:color w:val="auto"/>
        </w:rPr>
      </w:pPr>
      <w:r>
        <w:rPr>
          <w:rFonts w:ascii="Times New Roman" w:cs="Times New Roman" w:eastAsia="Times New Roman" w:hAnsi="Times New Roman"/>
          <w:sz w:val="12"/>
          <w:szCs w:val="12"/>
          <w:color w:val="auto"/>
        </w:rPr>
        <w:t>The Company also incurs expenses directly related to the startup of new franchises, including finder’s fees, legal and travel costs as well as expenses related to its ongoing support of the franchisees, predominantly travel and employee compensation. Accordingly, the Company’s policy is to capitalize the finder’s fee, an incremental cost, and expense all other costs as incurred. Additionally, the Company amortizes these capitalized costs into expense in the same pattern as the development fee's recording of revenue as described previously.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923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435" w:right="19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2"/>
          <w:szCs w:val="12"/>
          <w:b w:val="1"/>
          <w:bCs w:val="1"/>
          <w:color w:val="auto"/>
        </w:rPr>
        <w:t>3. Leases</w:t>
      </w:r>
    </w:p>
    <w:p>
      <w:pPr>
        <w:spacing w:after="0" w:line="154"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1"/>
          <w:szCs w:val="11"/>
          <w:color w:val="auto"/>
        </w:rPr>
        <w:t>Effective February 3, 2019, the Company adopted the FASB guidance on leases (“Topic 842”), which requires leases with durations greater than twelve months to be recognized on the balance sheet. The Company adopted Topic 842 using the modified retrospective transition approach, which includes a number of optional practical expedients that entities may elect to apply. Prior year financial statements were not recast under Topic 842, and therefore those amounts are not disclosed. The Company has elected certain practical expedients, including the package of practical expedients to not reassess prior conclusions related to contracts containing leases, lease classification and initial direct costs as well as an accounting policy to account for lease and non-lease components as a single component for certain classes of assets. The Company also elected the optional transition method that gives companies the option to use the effective date as the date of initial application on transition, and as a result, the Company will not adjust its comparative period financial information or make the new required lease disclosures for periods before the effective date. The Company has elected to make the accounting policy election for short-term leases. Consequently, short-term leases will be recorded as an expense on a straight-line basis over the lease term. The Company did not elect the hindsight practical expedient.</w:t>
      </w:r>
    </w:p>
    <w:p>
      <w:pPr>
        <w:spacing w:after="0" w:line="111" w:lineRule="exact"/>
        <w:rPr>
          <w:sz w:val="20"/>
          <w:szCs w:val="20"/>
          <w:color w:val="auto"/>
        </w:rPr>
      </w:pPr>
    </w:p>
    <w:p>
      <w:pPr>
        <w:ind w:right="20" w:firstLine="324"/>
        <w:spacing w:after="0" w:line="260" w:lineRule="auto"/>
        <w:rPr>
          <w:sz w:val="20"/>
          <w:szCs w:val="20"/>
          <w:color w:val="auto"/>
        </w:rPr>
      </w:pPr>
      <w:r>
        <w:rPr>
          <w:rFonts w:ascii="Times New Roman" w:cs="Times New Roman" w:eastAsia="Times New Roman" w:hAnsi="Times New Roman"/>
          <w:sz w:val="12"/>
          <w:szCs w:val="12"/>
          <w:color w:val="auto"/>
        </w:rPr>
        <w:t>The majority of the Company's leases relate to retail stores and corporate offices. For leases with terms greater than 12 months, the Company records the related asset and obligation at the present value of lease payments over the term. Most retail store leases have a five to ten-year base period and include renewal options to extend the lease term beyond the initial base period. The renewal options are not included in the measurement of the right of use assets and right of use liabilities unless the Company is reasonably certain to exercise the optional renewal periods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w:t>
      </w:r>
    </w:p>
    <w:p>
      <w:pPr>
        <w:spacing w:after="0" w:line="123" w:lineRule="exact"/>
        <w:rPr>
          <w:sz w:val="20"/>
          <w:szCs w:val="20"/>
          <w:color w:val="auto"/>
        </w:rPr>
      </w:pPr>
    </w:p>
    <w:p>
      <w:pPr>
        <w:ind w:right="160" w:firstLine="324"/>
        <w:spacing w:after="0" w:line="265" w:lineRule="auto"/>
        <w:rPr>
          <w:sz w:val="20"/>
          <w:szCs w:val="20"/>
          <w:color w:val="auto"/>
        </w:rPr>
      </w:pPr>
      <w:r>
        <w:rPr>
          <w:rFonts w:ascii="Times New Roman" w:cs="Times New Roman" w:eastAsia="Times New Roman" w:hAnsi="Times New Roman"/>
          <w:sz w:val="12"/>
          <w:szCs w:val="12"/>
          <w:color w:val="auto"/>
        </w:rPr>
        <w:t>The Company's leases typically contain rent escalations over the lease term. We recognize expense for these leases on a straight-line basis over the lease term. Additionally, certain leases contain incentives, such as construction allowances from landlords and/or rent abatements subsequent to taking possession of the leased property. These incentives reduce our right-of-use asset related to the lease and are amortized through the right-of-use asset as reductions of expense over the lease term.</w:t>
      </w:r>
    </w:p>
    <w:p>
      <w:pPr>
        <w:spacing w:after="0" w:line="119" w:lineRule="exact"/>
        <w:rPr>
          <w:sz w:val="20"/>
          <w:szCs w:val="20"/>
          <w:color w:val="auto"/>
        </w:rPr>
      </w:pPr>
    </w:p>
    <w:p>
      <w:pPr>
        <w:ind w:right="60" w:firstLine="324"/>
        <w:spacing w:after="0" w:line="265" w:lineRule="auto"/>
        <w:rPr>
          <w:sz w:val="20"/>
          <w:szCs w:val="20"/>
          <w:color w:val="auto"/>
        </w:rPr>
      </w:pPr>
      <w:r>
        <w:rPr>
          <w:rFonts w:ascii="Times New Roman" w:cs="Times New Roman" w:eastAsia="Times New Roman" w:hAnsi="Times New Roman"/>
          <w:sz w:val="12"/>
          <w:szCs w:val="12"/>
          <w:color w:val="auto"/>
        </w:rPr>
        <w:t>Some of the Company's leases include rent escalations based on inflation indexes and fair market value adjustments. Certain leases contain contingent rental provisions that include a fixed base rent plus an additional percentage of the store’s sales in excess of stipulated amounts. Operating lease liabilities are calculated using the prevailing index or rate at lease commencement. Subsequent escalations in the index or rate and contingent rental payments are recognized as variable lease expenses.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For leases entered into or reassessed after the adoption of the new standard, the Company has elected the practical expedient allowed by the standard to account for all fixed consideration in a lease as a single lease component.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Therefore, the lease payments used to measure the lease liability for these leases include fixed minimum rentals along with fixed operating costs such as common area maintenance and utilities.</w:t>
      </w:r>
    </w:p>
    <w:p>
      <w:pPr>
        <w:spacing w:after="0" w:line="139" w:lineRule="exact"/>
        <w:rPr>
          <w:sz w:val="20"/>
          <w:szCs w:val="20"/>
          <w:color w:val="auto"/>
        </w:rPr>
      </w:pPr>
    </w:p>
    <w:p>
      <w:pPr>
        <w:ind w:right="40" w:firstLine="324"/>
        <w:spacing w:after="0" w:line="265" w:lineRule="auto"/>
        <w:rPr>
          <w:sz w:val="20"/>
          <w:szCs w:val="20"/>
          <w:color w:val="auto"/>
        </w:rPr>
      </w:pPr>
      <w:r>
        <w:rPr>
          <w:rFonts w:ascii="Times New Roman" w:cs="Times New Roman" w:eastAsia="Times New Roman" w:hAnsi="Times New Roman"/>
          <w:sz w:val="12"/>
          <w:szCs w:val="12"/>
          <w:color w:val="auto"/>
        </w:rPr>
        <w:t>Most of the Company’s leases do not provide a readily available implicit rate. Therefore, the Company estimates the incremental borrowing discount rate based on information available at lease commencement. The discount rates used were indicative of a synthetic credit rating based on quantitative and qualitative analysis and adjusted one notch higher to estimate a secured credit rating. For non-U.S. locations, a risk-free rate yield based on the currency of the lease was used to estimate the incremental borrowing rate.</w:t>
      </w:r>
    </w:p>
    <w:p>
      <w:pPr>
        <w:spacing w:after="0" w:line="119" w:lineRule="exact"/>
        <w:rPr>
          <w:sz w:val="20"/>
          <w:szCs w:val="20"/>
          <w:color w:val="auto"/>
        </w:rPr>
      </w:pPr>
    </w:p>
    <w:p>
      <w:pPr>
        <w:ind w:right="80" w:firstLine="324"/>
        <w:spacing w:after="0" w:line="280" w:lineRule="auto"/>
        <w:rPr>
          <w:sz w:val="20"/>
          <w:szCs w:val="20"/>
          <w:color w:val="auto"/>
        </w:rPr>
      </w:pPr>
      <w:r>
        <w:rPr>
          <w:rFonts w:ascii="Times New Roman" w:cs="Times New Roman" w:eastAsia="Times New Roman" w:hAnsi="Times New Roman"/>
          <w:sz w:val="12"/>
          <w:szCs w:val="12"/>
          <w:color w:val="auto"/>
        </w:rPr>
        <w:t>Upon adoption and transition, the Company recognized a cumulative-effect charge of $7.4 million net of tax to the opening balance of retained earnings which represents impairment charges to the right-of-use assets associated with stores whose fixed assets have been previously impaired or had indicators of impairment, and whose right-of-use-assets were determined to be above fair market value.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Lease position as of February 3, 2019</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table below presents the lease-related assets and liabilities recorded on the balance sheet.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February 3,</w:t>
            </w:r>
          </w:p>
        </w:tc>
        <w:tc>
          <w:tcPr>
            <w:tcW w:w="260" w:type="dxa"/>
            <w:vAlign w:val="bottom"/>
          </w:tcPr>
          <w:p>
            <w:pPr>
              <w:spacing w:after="0"/>
              <w:rPr>
                <w:sz w:val="12"/>
                <w:szCs w:val="12"/>
                <w:color w:val="auto"/>
              </w:rPr>
            </w:pPr>
          </w:p>
        </w:tc>
      </w:tr>
      <w:tr>
        <w:trPr>
          <w:trHeight w:val="159"/>
        </w:trPr>
        <w:tc>
          <w:tcPr>
            <w:tcW w:w="320" w:type="dxa"/>
            <w:vAlign w:val="bottom"/>
          </w:tcPr>
          <w:p>
            <w:pPr>
              <w:spacing w:after="0"/>
              <w:rPr>
                <w:sz w:val="13"/>
                <w:szCs w:val="13"/>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538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2"/>
                <w:szCs w:val="12"/>
                <w:b w:val="1"/>
                <w:bCs w:val="1"/>
                <w:color w:val="auto"/>
              </w:rPr>
              <w:t>Classification on the Balance Sheet</w:t>
            </w: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33"/>
        </w:trPr>
        <w:tc>
          <w:tcPr>
            <w:tcW w:w="320" w:type="dxa"/>
            <w:vAlign w:val="bottom"/>
          </w:tcPr>
          <w:p>
            <w:pPr>
              <w:spacing w:after="0"/>
              <w:rPr>
                <w:sz w:val="11"/>
                <w:szCs w:val="11"/>
                <w:color w:val="auto"/>
              </w:rPr>
            </w:pPr>
          </w:p>
        </w:tc>
        <w:tc>
          <w:tcPr>
            <w:tcW w:w="2920" w:type="dxa"/>
            <w:vAlign w:val="bottom"/>
            <w:shd w:val="clear" w:color="auto" w:fill="CCEEFF"/>
          </w:tcPr>
          <w:p>
            <w:pPr>
              <w:ind w:left="1700"/>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53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Pr>
          <w:p>
            <w:pPr>
              <w:spacing w:after="0"/>
              <w:rPr>
                <w:sz w:val="11"/>
                <w:szCs w:val="11"/>
                <w:color w:val="auto"/>
              </w:rPr>
            </w:pPr>
          </w:p>
        </w:tc>
      </w:tr>
      <w:tr>
        <w:trPr>
          <w:trHeight w:val="144"/>
        </w:trPr>
        <w:tc>
          <w:tcPr>
            <w:tcW w:w="320" w:type="dxa"/>
            <w:vAlign w:val="bottom"/>
          </w:tcPr>
          <w:p>
            <w:pPr>
              <w:spacing w:after="0"/>
              <w:rPr>
                <w:sz w:val="12"/>
                <w:szCs w:val="12"/>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5380" w:type="dxa"/>
            <w:vAlign w:val="bottom"/>
          </w:tcPr>
          <w:p>
            <w:pPr>
              <w:ind w:left="80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151,513</w:t>
            </w:r>
          </w:p>
        </w:tc>
        <w:tc>
          <w:tcPr>
            <w:tcW w:w="260" w:type="dxa"/>
            <w:vAlign w:val="bottom"/>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53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2920" w:type="dxa"/>
            <w:vAlign w:val="bottom"/>
          </w:tcPr>
          <w:p>
            <w:pPr>
              <w:ind w:left="160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5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 Operating</w:t>
            </w:r>
          </w:p>
        </w:tc>
        <w:tc>
          <w:tcPr>
            <w:tcW w:w="53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Operating lease liability short term</w:t>
            </w: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34,672</w:t>
            </w:r>
          </w:p>
        </w:tc>
        <w:tc>
          <w:tcPr>
            <w:tcW w:w="260" w:type="dxa"/>
            <w:vAlign w:val="bottom"/>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2"/>
                <w:szCs w:val="12"/>
                <w:color w:val="auto"/>
              </w:rPr>
              <w:t>Noncurrent - Operating</w:t>
            </w:r>
          </w:p>
        </w:tc>
        <w:tc>
          <w:tcPr>
            <w:tcW w:w="5380" w:type="dxa"/>
            <w:vAlign w:val="bottom"/>
          </w:tcPr>
          <w:p>
            <w:pPr>
              <w:ind w:left="800"/>
              <w:spacing w:after="0"/>
              <w:rPr>
                <w:sz w:val="20"/>
                <w:szCs w:val="20"/>
                <w:color w:val="auto"/>
              </w:rPr>
            </w:pPr>
            <w:r>
              <w:rPr>
                <w:rFonts w:ascii="Times New Roman" w:cs="Times New Roman" w:eastAsia="Times New Roman" w:hAnsi="Times New Roman"/>
                <w:sz w:val="12"/>
                <w:szCs w:val="12"/>
                <w:color w:val="auto"/>
              </w:rPr>
              <w:t>Operating lease liability long term</w:t>
            </w:r>
          </w:p>
        </w:tc>
        <w:tc>
          <w:tcPr>
            <w:tcW w:w="9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141,519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0"/>
        </w:trPr>
        <w:tc>
          <w:tcPr>
            <w:tcW w:w="320" w:type="dxa"/>
            <w:vAlign w:val="bottom"/>
          </w:tcPr>
          <w:p>
            <w:pPr>
              <w:spacing w:after="0"/>
              <w:rPr>
                <w:sz w:val="12"/>
                <w:szCs w:val="12"/>
                <w:color w:val="auto"/>
              </w:rPr>
            </w:pPr>
          </w:p>
        </w:tc>
        <w:tc>
          <w:tcPr>
            <w:tcW w:w="29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lease liabilities</w:t>
            </w:r>
          </w:p>
        </w:tc>
        <w:tc>
          <w:tcPr>
            <w:tcW w:w="53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176,191</w:t>
            </w:r>
          </w:p>
        </w:tc>
        <w:tc>
          <w:tcPr>
            <w:tcW w:w="260" w:type="dxa"/>
            <w:vAlign w:val="bottom"/>
          </w:tcPr>
          <w:p>
            <w:pPr>
              <w:spacing w:after="0"/>
              <w:rPr>
                <w:sz w:val="12"/>
                <w:szCs w:val="12"/>
                <w:color w:val="auto"/>
              </w:rPr>
            </w:pPr>
          </w:p>
        </w:tc>
      </w:tr>
      <w:tr>
        <w:trPr>
          <w:trHeight w:val="288"/>
        </w:trPr>
        <w:tc>
          <w:tcPr>
            <w:tcW w:w="320" w:type="dxa"/>
            <w:vAlign w:val="bottom"/>
          </w:tcPr>
          <w:p>
            <w:pPr>
              <w:spacing w:after="0"/>
              <w:rPr>
                <w:sz w:val="24"/>
                <w:szCs w:val="24"/>
                <w:color w:val="auto"/>
              </w:rPr>
            </w:pPr>
          </w:p>
        </w:tc>
        <w:tc>
          <w:tcPr>
            <w:tcW w:w="2920" w:type="dxa"/>
            <w:vAlign w:val="bottom"/>
            <w:tcBorders>
              <w:top w:val="single" w:sz="8" w:color="CCEEFF"/>
            </w:tcBorders>
          </w:tcPr>
          <w:p>
            <w:pPr>
              <w:spacing w:after="0"/>
              <w:rPr>
                <w:sz w:val="24"/>
                <w:szCs w:val="24"/>
                <w:color w:val="auto"/>
              </w:rPr>
            </w:pPr>
          </w:p>
        </w:tc>
        <w:tc>
          <w:tcPr>
            <w:tcW w:w="5380" w:type="dxa"/>
            <w:vAlign w:val="bottom"/>
            <w:tcBorders>
              <w:top w:val="single" w:sz="8" w:color="CCEEFF"/>
            </w:tcBorders>
          </w:tcPr>
          <w:p>
            <w:pPr>
              <w:ind w:left="2460"/>
              <w:spacing w:after="0"/>
              <w:rPr>
                <w:sz w:val="20"/>
                <w:szCs w:val="20"/>
                <w:color w:val="auto"/>
              </w:rPr>
            </w:pPr>
            <w:r>
              <w:rPr>
                <w:rFonts w:ascii="Times New Roman" w:cs="Times New Roman" w:eastAsia="Times New Roman" w:hAnsi="Times New Roman"/>
                <w:sz w:val="12"/>
                <w:szCs w:val="12"/>
                <w:color w:val="auto"/>
              </w:rPr>
              <w:t>8</w:t>
            </w:r>
          </w:p>
        </w:tc>
        <w:tc>
          <w:tcPr>
            <w:tcW w:w="9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Pr>
          <w:p>
            <w:pPr>
              <w:spacing w:after="0"/>
              <w:rPr>
                <w:sz w:val="24"/>
                <w:szCs w:val="24"/>
                <w:color w:val="auto"/>
              </w:rPr>
            </w:pPr>
          </w:p>
        </w:tc>
      </w:tr>
      <w:tr>
        <w:trPr>
          <w:trHeight w:val="72"/>
        </w:trPr>
        <w:tc>
          <w:tcPr>
            <w:tcW w:w="320" w:type="dxa"/>
            <w:vAlign w:val="bottom"/>
            <w:tcBorders>
              <w:bottom w:val="single" w:sz="8" w:color="auto"/>
            </w:tcBorders>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53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r>
    </w:tbl>
    <w:p>
      <w:pPr>
        <w:sectPr>
          <w:pgSz w:w="11900" w:h="16838" w:orient="portrait"/>
          <w:cols w:equalWidth="0" w:num="1">
            <w:col w:w="11480"/>
          </w:cols>
          <w:pgMar w:left="220" w:top="593" w:right="199" w:bottom="1440" w:gutter="0" w:footer="0" w:header="0"/>
        </w:sectPr>
      </w:pPr>
    </w:p>
    <w:bookmarkStart w:id="9" w:name="page10"/>
    <w:bookmarkEnd w:id="9"/>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55"/>
        </w:trPr>
        <w:tc>
          <w:tcPr>
            <w:tcW w:w="7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table below presents certain information related to the lease costs for operating leases for the thirteen weeks ended May 4, 2019.</w:t>
            </w:r>
          </w:p>
        </w:tc>
        <w:tc>
          <w:tcPr>
            <w:tcW w:w="2440" w:type="dxa"/>
            <w:vAlign w:val="bottom"/>
          </w:tcPr>
          <w:p>
            <w:pPr>
              <w:spacing w:after="0"/>
              <w:rPr>
                <w:sz w:val="13"/>
                <w:szCs w:val="13"/>
                <w:color w:val="auto"/>
              </w:rPr>
            </w:pPr>
          </w:p>
        </w:tc>
      </w:tr>
      <w:tr>
        <w:trPr>
          <w:trHeight w:val="273"/>
        </w:trPr>
        <w:tc>
          <w:tcPr>
            <w:tcW w:w="82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2440" w:type="dxa"/>
            <w:vAlign w:val="bottom"/>
          </w:tcPr>
          <w:p>
            <w:pPr>
              <w:jc w:val="center"/>
              <w:ind w:left="820"/>
              <w:spacing w:after="0"/>
              <w:rPr>
                <w:sz w:val="20"/>
                <w:szCs w:val="20"/>
                <w:color w:val="auto"/>
              </w:rPr>
            </w:pPr>
            <w:r>
              <w:rPr>
                <w:rFonts w:ascii="Times New Roman" w:cs="Times New Roman" w:eastAsia="Times New Roman" w:hAnsi="Times New Roman"/>
                <w:sz w:val="12"/>
                <w:szCs w:val="12"/>
                <w:b w:val="1"/>
                <w:bCs w:val="1"/>
                <w:color w:val="auto"/>
                <w:w w:val="99"/>
              </w:rPr>
              <w:t>Thirteen weeks ended</w:t>
            </w:r>
          </w:p>
        </w:tc>
      </w:tr>
      <w:tr>
        <w:trPr>
          <w:trHeight w:val="159"/>
        </w:trPr>
        <w:tc>
          <w:tcPr>
            <w:tcW w:w="820" w:type="dxa"/>
            <w:vAlign w:val="bottom"/>
          </w:tcPr>
          <w:p>
            <w:pPr>
              <w:spacing w:after="0"/>
              <w:rPr>
                <w:sz w:val="13"/>
                <w:szCs w:val="13"/>
                <w:color w:val="auto"/>
              </w:rPr>
            </w:pPr>
          </w:p>
        </w:tc>
        <w:tc>
          <w:tcPr>
            <w:tcW w:w="6660" w:type="dxa"/>
            <w:vAlign w:val="bottom"/>
            <w:tcBorders>
              <w:bottom w:val="single" w:sz="8" w:color="auto"/>
            </w:tcBorders>
          </w:tcPr>
          <w:p>
            <w:pPr>
              <w:ind w:left="336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440" w:type="dxa"/>
            <w:vAlign w:val="bottom"/>
            <w:tcBorders>
              <w:bottom w:val="single" w:sz="8" w:color="auto"/>
            </w:tcBorders>
          </w:tcPr>
          <w:p>
            <w:pPr>
              <w:jc w:val="center"/>
              <w:ind w:left="820"/>
              <w:spacing w:after="0"/>
              <w:rPr>
                <w:sz w:val="20"/>
                <w:szCs w:val="20"/>
                <w:color w:val="auto"/>
              </w:rPr>
            </w:pPr>
            <w:r>
              <w:rPr>
                <w:rFonts w:ascii="Times New Roman" w:cs="Times New Roman" w:eastAsia="Times New Roman" w:hAnsi="Times New Roman"/>
                <w:sz w:val="12"/>
                <w:szCs w:val="12"/>
                <w:b w:val="1"/>
                <w:bCs w:val="1"/>
                <w:color w:val="auto"/>
              </w:rPr>
              <w:t>May 4, 2019</w:t>
            </w:r>
          </w:p>
        </w:tc>
      </w:tr>
    </w:tbl>
    <w:p>
      <w:pPr>
        <w:spacing w:after="0" w:line="133" w:lineRule="exact"/>
        <w:rPr>
          <w:sz w:val="20"/>
          <w:szCs w:val="20"/>
          <w:color w:val="auto"/>
        </w:rPr>
      </w:pPr>
    </w:p>
    <w:p>
      <w:pPr>
        <w:sectPr>
          <w:pgSz w:w="11900" w:h="16838" w:orient="portrait"/>
          <w:cols w:equalWidth="0" w:num="1">
            <w:col w:w="11540"/>
          </w:cols>
          <w:pgMar w:left="220" w:top="435" w:right="139" w:bottom="1440" w:gutter="0" w:footer="0" w:header="0"/>
        </w:sectPr>
      </w:pPr>
    </w:p>
    <w:p>
      <w:pPr>
        <w:ind w:left="1140"/>
        <w:spacing w:after="0"/>
        <w:rPr>
          <w:sz w:val="20"/>
          <w:szCs w:val="20"/>
          <w:color w:val="auto"/>
        </w:rPr>
      </w:pPr>
      <w:r>
        <w:rPr>
          <w:rFonts w:ascii="Times New Roman" w:cs="Times New Roman" w:eastAsia="Times New Roman" w:hAnsi="Times New Roman"/>
          <w:sz w:val="12"/>
          <w:szCs w:val="12"/>
          <w:color w:val="auto"/>
        </w:rPr>
        <w:t>Operating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-80010</wp:posOffset>
            </wp:positionV>
            <wp:extent cx="5833745" cy="182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3745" cy="18288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2"/>
          <w:szCs w:val="12"/>
          <w:color w:val="auto"/>
        </w:rPr>
        <w:t>Variable lease costs</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color w:val="auto"/>
        </w:rPr>
        <w:t>Short term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9525</wp:posOffset>
            </wp:positionV>
            <wp:extent cx="5833745" cy="108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3745" cy="108585"/>
                    </a:xfrm>
                    <a:prstGeom prst="rect">
                      <a:avLst/>
                    </a:prstGeom>
                    <a:noFill/>
                  </pic:spPr>
                </pic:pic>
              </a:graphicData>
            </a:graphic>
          </wp:anchor>
        </w:drawing>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2"/>
          <w:szCs w:val="12"/>
          <w:color w:val="auto"/>
        </w:rPr>
        <w:t>Total Operating Lease costs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information</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table below presents supplemental cash flow information related to leases for the thirteen weeks ended May 4, 2019.</w:t>
      </w:r>
    </w:p>
    <w:p>
      <w:pPr>
        <w:spacing w:after="0" w:line="20" w:lineRule="exact"/>
        <w:rPr>
          <w:sz w:val="20"/>
          <w:szCs w:val="20"/>
          <w:color w:val="auto"/>
        </w:rPr>
      </w:pPr>
      <w:r>
        <w:rPr>
          <w:sz w:val="20"/>
          <w:szCs w:val="20"/>
          <w:color w:val="auto"/>
        </w:rPr>
        <w:br w:type="column"/>
      </w:r>
    </w:p>
    <w:p>
      <w:pPr>
        <w:ind w:left="1221" w:hanging="1221"/>
        <w:spacing w:after="0"/>
        <w:tabs>
          <w:tab w:leader="none" w:pos="1221"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10,416</w:t>
      </w:r>
    </w:p>
    <w:p>
      <w:pPr>
        <w:spacing w:after="0" w:line="16" w:lineRule="exact"/>
        <w:rPr>
          <w:rFonts w:ascii="Times New Roman" w:cs="Times New Roman" w:eastAsia="Times New Roman" w:hAnsi="Times New Roman"/>
          <w:sz w:val="12"/>
          <w:szCs w:val="12"/>
          <w:color w:val="auto"/>
        </w:rPr>
      </w:pPr>
    </w:p>
    <w:p>
      <w:pPr>
        <w:ind w:left="1381"/>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621</w:t>
      </w:r>
    </w:p>
    <w:p>
      <w:pPr>
        <w:spacing w:after="0" w:line="6" w:lineRule="exact"/>
        <w:rPr>
          <w:rFonts w:ascii="Times New Roman" w:cs="Times New Roman" w:eastAsia="Times New Roman" w:hAnsi="Times New Roman"/>
          <w:sz w:val="12"/>
          <w:szCs w:val="12"/>
          <w:color w:val="auto"/>
        </w:rPr>
      </w:pPr>
    </w:p>
    <w:p>
      <w:pPr>
        <w:ind w:left="1381"/>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387</w:t>
      </w:r>
    </w:p>
    <w:p>
      <w:pPr>
        <w:spacing w:after="0" w:line="6" w:lineRule="exact"/>
        <w:rPr>
          <w:sz w:val="20"/>
          <w:szCs w:val="20"/>
          <w:color w:val="auto"/>
        </w:rPr>
      </w:pPr>
    </w:p>
    <w:p>
      <w:pPr>
        <w:ind w:left="1241" w:hanging="1241"/>
        <w:spacing w:after="0"/>
        <w:tabs>
          <w:tab w:leader="none" w:pos="1241"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11,424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98933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9330" cy="5715"/>
                    </a:xfrm>
                    <a:prstGeom prst="rect">
                      <a:avLst/>
                    </a:prstGeom>
                    <a:noFill/>
                  </pic:spPr>
                </pic:pic>
              </a:graphicData>
            </a:graphic>
          </wp:anchor>
        </w:drawing>
      </w:r>
    </w:p>
    <w:p>
      <w:pPr>
        <w:spacing w:after="0" w:line="614" w:lineRule="exact"/>
        <w:rPr>
          <w:sz w:val="20"/>
          <w:szCs w:val="20"/>
          <w:color w:val="auto"/>
        </w:rPr>
      </w:pPr>
    </w:p>
    <w:p>
      <w:pPr>
        <w:sectPr>
          <w:pgSz w:w="11900" w:h="16838" w:orient="portrait"/>
          <w:cols w:equalWidth="0" w:num="2">
            <w:col w:w="7959" w:space="720"/>
            <w:col w:w="2861"/>
          </w:cols>
          <w:pgMar w:left="220" w:top="435" w:right="139" w:bottom="1440" w:gutter="0" w:footer="0" w:header="0"/>
          <w:type w:val="continuous"/>
        </w:sectPr>
      </w:pPr>
    </w:p>
    <w:tbl>
      <w:tblPr>
        <w:tblLayout w:type="fixed"/>
        <w:tblInd w:w="86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34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Thirteen weeks en</w:t>
            </w:r>
          </w:p>
        </w:tc>
      </w:tr>
      <w:tr>
        <w:trPr>
          <w:trHeight w:val="159"/>
        </w:trPr>
        <w:tc>
          <w:tcPr>
            <w:tcW w:w="20" w:type="dxa"/>
            <w:vAlign w:val="bottom"/>
          </w:tcPr>
          <w:p>
            <w:pPr>
              <w:spacing w:after="0"/>
              <w:rPr>
                <w:sz w:val="13"/>
                <w:szCs w:val="13"/>
                <w:color w:val="auto"/>
              </w:rPr>
            </w:pPr>
          </w:p>
        </w:tc>
        <w:tc>
          <w:tcPr>
            <w:tcW w:w="7220" w:type="dxa"/>
            <w:vAlign w:val="bottom"/>
            <w:tcBorders>
              <w:bottom w:val="single" w:sz="8" w:color="auto"/>
            </w:tcBorders>
          </w:tcPr>
          <w:p>
            <w:pPr>
              <w:ind w:left="428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3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May 4, 2019</w:t>
            </w:r>
          </w:p>
        </w:tc>
      </w:tr>
      <w:tr>
        <w:trPr>
          <w:trHeight w:val="133"/>
        </w:trPr>
        <w:tc>
          <w:tcPr>
            <w:tcW w:w="20" w:type="dxa"/>
            <w:vAlign w:val="bottom"/>
          </w:tcPr>
          <w:p>
            <w:pPr>
              <w:spacing w:after="0"/>
              <w:rPr>
                <w:sz w:val="11"/>
                <w:szCs w:val="11"/>
                <w:color w:val="auto"/>
              </w:rPr>
            </w:pPr>
          </w:p>
        </w:tc>
        <w:tc>
          <w:tcPr>
            <w:tcW w:w="72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paid for operating lease liabilities</w:t>
            </w:r>
          </w:p>
        </w:tc>
        <w:tc>
          <w:tcPr>
            <w:tcW w:w="3440" w:type="dxa"/>
            <w:vAlign w:val="bottom"/>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2"/>
                <w:szCs w:val="12"/>
                <w:color w:val="auto"/>
              </w:rPr>
              <w:t>Operating cash flows for operating leases</w:t>
            </w:r>
          </w:p>
        </w:tc>
        <w:tc>
          <w:tcPr>
            <w:tcW w:w="3440" w:type="dxa"/>
            <w:vAlign w:val="bottom"/>
          </w:tcPr>
          <w:p>
            <w:pPr>
              <w:jc w:val="right"/>
              <w:ind w:right="1100"/>
              <w:spacing w:after="0"/>
              <w:rPr>
                <w:sz w:val="20"/>
                <w:szCs w:val="20"/>
                <w:color w:val="auto"/>
              </w:rPr>
            </w:pPr>
            <w:r>
              <w:rPr>
                <w:rFonts w:ascii="Times New Roman" w:cs="Times New Roman" w:eastAsia="Times New Roman" w:hAnsi="Times New Roman"/>
                <w:sz w:val="12"/>
                <w:szCs w:val="12"/>
                <w:color w:val="auto"/>
              </w:rPr>
              <w:t>$</w:t>
            </w:r>
          </w:p>
        </w:tc>
      </w:tr>
    </w:tbl>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of May 4, 2019, the weighted-average remaining operating lease term was 6.4 years and the weighted-average discount rate was 5.9 % for operating leases recognized on our Condensed Consolidated Statement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Undiscounted cash flows</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table below reconciles the undiscounted cash flows for each of the first five years and total of the remaining years to the finance lease operating liabilities and operating lease liabilities recorded on the balance sheet.</w:t>
      </w:r>
    </w:p>
    <w:p>
      <w:pPr>
        <w:spacing w:after="0" w:line="135" w:lineRule="exact"/>
        <w:rPr>
          <w:sz w:val="20"/>
          <w:szCs w:val="20"/>
          <w:color w:val="auto"/>
        </w:rPr>
      </w:pPr>
    </w:p>
    <w:tbl>
      <w:tblPr>
        <w:tblLayout w:type="fixed"/>
        <w:tblInd w:w="86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760" w:type="dxa"/>
            <w:vAlign w:val="bottom"/>
            <w:tcBorders>
              <w:bottom w:val="single" w:sz="8" w:color="auto"/>
            </w:tcBorders>
          </w:tcPr>
          <w:p>
            <w:pPr>
              <w:ind w:left="4700"/>
              <w:spacing w:after="0"/>
              <w:rPr>
                <w:sz w:val="20"/>
                <w:szCs w:val="20"/>
                <w:color w:val="auto"/>
              </w:rPr>
            </w:pPr>
            <w:r>
              <w:rPr>
                <w:rFonts w:ascii="Times New Roman" w:cs="Times New Roman" w:eastAsia="Times New Roman" w:hAnsi="Times New Roman"/>
                <w:sz w:val="12"/>
                <w:szCs w:val="12"/>
                <w:b w:val="1"/>
                <w:bCs w:val="1"/>
                <w:color w:val="auto"/>
              </w:rPr>
              <w:t>Operating Leases</w:t>
            </w:r>
          </w:p>
        </w:tc>
        <w:tc>
          <w:tcPr>
            <w:tcW w:w="2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(in thousand</w:t>
            </w:r>
          </w:p>
        </w:tc>
      </w:tr>
      <w:tr>
        <w:trPr>
          <w:trHeight w:val="133"/>
        </w:trPr>
        <w:tc>
          <w:tcPr>
            <w:tcW w:w="20" w:type="dxa"/>
            <w:vAlign w:val="bottom"/>
          </w:tcPr>
          <w:p>
            <w:pPr>
              <w:spacing w:after="0"/>
              <w:rPr>
                <w:sz w:val="11"/>
                <w:szCs w:val="11"/>
                <w:color w:val="auto"/>
              </w:rPr>
            </w:pPr>
          </w:p>
        </w:tc>
        <w:tc>
          <w:tcPr>
            <w:tcW w:w="77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2019</w:t>
            </w:r>
          </w:p>
        </w:tc>
        <w:tc>
          <w:tcPr>
            <w:tcW w:w="22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30,6</w:t>
            </w:r>
          </w:p>
        </w:tc>
      </w:tr>
      <w:tr>
        <w:trPr>
          <w:trHeight w:val="144"/>
        </w:trPr>
        <w:tc>
          <w:tcPr>
            <w:tcW w:w="20" w:type="dxa"/>
            <w:vAlign w:val="bottom"/>
          </w:tcPr>
          <w:p>
            <w:pPr>
              <w:spacing w:after="0"/>
              <w:rPr>
                <w:sz w:val="12"/>
                <w:szCs w:val="12"/>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2"/>
                <w:szCs w:val="12"/>
                <w:color w:val="auto"/>
              </w:rPr>
              <w:t>2020</w:t>
            </w:r>
          </w:p>
        </w:tc>
        <w:tc>
          <w:tcPr>
            <w:tcW w:w="2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w:t>
            </w:r>
          </w:p>
        </w:tc>
      </w:tr>
      <w:tr>
        <w:trPr>
          <w:trHeight w:val="144"/>
        </w:trPr>
        <w:tc>
          <w:tcPr>
            <w:tcW w:w="20" w:type="dxa"/>
            <w:vAlign w:val="bottom"/>
          </w:tcPr>
          <w:p>
            <w:pPr>
              <w:spacing w:after="0"/>
              <w:rPr>
                <w:sz w:val="12"/>
                <w:szCs w:val="12"/>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2021</w:t>
            </w:r>
          </w:p>
        </w:tc>
        <w:tc>
          <w:tcPr>
            <w:tcW w:w="2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w:t>
            </w:r>
          </w:p>
        </w:tc>
      </w:tr>
      <w:tr>
        <w:trPr>
          <w:trHeight w:val="144"/>
        </w:trPr>
        <w:tc>
          <w:tcPr>
            <w:tcW w:w="20" w:type="dxa"/>
            <w:vAlign w:val="bottom"/>
          </w:tcPr>
          <w:p>
            <w:pPr>
              <w:spacing w:after="0"/>
              <w:rPr>
                <w:sz w:val="12"/>
                <w:szCs w:val="12"/>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2"/>
                <w:szCs w:val="12"/>
                <w:color w:val="auto"/>
              </w:rPr>
              <w:t>2022</w:t>
            </w:r>
          </w:p>
        </w:tc>
        <w:tc>
          <w:tcPr>
            <w:tcW w:w="2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w:t>
            </w:r>
          </w:p>
        </w:tc>
      </w:tr>
      <w:tr>
        <w:trPr>
          <w:trHeight w:val="144"/>
        </w:trPr>
        <w:tc>
          <w:tcPr>
            <w:tcW w:w="20" w:type="dxa"/>
            <w:vAlign w:val="bottom"/>
          </w:tcPr>
          <w:p>
            <w:pPr>
              <w:spacing w:after="0"/>
              <w:rPr>
                <w:sz w:val="12"/>
                <w:szCs w:val="12"/>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2023</w:t>
            </w:r>
          </w:p>
        </w:tc>
        <w:tc>
          <w:tcPr>
            <w:tcW w:w="2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w:t>
            </w:r>
          </w:p>
        </w:tc>
      </w:tr>
      <w:tr>
        <w:trPr>
          <w:trHeight w:val="144"/>
        </w:trPr>
        <w:tc>
          <w:tcPr>
            <w:tcW w:w="20" w:type="dxa"/>
            <w:vAlign w:val="bottom"/>
          </w:tcPr>
          <w:p>
            <w:pPr>
              <w:spacing w:after="0"/>
              <w:rPr>
                <w:sz w:val="12"/>
                <w:szCs w:val="12"/>
                <w:color w:val="auto"/>
              </w:rPr>
            </w:pPr>
          </w:p>
        </w:tc>
        <w:tc>
          <w:tcPr>
            <w:tcW w:w="7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2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50,9</w:t>
            </w:r>
          </w:p>
        </w:tc>
      </w:tr>
      <w:tr>
        <w:trPr>
          <w:trHeight w:val="133"/>
        </w:trPr>
        <w:tc>
          <w:tcPr>
            <w:tcW w:w="20" w:type="dxa"/>
            <w:vAlign w:val="bottom"/>
          </w:tcPr>
          <w:p>
            <w:pPr>
              <w:spacing w:after="0"/>
              <w:rPr>
                <w:sz w:val="11"/>
                <w:szCs w:val="11"/>
                <w:color w:val="auto"/>
              </w:rPr>
            </w:pPr>
          </w:p>
        </w:tc>
        <w:tc>
          <w:tcPr>
            <w:tcW w:w="77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minimum lease payments</w:t>
            </w:r>
          </w:p>
        </w:tc>
        <w:tc>
          <w:tcPr>
            <w:tcW w:w="2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201,9</w:t>
            </w:r>
          </w:p>
        </w:tc>
      </w:tr>
      <w:tr>
        <w:trPr>
          <w:trHeight w:val="144"/>
        </w:trPr>
        <w:tc>
          <w:tcPr>
            <w:tcW w:w="20" w:type="dxa"/>
            <w:vAlign w:val="bottom"/>
          </w:tcPr>
          <w:p>
            <w:pPr>
              <w:spacing w:after="0"/>
              <w:rPr>
                <w:sz w:val="12"/>
                <w:szCs w:val="12"/>
                <w:color w:val="auto"/>
              </w:rPr>
            </w:pPr>
          </w:p>
        </w:tc>
        <w:tc>
          <w:tcPr>
            <w:tcW w:w="7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Less: amount of lease payments representing interest</w:t>
            </w:r>
          </w:p>
        </w:tc>
        <w:tc>
          <w:tcPr>
            <w:tcW w:w="2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(33,7</w:t>
            </w:r>
          </w:p>
        </w:tc>
      </w:tr>
      <w:tr>
        <w:trPr>
          <w:trHeight w:val="133"/>
        </w:trPr>
        <w:tc>
          <w:tcPr>
            <w:tcW w:w="20" w:type="dxa"/>
            <w:vAlign w:val="bottom"/>
          </w:tcPr>
          <w:p>
            <w:pPr>
              <w:spacing w:after="0"/>
              <w:rPr>
                <w:sz w:val="11"/>
                <w:szCs w:val="11"/>
                <w:color w:val="auto"/>
              </w:rPr>
            </w:pPr>
          </w:p>
        </w:tc>
        <w:tc>
          <w:tcPr>
            <w:tcW w:w="77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Present value of future minimum lease payments</w:t>
            </w:r>
          </w:p>
        </w:tc>
        <w:tc>
          <w:tcPr>
            <w:tcW w:w="2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168,2</w:t>
            </w:r>
          </w:p>
        </w:tc>
      </w:tr>
      <w:tr>
        <w:trPr>
          <w:trHeight w:val="144"/>
        </w:trPr>
        <w:tc>
          <w:tcPr>
            <w:tcW w:w="20" w:type="dxa"/>
            <w:vAlign w:val="bottom"/>
          </w:tcPr>
          <w:p>
            <w:pPr>
              <w:spacing w:after="0"/>
              <w:rPr>
                <w:sz w:val="12"/>
                <w:szCs w:val="12"/>
                <w:color w:val="auto"/>
              </w:rPr>
            </w:pPr>
          </w:p>
        </w:tc>
        <w:tc>
          <w:tcPr>
            <w:tcW w:w="7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Less: current obligations under leases</w:t>
            </w:r>
          </w:p>
        </w:tc>
        <w:tc>
          <w:tcPr>
            <w:tcW w:w="2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(30,5</w:t>
            </w:r>
          </w:p>
        </w:tc>
      </w:tr>
      <w:tr>
        <w:trPr>
          <w:trHeight w:val="133"/>
        </w:trPr>
        <w:tc>
          <w:tcPr>
            <w:tcW w:w="20" w:type="dxa"/>
            <w:vAlign w:val="bottom"/>
          </w:tcPr>
          <w:p>
            <w:pPr>
              <w:spacing w:after="0"/>
              <w:rPr>
                <w:sz w:val="11"/>
                <w:szCs w:val="11"/>
                <w:color w:val="auto"/>
              </w:rPr>
            </w:pPr>
          </w:p>
        </w:tc>
        <w:tc>
          <w:tcPr>
            <w:tcW w:w="77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Long-term lease obligations</w:t>
            </w:r>
          </w:p>
        </w:tc>
        <w:tc>
          <w:tcPr>
            <w:tcW w:w="22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137,6</w:t>
            </w:r>
          </w:p>
        </w:tc>
      </w:tr>
    </w:tbl>
    <w:p>
      <w:pPr>
        <w:spacing w:after="0" w:line="277" w:lineRule="exact"/>
        <w:rPr>
          <w:sz w:val="20"/>
          <w:szCs w:val="20"/>
          <w:color w:val="auto"/>
        </w:rPr>
      </w:pPr>
    </w:p>
    <w:p>
      <w:pPr>
        <w:ind w:left="5700" w:right="2300" w:hanging="5711"/>
        <w:spacing w:after="0" w:line="530" w:lineRule="auto"/>
        <w:rPr>
          <w:sz w:val="20"/>
          <w:szCs w:val="20"/>
          <w:color w:val="auto"/>
        </w:rPr>
      </w:pPr>
      <w:r>
        <w:rPr>
          <w:rFonts w:ascii="Times New Roman" w:cs="Times New Roman" w:eastAsia="Times New Roman" w:hAnsi="Times New Roman"/>
          <w:sz w:val="12"/>
          <w:szCs w:val="12"/>
          <w:color w:val="auto"/>
        </w:rPr>
        <w:t>As of May 4, 2019, the Company has additional executed leases that have not yet commenced of $6.1 million. These leases will commence in 2019 with lease terms of approximately ten years.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72923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540"/>
          </w:cols>
          <w:pgMar w:left="220" w:top="435" w:right="139" w:bottom="1440" w:gutter="0" w:footer="0" w:header="0"/>
          <w:type w:val="continuous"/>
        </w:sectPr>
      </w:pPr>
    </w:p>
    <w:bookmarkStart w:id="10" w:name="page11"/>
    <w:bookmarkEnd w:id="10"/>
    <w:p>
      <w:pPr>
        <w:ind w:left="8"/>
        <w:spacing w:after="0"/>
        <w:rPr>
          <w:sz w:val="20"/>
          <w:szCs w:val="20"/>
          <w:color w:val="auto"/>
        </w:rPr>
      </w:pPr>
      <w:r>
        <w:rPr>
          <w:rFonts w:ascii="Times New Roman" w:cs="Times New Roman" w:eastAsia="Times New Roman" w:hAnsi="Times New Roman"/>
          <w:sz w:val="12"/>
          <w:szCs w:val="12"/>
          <w:color w:val="auto"/>
        </w:rPr>
        <w:t>In accordance with Accounting Standards Codification ("ASC") 840, Leases, the aggregate minimum non-cancelable annual lease payments under operating leases in effect on February 2, 2019 were as follows:</w:t>
      </w:r>
    </w:p>
    <w:p>
      <w:pPr>
        <w:spacing w:after="0" w:line="290" w:lineRule="exact"/>
        <w:rPr>
          <w:sz w:val="20"/>
          <w:szCs w:val="20"/>
          <w:color w:val="auto"/>
        </w:rPr>
      </w:pPr>
    </w:p>
    <w:tbl>
      <w:tblPr>
        <w:tblLayout w:type="fixed"/>
        <w:tblInd w:w="1148" w:type="dxa"/>
        <w:tblCellMar>
          <w:top w:w="0" w:type="dxa"/>
          <w:left w:w="0" w:type="dxa"/>
          <w:bottom w:w="0" w:type="dxa"/>
          <w:right w:w="0" w:type="dxa"/>
        </w:tblCellMar>
      </w:tblPr>
      <w:tr>
        <w:trPr>
          <w:trHeight w:val="159"/>
        </w:trPr>
        <w:tc>
          <w:tcPr>
            <w:tcW w:w="7340" w:type="dxa"/>
            <w:vAlign w:val="bottom"/>
          </w:tcPr>
          <w:p>
            <w:pPr>
              <w:ind w:left="4280"/>
              <w:spacing w:after="0"/>
              <w:rPr>
                <w:sz w:val="20"/>
                <w:szCs w:val="20"/>
                <w:color w:val="auto"/>
              </w:rPr>
            </w:pPr>
            <w:r>
              <w:rPr>
                <w:rFonts w:ascii="Times New Roman" w:cs="Times New Roman" w:eastAsia="Times New Roman" w:hAnsi="Times New Roman"/>
                <w:sz w:val="12"/>
                <w:szCs w:val="12"/>
                <w:b w:val="1"/>
                <w:bCs w:val="1"/>
                <w:color w:val="auto"/>
              </w:rPr>
              <w:t>Operating Leases</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(in thousands)</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2019</w:t>
            </w:r>
          </w:p>
        </w:tc>
        <w:tc>
          <w:tcPr>
            <w:tcW w:w="2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41,80</w:t>
            </w: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2020</w:t>
            </w: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35,19</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2021</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31,94</w:t>
            </w: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2022</w:t>
            </w: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29,26</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2023</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24,96</w:t>
            </w: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Subsequent to 2023</w:t>
            </w:r>
          </w:p>
        </w:tc>
        <w:tc>
          <w:tcPr>
            <w:tcW w:w="2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49,78</w:t>
            </w:r>
          </w:p>
        </w:tc>
      </w:tr>
      <w:tr>
        <w:trPr>
          <w:trHeight w:val="133"/>
        </w:trPr>
        <w:tc>
          <w:tcPr>
            <w:tcW w:w="734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2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212,94</w:t>
            </w:r>
          </w:p>
        </w:tc>
      </w:tr>
      <w:tr>
        <w:trPr>
          <w:trHeight w:val="27"/>
        </w:trPr>
        <w:tc>
          <w:tcPr>
            <w:tcW w:w="73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3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54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4. Prepaid Expenses and Other Current Assets</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546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Prepaid expenses and other current assets consist of the following (in thousands):</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3"/>
        </w:trPr>
        <w:tc>
          <w:tcPr>
            <w:tcW w:w="86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1120" w:type="dxa"/>
            <w:vAlign w:val="bottom"/>
          </w:tcPr>
          <w:p>
            <w:pPr>
              <w:jc w:val="right"/>
              <w:ind w:right="137"/>
              <w:spacing w:after="0"/>
              <w:rPr>
                <w:sz w:val="20"/>
                <w:szCs w:val="20"/>
                <w:color w:val="auto"/>
              </w:rPr>
            </w:pPr>
            <w:r>
              <w:rPr>
                <w:rFonts w:ascii="Times New Roman" w:cs="Times New Roman" w:eastAsia="Times New Roman" w:hAnsi="Times New Roman"/>
                <w:sz w:val="12"/>
                <w:szCs w:val="12"/>
                <w:b w:val="1"/>
                <w:bCs w:val="1"/>
                <w:color w:val="auto"/>
              </w:rPr>
              <w:t>May 4,</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February 2,</w:t>
            </w: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May 5,</w:t>
            </w:r>
          </w:p>
        </w:tc>
      </w:tr>
      <w:tr>
        <w:trPr>
          <w:trHeight w:val="159"/>
        </w:trPr>
        <w:tc>
          <w:tcPr>
            <w:tcW w:w="86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1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2"/>
                <w:szCs w:val="12"/>
                <w:b w:val="1"/>
                <w:bCs w:val="1"/>
                <w:color w:val="auto"/>
              </w:rPr>
              <w:t>2019</w:t>
            </w:r>
          </w:p>
        </w:tc>
        <w:tc>
          <w:tcPr>
            <w:tcW w:w="4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2019</w:t>
            </w:r>
          </w:p>
        </w:tc>
        <w:tc>
          <w:tcPr>
            <w:tcW w:w="4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Pr>
          <w:p>
            <w:pPr>
              <w:spacing w:after="0"/>
              <w:rPr>
                <w:sz w:val="13"/>
                <w:szCs w:val="13"/>
                <w:color w:val="auto"/>
              </w:rPr>
            </w:pPr>
          </w:p>
        </w:tc>
      </w:tr>
      <w:tr>
        <w:trPr>
          <w:trHeight w:val="133"/>
        </w:trPr>
        <w:tc>
          <w:tcPr>
            <w:tcW w:w="860" w:type="dxa"/>
            <w:vAlign w:val="bottom"/>
          </w:tcPr>
          <w:p>
            <w:pPr>
              <w:spacing w:after="0"/>
              <w:rPr>
                <w:sz w:val="11"/>
                <w:szCs w:val="11"/>
                <w:color w:val="auto"/>
              </w:rPr>
            </w:pPr>
          </w:p>
        </w:tc>
        <w:tc>
          <w:tcPr>
            <w:tcW w:w="4600" w:type="dxa"/>
            <w:vAlign w:val="bottom"/>
            <w:tcBorders>
              <w:right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Prepaid occupancy (1)</w:t>
            </w:r>
          </w:p>
        </w:tc>
        <w:tc>
          <w:tcPr>
            <w:tcW w:w="112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2,860</w:t>
            </w:r>
          </w:p>
        </w:tc>
        <w:tc>
          <w:tcPr>
            <w:tcW w:w="1360" w:type="dxa"/>
            <w:vAlign w:val="bottom"/>
            <w:gridSpan w:val="2"/>
            <w:shd w:val="clear" w:color="auto" w:fill="CCEEFF"/>
          </w:tcPr>
          <w:p>
            <w:pPr>
              <w:jc w:val="right"/>
              <w:ind w:right="10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5,497</w:t>
            </w:r>
          </w:p>
        </w:tc>
        <w:tc>
          <w:tcPr>
            <w:tcW w:w="520" w:type="dxa"/>
            <w:vAlign w:val="bottom"/>
            <w:gridSpan w:val="2"/>
            <w:shd w:val="clear" w:color="auto" w:fill="CCEEFF"/>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6,510</w:t>
            </w:r>
          </w:p>
        </w:tc>
        <w:tc>
          <w:tcPr>
            <w:tcW w:w="100" w:type="dxa"/>
            <w:vAlign w:val="bottom"/>
            <w:shd w:val="clear" w:color="auto" w:fill="CCEEFF"/>
          </w:tcPr>
          <w:p>
            <w:pPr>
              <w:spacing w:after="0"/>
              <w:rPr>
                <w:sz w:val="11"/>
                <w:szCs w:val="11"/>
                <w:color w:val="auto"/>
              </w:rPr>
            </w:pPr>
          </w:p>
        </w:tc>
      </w:tr>
      <w:tr>
        <w:trPr>
          <w:trHeight w:val="144"/>
        </w:trPr>
        <w:tc>
          <w:tcPr>
            <w:tcW w:w="860" w:type="dxa"/>
            <w:vAlign w:val="bottom"/>
          </w:tcPr>
          <w:p>
            <w:pPr>
              <w:spacing w:after="0"/>
              <w:rPr>
                <w:sz w:val="12"/>
                <w:szCs w:val="12"/>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Prepaid income taxes</w:t>
            </w:r>
          </w:p>
        </w:tc>
        <w:tc>
          <w:tcPr>
            <w:tcW w:w="1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2,245</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10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46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1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5,166</w:t>
            </w:r>
          </w:p>
        </w:tc>
        <w:tc>
          <w:tcPr>
            <w:tcW w:w="20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5,218</w:t>
            </w:r>
          </w:p>
        </w:tc>
        <w:tc>
          <w:tcPr>
            <w:tcW w:w="2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4,590</w:t>
            </w:r>
          </w:p>
        </w:tc>
        <w:tc>
          <w:tcPr>
            <w:tcW w:w="100" w:type="dxa"/>
            <w:vAlign w:val="bottom"/>
            <w:tcBorders>
              <w:bottom w:val="single" w:sz="8" w:color="CCEEFF"/>
            </w:tcBorders>
            <w:shd w:val="clear" w:color="auto" w:fill="CCEEFF"/>
          </w:tcPr>
          <w:p>
            <w:pPr>
              <w:spacing w:after="0"/>
              <w:rPr>
                <w:sz w:val="12"/>
                <w:szCs w:val="12"/>
                <w:color w:val="auto"/>
              </w:rPr>
            </w:pPr>
          </w:p>
        </w:tc>
      </w:tr>
      <w:tr>
        <w:trPr>
          <w:trHeight w:val="133"/>
        </w:trPr>
        <w:tc>
          <w:tcPr>
            <w:tcW w:w="860" w:type="dxa"/>
            <w:vAlign w:val="bottom"/>
          </w:tcPr>
          <w:p>
            <w:pPr>
              <w:spacing w:after="0"/>
              <w:rPr>
                <w:sz w:val="11"/>
                <w:szCs w:val="11"/>
                <w:color w:val="auto"/>
              </w:rPr>
            </w:pPr>
          </w:p>
        </w:tc>
        <w:tc>
          <w:tcPr>
            <w:tcW w:w="460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120" w:type="dxa"/>
            <w:vAlign w:val="bottom"/>
          </w:tcPr>
          <w:p>
            <w:pPr>
              <w:jc w:val="right"/>
              <w:ind w:right="1037"/>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8,541</w:t>
            </w:r>
          </w:p>
        </w:tc>
        <w:tc>
          <w:tcPr>
            <w:tcW w:w="1360" w:type="dxa"/>
            <w:vAlign w:val="bottom"/>
            <w:gridSpan w:val="2"/>
          </w:tcPr>
          <w:p>
            <w:pPr>
              <w:jc w:val="right"/>
              <w:ind w:right="10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12,960</w:t>
            </w:r>
          </w:p>
        </w:tc>
        <w:tc>
          <w:tcPr>
            <w:tcW w:w="520" w:type="dxa"/>
            <w:vAlign w:val="bottom"/>
            <w:gridSpan w:val="2"/>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11,493</w:t>
            </w:r>
          </w:p>
        </w:tc>
        <w:tc>
          <w:tcPr>
            <w:tcW w:w="100" w:type="dxa"/>
            <w:vAlign w:val="bottom"/>
          </w:tcPr>
          <w:p>
            <w:pPr>
              <w:spacing w:after="0"/>
              <w:rPr>
                <w:sz w:val="11"/>
                <w:szCs w:val="11"/>
                <w:color w:val="auto"/>
              </w:rPr>
            </w:pPr>
          </w:p>
        </w:tc>
      </w:tr>
      <w:tr>
        <w:trPr>
          <w:trHeight w:val="27"/>
        </w:trPr>
        <w:tc>
          <w:tcPr>
            <w:tcW w:w="860" w:type="dxa"/>
            <w:vAlign w:val="bottom"/>
          </w:tcPr>
          <w:p>
            <w:pPr>
              <w:spacing w:after="0"/>
              <w:rPr>
                <w:sz w:val="2"/>
                <w:szCs w:val="2"/>
                <w:color w:val="auto"/>
              </w:rPr>
            </w:pPr>
          </w:p>
        </w:tc>
        <w:tc>
          <w:tcPr>
            <w:tcW w:w="4600" w:type="dxa"/>
            <w:vAlign w:val="bottom"/>
            <w:tcBorders>
              <w:right w:val="single" w:sz="8" w:color="auto"/>
            </w:tcBorders>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33" w:lineRule="exact"/>
        <w:rPr>
          <w:sz w:val="20"/>
          <w:szCs w:val="20"/>
          <w:color w:val="auto"/>
        </w:rPr>
      </w:pPr>
    </w:p>
    <w:p>
      <w:pPr>
        <w:ind w:left="928" w:hanging="351"/>
        <w:spacing w:after="0"/>
        <w:tabs>
          <w:tab w:leader="none" w:pos="928"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Prepaid occupancy consists of prepaid expenses related to non-lease components.</w:t>
      </w:r>
    </w:p>
    <w:p>
      <w:pPr>
        <w:spacing w:after="0" w:line="200" w:lineRule="exact"/>
        <w:rPr>
          <w:rFonts w:ascii="Times New Roman" w:cs="Times New Roman" w:eastAsia="Times New Roman" w:hAnsi="Times New Roman"/>
          <w:sz w:val="12"/>
          <w:szCs w:val="12"/>
          <w:color w:val="auto"/>
        </w:rPr>
      </w:pPr>
    </w:p>
    <w:p>
      <w:pPr>
        <w:spacing w:after="0" w:line="396" w:lineRule="exact"/>
        <w:rPr>
          <w:rFonts w:ascii="Times New Roman" w:cs="Times New Roman" w:eastAsia="Times New Roman" w:hAnsi="Times New Roman"/>
          <w:sz w:val="12"/>
          <w:szCs w:val="12"/>
          <w:color w:val="auto"/>
        </w:rPr>
      </w:pPr>
    </w:p>
    <w:p>
      <w:pPr>
        <w:ind w:left="128" w:hanging="128"/>
        <w:spacing w:after="0"/>
        <w:tabs>
          <w:tab w:leader="none" w:pos="128"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Accrued Expenses</w:t>
      </w:r>
    </w:p>
    <w:p>
      <w:pPr>
        <w:spacing w:after="0" w:line="154" w:lineRule="exact"/>
        <w:rPr>
          <w:sz w:val="20"/>
          <w:szCs w:val="20"/>
          <w:color w:val="auto"/>
        </w:rPr>
      </w:pPr>
    </w:p>
    <w:tbl>
      <w:tblPr>
        <w:tblLayout w:type="fixed"/>
        <w:tblInd w:w="428" w:type="dxa"/>
        <w:tblCellMar>
          <w:top w:w="0" w:type="dxa"/>
          <w:left w:w="0" w:type="dxa"/>
          <w:bottom w:w="0" w:type="dxa"/>
          <w:right w:w="0" w:type="dxa"/>
        </w:tblCellMar>
      </w:tblPr>
      <w:tr>
        <w:trPr>
          <w:trHeight w:val="155"/>
        </w:trPr>
        <w:tc>
          <w:tcPr>
            <w:tcW w:w="3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Accrued expenses consist of the following (in thousands):</w:t>
            </w: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3"/>
        </w:trPr>
        <w:tc>
          <w:tcPr>
            <w:tcW w:w="4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May 4,</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February 2,</w:t>
            </w: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May 5,</w:t>
            </w:r>
          </w:p>
        </w:tc>
      </w:tr>
      <w:tr>
        <w:trPr>
          <w:trHeight w:val="159"/>
        </w:trPr>
        <w:tc>
          <w:tcPr>
            <w:tcW w:w="4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2019</w:t>
            </w:r>
          </w:p>
        </w:tc>
        <w:tc>
          <w:tcPr>
            <w:tcW w:w="4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2019</w:t>
            </w:r>
          </w:p>
        </w:tc>
        <w:tc>
          <w:tcPr>
            <w:tcW w:w="4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Pr>
          <w:p>
            <w:pPr>
              <w:spacing w:after="0"/>
              <w:rPr>
                <w:sz w:val="13"/>
                <w:szCs w:val="13"/>
                <w:color w:val="auto"/>
              </w:rPr>
            </w:pPr>
          </w:p>
        </w:tc>
      </w:tr>
      <w:tr>
        <w:trPr>
          <w:trHeight w:val="133"/>
        </w:trPr>
        <w:tc>
          <w:tcPr>
            <w:tcW w:w="440" w:type="dxa"/>
            <w:vAlign w:val="bottom"/>
          </w:tcPr>
          <w:p>
            <w:pPr>
              <w:spacing w:after="0"/>
              <w:rPr>
                <w:sz w:val="11"/>
                <w:szCs w:val="11"/>
                <w:color w:val="auto"/>
              </w:rPr>
            </w:pPr>
          </w:p>
        </w:tc>
        <w:tc>
          <w:tcPr>
            <w:tcW w:w="34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Accrued wages, bonuses and related expenses</w:t>
            </w:r>
          </w:p>
        </w:tc>
        <w:tc>
          <w:tcPr>
            <w:tcW w:w="2260" w:type="dxa"/>
            <w:vAlign w:val="bottom"/>
            <w:gridSpan w:val="2"/>
            <w:shd w:val="clear" w:color="auto" w:fill="CCEEFF"/>
          </w:tcPr>
          <w:p>
            <w:pPr>
              <w:jc w:val="right"/>
              <w:ind w:right="10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4,897</w:t>
            </w:r>
          </w:p>
        </w:tc>
        <w:tc>
          <w:tcPr>
            <w:tcW w:w="1360" w:type="dxa"/>
            <w:vAlign w:val="bottom"/>
            <w:gridSpan w:val="2"/>
            <w:shd w:val="clear" w:color="auto" w:fill="CCEEFF"/>
          </w:tcPr>
          <w:p>
            <w:pPr>
              <w:jc w:val="right"/>
              <w:ind w:right="10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5,453</w:t>
            </w:r>
          </w:p>
        </w:tc>
        <w:tc>
          <w:tcPr>
            <w:tcW w:w="520" w:type="dxa"/>
            <w:vAlign w:val="bottom"/>
            <w:gridSpan w:val="2"/>
            <w:shd w:val="clear" w:color="auto" w:fill="CCEEFF"/>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2,850</w:t>
            </w:r>
          </w:p>
        </w:tc>
        <w:tc>
          <w:tcPr>
            <w:tcW w:w="100" w:type="dxa"/>
            <w:vAlign w:val="bottom"/>
            <w:shd w:val="clear" w:color="auto" w:fill="CCEEFF"/>
          </w:tcPr>
          <w:p>
            <w:pPr>
              <w:spacing w:after="0"/>
              <w:rPr>
                <w:sz w:val="11"/>
                <w:szCs w:val="11"/>
                <w:color w:val="auto"/>
              </w:rPr>
            </w:pPr>
          </w:p>
        </w:tc>
      </w:tr>
      <w:tr>
        <w:trPr>
          <w:trHeight w:val="144"/>
        </w:trPr>
        <w:tc>
          <w:tcPr>
            <w:tcW w:w="440" w:type="dxa"/>
            <w:vAlign w:val="bottom"/>
          </w:tcPr>
          <w:p>
            <w:pPr>
              <w:spacing w:after="0"/>
              <w:rPr>
                <w:sz w:val="12"/>
                <w:szCs w:val="12"/>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Sales tax payable</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1,487</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1,286</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1,198</w:t>
            </w:r>
          </w:p>
        </w:tc>
        <w:tc>
          <w:tcPr>
            <w:tcW w:w="100" w:type="dxa"/>
            <w:vAlign w:val="bottom"/>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rent and related expenses (1)</w:t>
            </w:r>
          </w:p>
        </w:tc>
        <w:tc>
          <w:tcPr>
            <w:tcW w:w="1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3,233</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3,352</w:t>
            </w:r>
          </w:p>
        </w:tc>
        <w:tc>
          <w:tcPr>
            <w:tcW w:w="100" w:type="dxa"/>
            <w:vAlign w:val="bottom"/>
            <w:shd w:val="clear" w:color="auto" w:fill="CCEEFF"/>
          </w:tcPr>
          <w:p>
            <w:pPr>
              <w:spacing w:after="0"/>
              <w:rPr>
                <w:sz w:val="12"/>
                <w:szCs w:val="12"/>
                <w:color w:val="auto"/>
              </w:rPr>
            </w:pPr>
          </w:p>
        </w:tc>
      </w:tr>
      <w:tr>
        <w:trPr>
          <w:trHeight w:val="144"/>
        </w:trPr>
        <w:tc>
          <w:tcPr>
            <w:tcW w:w="440" w:type="dxa"/>
            <w:vAlign w:val="bottom"/>
          </w:tcPr>
          <w:p>
            <w:pPr>
              <w:spacing w:after="0"/>
              <w:rPr>
                <w:sz w:val="12"/>
                <w:szCs w:val="12"/>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Current income taxes payable</w:t>
            </w:r>
          </w:p>
        </w:tc>
        <w:tc>
          <w:tcPr>
            <w:tcW w:w="114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556</w:t>
            </w:r>
          </w:p>
        </w:tc>
        <w:tc>
          <w:tcPr>
            <w:tcW w:w="20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1,339</w:t>
            </w:r>
          </w:p>
        </w:tc>
        <w:tc>
          <w:tcPr>
            <w:tcW w:w="100" w:type="dxa"/>
            <w:vAlign w:val="bottom"/>
          </w:tcPr>
          <w:p>
            <w:pPr>
              <w:spacing w:after="0"/>
              <w:rPr>
                <w:sz w:val="12"/>
                <w:szCs w:val="12"/>
                <w:color w:val="auto"/>
              </w:rPr>
            </w:pPr>
          </w:p>
        </w:tc>
      </w:tr>
      <w:tr>
        <w:trPr>
          <w:trHeight w:val="133"/>
        </w:trPr>
        <w:tc>
          <w:tcPr>
            <w:tcW w:w="440" w:type="dxa"/>
            <w:vAlign w:val="bottom"/>
          </w:tcPr>
          <w:p>
            <w:pPr>
              <w:spacing w:after="0"/>
              <w:rPr>
                <w:sz w:val="11"/>
                <w:szCs w:val="11"/>
                <w:color w:val="auto"/>
              </w:rPr>
            </w:pPr>
          </w:p>
        </w:tc>
        <w:tc>
          <w:tcPr>
            <w:tcW w:w="346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260" w:type="dxa"/>
            <w:vAlign w:val="bottom"/>
            <w:gridSpan w:val="2"/>
            <w:shd w:val="clear" w:color="auto" w:fill="CCEEFF"/>
          </w:tcPr>
          <w:p>
            <w:pPr>
              <w:jc w:val="right"/>
              <w:ind w:right="10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7,785</w:t>
            </w:r>
          </w:p>
        </w:tc>
        <w:tc>
          <w:tcPr>
            <w:tcW w:w="1360" w:type="dxa"/>
            <w:vAlign w:val="bottom"/>
            <w:gridSpan w:val="2"/>
            <w:shd w:val="clear" w:color="auto" w:fill="CCEEFF"/>
          </w:tcPr>
          <w:p>
            <w:pPr>
              <w:jc w:val="right"/>
              <w:ind w:right="10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10,047</w:t>
            </w:r>
          </w:p>
        </w:tc>
        <w:tc>
          <w:tcPr>
            <w:tcW w:w="520" w:type="dxa"/>
            <w:vAlign w:val="bottom"/>
            <w:gridSpan w:val="2"/>
            <w:shd w:val="clear" w:color="auto" w:fill="CCEEFF"/>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8,739</w:t>
            </w:r>
          </w:p>
        </w:tc>
        <w:tc>
          <w:tcPr>
            <w:tcW w:w="100" w:type="dxa"/>
            <w:vAlign w:val="bottom"/>
            <w:shd w:val="clear" w:color="auto" w:fill="CCEEFF"/>
          </w:tcPr>
          <w:p>
            <w:pPr>
              <w:spacing w:after="0"/>
              <w:rPr>
                <w:sz w:val="11"/>
                <w:szCs w:val="11"/>
                <w:color w:val="auto"/>
              </w:rPr>
            </w:pPr>
          </w:p>
        </w:tc>
      </w:tr>
      <w:tr>
        <w:trPr>
          <w:trHeight w:val="27"/>
        </w:trPr>
        <w:tc>
          <w:tcPr>
            <w:tcW w:w="440" w:type="dxa"/>
            <w:vAlign w:val="bottom"/>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33" w:lineRule="exact"/>
        <w:rPr>
          <w:sz w:val="20"/>
          <w:szCs w:val="20"/>
          <w:color w:val="auto"/>
        </w:rPr>
      </w:pPr>
    </w:p>
    <w:p>
      <w:pPr>
        <w:ind w:left="928" w:hanging="351"/>
        <w:spacing w:after="0"/>
        <w:tabs>
          <w:tab w:leader="none" w:pos="92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Accrued rent and related expenses consist of accrued costs associated with non-lease components.</w:t>
      </w:r>
    </w:p>
    <w:p>
      <w:pPr>
        <w:spacing w:after="0" w:line="150"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2923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548"/>
          </w:cols>
          <w:pgMar w:left="212" w:top="435" w:right="1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color w:val="auto"/>
        </w:rPr>
        <w:t>6. Stock-based Compensation</w:t>
      </w:r>
    </w:p>
    <w:p>
      <w:pPr>
        <w:spacing w:after="0" w:line="154" w:lineRule="exact"/>
        <w:rPr>
          <w:sz w:val="20"/>
          <w:szCs w:val="20"/>
          <w:color w:val="auto"/>
        </w:rPr>
      </w:pPr>
    </w:p>
    <w:p>
      <w:pPr>
        <w:ind w:right="40" w:firstLine="432"/>
        <w:spacing w:after="0" w:line="286" w:lineRule="auto"/>
        <w:rPr>
          <w:sz w:val="20"/>
          <w:szCs w:val="20"/>
          <w:color w:val="auto"/>
        </w:rPr>
      </w:pPr>
      <w:r>
        <w:rPr>
          <w:rFonts w:ascii="Times New Roman" w:cs="Times New Roman" w:eastAsia="Times New Roman" w:hAnsi="Times New Roman"/>
          <w:sz w:val="11"/>
          <w:szCs w:val="11"/>
          <w:color w:val="auto"/>
        </w:rPr>
        <w:t>On March 14, 2017, the Company’s Board of Directors (the “Board”) adopted, subject to stockholder approval, the Build-A-Bear Workshop, Inc. 2017 Omnibus Incentive Plan (the “2017 Plan”). On May 11, 2017, at the Company’s 2017 Annual Meeting of Stockholders, the Company’s stockholders approved the 2017 Plan. The 2017 Plan, which is administered by the Compensation and Development Committee of the Board, permits the grant of stock options (including both incentive and non-qualified stock options), stock appreciation rights, restricted stock, cash and other stock-based awards, some of which may be performance-based pursuant to the terms of the 2017 Plan. The Board may amend, modify or terminate the 2017 Plan at any time, except as otherwise provided in the 2017 Plan. The 2017 Plan will terminate on March 14, 2027, unless earlier terminated by the Board. The number of shares of the Company’s common stock authorized for issuance under the 2017 Plan is 1,000,000, plus shares of stock subject to outstanding awards made under the Incentive Plans that on or after March 21, 2017 may be forfeited, expire or be settled for cash.</w:t>
      </w:r>
    </w:p>
    <w:p>
      <w:pPr>
        <w:spacing w:after="0" w:line="111" w:lineRule="exact"/>
        <w:rPr>
          <w:sz w:val="20"/>
          <w:szCs w:val="20"/>
          <w:color w:val="auto"/>
        </w:rPr>
      </w:pPr>
    </w:p>
    <w:p>
      <w:pPr>
        <w:ind w:right="200" w:firstLine="432"/>
        <w:spacing w:after="0" w:line="280" w:lineRule="auto"/>
        <w:rPr>
          <w:sz w:val="20"/>
          <w:szCs w:val="20"/>
          <w:color w:val="auto"/>
        </w:rPr>
      </w:pPr>
      <w:r>
        <w:rPr>
          <w:rFonts w:ascii="Times New Roman" w:cs="Times New Roman" w:eastAsia="Times New Roman" w:hAnsi="Times New Roman"/>
          <w:sz w:val="12"/>
          <w:szCs w:val="12"/>
          <w:color w:val="auto"/>
        </w:rPr>
        <w:t>For the thirteen weeks ended May 4, 2019 and May 5, 2018, selling, general and administrative expense included $0.7 million and $0.8 million, respectively, of stock-based compensation expense. As of May 4, 2019, there was $4.1 million of total unrecognized compensation expense related to unvested restricted stock and option awards which is expected to be recognized over a weighted-average period of 1.7 years.</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is a summary of the balances and activity for stock options for the thirteen weeks ended May 4, 2019:</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3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105"/>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13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18"/>
        </w:trPr>
        <w:tc>
          <w:tcPr>
            <w:tcW w:w="6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w w:val="97"/>
              </w:rPr>
              <w:t>Weighted</w:t>
            </w:r>
          </w:p>
        </w:tc>
        <w:tc>
          <w:tcPr>
            <w:tcW w:w="80" w:type="dxa"/>
            <w:vAlign w:val="bottom"/>
          </w:tcPr>
          <w:p>
            <w:pPr>
              <w:spacing w:after="0"/>
              <w:rPr>
                <w:sz w:val="10"/>
                <w:szCs w:val="10"/>
                <w:color w:val="auto"/>
              </w:rPr>
            </w:pPr>
          </w:p>
        </w:tc>
      </w:tr>
      <w:tr>
        <w:trPr>
          <w:trHeight w:val="144"/>
        </w:trPr>
        <w:tc>
          <w:tcPr>
            <w:tcW w:w="6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Average</w:t>
            </w:r>
          </w:p>
        </w:tc>
      </w:tr>
      <w:tr>
        <w:trPr>
          <w:trHeight w:val="159"/>
        </w:trPr>
        <w:tc>
          <w:tcPr>
            <w:tcW w:w="6340" w:type="dxa"/>
            <w:vAlign w:val="bottom"/>
          </w:tcPr>
          <w:p>
            <w:pPr>
              <w:spacing w:after="0"/>
              <w:rPr>
                <w:sz w:val="13"/>
                <w:szCs w:val="13"/>
                <w:color w:val="auto"/>
              </w:rPr>
            </w:pPr>
          </w:p>
        </w:tc>
        <w:tc>
          <w:tcPr>
            <w:tcW w:w="10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Exercise Price</w:t>
            </w:r>
          </w:p>
        </w:tc>
        <w:tc>
          <w:tcPr>
            <w:tcW w:w="80" w:type="dxa"/>
            <w:vAlign w:val="bottom"/>
          </w:tcPr>
          <w:p>
            <w:pPr>
              <w:spacing w:after="0"/>
              <w:rPr>
                <w:sz w:val="13"/>
                <w:szCs w:val="13"/>
                <w:color w:val="auto"/>
              </w:rPr>
            </w:pPr>
          </w:p>
        </w:tc>
      </w:tr>
      <w:tr>
        <w:trPr>
          <w:trHeight w:val="133"/>
        </w:trPr>
        <w:tc>
          <w:tcPr>
            <w:tcW w:w="74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February 2, 2019</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950,678</w:t>
            </w: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9.67</w:t>
            </w:r>
          </w:p>
        </w:tc>
      </w:tr>
      <w:tr>
        <w:trPr>
          <w:trHeight w:val="144"/>
        </w:trPr>
        <w:tc>
          <w:tcPr>
            <w:tcW w:w="74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Exercised</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(3,724)</w:t>
            </w:r>
          </w:p>
        </w:tc>
        <w:tc>
          <w:tcPr>
            <w:tcW w:w="2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5.11</w:t>
            </w:r>
          </w:p>
        </w:tc>
      </w:tr>
      <w:tr>
        <w:trPr>
          <w:trHeight w:val="144"/>
        </w:trPr>
        <w:tc>
          <w:tcPr>
            <w:tcW w:w="74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Forfeited</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Canceled or expired</w:t>
            </w:r>
          </w:p>
        </w:tc>
        <w:tc>
          <w:tcPr>
            <w:tcW w:w="10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(17,138)</w:t>
            </w:r>
          </w:p>
        </w:tc>
        <w:tc>
          <w:tcPr>
            <w:tcW w:w="2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7.44</w:t>
            </w:r>
          </w:p>
        </w:tc>
      </w:tr>
      <w:tr>
        <w:trPr>
          <w:trHeight w:val="140"/>
        </w:trPr>
        <w:tc>
          <w:tcPr>
            <w:tcW w:w="6340" w:type="dxa"/>
            <w:vAlign w:val="bottom"/>
            <w:tcBorders>
              <w:top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Outstanding, May 4, 2019</w:t>
            </w:r>
          </w:p>
        </w:tc>
        <w:tc>
          <w:tcPr>
            <w:tcW w:w="10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929,816</w:t>
            </w:r>
          </w:p>
        </w:tc>
        <w:tc>
          <w:tcPr>
            <w:tcW w:w="200" w:type="dxa"/>
            <w:vAlign w:val="bottom"/>
            <w:tcBorders>
              <w:top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9.73</w:t>
            </w:r>
          </w:p>
        </w:tc>
        <w:tc>
          <w:tcPr>
            <w:tcW w:w="80" w:type="dxa"/>
            <w:vAlign w:val="bottom"/>
            <w:tcBorders>
              <w:top w:val="single" w:sz="8" w:color="CCEEFF"/>
            </w:tcBorders>
          </w:tcPr>
          <w:p>
            <w:pPr>
              <w:spacing w:after="0"/>
              <w:rPr>
                <w:sz w:val="12"/>
                <w:szCs w:val="12"/>
                <w:color w:val="auto"/>
              </w:rPr>
            </w:pPr>
          </w:p>
        </w:tc>
      </w:tr>
    </w:tbl>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is a summary of the balances and activity related to time-based and performance-based restricted stock for the thirteen weeks ended May 4, 2019:</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60" w:type="dxa"/>
            <w:vAlign w:val="bottom"/>
          </w:tcPr>
          <w:p>
            <w:pPr>
              <w:spacing w:after="0"/>
              <w:rPr>
                <w:sz w:val="13"/>
                <w:szCs w:val="13"/>
                <w:color w:val="auto"/>
              </w:rPr>
            </w:pPr>
          </w:p>
        </w:tc>
        <w:tc>
          <w:tcPr>
            <w:tcW w:w="2880" w:type="dxa"/>
            <w:vAlign w:val="bottom"/>
            <w:gridSpan w:val="6"/>
          </w:tcPr>
          <w:p>
            <w:pPr>
              <w:ind w:left="580"/>
              <w:spacing w:after="0"/>
              <w:rPr>
                <w:sz w:val="20"/>
                <w:szCs w:val="20"/>
                <w:color w:val="auto"/>
              </w:rPr>
            </w:pPr>
            <w:r>
              <w:rPr>
                <w:rFonts w:ascii="Times New Roman" w:cs="Times New Roman" w:eastAsia="Times New Roman" w:hAnsi="Times New Roman"/>
                <w:sz w:val="12"/>
                <w:szCs w:val="12"/>
                <w:b w:val="1"/>
                <w:bCs w:val="1"/>
                <w:color w:val="auto"/>
              </w:rPr>
              <w:t>Time-Based Restricted Stock</w:t>
            </w:r>
          </w:p>
        </w:tc>
        <w:tc>
          <w:tcPr>
            <w:tcW w:w="2740" w:type="dxa"/>
            <w:vAlign w:val="bottom"/>
            <w:gridSpan w:val="6"/>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Performance-Based Restricted Stock</w:t>
            </w:r>
          </w:p>
        </w:tc>
      </w:tr>
      <w:tr>
        <w:trPr>
          <w:trHeight w:val="118"/>
        </w:trPr>
        <w:tc>
          <w:tcPr>
            <w:tcW w:w="586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7"/>
              </w:rPr>
              <w:t>Weighted</w:t>
            </w:r>
          </w:p>
        </w:tc>
        <w:tc>
          <w:tcPr>
            <w:tcW w:w="22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7"/>
              </w:rPr>
              <w:t>Weighted</w:t>
            </w:r>
          </w:p>
        </w:tc>
        <w:tc>
          <w:tcPr>
            <w:tcW w:w="120" w:type="dxa"/>
            <w:vAlign w:val="bottom"/>
          </w:tcPr>
          <w:p>
            <w:pPr>
              <w:spacing w:after="0"/>
              <w:rPr>
                <w:sz w:val="10"/>
                <w:szCs w:val="10"/>
                <w:color w:val="auto"/>
              </w:rPr>
            </w:pPr>
          </w:p>
        </w:tc>
      </w:tr>
      <w:tr>
        <w:trPr>
          <w:trHeight w:val="144"/>
        </w:trPr>
        <w:tc>
          <w:tcPr>
            <w:tcW w:w="5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Average Grant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Average Grant</w:t>
            </w:r>
          </w:p>
        </w:tc>
      </w:tr>
      <w:tr>
        <w:trPr>
          <w:trHeight w:val="159"/>
        </w:trPr>
        <w:tc>
          <w:tcPr>
            <w:tcW w:w="5860" w:type="dxa"/>
            <w:vAlign w:val="bottom"/>
          </w:tcPr>
          <w:p>
            <w:pPr>
              <w:spacing w:after="0"/>
              <w:rPr>
                <w:sz w:val="13"/>
                <w:szCs w:val="13"/>
                <w:color w:val="auto"/>
              </w:rPr>
            </w:pPr>
          </w:p>
        </w:tc>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Date Fair Value</w:t>
            </w:r>
          </w:p>
        </w:tc>
        <w:tc>
          <w:tcPr>
            <w:tcW w:w="220" w:type="dxa"/>
            <w:vAlign w:val="bottom"/>
          </w:tcPr>
          <w:p>
            <w:pPr>
              <w:spacing w:after="0"/>
              <w:rPr>
                <w:sz w:val="13"/>
                <w:szCs w:val="13"/>
                <w:color w:val="auto"/>
              </w:rPr>
            </w:pPr>
          </w:p>
        </w:tc>
        <w:tc>
          <w:tcPr>
            <w:tcW w:w="11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Date Fair Value</w:t>
            </w:r>
          </w:p>
        </w:tc>
        <w:tc>
          <w:tcPr>
            <w:tcW w:w="120" w:type="dxa"/>
            <w:vAlign w:val="bottom"/>
          </w:tcPr>
          <w:p>
            <w:pPr>
              <w:spacing w:after="0"/>
              <w:rPr>
                <w:sz w:val="13"/>
                <w:szCs w:val="13"/>
                <w:color w:val="auto"/>
              </w:rPr>
            </w:pPr>
          </w:p>
        </w:tc>
      </w:tr>
      <w:tr>
        <w:trPr>
          <w:trHeight w:val="133"/>
        </w:trPr>
        <w:tc>
          <w:tcPr>
            <w:tcW w:w="58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February 2, 2019</w:t>
            </w: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379,778</w:t>
            </w:r>
          </w:p>
        </w:tc>
        <w:tc>
          <w:tcPr>
            <w:tcW w:w="14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25"/>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9.31</w:t>
            </w:r>
          </w:p>
        </w:tc>
        <w:tc>
          <w:tcPr>
            <w:tcW w:w="12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167,153</w:t>
            </w:r>
          </w:p>
        </w:tc>
        <w:tc>
          <w:tcPr>
            <w:tcW w:w="2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8.73</w:t>
            </w:r>
          </w:p>
        </w:tc>
      </w:tr>
      <w:tr>
        <w:trPr>
          <w:trHeight w:val="144"/>
        </w:trPr>
        <w:tc>
          <w:tcPr>
            <w:tcW w:w="5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218,364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5.61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95,811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5.61</w:t>
            </w:r>
          </w:p>
        </w:tc>
      </w:tr>
      <w:tr>
        <w:trPr>
          <w:trHeight w:val="144"/>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Vested</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(156,864)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13.43</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Forfeited</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10.10</w:t>
            </w:r>
          </w:p>
        </w:tc>
        <w:tc>
          <w:tcPr>
            <w:tcW w:w="220" w:type="dxa"/>
            <w:vAlign w:val="bottom"/>
          </w:tcPr>
          <w:p>
            <w:pPr>
              <w:spacing w:after="0"/>
              <w:rPr>
                <w:sz w:val="12"/>
                <w:szCs w:val="1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Canceled or expired</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58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58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Outstanding, May 4, 2019</w:t>
            </w: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441,029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7.20</w:t>
            </w:r>
          </w:p>
        </w:tc>
        <w:tc>
          <w:tcPr>
            <w:tcW w:w="220" w:type="dxa"/>
            <w:vAlign w:val="bottom"/>
          </w:tcPr>
          <w:p>
            <w:pPr>
              <w:spacing w:after="0"/>
              <w:rPr>
                <w:sz w:val="11"/>
                <w:szCs w:val="11"/>
                <w:color w:val="auto"/>
              </w:rPr>
            </w:pP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262,964</w:t>
            </w:r>
          </w:p>
        </w:tc>
        <w:tc>
          <w:tcPr>
            <w:tcW w:w="100" w:type="dxa"/>
            <w:vAlign w:val="bottom"/>
          </w:tcPr>
          <w:p>
            <w:pPr>
              <w:spacing w:after="0"/>
              <w:rPr>
                <w:sz w:val="11"/>
                <w:szCs w:val="11"/>
                <w:color w:val="auto"/>
              </w:rPr>
            </w:pPr>
          </w:p>
        </w:tc>
        <w:tc>
          <w:tcPr>
            <w:tcW w:w="2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7.59</w:t>
            </w:r>
          </w:p>
        </w:tc>
      </w:tr>
      <w:tr>
        <w:trPr>
          <w:trHeight w:val="27"/>
        </w:trPr>
        <w:tc>
          <w:tcPr>
            <w:tcW w:w="58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total fair value of shares vested during the thirteen weeks ended May 4, 2019 and May 5, 2018 was $1.6 million and $1.7 million, respectively.</w:t>
      </w:r>
    </w:p>
    <w:p>
      <w:pPr>
        <w:spacing w:after="0" w:line="150" w:lineRule="exact"/>
        <w:rPr>
          <w:sz w:val="20"/>
          <w:szCs w:val="20"/>
          <w:color w:val="auto"/>
        </w:rPr>
      </w:pPr>
    </w:p>
    <w:p>
      <w:pPr>
        <w:ind w:right="100" w:firstLine="432"/>
        <w:spacing w:after="0" w:line="260" w:lineRule="auto"/>
        <w:rPr>
          <w:sz w:val="20"/>
          <w:szCs w:val="20"/>
          <w:color w:val="auto"/>
        </w:rPr>
      </w:pPr>
      <w:r>
        <w:rPr>
          <w:rFonts w:ascii="Times New Roman" w:cs="Times New Roman" w:eastAsia="Times New Roman" w:hAnsi="Times New Roman"/>
          <w:sz w:val="12"/>
          <w:szCs w:val="12"/>
          <w:color w:val="auto"/>
        </w:rPr>
        <w:t>In April 2019, the Company awarded three-year performance-based restricted stock subject to the achievement of pre-established consolidated pre-tax income growth objectives for fiscal 2019, 2020 and 2021. In 2018, the Company awarded three-year performance-based restricted stock subject to the achievement of pre-established consolidated total pre-tax income growth objectives for fiscal 2018, 2019 and 2020. In addition, the Company awarded three-year performance-based restricted stock subject to the achievement of pre-established consolidated revenue growth objectives for fiscal 2018, 2019 and 2020. In 2017, the Company awarded three-year performance-based restricted stock subject to the achievement of pre-established pre-tax income growth objectives for 2017, 2018 and 2019. The shares for all these awards have a payout opportunity ranging from 25% to 200% of the target number of shares.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923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593" w:right="199" w:bottom="1440" w:gutter="0" w:footer="0" w:header="0"/>
        </w:sectPr>
      </w:pPr>
    </w:p>
    <w:bookmarkStart w:id="12" w:name="page13"/>
    <w:bookmarkEnd w:id="12"/>
    <w:p>
      <w:pPr>
        <w:ind w:left="420"/>
        <w:spacing w:after="0"/>
        <w:rPr>
          <w:sz w:val="20"/>
          <w:szCs w:val="20"/>
          <w:color w:val="auto"/>
        </w:rPr>
      </w:pPr>
      <w:r>
        <w:rPr>
          <w:rFonts w:ascii="Times New Roman" w:cs="Times New Roman" w:eastAsia="Times New Roman" w:hAnsi="Times New Roman"/>
          <w:sz w:val="12"/>
          <w:szCs w:val="12"/>
          <w:color w:val="auto"/>
        </w:rPr>
        <w:t>The outstanding performance shares as of May 4, 2019 consist of the following:</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Unearned shares subject to performance-based restrictions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6560185" cy="91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60185" cy="9144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2"/>
          <w:szCs w:val="12"/>
          <w:color w:val="auto"/>
        </w:rPr>
        <w:t>2017 - 2019 consolidated pre-tax income growth objectives</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2018 - 2020 consolidated total revenue growth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6560185" cy="91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60185" cy="9144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2"/>
          <w:szCs w:val="12"/>
          <w:color w:val="auto"/>
        </w:rPr>
        <w:t>2018 - 2020 consolidated pre-tax income growth objectives</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2019 - 2021 consolidated pre-tax income growth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6560185" cy="97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60185" cy="971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Performance shares outstanding, May 4, 2019</w:t>
      </w:r>
    </w:p>
    <w:p>
      <w:pPr>
        <w:spacing w:after="0" w:line="150" w:lineRule="exact"/>
        <w:rPr>
          <w:sz w:val="20"/>
          <w:szCs w:val="20"/>
          <w:color w:val="auto"/>
        </w:rPr>
      </w:pPr>
    </w:p>
    <w:p>
      <w:pPr>
        <w:jc w:val="right"/>
        <w:ind w:right="260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923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1"/>
          <w:szCs w:val="11"/>
          <w:b w:val="1"/>
          <w:bCs w:val="1"/>
          <w:color w:val="auto"/>
        </w:rPr>
        <w:t>Performance</w:t>
      </w:r>
    </w:p>
    <w:p>
      <w:pPr>
        <w:spacing w:after="0" w:line="3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2"/>
          <w:szCs w:val="1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3810</wp:posOffset>
            </wp:positionV>
            <wp:extent cx="97790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77900" cy="5715"/>
                    </a:xfrm>
                    <a:prstGeom prst="rect">
                      <a:avLst/>
                    </a:prstGeom>
                    <a:noFill/>
                  </pic:spPr>
                </pic:pic>
              </a:graphicData>
            </a:graphic>
          </wp:anchor>
        </w:drawing>
      </w:r>
    </w:p>
    <w:p>
      <w:pPr>
        <w:spacing w:after="0" w:line="272"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2"/>
          <w:szCs w:val="12"/>
          <w:color w:val="auto"/>
        </w:rPr>
        <w:t>83,897</w:t>
      </w:r>
    </w:p>
    <w:p>
      <w:pPr>
        <w:spacing w:after="0" w:line="17"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2"/>
          <w:szCs w:val="12"/>
          <w:color w:val="auto"/>
        </w:rPr>
        <w:t>20,756</w:t>
      </w:r>
    </w:p>
    <w:p>
      <w:pPr>
        <w:spacing w:after="0" w:line="6"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2"/>
          <w:szCs w:val="12"/>
          <w:color w:val="auto"/>
        </w:rPr>
        <w:t>62,500</w:t>
      </w:r>
    </w:p>
    <w:p>
      <w:pPr>
        <w:spacing w:after="0" w:line="6"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2"/>
          <w:szCs w:val="12"/>
          <w:color w:val="auto"/>
        </w:rPr>
        <w:t>95,811</w:t>
      </w:r>
    </w:p>
    <w:p>
      <w:pPr>
        <w:spacing w:after="0" w:line="6"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2"/>
          <w:szCs w:val="12"/>
          <w:color w:val="auto"/>
        </w:rPr>
        <w:t>262,964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9525</wp:posOffset>
            </wp:positionV>
            <wp:extent cx="97790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77900" cy="571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20955</wp:posOffset>
            </wp:positionV>
            <wp:extent cx="97790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77900" cy="5715"/>
                    </a:xfrm>
                    <a:prstGeom prst="rect">
                      <a:avLst/>
                    </a:prstGeom>
                    <a:noFill/>
                  </pic:spPr>
                </pic:pic>
              </a:graphicData>
            </a:graphic>
          </wp:anchor>
        </w:drawing>
      </w:r>
    </w:p>
    <w:p>
      <w:pPr>
        <w:sectPr>
          <w:pgSz w:w="11900" w:h="16838" w:orient="portrait"/>
          <w:cols w:equalWidth="0" w:num="2">
            <w:col w:w="8400" w:space="720"/>
            <w:col w:w="1119"/>
          </w:cols>
          <w:pgMar w:left="220" w:top="435" w:right="1440" w:bottom="1440" w:gutter="0" w:footer="0" w:header="0"/>
        </w:sectPr>
      </w:pPr>
    </w:p>
    <w:bookmarkStart w:id="13" w:name="page14"/>
    <w:bookmarkEnd w:id="13"/>
    <w:p>
      <w:pPr>
        <w:ind w:left="8"/>
        <w:spacing w:after="0"/>
        <w:rPr>
          <w:sz w:val="20"/>
          <w:szCs w:val="20"/>
          <w:color w:val="auto"/>
        </w:rPr>
      </w:pPr>
      <w:r>
        <w:rPr>
          <w:rFonts w:ascii="Times New Roman" w:cs="Times New Roman" w:eastAsia="Times New Roman" w:hAnsi="Times New Roman"/>
          <w:sz w:val="12"/>
          <w:szCs w:val="12"/>
          <w:b w:val="1"/>
          <w:bCs w:val="1"/>
          <w:color w:val="auto"/>
        </w:rPr>
        <w:t>7. Income Taxes</w:t>
      </w:r>
    </w:p>
    <w:p>
      <w:pPr>
        <w:spacing w:after="0" w:line="154" w:lineRule="exact"/>
        <w:rPr>
          <w:sz w:val="20"/>
          <w:szCs w:val="20"/>
          <w:color w:val="auto"/>
        </w:rPr>
      </w:pPr>
    </w:p>
    <w:p>
      <w:pPr>
        <w:ind w:left="8" w:right="160" w:firstLine="432"/>
        <w:spacing w:after="0" w:line="265" w:lineRule="auto"/>
        <w:rPr>
          <w:sz w:val="20"/>
          <w:szCs w:val="20"/>
          <w:color w:val="auto"/>
        </w:rPr>
      </w:pPr>
      <w:r>
        <w:rPr>
          <w:rFonts w:ascii="Times New Roman" w:cs="Times New Roman" w:eastAsia="Times New Roman" w:hAnsi="Times New Roman"/>
          <w:sz w:val="12"/>
          <w:szCs w:val="12"/>
          <w:color w:val="auto"/>
        </w:rPr>
        <w:t>The effective tax rate was 50.3% for the thirteen weeks ended May 4, 2019 compared to 45.2% for the thirteen weeks ended May 5, 2018. In the first quarter of fiscal 2019, the effective tax rate differed from the statutory rate of 21% primarily due to the valuation allowance being recorded in certain foreign jurisdictions and the $0.2 million negative tax impact of equity awards vesting. In the first quarter of fiscal 2018, the effective tax rate differed from the statutory rate of 21% primarily due to the $0.1 million tax impact of equity awards vesting.</w:t>
      </w:r>
    </w:p>
    <w:p>
      <w:pPr>
        <w:spacing w:after="0" w:line="200" w:lineRule="exact"/>
        <w:rPr>
          <w:sz w:val="20"/>
          <w:szCs w:val="20"/>
          <w:color w:val="auto"/>
        </w:rPr>
      </w:pPr>
    </w:p>
    <w:p>
      <w:pPr>
        <w:spacing w:after="0" w:line="24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8. Stockholders’ Equity</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following table sets forth the changes in stockholders’ equity (in thousands) for the thirteen week periods ended May 4, 2019 and May 5, 2018:</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9"/>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For the thirteen weeks ended May 4, 2019</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9"/>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For the thirteen weeks ended May 5, 2018</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62"/>
        </w:trPr>
        <w:tc>
          <w:tcPr>
            <w:tcW w:w="2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w w:val="99"/>
              </w:rPr>
              <w:t>Retained</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59"/>
        </w:trPr>
        <w:tc>
          <w:tcPr>
            <w:tcW w:w="2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APIC (1)</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AOCI (2)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APIC (1)</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AOCI (2)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3"/>
                <w:szCs w:val="13"/>
                <w:color w:val="auto"/>
              </w:rPr>
            </w:pPr>
          </w:p>
        </w:tc>
      </w:tr>
      <w:tr>
        <w:trPr>
          <w:trHeight w:val="133"/>
        </w:trPr>
        <w:tc>
          <w:tcPr>
            <w:tcW w:w="24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beginning</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150</w:t>
            </w:r>
          </w:p>
        </w:tc>
        <w:tc>
          <w:tcPr>
            <w:tcW w:w="2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69,088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(12,018)</w:t>
            </w:r>
          </w:p>
        </w:tc>
        <w:tc>
          <w:tcPr>
            <w:tcW w:w="18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37,094</w:t>
            </w:r>
          </w:p>
        </w:tc>
        <w:tc>
          <w:tcPr>
            <w:tcW w:w="24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94,314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150</w:t>
            </w:r>
          </w:p>
        </w:tc>
        <w:tc>
          <w:tcPr>
            <w:tcW w:w="18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66,843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(10,800)</w:t>
            </w:r>
          </w:p>
        </w:tc>
        <w:tc>
          <w:tcPr>
            <w:tcW w:w="16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55,893</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112,086</w:t>
            </w:r>
          </w:p>
        </w:tc>
      </w:tr>
      <w:tr>
        <w:trPr>
          <w:trHeight w:val="144"/>
        </w:trPr>
        <w:tc>
          <w:tcPr>
            <w:tcW w:w="2420" w:type="dxa"/>
            <w:vAlign w:val="bottom"/>
          </w:tcPr>
          <w:p>
            <w:pPr>
              <w:spacing w:after="0"/>
              <w:rPr>
                <w:sz w:val="20"/>
                <w:szCs w:val="20"/>
                <w:color w:val="auto"/>
              </w:rPr>
            </w:pPr>
            <w:r>
              <w:rPr>
                <w:rFonts w:ascii="Times New Roman" w:cs="Times New Roman" w:eastAsia="Times New Roman" w:hAnsi="Times New Roman"/>
                <w:sz w:val="12"/>
                <w:szCs w:val="12"/>
                <w:color w:val="auto"/>
              </w:rPr>
              <w:t>Adoption of new accounting standard</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(7,430)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(7,430)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242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Subtotal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150</w:t>
            </w:r>
          </w:p>
        </w:tc>
        <w:tc>
          <w:tcPr>
            <w:tcW w:w="2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69,088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(12,018)</w:t>
            </w:r>
          </w:p>
        </w:tc>
        <w:tc>
          <w:tcPr>
            <w:tcW w:w="18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29,664</w:t>
            </w:r>
          </w:p>
        </w:tc>
        <w:tc>
          <w:tcPr>
            <w:tcW w:w="24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86,884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150</w:t>
            </w:r>
          </w:p>
        </w:tc>
        <w:tc>
          <w:tcPr>
            <w:tcW w:w="18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66,843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(10,800)</w:t>
            </w:r>
          </w:p>
        </w:tc>
        <w:tc>
          <w:tcPr>
            <w:tcW w:w="16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55,893</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112,086</w:t>
            </w:r>
          </w:p>
        </w:tc>
      </w:tr>
      <w:tr>
        <w:trPr>
          <w:trHeight w:val="144"/>
        </w:trPr>
        <w:tc>
          <w:tcPr>
            <w:tcW w:w="2420" w:type="dxa"/>
            <w:vAlign w:val="bottom"/>
          </w:tcPr>
          <w:p>
            <w:pPr>
              <w:spacing w:after="0"/>
              <w:rPr>
                <w:sz w:val="20"/>
                <w:szCs w:val="20"/>
                <w:color w:val="auto"/>
              </w:rPr>
            </w:pPr>
            <w:r>
              <w:rPr>
                <w:rFonts w:ascii="Times New Roman" w:cs="Times New Roman" w:eastAsia="Times New Roman" w:hAnsi="Times New Roman"/>
                <w:sz w:val="12"/>
                <w:szCs w:val="12"/>
                <w:color w:val="auto"/>
              </w:rPr>
              <w:t>Share repurchase and retirement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(388)</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(343)</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(732)</w:t>
            </w:r>
          </w:p>
        </w:tc>
      </w:tr>
      <w:tr>
        <w:trPr>
          <w:trHeight w:val="14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720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720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841</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841</w:t>
            </w:r>
          </w:p>
        </w:tc>
      </w:tr>
      <w:tr>
        <w:trPr>
          <w:trHeight w:val="144"/>
        </w:trPr>
        <w:tc>
          <w:tcPr>
            <w:tcW w:w="2420" w:type="dxa"/>
            <w:vAlign w:val="bottom"/>
          </w:tcPr>
          <w:p>
            <w:pPr>
              <w:spacing w:after="0"/>
              <w:rPr>
                <w:sz w:val="20"/>
                <w:szCs w:val="20"/>
                <w:color w:val="auto"/>
              </w:rPr>
            </w:pPr>
            <w:r>
              <w:rPr>
                <w:rFonts w:ascii="Times New Roman" w:cs="Times New Roman" w:eastAsia="Times New Roman" w:hAnsi="Times New Roman"/>
                <w:sz w:val="12"/>
                <w:szCs w:val="12"/>
                <w:color w:val="auto"/>
              </w:rPr>
              <w:t>Shares issued under employee stock plans</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(258)</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(259)</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(388)</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(386)</w:t>
            </w:r>
          </w:p>
        </w:tc>
      </w:tr>
      <w:tr>
        <w:trPr>
          <w:trHeight w:val="14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loss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(746)</w:t>
            </w:r>
          </w:p>
        </w:tc>
      </w:tr>
      <w:tr>
        <w:trPr>
          <w:trHeight w:val="144"/>
        </w:trPr>
        <w:tc>
          <w:tcPr>
            <w:tcW w:w="242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354</w:t>
            </w:r>
          </w:p>
        </w:tc>
      </w:tr>
      <w:tr>
        <w:trPr>
          <w:trHeight w:val="20"/>
        </w:trPr>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24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ending</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149</w:t>
            </w:r>
          </w:p>
        </w:tc>
        <w:tc>
          <w:tcPr>
            <w:tcW w:w="2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69,550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(12,123)</w:t>
            </w:r>
          </w:p>
        </w:tc>
        <w:tc>
          <w:tcPr>
            <w:tcW w:w="18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30,861</w:t>
            </w:r>
          </w:p>
        </w:tc>
        <w:tc>
          <w:tcPr>
            <w:tcW w:w="24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88,437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151</w:t>
            </w:r>
          </w:p>
        </w:tc>
        <w:tc>
          <w:tcPr>
            <w:tcW w:w="18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66,908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(11,546)</w:t>
            </w:r>
          </w:p>
        </w:tc>
        <w:tc>
          <w:tcPr>
            <w:tcW w:w="16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55,904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111,417</w:t>
            </w:r>
          </w:p>
        </w:tc>
      </w:tr>
      <w:tr>
        <w:trPr>
          <w:trHeight w:val="27"/>
        </w:trPr>
        <w:tc>
          <w:tcPr>
            <w:tcW w:w="24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77" w:lineRule="exact"/>
        <w:rPr>
          <w:sz w:val="20"/>
          <w:szCs w:val="20"/>
          <w:color w:val="auto"/>
        </w:rPr>
      </w:pPr>
    </w:p>
    <w:p>
      <w:pPr>
        <w:ind w:left="168" w:hanging="168"/>
        <w:spacing w:after="0"/>
        <w:tabs>
          <w:tab w:leader="none" w:pos="16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Additional paid-in capital (“APIC”)</w:t>
      </w:r>
    </w:p>
    <w:p>
      <w:pPr>
        <w:spacing w:after="0" w:line="16"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Accumulated other comprehensive income (loss) (“AOCI”)</w:t>
      </w:r>
    </w:p>
    <w:p>
      <w:pPr>
        <w:spacing w:after="0" w:line="139" w:lineRule="exact"/>
        <w:rPr>
          <w:sz w:val="20"/>
          <w:szCs w:val="20"/>
          <w:color w:val="auto"/>
        </w:rPr>
      </w:pPr>
    </w:p>
    <w:p>
      <w:pPr>
        <w:ind w:left="8" w:right="580" w:firstLine="432"/>
        <w:spacing w:after="0" w:line="280" w:lineRule="auto"/>
        <w:rPr>
          <w:sz w:val="20"/>
          <w:szCs w:val="20"/>
          <w:color w:val="auto"/>
        </w:rPr>
      </w:pPr>
      <w:r>
        <w:rPr>
          <w:rFonts w:ascii="Times New Roman" w:cs="Times New Roman" w:eastAsia="Times New Roman" w:hAnsi="Times New Roman"/>
          <w:sz w:val="12"/>
          <w:szCs w:val="12"/>
          <w:color w:val="auto"/>
        </w:rPr>
        <w:t>In August 2017, the Company’s Board of Directors authorized a share repurchase program of up to $20.0 million. From the date of such authorization through May 4, 2019, the Company has repurchased approximately 1.3 million shares at an average price of $8.75 per share for an aggregate amount of approximately $11.2 million, leaving approximately $8.8 million authorized under the program as of that date.</w:t>
      </w:r>
    </w:p>
    <w:p>
      <w:pPr>
        <w:spacing w:after="0" w:line="1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2923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8"/>
          </w:cols>
          <w:pgMar w:left="212" w:top="593" w:right="1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color w:val="auto"/>
        </w:rPr>
        <w:t>9. Income per Share</w:t>
      </w:r>
    </w:p>
    <w:p>
      <w:pPr>
        <w:spacing w:after="0" w:line="154" w:lineRule="exact"/>
        <w:rPr>
          <w:sz w:val="20"/>
          <w:szCs w:val="20"/>
          <w:color w:val="auto"/>
        </w:rPr>
      </w:pPr>
    </w:p>
    <w:p>
      <w:pPr>
        <w:ind w:right="20" w:firstLine="432"/>
        <w:spacing w:after="0" w:line="280" w:lineRule="auto"/>
        <w:rPr>
          <w:sz w:val="20"/>
          <w:szCs w:val="20"/>
          <w:color w:val="auto"/>
        </w:rPr>
      </w:pPr>
      <w:r>
        <w:rPr>
          <w:rFonts w:ascii="Times New Roman" w:cs="Times New Roman" w:eastAsia="Times New Roman" w:hAnsi="Times New Roman"/>
          <w:sz w:val="12"/>
          <w:szCs w:val="12"/>
          <w:color w:val="auto"/>
        </w:rPr>
        <w:t>The following table sets forth the computation of basic and diluted net income per share (in thousands, except share and per share data), in periods of net loss, no effect is given to the Company’s participating securities as they do not contractually participate in the losses of the Company:</w:t>
      </w:r>
    </w:p>
    <w:p>
      <w:pPr>
        <w:spacing w:after="0" w:line="106" w:lineRule="exact"/>
        <w:rPr>
          <w:sz w:val="20"/>
          <w:szCs w:val="20"/>
          <w:color w:val="auto"/>
        </w:rPr>
      </w:pPr>
    </w:p>
    <w:tbl>
      <w:tblPr>
        <w:tblLayout w:type="fixed"/>
        <w:tblInd w:w="20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Thirteen weeks ended</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100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May 4,</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tcPr>
          <w:p>
            <w:pPr>
              <w:jc w:val="center"/>
              <w:ind w:right="460"/>
              <w:spacing w:after="0" w:line="118" w:lineRule="exact"/>
              <w:rPr>
                <w:sz w:val="20"/>
                <w:szCs w:val="20"/>
                <w:color w:val="auto"/>
              </w:rPr>
            </w:pPr>
            <w:r>
              <w:rPr>
                <w:rFonts w:ascii="Times New Roman" w:cs="Times New Roman" w:eastAsia="Times New Roman" w:hAnsi="Times New Roman"/>
                <w:sz w:val="12"/>
                <w:szCs w:val="12"/>
                <w:b w:val="1"/>
                <w:bCs w:val="1"/>
                <w:color w:val="auto"/>
                <w:w w:val="96"/>
              </w:rPr>
              <w:t>May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2019</w:t>
            </w:r>
          </w:p>
        </w:tc>
        <w:tc>
          <w:tcPr>
            <w:tcW w:w="5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9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NUMERATOR:</w:t>
            </w:r>
          </w:p>
        </w:tc>
        <w:tc>
          <w:tcPr>
            <w:tcW w:w="10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income (loss) before allocation of earnings to participating securities</w:t>
            </w:r>
          </w:p>
        </w:tc>
        <w:tc>
          <w:tcPr>
            <w:tcW w:w="100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1,197</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Less: Earnings allocated to participating securities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692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Net income (loss)</w:t>
            </w:r>
          </w:p>
        </w:tc>
        <w:tc>
          <w:tcPr>
            <w:tcW w:w="100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1,197</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352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9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DENOMINATOR:</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Weighted average number of common shares outstanding - basic</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14,612,575</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14,582,573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Dilutive effect of share-based awards: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125,665</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140,416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92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Weighted average number of common shares outstanding - dilutive</w:t>
            </w:r>
          </w:p>
        </w:tc>
        <w:tc>
          <w:tcPr>
            <w:tcW w:w="100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14,738,240</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14,722,989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income (loss) per common share attributable to Build-A-Bear Workshop, Inc. stockholders</w:t>
            </w:r>
          </w:p>
        </w:tc>
        <w:tc>
          <w:tcPr>
            <w:tcW w:w="100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6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Diluted income (loss) per common share attributable to Build-A-Bear Workshop, Inc. stockholders</w:t>
            </w:r>
          </w:p>
        </w:tc>
        <w:tc>
          <w:tcPr>
            <w:tcW w:w="1000" w:type="dxa"/>
            <w:vAlign w:val="bottom"/>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200" w:type="dxa"/>
            <w:vAlign w:val="bottom"/>
          </w:tcPr>
          <w:p>
            <w:pPr>
              <w:spacing w:after="0"/>
              <w:rPr>
                <w:sz w:val="12"/>
                <w:szCs w:val="12"/>
                <w:color w:val="auto"/>
              </w:rPr>
            </w:pPr>
          </w:p>
        </w:tc>
        <w:tc>
          <w:tcPr>
            <w:tcW w:w="520" w:type="dxa"/>
            <w:vAlign w:val="bottom"/>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right="140" w:firstLine="432"/>
        <w:spacing w:after="0" w:line="280" w:lineRule="auto"/>
        <w:rPr>
          <w:sz w:val="20"/>
          <w:szCs w:val="20"/>
          <w:color w:val="auto"/>
        </w:rPr>
      </w:pPr>
      <w:r>
        <w:rPr>
          <w:rFonts w:ascii="Times New Roman" w:cs="Times New Roman" w:eastAsia="Times New Roman" w:hAnsi="Times New Roman"/>
          <w:sz w:val="12"/>
          <w:szCs w:val="12"/>
          <w:color w:val="auto"/>
        </w:rPr>
        <w:t>In calculating diluted income per share for the thirteen week periods ended May 4, 2019 and May 5, 2018, options to purchase 938,622 and 478,996; respectively, shares of common stock that were outstanding at the end of the period were not included in the computation of diluted income per share due to their anti-dilutive effect.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Comprehensive Income (Loss)</w:t>
      </w:r>
    </w:p>
    <w:p>
      <w:pPr>
        <w:spacing w:after="0" w:line="154"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The difference between comprehensive income or loss and net income or loss results from foreign currency translation adjustments on the balance sheets of subsidiaries whose functional currency is not the U.S. Dollar. The accumulated other comprehensive income (loss) balance at May 4, 2019 and May 5, 2018 was comprised entirely of foreign currency translation. For the thirteen weeks ended May 4, 2019 and May 5, 2018, there were no reclassifications out of accumulated other comprehensive loss.</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923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00"/>
          </w:cols>
          <w:pgMar w:left="220" w:top="593" w:right="279" w:bottom="1440" w:gutter="0" w:footer="0" w:header="0"/>
        </w:sectPr>
      </w:pPr>
    </w:p>
    <w:bookmarkStart w:id="15" w:name="page16"/>
    <w:bookmarkEnd w:id="15"/>
    <w:p>
      <w:pPr>
        <w:ind w:left="8"/>
        <w:spacing w:after="0"/>
        <w:rPr>
          <w:sz w:val="20"/>
          <w:szCs w:val="20"/>
          <w:color w:val="auto"/>
        </w:rPr>
      </w:pPr>
      <w:r>
        <w:rPr>
          <w:rFonts w:ascii="Times New Roman" w:cs="Times New Roman" w:eastAsia="Times New Roman" w:hAnsi="Times New Roman"/>
          <w:sz w:val="12"/>
          <w:szCs w:val="12"/>
          <w:b w:val="1"/>
          <w:bCs w:val="1"/>
          <w:color w:val="auto"/>
        </w:rPr>
        <w:t>11. Segment Information</w:t>
      </w:r>
    </w:p>
    <w:p>
      <w:pPr>
        <w:spacing w:after="0" w:line="154" w:lineRule="exact"/>
        <w:rPr>
          <w:sz w:val="20"/>
          <w:szCs w:val="20"/>
          <w:color w:val="auto"/>
        </w:rPr>
      </w:pPr>
    </w:p>
    <w:p>
      <w:pPr>
        <w:ind w:left="8" w:right="60" w:firstLine="432"/>
        <w:spacing w:after="0" w:line="255" w:lineRule="auto"/>
        <w:rPr>
          <w:sz w:val="20"/>
          <w:szCs w:val="20"/>
          <w:color w:val="auto"/>
        </w:rPr>
      </w:pPr>
      <w:r>
        <w:rPr>
          <w:rFonts w:ascii="Times New Roman" w:cs="Times New Roman" w:eastAsia="Times New Roman" w:hAnsi="Times New Roman"/>
          <w:sz w:val="12"/>
          <w:szCs w:val="12"/>
          <w:color w:val="auto"/>
        </w:rPr>
        <w:t>The Company’s operations are conducted through three operating segments consisting of direct-to-consumer (“DTC”), commercial and international franchising. The DTC segment includes the operating activities of corporately-managed locations and other retail delivery operations in the U.S., Canada, China, Denmark, Ireland and the United Kingdom (“U.K.”), including the Company’s e-commerce sites and temporary stores.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Europe (outside of the U.K., Ireland and Denmark), Asia, Australia, the Middle East, Africa and Mexico.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2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Following is a summary of the financial information for the Company’s reportable segments (in thousands):</w:t>
      </w:r>
    </w:p>
    <w:p>
      <w:pPr>
        <w:spacing w:after="0" w:line="146" w:lineRule="exact"/>
        <w:rPr>
          <w:sz w:val="20"/>
          <w:szCs w:val="20"/>
          <w:color w:val="auto"/>
        </w:rPr>
      </w:pPr>
    </w:p>
    <w:tbl>
      <w:tblPr>
        <w:tblLayout w:type="fixed"/>
        <w:tblInd w:w="428" w:type="dxa"/>
        <w:tblCellMar>
          <w:top w:w="0" w:type="dxa"/>
          <w:left w:w="0" w:type="dxa"/>
          <w:bottom w:w="0" w:type="dxa"/>
          <w:right w:w="0" w:type="dxa"/>
        </w:tblCellMar>
      </w:tblPr>
      <w:tr>
        <w:trPr>
          <w:trHeight w:val="144"/>
        </w:trPr>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Direct-to-</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International</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Consumer</w:t>
            </w:r>
          </w:p>
        </w:tc>
        <w:tc>
          <w:tcPr>
            <w:tcW w:w="20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Franchising</w:t>
            </w:r>
          </w:p>
        </w:tc>
        <w:tc>
          <w:tcPr>
            <w:tcW w:w="280" w:type="dxa"/>
            <w:vAlign w:val="bottom"/>
          </w:tcPr>
          <w:p>
            <w:pPr>
              <w:spacing w:after="0"/>
              <w:rPr>
                <w:sz w:val="13"/>
                <w:szCs w:val="13"/>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46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Thirteen weeks ended May 4, 2019</w:t>
            </w:r>
          </w:p>
        </w:tc>
        <w:tc>
          <w:tcPr>
            <w:tcW w:w="2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4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sales to external customers</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81,048</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2,754</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w:t>
            </w:r>
          </w:p>
        </w:tc>
        <w:tc>
          <w:tcPr>
            <w:tcW w:w="200" w:type="dxa"/>
            <w:vAlign w:val="bottom"/>
          </w:tcPr>
          <w:p>
            <w:pPr>
              <w:spacing w:after="0"/>
              <w:rPr>
                <w:sz w:val="12"/>
                <w:szCs w:val="12"/>
                <w:color w:val="auto"/>
              </w:rPr>
            </w:pP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84,362</w:t>
            </w:r>
          </w:p>
        </w:tc>
      </w:tr>
      <w:tr>
        <w:trPr>
          <w:trHeight w:val="144"/>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Income (loss) before income taxes</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1,094</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2,410</w:t>
            </w:r>
          </w:p>
        </w:tc>
      </w:tr>
      <w:tr>
        <w:trPr>
          <w:trHeight w:val="144"/>
        </w:trPr>
        <w:tc>
          <w:tcPr>
            <w:tcW w:w="4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Capital expenditures</w:t>
            </w:r>
          </w:p>
        </w:tc>
        <w:tc>
          <w:tcPr>
            <w:tcW w:w="22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2,440</w:t>
            </w:r>
          </w:p>
        </w:tc>
        <w:tc>
          <w:tcPr>
            <w:tcW w:w="20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2,440</w:t>
            </w:r>
          </w:p>
        </w:tc>
      </w:tr>
      <w:tr>
        <w:trPr>
          <w:trHeight w:val="144"/>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3,510</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3,512</w:t>
            </w:r>
          </w:p>
        </w:tc>
      </w:tr>
      <w:tr>
        <w:trPr>
          <w:trHeight w:val="144"/>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Thirteen weeks ended May 5, 2018</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sales to external customers</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81,425</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1,019</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740</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83,184</w:t>
            </w:r>
          </w:p>
        </w:tc>
      </w:tr>
      <w:tr>
        <w:trPr>
          <w:trHeight w:val="144"/>
        </w:trPr>
        <w:tc>
          <w:tcPr>
            <w:tcW w:w="4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Income (loss) before income taxes</w:t>
            </w:r>
          </w:p>
        </w:tc>
        <w:tc>
          <w:tcPr>
            <w:tcW w:w="22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(23)</w:t>
            </w:r>
          </w:p>
        </w:tc>
        <w:tc>
          <w:tcPr>
            <w:tcW w:w="20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362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646</w:t>
            </w:r>
          </w:p>
        </w:tc>
      </w:tr>
      <w:tr>
        <w:trPr>
          <w:trHeight w:val="144"/>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Capital expenditures</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3,030</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3,030</w:t>
            </w:r>
          </w:p>
        </w:tc>
      </w:tr>
      <w:tr>
        <w:trPr>
          <w:trHeight w:val="144"/>
        </w:trPr>
        <w:tc>
          <w:tcPr>
            <w:tcW w:w="4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2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4,116</w:t>
            </w:r>
          </w:p>
        </w:tc>
        <w:tc>
          <w:tcPr>
            <w:tcW w:w="20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w:t>
            </w:r>
          </w:p>
        </w:tc>
        <w:tc>
          <w:tcPr>
            <w:tcW w:w="28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4,115</w:t>
            </w:r>
          </w:p>
        </w:tc>
      </w:tr>
      <w:tr>
        <w:trPr>
          <w:trHeight w:val="144"/>
        </w:trPr>
        <w:tc>
          <w:tcPr>
            <w:tcW w:w="4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Total Assets as of:</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May 4, 2019</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295,558</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8,004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5,969</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309,531</w:t>
            </w:r>
          </w:p>
        </w:tc>
      </w:tr>
      <w:tr>
        <w:trPr>
          <w:trHeight w:val="155"/>
        </w:trPr>
        <w:tc>
          <w:tcPr>
            <w:tcW w:w="4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May 5, 2018</w:t>
            </w:r>
          </w:p>
        </w:tc>
        <w:tc>
          <w:tcPr>
            <w:tcW w:w="22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161,497</w:t>
            </w:r>
          </w:p>
        </w:tc>
        <w:tc>
          <w:tcPr>
            <w:tcW w:w="2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6,267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4,890</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172,654</w:t>
            </w:r>
          </w:p>
        </w:tc>
      </w:tr>
    </w:tbl>
    <w:p>
      <w:pPr>
        <w:spacing w:after="0" w:line="122" w:lineRule="exact"/>
        <w:rPr>
          <w:sz w:val="20"/>
          <w:szCs w:val="20"/>
          <w:color w:val="auto"/>
        </w:rPr>
      </w:pPr>
    </w:p>
    <w:p>
      <w:pPr>
        <w:ind w:left="8" w:firstLine="432"/>
        <w:spacing w:after="0" w:line="280" w:lineRule="auto"/>
        <w:rPr>
          <w:sz w:val="20"/>
          <w:szCs w:val="20"/>
          <w:color w:val="auto"/>
        </w:rPr>
      </w:pPr>
      <w:r>
        <w:rPr>
          <w:rFonts w:ascii="Times New Roman" w:cs="Times New Roman" w:eastAsia="Times New Roman" w:hAnsi="Times New Roman"/>
          <w:sz w:val="12"/>
          <w:szCs w:val="12"/>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06" w:lineRule="exact"/>
        <w:rPr>
          <w:sz w:val="20"/>
          <w:szCs w:val="20"/>
          <w:color w:val="auto"/>
        </w:rPr>
      </w:pPr>
    </w:p>
    <w:tbl>
      <w:tblPr>
        <w:tblLayout w:type="fixed"/>
        <w:tblInd w:w="428" w:type="dxa"/>
        <w:tblCellMar>
          <w:top w:w="0" w:type="dxa"/>
          <w:left w:w="0" w:type="dxa"/>
          <w:bottom w:w="0" w:type="dxa"/>
          <w:right w:w="0" w:type="dxa"/>
        </w:tblCellMar>
      </w:tblPr>
      <w:tr>
        <w:trPr>
          <w:trHeight w:val="148"/>
        </w:trPr>
        <w:tc>
          <w:tcPr>
            <w:tcW w:w="4660" w:type="dxa"/>
            <w:vAlign w:val="bottom"/>
          </w:tcPr>
          <w:p>
            <w:pPr>
              <w:spacing w:after="0"/>
              <w:rPr>
                <w:sz w:val="12"/>
                <w:szCs w:val="12"/>
                <w:color w:val="auto"/>
              </w:rPr>
            </w:pPr>
          </w:p>
        </w:tc>
        <w:tc>
          <w:tcPr>
            <w:tcW w:w="92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North</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2"/>
        </w:trPr>
        <w:tc>
          <w:tcPr>
            <w:tcW w:w="466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Times New Roman" w:cs="Times New Roman" w:eastAsia="Times New Roman" w:hAnsi="Times New Roman"/>
                <w:sz w:val="12"/>
                <w:szCs w:val="12"/>
                <w:b w:val="1"/>
                <w:bCs w:val="1"/>
                <w:color w:val="auto"/>
              </w:rPr>
              <w:t xml:space="preserve">America </w:t>
            </w:r>
            <w:r>
              <w:rPr>
                <w:rFonts w:ascii="Times New Roman" w:cs="Times New Roman" w:eastAsia="Times New Roman" w:hAnsi="Times New Roman"/>
                <w:sz w:val="20"/>
                <w:szCs w:val="20"/>
                <w:b w:val="1"/>
                <w:bCs w:val="1"/>
                <w:color w:val="auto"/>
                <w:vertAlign w:val="superscript"/>
              </w:rPr>
              <w:t>(1)</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Times New Roman" w:cs="Times New Roman" w:eastAsia="Times New Roman" w:hAnsi="Times New Roman"/>
                <w:sz w:val="12"/>
                <w:szCs w:val="12"/>
                <w:b w:val="1"/>
                <w:bCs w:val="1"/>
                <w:color w:val="auto"/>
              </w:rPr>
              <w:t xml:space="preserve">Europe </w:t>
            </w:r>
            <w:r>
              <w:rPr>
                <w:rFonts w:ascii="Times New Roman" w:cs="Times New Roman" w:eastAsia="Times New Roman" w:hAnsi="Times New Roman"/>
                <w:sz w:val="20"/>
                <w:szCs w:val="20"/>
                <w:b w:val="1"/>
                <w:bCs w:val="1"/>
                <w:color w:val="auto"/>
                <w:vertAlign w:val="superscript"/>
              </w:rPr>
              <w:t>(2)</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40"/>
              <w:spacing w:after="0" w:line="183" w:lineRule="exact"/>
              <w:rPr>
                <w:sz w:val="20"/>
                <w:szCs w:val="20"/>
                <w:color w:val="auto"/>
              </w:rPr>
            </w:pPr>
            <w:r>
              <w:rPr>
                <w:rFonts w:ascii="Times New Roman" w:cs="Times New Roman" w:eastAsia="Times New Roman" w:hAnsi="Times New Roman"/>
                <w:sz w:val="12"/>
                <w:szCs w:val="12"/>
                <w:b w:val="1"/>
                <w:bCs w:val="1"/>
                <w:color w:val="auto"/>
              </w:rPr>
              <w:t xml:space="preserve">Other </w:t>
            </w:r>
            <w:r>
              <w:rPr>
                <w:rFonts w:ascii="Times New Roman" w:cs="Times New Roman" w:eastAsia="Times New Roman" w:hAnsi="Times New Roman"/>
                <w:sz w:val="20"/>
                <w:szCs w:val="20"/>
                <w:b w:val="1"/>
                <w:bCs w:val="1"/>
                <w:color w:val="auto"/>
                <w:vertAlign w:val="superscript"/>
              </w:rPr>
              <w:t>(3)</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46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Thirteen weeks ended May 4, 2019</w:t>
            </w:r>
          </w:p>
        </w:tc>
        <w:tc>
          <w:tcPr>
            <w:tcW w:w="9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4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sales to external customers</w:t>
            </w:r>
          </w:p>
        </w:tc>
        <w:tc>
          <w:tcPr>
            <w:tcW w:w="920" w:type="dxa"/>
            <w:vAlign w:val="bottom"/>
          </w:tcPr>
          <w:p>
            <w:pPr>
              <w:jc w:val="right"/>
              <w:ind w:right="80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6"/>
              </w:rPr>
              <w:t>72,941</w:t>
            </w:r>
          </w:p>
        </w:tc>
        <w:tc>
          <w:tcPr>
            <w:tcW w:w="900" w:type="dxa"/>
            <w:vAlign w:val="bottom"/>
          </w:tcPr>
          <w:p>
            <w:pPr>
              <w:jc w:val="right"/>
              <w:ind w:right="78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10,887</w:t>
            </w:r>
          </w:p>
        </w:tc>
        <w:tc>
          <w:tcPr>
            <w:tcW w:w="1040" w:type="dxa"/>
            <w:vAlign w:val="bottom"/>
            <w:gridSpan w:val="2"/>
          </w:tcPr>
          <w:p>
            <w:pPr>
              <w:jc w:val="right"/>
              <w:ind w:right="8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84,362</w:t>
            </w:r>
          </w:p>
        </w:tc>
      </w:tr>
      <w:tr>
        <w:trPr>
          <w:trHeight w:val="144"/>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6"/>
              </w:rPr>
              <w:t>59,502</w:t>
            </w:r>
          </w:p>
        </w:tc>
        <w:tc>
          <w:tcPr>
            <w:tcW w:w="9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5,839</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65,357</w:t>
            </w:r>
          </w:p>
        </w:tc>
      </w:tr>
      <w:tr>
        <w:trPr>
          <w:trHeight w:val="144"/>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Thirteen weeks ended May 5, 2018</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sales to external customers</w:t>
            </w:r>
          </w:p>
        </w:tc>
        <w:tc>
          <w:tcPr>
            <w:tcW w:w="92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6"/>
              </w:rPr>
              <w:t>69,968</w:t>
            </w:r>
          </w:p>
        </w:tc>
        <w:tc>
          <w:tcPr>
            <w:tcW w:w="90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12,826</w:t>
            </w:r>
          </w:p>
        </w:tc>
        <w:tc>
          <w:tcPr>
            <w:tcW w:w="10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83,184</w:t>
            </w:r>
          </w:p>
        </w:tc>
      </w:tr>
      <w:tr>
        <w:trPr>
          <w:trHeight w:val="155"/>
        </w:trPr>
        <w:tc>
          <w:tcPr>
            <w:tcW w:w="4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92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6"/>
              </w:rPr>
              <w:t>66,664</w:t>
            </w:r>
          </w:p>
        </w:tc>
        <w:tc>
          <w:tcPr>
            <w:tcW w:w="90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9,722</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76,410</w:t>
            </w:r>
          </w:p>
        </w:tc>
      </w:tr>
    </w:tbl>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purposes of this table only:</w:t>
      </w:r>
    </w:p>
    <w:p>
      <w:pPr>
        <w:spacing w:after="0" w:line="17" w:lineRule="exact"/>
        <w:rPr>
          <w:sz w:val="20"/>
          <w:szCs w:val="20"/>
          <w:color w:val="auto"/>
        </w:rPr>
      </w:pPr>
    </w:p>
    <w:p>
      <w:pPr>
        <w:ind w:left="208" w:hanging="208"/>
        <w:spacing w:after="0"/>
        <w:tabs>
          <w:tab w:leader="none" w:pos="2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North America includes corporately managed locations in the United States, Canada, Puerto Rico and franchise business in Mexico</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Europe includes corporately managed locations in the U.K., Ireland, Denmark and franchise businesses in Europe</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includes franchise businesses outside of North America and Europe and a corporately-managed location in China</w:t>
      </w:r>
    </w:p>
    <w:p>
      <w:pPr>
        <w:spacing w:after="0" w:line="157"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2923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48"/>
          </w:cols>
          <w:pgMar w:left="212" w:top="593"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color w:val="auto"/>
        </w:rPr>
        <w:t>12. Contingencies</w:t>
      </w:r>
    </w:p>
    <w:p>
      <w:pPr>
        <w:spacing w:after="0" w:line="154"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2"/>
          <w:szCs w:val="12"/>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19"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Assessments made by the U.K. customs authority in 2012 have been appealed by the Company, which has paid the disputed duty, strictly under protest, pending the outcome of the continuing dispute, and this is included in receivables, net in the DTC segment. The U. K. customs authority is contesting the Company's appeal. The Company maintains a provision against the related receivable, based on a current evaluation of collectability, using the latest facts available in the dispute. As of May 4, 2019, the Company had a gross receivable balance of $4.0 million and a reserve of $3.1 million, leaving a net receivable of $0.9 million. However, the Company continues to vigorously dispute the customs audit findings and believes that the outcome of this dispute will not have a material adverse impact on the results of operations, liquidity or financial position of the Company.</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923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00"/>
          </w:cols>
          <w:pgMar w:left="220" w:top="593" w:right="2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Notice Regarding Forward-Looking Statements</w:t>
      </w:r>
    </w:p>
    <w:p>
      <w:pPr>
        <w:spacing w:after="0" w:line="15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the Company’s Annual Report on Form 10-K for the fiscal year ended February 2, 2019, as filed with the SEC, and include the following:</w:t>
      </w:r>
    </w:p>
    <w:p>
      <w:pPr>
        <w:spacing w:after="0" w:line="119" w:lineRule="exact"/>
        <w:rPr>
          <w:sz w:val="20"/>
          <w:szCs w:val="20"/>
          <w:color w:val="auto"/>
        </w:rPr>
      </w:pPr>
    </w:p>
    <w:p>
      <w:pPr>
        <w:ind w:left="800" w:hanging="340"/>
        <w:spacing w:after="0" w:line="260" w:lineRule="auto"/>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decline in general global economic conditions could lead to disproportionately reduced consumer demand for our products, which represent relatively discretionary spending, and have an adverse effect on our liquidity and profitability;</w:t>
      </w:r>
    </w:p>
    <w:p>
      <w:pPr>
        <w:ind w:left="800" w:hanging="340"/>
        <w:spacing w:after="0"/>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able to operate our international corporately-managed locations profitably;</w:t>
      </w:r>
    </w:p>
    <w:p>
      <w:pPr>
        <w:spacing w:after="0" w:line="6" w:lineRule="exact"/>
        <w:rPr>
          <w:rFonts w:ascii="Times New Roman" w:cs="Times New Roman" w:eastAsia="Times New Roman" w:hAnsi="Times New Roman"/>
          <w:sz w:val="12"/>
          <w:szCs w:val="12"/>
          <w:color w:val="auto"/>
        </w:rPr>
      </w:pPr>
    </w:p>
    <w:p>
      <w:pPr>
        <w:ind w:left="800" w:hanging="340"/>
        <w:spacing w:after="0"/>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depend upon the shopping malls and tourist locations in which we are located to attract guests to our stores and a decline in consumer traffic could adversely affect our financial performance and profitability;</w:t>
      </w:r>
    </w:p>
    <w:p>
      <w:pPr>
        <w:spacing w:after="0" w:line="6" w:lineRule="exact"/>
        <w:rPr>
          <w:rFonts w:ascii="Times New Roman" w:cs="Times New Roman" w:eastAsia="Times New Roman" w:hAnsi="Times New Roman"/>
          <w:sz w:val="12"/>
          <w:szCs w:val="12"/>
          <w:color w:val="auto"/>
        </w:rPr>
      </w:pPr>
    </w:p>
    <w:p>
      <w:pPr>
        <w:ind w:left="800" w:right="60" w:hanging="340"/>
        <w:spacing w:after="0" w:line="250" w:lineRule="auto"/>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ind w:left="800" w:right="20" w:hanging="340"/>
        <w:spacing w:after="0" w:line="250" w:lineRule="auto"/>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tariffs and foreign currency fluctuations;</w:t>
      </w:r>
    </w:p>
    <w:p>
      <w:pPr>
        <w:ind w:left="800" w:hanging="340"/>
        <w:spacing w:after="0"/>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are unable to renew, renegotiate or replace our store leases or enter into leases for new stores on favorable terms, or if we violate any of the terms of our current leases, our revenue and profitability could be harmed;</w:t>
      </w:r>
    </w:p>
    <w:p>
      <w:pPr>
        <w:spacing w:after="0" w:line="6" w:lineRule="exact"/>
        <w:rPr>
          <w:rFonts w:ascii="Times New Roman" w:cs="Times New Roman" w:eastAsia="Times New Roman" w:hAnsi="Times New Roman"/>
          <w:sz w:val="12"/>
          <w:szCs w:val="12"/>
          <w:color w:val="auto"/>
        </w:rPr>
      </w:pPr>
    </w:p>
    <w:p>
      <w:pPr>
        <w:ind w:left="800" w:right="160" w:hanging="340"/>
        <w:spacing w:after="0" w:line="250" w:lineRule="auto"/>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consumer interests change rapidly and our success depends on the ongoing effectiveness of our marketing and online initiatives to build consumer affinity for our brand and drive consumer demand for key products and services;</w:t>
      </w:r>
    </w:p>
    <w:p>
      <w:pPr>
        <w:ind w:left="800" w:right="160" w:hanging="340"/>
        <w:spacing w:after="0" w:line="250" w:lineRule="auto"/>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ind w:left="800" w:hanging="340"/>
        <w:spacing w:after="0"/>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able to operate successfully if we lose key personnel, are unable to hire qualified additional personnel, or experience turnover of our management team;</w:t>
      </w:r>
    </w:p>
    <w:p>
      <w:pPr>
        <w:spacing w:after="0" w:line="6" w:lineRule="exact"/>
        <w:rPr>
          <w:rFonts w:ascii="Times New Roman" w:cs="Times New Roman" w:eastAsia="Times New Roman" w:hAnsi="Times New Roman"/>
          <w:sz w:val="12"/>
          <w:szCs w:val="12"/>
          <w:color w:val="auto"/>
        </w:rPr>
      </w:pPr>
    </w:p>
    <w:p>
      <w:pPr>
        <w:ind w:left="800" w:hanging="340"/>
        <w:spacing w:after="0"/>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subject to risks associated with technology and digital operations;</w:t>
      </w:r>
    </w:p>
    <w:p>
      <w:pPr>
        <w:spacing w:after="0" w:line="6" w:lineRule="exact"/>
        <w:rPr>
          <w:rFonts w:ascii="Times New Roman" w:cs="Times New Roman" w:eastAsia="Times New Roman" w:hAnsi="Times New Roman"/>
          <w:sz w:val="12"/>
          <w:szCs w:val="12"/>
          <w:color w:val="auto"/>
        </w:rPr>
      </w:pPr>
    </w:p>
    <w:p>
      <w:pPr>
        <w:ind w:left="800" w:hanging="340"/>
        <w:spacing w:after="0" w:line="250" w:lineRule="auto"/>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able to evolve our store locations over time to align with market trends, successfully diversify our store models and formats in accordance with our strategic goals or otherwise effectively manage our overall portfolio of stores which could adversely affect our ability to grow and could significantly harm our profitability;</w:t>
      </w:r>
    </w:p>
    <w:p>
      <w:pPr>
        <w:ind w:left="800" w:right="40" w:hanging="340"/>
        <w:spacing w:after="0" w:line="250" w:lineRule="auto"/>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rely on a few global supply chain vendors to supply substantially all of our merchandise, and significant price increases or any disruption in their ability to deliver merchandise could harm our ability to source products and supply inventory to our stores;</w:t>
      </w:r>
    </w:p>
    <w:p>
      <w:pPr>
        <w:ind w:left="800" w:hanging="340"/>
        <w:spacing w:after="0" w:line="250" w:lineRule="auto"/>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company-owned distribution center which services the majority of our stores in North America and our third-party distribution center providers used in the western United States and Europe may experience disruptions in their ability to support our stores or may operate inefficiently;</w:t>
      </w:r>
    </w:p>
    <w:p>
      <w:pPr>
        <w:ind w:left="800" w:hanging="340"/>
        <w:spacing w:after="0" w:line="250" w:lineRule="auto"/>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ind w:left="800" w:right="260" w:hanging="340"/>
        <w:spacing w:after="0" w:line="250" w:lineRule="auto"/>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ind w:left="800" w:right="20" w:hanging="340"/>
        <w:spacing w:after="0" w:line="250" w:lineRule="auto"/>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ind w:left="800" w:hanging="340"/>
        <w:spacing w:after="0"/>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suffer negative publicity or be sued if the manufacturers of our merchandise violate labor laws or engage in practices that consumers believe are unethical;</w:t>
      </w:r>
    </w:p>
    <w:p>
      <w:pPr>
        <w:spacing w:after="0" w:line="6" w:lineRule="exact"/>
        <w:rPr>
          <w:rFonts w:ascii="Times New Roman" w:cs="Times New Roman" w:eastAsia="Times New Roman" w:hAnsi="Times New Roman"/>
          <w:sz w:val="12"/>
          <w:szCs w:val="12"/>
          <w:color w:val="auto"/>
        </w:rPr>
      </w:pPr>
    </w:p>
    <w:p>
      <w:pPr>
        <w:ind w:left="800" w:hanging="340"/>
        <w:spacing w:after="0"/>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profitability could be adversely affected by fluctuations in petroleum products prices;</w:t>
      </w:r>
    </w:p>
    <w:p>
      <w:pPr>
        <w:spacing w:after="0" w:line="6" w:lineRule="exact"/>
        <w:rPr>
          <w:rFonts w:ascii="Times New Roman" w:cs="Times New Roman" w:eastAsia="Times New Roman" w:hAnsi="Times New Roman"/>
          <w:sz w:val="12"/>
          <w:szCs w:val="12"/>
          <w:color w:val="auto"/>
        </w:rPr>
      </w:pPr>
    </w:p>
    <w:p>
      <w:pPr>
        <w:ind w:left="800" w:hanging="340"/>
        <w:spacing w:after="0"/>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may be adversely impacted at any time by a significant variety of competitive threats;</w:t>
      </w:r>
    </w:p>
    <w:p>
      <w:pPr>
        <w:spacing w:after="0" w:line="6" w:lineRule="exact"/>
        <w:rPr>
          <w:rFonts w:ascii="Times New Roman" w:cs="Times New Roman" w:eastAsia="Times New Roman" w:hAnsi="Times New Roman"/>
          <w:sz w:val="12"/>
          <w:szCs w:val="12"/>
          <w:color w:val="auto"/>
        </w:rPr>
      </w:pPr>
    </w:p>
    <w:p>
      <w:pPr>
        <w:ind w:left="800" w:hanging="340"/>
        <w:spacing w:after="0"/>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suffer negative publicity or a decrease in sales or profitability if the products from other companies that we sell in our stores do not meet our quality standards or fail to achieve our sales expectations;</w:t>
      </w:r>
    </w:p>
    <w:p>
      <w:pPr>
        <w:spacing w:after="0" w:line="6" w:lineRule="exact"/>
        <w:rPr>
          <w:rFonts w:ascii="Times New Roman" w:cs="Times New Roman" w:eastAsia="Times New Roman" w:hAnsi="Times New Roman"/>
          <w:sz w:val="12"/>
          <w:szCs w:val="12"/>
          <w:color w:val="auto"/>
        </w:rPr>
      </w:pPr>
    </w:p>
    <w:p>
      <w:pPr>
        <w:ind w:left="800" w:hanging="340"/>
        <w:spacing w:after="0"/>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unsuccessful in acquiring businesses or engaging in other strategic transactions, which may negatively affect our financial condition and profitability;</w:t>
      </w:r>
    </w:p>
    <w:p>
      <w:pPr>
        <w:spacing w:after="0" w:line="6" w:lineRule="exact"/>
        <w:rPr>
          <w:rFonts w:ascii="Times New Roman" w:cs="Times New Roman" w:eastAsia="Times New Roman" w:hAnsi="Times New Roman"/>
          <w:sz w:val="12"/>
          <w:szCs w:val="12"/>
          <w:color w:val="auto"/>
        </w:rPr>
      </w:pPr>
    </w:p>
    <w:p>
      <w:pPr>
        <w:ind w:left="800" w:right="220" w:hanging="340"/>
        <w:spacing w:after="0" w:line="250" w:lineRule="auto"/>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our operating results could reduce our cash flow and we may be unable to repurchase shares at all or at the times or in the amounts we desire or the results of our share repurchase program may not be as beneficial as we would like;</w:t>
      </w:r>
    </w:p>
    <w:p>
      <w:pPr>
        <w:ind w:left="800" w:hanging="340"/>
        <w:spacing w:after="0"/>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our quarterly results of operations could cause the price of our common stock to substantially decline;</w:t>
      </w:r>
    </w:p>
    <w:p>
      <w:pPr>
        <w:spacing w:after="0" w:line="6" w:lineRule="exact"/>
        <w:rPr>
          <w:rFonts w:ascii="Times New Roman" w:cs="Times New Roman" w:eastAsia="Times New Roman" w:hAnsi="Times New Roman"/>
          <w:sz w:val="12"/>
          <w:szCs w:val="12"/>
          <w:color w:val="auto"/>
        </w:rPr>
      </w:pPr>
    </w:p>
    <w:p>
      <w:pPr>
        <w:ind w:left="800" w:hanging="340"/>
        <w:spacing w:after="0"/>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market price of our common stock is subject to volatility, which could in turn attract the interest of activist shareholders; and</w:t>
      </w:r>
    </w:p>
    <w:p>
      <w:pPr>
        <w:spacing w:after="0" w:line="6" w:lineRule="exact"/>
        <w:rPr>
          <w:rFonts w:ascii="Times New Roman" w:cs="Times New Roman" w:eastAsia="Times New Roman" w:hAnsi="Times New Roman"/>
          <w:sz w:val="12"/>
          <w:szCs w:val="12"/>
          <w:color w:val="auto"/>
        </w:rPr>
      </w:pPr>
    </w:p>
    <w:p>
      <w:pPr>
        <w:ind w:left="800" w:right="360" w:hanging="340"/>
        <w:spacing w:after="0" w:line="261" w:lineRule="auto"/>
        <w:tabs>
          <w:tab w:leader="none" w:pos="8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923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40"/>
          </w:cols>
          <w:pgMar w:left="220" w:top="593"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4"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2"/>
          <w:szCs w:val="12"/>
          <w:color w:val="auto"/>
        </w:rPr>
        <w:t>We are the only global company that offers an interactive “make your own stuffed animal” retail entertainment experience under the Build-A-Bear Workshop brand, in which guests participate in the stuffing, fluffing, dressing, accessorizing and naming of their own teddy bears and other stuffed animals. As of May 4, 2019, we operated 366 stores globally and had 90 franchised stores operating internationally under the Build-A-Bear Workshop brand. In addition to our stores, we sell products on our company-owned e-commerce sites and franchisee sites and through third parties under wholesale agreements.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operate in three segments that share the same infrastructure, including management, systems, merchandising and marketing, and generate revenues as follows:</w:t>
      </w:r>
    </w:p>
    <w:p>
      <w:pPr>
        <w:spacing w:after="0" w:line="150" w:lineRule="exact"/>
        <w:rPr>
          <w:sz w:val="20"/>
          <w:szCs w:val="20"/>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Direct-to-Consumer (“DTC”) – Corporately-managed retail stores located in the U.S., Canada, Puerto Rico, the U.K., Ireland, Denmark and China and two e-commerce sites;</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Commercial – Transactions with other businesses, mainly comprised of wholesale product sales and licensing our intellectual property, including entertainment properties, for third-party use; and</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International franchising – Royalties as well as product and fixture sales from other international operations under franchise agreements.</w:t>
      </w:r>
    </w:p>
    <w:p>
      <w:pPr>
        <w:spacing w:after="0" w:line="168" w:lineRule="exact"/>
        <w:rPr>
          <w:sz w:val="20"/>
          <w:szCs w:val="20"/>
          <w:color w:val="auto"/>
        </w:rPr>
      </w:pPr>
    </w:p>
    <w:p>
      <w:pPr>
        <w:ind w:right="460" w:firstLine="432"/>
        <w:spacing w:after="0" w:line="280" w:lineRule="auto"/>
        <w:rPr>
          <w:sz w:val="20"/>
          <w:szCs w:val="20"/>
          <w:color w:val="auto"/>
        </w:rPr>
      </w:pPr>
      <w:r>
        <w:rPr>
          <w:rFonts w:ascii="Times New Roman" w:cs="Times New Roman" w:eastAsia="Times New Roman" w:hAnsi="Times New Roman"/>
          <w:sz w:val="12"/>
          <w:szCs w:val="12"/>
          <w:color w:val="auto"/>
        </w:rPr>
        <w:t>Selected financial data attributable to each segment for the thirteen week period ended May 4, 2019 and May 5, 2018 are set forth in the notes to our condensed consolidated financial statements included elsewhere in this Quarterly Report on Form 10-Q.</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Strategy</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expect to improve consolidated sales and profit through the following key initiatives:</w:t>
      </w:r>
    </w:p>
    <w:p>
      <w:pPr>
        <w:spacing w:after="0" w:line="150" w:lineRule="exact"/>
        <w:rPr>
          <w:sz w:val="20"/>
          <w:szCs w:val="20"/>
          <w:color w:val="auto"/>
        </w:rPr>
      </w:pPr>
    </w:p>
    <w:p>
      <w:pPr>
        <w:ind w:left="920" w:hanging="351"/>
        <w:spacing w:after="0" w:line="258" w:lineRule="auto"/>
        <w:tabs>
          <w:tab w:leader="none" w:pos="9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Development of our experiential retail model to diversify and expand the impact and reach of our brand globally:</w:t>
      </w:r>
      <w:r>
        <w:rPr>
          <w:rFonts w:ascii="Times New Roman" w:cs="Times New Roman" w:eastAsia="Times New Roman" w:hAnsi="Times New Roman"/>
          <w:sz w:val="12"/>
          <w:szCs w:val="12"/>
          <w:color w:val="auto"/>
        </w:rPr>
        <w:t xml:space="preserve"> We expect to continue to diversify our real estate portfolio to focus on places where families are increasingly going to shop or going for entertainment. We have been actively identifying and securing more tourist locations. We also expect to continue to diversify our store portfolio inclusive of our lower capital, more flexible “concourse shop” model. We expect to continue to make improvements to our aging store fleet by leveraging our Discovery format in conjunction with select natural lease events such as lease renewals or terminations. Overall, these reformatted locations continue to perform ahead of heritage locations in both sales and profitability. In addition, we are actively working with a large retailer to expand our reach to a broader array of consumers. We expect to continue to grow e-commerce sales as well as expand globally through existing and new franchise agreements including the recently added franchises in China and India.</w:t>
      </w:r>
    </w:p>
    <w:p>
      <w:pPr>
        <w:spacing w:after="0" w:line="122" w:lineRule="exact"/>
        <w:rPr>
          <w:rFonts w:ascii="Times New Roman" w:cs="Times New Roman" w:eastAsia="Times New Roman" w:hAnsi="Times New Roman"/>
          <w:sz w:val="12"/>
          <w:szCs w:val="12"/>
          <w:color w:val="auto"/>
        </w:rPr>
      </w:pPr>
    </w:p>
    <w:p>
      <w:pPr>
        <w:ind w:left="920" w:right="40" w:hanging="351"/>
        <w:spacing w:after="0" w:line="258" w:lineRule="auto"/>
        <w:tabs>
          <w:tab w:leader="none" w:pos="9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Leverage the power of our brand and intellectual properties to build margin accretive revenue streams:</w:t>
      </w:r>
      <w:r>
        <w:rPr>
          <w:rFonts w:ascii="Times New Roman" w:cs="Times New Roman" w:eastAsia="Times New Roman" w:hAnsi="Times New Roman"/>
          <w:sz w:val="12"/>
          <w:szCs w:val="12"/>
          <w:color w:val="auto"/>
        </w:rPr>
        <w:t xml:space="preserve"> To meet the needs of our core consumer base (girls and boys ages 3 to 12) while systematically building secondary consumer segments (including collectors, gift-givers and teen-plus), we expect to continue to develop and expand offerings of successful intellectual properties balanced with core products and a comprehensive program of key licensed products. We expect to leverage the power of both our Build-A-Bear brand as well as our other intellectual properties to further develop our outbound licensed programs and expand these and other margin accretive revenue streams. We also expect to build the entertainment aspects of our business model as we continue to develop content to connect with consumers beyond our retail stores including mobile apps, music videos and other entertainment opportunities to increase engagement, improve efficiency and lead to profitable sales growth.</w:t>
      </w:r>
    </w:p>
    <w:p>
      <w:pPr>
        <w:spacing w:after="0" w:line="122" w:lineRule="exact"/>
        <w:rPr>
          <w:rFonts w:ascii="Times New Roman" w:cs="Times New Roman" w:eastAsia="Times New Roman" w:hAnsi="Times New Roman"/>
          <w:sz w:val="12"/>
          <w:szCs w:val="12"/>
          <w:color w:val="auto"/>
        </w:rPr>
      </w:pPr>
    </w:p>
    <w:p>
      <w:pPr>
        <w:jc w:val="both"/>
        <w:ind w:left="920" w:right="80" w:hanging="351"/>
        <w:spacing w:after="0" w:line="265" w:lineRule="auto"/>
        <w:tabs>
          <w:tab w:leader="none" w:pos="9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Long-Term Profitability Improvement:</w:t>
      </w:r>
      <w:r>
        <w:rPr>
          <w:rFonts w:ascii="Times New Roman" w:cs="Times New Roman" w:eastAsia="Times New Roman" w:hAnsi="Times New Roman"/>
          <w:sz w:val="12"/>
          <w:szCs w:val="12"/>
          <w:color w:val="auto"/>
        </w:rPr>
        <w:t xml:space="preserve"> We are focused on improving profitability through the execution of our stated strategies detailed above as well as disciplined expense management and on-going efforts in process and systems upgrades. While we continue to monitor consolidated comparable sales as an important metric in our business, we believe that total revenue growth and profitability improvement are more indicative of the progress in our business initiatives on a go forward basis.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923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60"/>
          </w:cols>
          <w:pgMar w:left="220" w:top="431" w:right="2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i w:val="1"/>
          <w:iCs w:val="1"/>
          <w:color w:val="auto"/>
        </w:rPr>
        <w:t>Retail Stores: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table below sets forth the number of Build-A-Bear Workshop corporately-managed stores in North America, Europe and Asia for the periods presented: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Thirteen weeks ended</w:t>
            </w:r>
          </w:p>
        </w:tc>
        <w:tc>
          <w:tcPr>
            <w:tcW w:w="1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24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May 4, 2019</w:t>
            </w: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May 5, 2018</w:t>
            </w:r>
          </w:p>
        </w:tc>
        <w:tc>
          <w:tcPr>
            <w:tcW w:w="6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18"/>
        </w:trPr>
        <w:tc>
          <w:tcPr>
            <w:tcW w:w="2420" w:type="dxa"/>
            <w:vAlign w:val="bottom"/>
          </w:tcPr>
          <w:p>
            <w:pPr>
              <w:spacing w:after="0"/>
              <w:rPr>
                <w:sz w:val="10"/>
                <w:szCs w:val="10"/>
                <w:color w:val="auto"/>
              </w:rPr>
            </w:pPr>
          </w:p>
        </w:tc>
        <w:tc>
          <w:tcPr>
            <w:tcW w:w="720" w:type="dxa"/>
            <w:vAlign w:val="bottom"/>
          </w:tcPr>
          <w:p>
            <w:pPr>
              <w:jc w:val="center"/>
              <w:ind w:left="140"/>
              <w:spacing w:after="0" w:line="118" w:lineRule="exact"/>
              <w:rPr>
                <w:sz w:val="20"/>
                <w:szCs w:val="20"/>
                <w:color w:val="auto"/>
              </w:rPr>
            </w:pPr>
            <w:r>
              <w:rPr>
                <w:rFonts w:ascii="Times New Roman" w:cs="Times New Roman" w:eastAsia="Times New Roman" w:hAnsi="Times New Roman"/>
                <w:sz w:val="12"/>
                <w:szCs w:val="12"/>
                <w:b w:val="1"/>
                <w:bCs w:val="1"/>
                <w:color w:val="auto"/>
              </w:rPr>
              <w:t>North</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right"/>
              <w:ind w:right="520"/>
              <w:spacing w:after="0" w:line="118" w:lineRule="exact"/>
              <w:rPr>
                <w:sz w:val="20"/>
                <w:szCs w:val="20"/>
                <w:color w:val="auto"/>
              </w:rPr>
            </w:pPr>
            <w:r>
              <w:rPr>
                <w:rFonts w:ascii="Times New Roman" w:cs="Times New Roman" w:eastAsia="Times New Roman" w:hAnsi="Times New Roman"/>
                <w:sz w:val="12"/>
                <w:szCs w:val="12"/>
                <w:b w:val="1"/>
                <w:bCs w:val="1"/>
                <w:color w:val="auto"/>
              </w:rPr>
              <w:t>North</w:t>
            </w:r>
          </w:p>
        </w:tc>
        <w:tc>
          <w:tcPr>
            <w:tcW w:w="1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9"/>
        </w:trPr>
        <w:tc>
          <w:tcPr>
            <w:tcW w:w="2420" w:type="dxa"/>
            <w:vAlign w:val="bottom"/>
          </w:tcPr>
          <w:p>
            <w:pPr>
              <w:spacing w:after="0"/>
              <w:rPr>
                <w:sz w:val="13"/>
                <w:szCs w:val="13"/>
                <w:color w:val="auto"/>
              </w:rPr>
            </w:pPr>
          </w:p>
        </w:tc>
        <w:tc>
          <w:tcPr>
            <w:tcW w:w="720" w:type="dxa"/>
            <w:vAlign w:val="bottom"/>
            <w:tcBorders>
              <w:bottom w:val="single" w:sz="8" w:color="auto"/>
            </w:tcBorders>
          </w:tcPr>
          <w:p>
            <w:pPr>
              <w:jc w:val="center"/>
              <w:ind w:left="140"/>
              <w:spacing w:after="0"/>
              <w:rPr>
                <w:sz w:val="20"/>
                <w:szCs w:val="20"/>
                <w:color w:val="auto"/>
              </w:rPr>
            </w:pPr>
            <w:r>
              <w:rPr>
                <w:rFonts w:ascii="Times New Roman" w:cs="Times New Roman" w:eastAsia="Times New Roman" w:hAnsi="Times New Roman"/>
                <w:sz w:val="12"/>
                <w:szCs w:val="12"/>
                <w:b w:val="1"/>
                <w:bCs w:val="1"/>
                <w:color w:val="auto"/>
                <w:w w:val="99"/>
              </w:rPr>
              <w:t>America</w:t>
            </w: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color w:val="auto"/>
                <w:w w:val="99"/>
              </w:rPr>
              <w:t>Europe</w:t>
            </w: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2"/>
                <w:szCs w:val="12"/>
                <w:b w:val="1"/>
                <w:bCs w:val="1"/>
                <w:color w:val="auto"/>
              </w:rPr>
              <w:t>Asia</w:t>
            </w: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40" w:type="dxa"/>
            <w:vAlign w:val="bottom"/>
          </w:tcPr>
          <w:p>
            <w:pPr>
              <w:spacing w:after="0"/>
              <w:rPr>
                <w:sz w:val="13"/>
                <w:szCs w:val="13"/>
                <w:color w:val="auto"/>
              </w:rPr>
            </w:pPr>
          </w:p>
        </w:tc>
        <w:tc>
          <w:tcPr>
            <w:tcW w:w="9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America</w:t>
            </w:r>
          </w:p>
        </w:tc>
        <w:tc>
          <w:tcPr>
            <w:tcW w:w="200" w:type="dxa"/>
            <w:vAlign w:val="bottom"/>
          </w:tcPr>
          <w:p>
            <w:pPr>
              <w:spacing w:after="0"/>
              <w:rPr>
                <w:sz w:val="13"/>
                <w:szCs w:val="13"/>
                <w:color w:val="auto"/>
              </w:rPr>
            </w:pPr>
          </w:p>
        </w:tc>
        <w:tc>
          <w:tcPr>
            <w:tcW w:w="14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Europe</w:t>
            </w: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Asia</w:t>
            </w:r>
          </w:p>
        </w:tc>
        <w:tc>
          <w:tcPr>
            <w:tcW w:w="220" w:type="dxa"/>
            <w:vAlign w:val="bottom"/>
          </w:tcPr>
          <w:p>
            <w:pPr>
              <w:spacing w:after="0"/>
              <w:rPr>
                <w:sz w:val="13"/>
                <w:szCs w:val="13"/>
                <w:color w:val="auto"/>
              </w:rPr>
            </w:pPr>
          </w:p>
        </w:tc>
        <w:tc>
          <w:tcPr>
            <w:tcW w:w="9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3"/>
                <w:szCs w:val="13"/>
                <w:color w:val="auto"/>
              </w:rPr>
            </w:pPr>
          </w:p>
        </w:tc>
      </w:tr>
      <w:tr>
        <w:trPr>
          <w:trHeight w:val="133"/>
        </w:trPr>
        <w:tc>
          <w:tcPr>
            <w:tcW w:w="31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Beginning of period</w:t>
            </w:r>
          </w:p>
        </w:tc>
        <w:tc>
          <w:tcPr>
            <w:tcW w:w="2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311</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59</w:t>
            </w:r>
          </w:p>
        </w:tc>
        <w:tc>
          <w:tcPr>
            <w:tcW w:w="7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16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371</w:t>
            </w:r>
          </w:p>
        </w:tc>
        <w:tc>
          <w:tcPr>
            <w:tcW w:w="114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292</w:t>
            </w:r>
          </w:p>
        </w:tc>
        <w:tc>
          <w:tcPr>
            <w:tcW w:w="1400" w:type="dxa"/>
            <w:vAlign w:val="bottom"/>
            <w:shd w:val="clear" w:color="auto" w:fill="CCEEFF"/>
          </w:tcPr>
          <w:p>
            <w:pPr>
              <w:jc w:val="right"/>
              <w:ind w:right="420"/>
              <w:spacing w:after="0" w:line="133" w:lineRule="exact"/>
              <w:rPr>
                <w:sz w:val="20"/>
                <w:szCs w:val="20"/>
                <w:color w:val="auto"/>
              </w:rPr>
            </w:pPr>
            <w:r>
              <w:rPr>
                <w:rFonts w:ascii="Times New Roman" w:cs="Times New Roman" w:eastAsia="Times New Roman" w:hAnsi="Times New Roman"/>
                <w:sz w:val="12"/>
                <w:szCs w:val="12"/>
                <w:color w:val="auto"/>
              </w:rPr>
              <w:t>59</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02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352</w:t>
            </w:r>
          </w:p>
        </w:tc>
      </w:tr>
      <w:tr>
        <w:trPr>
          <w:trHeight w:val="144"/>
        </w:trPr>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Opened</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4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w:t>
            </w:r>
          </w:p>
        </w:tc>
      </w:tr>
      <w:tr>
        <w:trPr>
          <w:trHeight w:val="153"/>
        </w:trPr>
        <w:tc>
          <w:tcPr>
            <w:tcW w:w="2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Closed</w:t>
            </w:r>
          </w:p>
        </w:tc>
        <w:tc>
          <w:tcPr>
            <w:tcW w:w="7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w:t>
            </w:r>
          </w:p>
        </w:tc>
        <w:tc>
          <w:tcPr>
            <w:tcW w:w="6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w:t>
            </w:r>
          </w:p>
        </w:tc>
        <w:tc>
          <w:tcPr>
            <w:tcW w:w="140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(2)</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w:t>
            </w:r>
          </w:p>
        </w:tc>
      </w:tr>
      <w:tr>
        <w:trPr>
          <w:trHeight w:val="20"/>
        </w:trPr>
        <w:tc>
          <w:tcPr>
            <w:tcW w:w="24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2420" w:type="dxa"/>
            <w:vAlign w:val="bottom"/>
          </w:tcPr>
          <w:p>
            <w:pPr>
              <w:spacing w:after="0"/>
              <w:rPr>
                <w:sz w:val="20"/>
                <w:szCs w:val="20"/>
                <w:color w:val="auto"/>
              </w:rPr>
            </w:pPr>
            <w:r>
              <w:rPr>
                <w:rFonts w:ascii="Times New Roman" w:cs="Times New Roman" w:eastAsia="Times New Roman" w:hAnsi="Times New Roman"/>
                <w:sz w:val="12"/>
                <w:szCs w:val="12"/>
                <w:color w:val="auto"/>
              </w:rPr>
              <w:t>End of period</w:t>
            </w:r>
          </w:p>
        </w:tc>
        <w:tc>
          <w:tcPr>
            <w:tcW w:w="7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307</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58</w:t>
            </w:r>
          </w:p>
        </w:tc>
        <w:tc>
          <w:tcPr>
            <w:tcW w:w="720" w:type="dxa"/>
            <w:vAlign w:val="bottom"/>
          </w:tcPr>
          <w:p>
            <w:pPr>
              <w:spacing w:after="0"/>
              <w:rPr>
                <w:sz w:val="13"/>
                <w:szCs w:val="13"/>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366</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292</w:t>
            </w:r>
          </w:p>
        </w:tc>
        <w:tc>
          <w:tcPr>
            <w:tcW w:w="14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57</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350</w:t>
            </w:r>
          </w:p>
        </w:tc>
      </w:tr>
      <w:tr>
        <w:trPr>
          <w:trHeight w:val="27"/>
        </w:trPr>
        <w:tc>
          <w:tcPr>
            <w:tcW w:w="2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33"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2"/>
          <w:szCs w:val="12"/>
          <w:color w:val="auto"/>
        </w:rPr>
        <w:t>During 2019, we will continue to make improvements to our aged store fleet by leveraging the Discovery format in conjunction with select natural lease events. As of May 4, 2019, 37% of our store base was in an updated Discovery design. We also expect to close certain stores in accordance with natural lease events as an ongoing part of our real estate management and day-to-day operational plans. Current plans include expansion into more non-traditional locations, made possible in part by concourse shops and expansion in other locations outside traditional malls.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923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431" w:right="1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i w:val="1"/>
          <w:iCs w:val="1"/>
          <w:color w:val="auto"/>
        </w:rPr>
        <w:t>International Franchise Revenue:</w:t>
      </w:r>
    </w:p>
    <w:p>
      <w:pPr>
        <w:spacing w:after="0" w:line="154" w:lineRule="exact"/>
        <w:rPr>
          <w:sz w:val="20"/>
          <w:szCs w:val="20"/>
          <w:color w:val="auto"/>
        </w:rPr>
      </w:pPr>
    </w:p>
    <w:p>
      <w:pPr>
        <w:ind w:right="100" w:firstLine="432"/>
        <w:spacing w:after="0" w:line="280" w:lineRule="auto"/>
        <w:rPr>
          <w:sz w:val="20"/>
          <w:szCs w:val="20"/>
          <w:color w:val="auto"/>
        </w:rPr>
      </w:pPr>
      <w:r>
        <w:rPr>
          <w:rFonts w:ascii="Times New Roman" w:cs="Times New Roman" w:eastAsia="Times New Roman" w:hAnsi="Times New Roman"/>
          <w:sz w:val="12"/>
          <w:szCs w:val="12"/>
          <w:color w:val="auto"/>
        </w:rPr>
        <w:t>Our first franchisee location was opened in November 2003. All franchised stores have similar signage, store layout, merchandise characteristics and guest experience as our corporately-managed stores. As of May 4, 2019, we had nine master franchise agreements, which typically grant franchise rights for a particular country or group of countries, covering an aggregate of 14 countries.</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number of franchised stores opened and closed for the periods presented below are summarized as follows:</w:t>
      </w:r>
    </w:p>
    <w:p>
      <w:pPr>
        <w:spacing w:after="0" w:line="14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2"/>
          <w:szCs w:val="12"/>
          <w:b w:val="1"/>
          <w:bCs w:val="1"/>
          <w:color w:val="auto"/>
        </w:rPr>
        <w:t>Thirteen weeks ended</w:t>
      </w:r>
    </w:p>
    <w:p>
      <w:pPr>
        <w:spacing w:after="0" w:line="21" w:lineRule="exact"/>
        <w:rPr>
          <w:sz w:val="20"/>
          <w:szCs w:val="20"/>
          <w:color w:val="auto"/>
        </w:rPr>
      </w:pPr>
    </w:p>
    <w:tbl>
      <w:tblPr>
        <w:tblLayout w:type="fixed"/>
        <w:tblInd w:w="1140" w:type="dxa"/>
        <w:tblCellMar>
          <w:top w:w="0" w:type="dxa"/>
          <w:left w:w="0" w:type="dxa"/>
          <w:bottom w:w="0" w:type="dxa"/>
          <w:right w:w="0" w:type="dxa"/>
        </w:tblCellMar>
      </w:tblPr>
      <w:tr>
        <w:trPr>
          <w:trHeight w:val="118"/>
        </w:trPr>
        <w:tc>
          <w:tcPr>
            <w:tcW w:w="5800" w:type="dxa"/>
            <w:vAlign w:val="bottom"/>
          </w:tcPr>
          <w:p>
            <w:pPr>
              <w:spacing w:after="0"/>
              <w:rPr>
                <w:sz w:val="10"/>
                <w:szCs w:val="10"/>
                <w:color w:val="auto"/>
              </w:rPr>
            </w:pPr>
          </w:p>
        </w:tc>
        <w:tc>
          <w:tcPr>
            <w:tcW w:w="1180" w:type="dxa"/>
            <w:vAlign w:val="bottom"/>
            <w:tcBorders>
              <w:top w:val="single" w:sz="8" w:color="auto"/>
            </w:tcBorders>
          </w:tcPr>
          <w:p>
            <w:pPr>
              <w:jc w:val="center"/>
              <w:ind w:left="320"/>
              <w:spacing w:after="0" w:line="118" w:lineRule="exact"/>
              <w:rPr>
                <w:sz w:val="20"/>
                <w:szCs w:val="20"/>
                <w:color w:val="auto"/>
              </w:rPr>
            </w:pPr>
            <w:r>
              <w:rPr>
                <w:rFonts w:ascii="Times New Roman" w:cs="Times New Roman" w:eastAsia="Times New Roman" w:hAnsi="Times New Roman"/>
                <w:sz w:val="12"/>
                <w:szCs w:val="12"/>
                <w:b w:val="1"/>
                <w:bCs w:val="1"/>
                <w:color w:val="auto"/>
              </w:rPr>
              <w:t>May 4,</w:t>
            </w:r>
          </w:p>
        </w:tc>
        <w:tc>
          <w:tcPr>
            <w:tcW w:w="3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jc w:val="right"/>
              <w:ind w:right="540"/>
              <w:spacing w:after="0" w:line="118" w:lineRule="exact"/>
              <w:rPr>
                <w:sz w:val="20"/>
                <w:szCs w:val="20"/>
                <w:color w:val="auto"/>
              </w:rPr>
            </w:pPr>
            <w:r>
              <w:rPr>
                <w:rFonts w:ascii="Times New Roman" w:cs="Times New Roman" w:eastAsia="Times New Roman" w:hAnsi="Times New Roman"/>
                <w:sz w:val="12"/>
                <w:szCs w:val="12"/>
                <w:b w:val="1"/>
                <w:bCs w:val="1"/>
                <w:color w:val="auto"/>
              </w:rPr>
              <w:t>May 5,</w:t>
            </w:r>
          </w:p>
        </w:tc>
        <w:tc>
          <w:tcPr>
            <w:tcW w:w="100" w:type="dxa"/>
            <w:vAlign w:val="bottom"/>
          </w:tcPr>
          <w:p>
            <w:pPr>
              <w:spacing w:after="0"/>
              <w:rPr>
                <w:sz w:val="10"/>
                <w:szCs w:val="10"/>
                <w:color w:val="auto"/>
              </w:rPr>
            </w:pPr>
          </w:p>
        </w:tc>
      </w:tr>
      <w:tr>
        <w:trPr>
          <w:trHeight w:val="159"/>
        </w:trPr>
        <w:tc>
          <w:tcPr>
            <w:tcW w:w="5800" w:type="dxa"/>
            <w:vAlign w:val="bottom"/>
          </w:tcPr>
          <w:p>
            <w:pPr>
              <w:spacing w:after="0"/>
              <w:rPr>
                <w:sz w:val="13"/>
                <w:szCs w:val="13"/>
                <w:color w:val="auto"/>
              </w:rPr>
            </w:pPr>
          </w:p>
        </w:tc>
        <w:tc>
          <w:tcPr>
            <w:tcW w:w="11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2019</w:t>
            </w: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Pr>
          <w:p>
            <w:pPr>
              <w:spacing w:after="0"/>
              <w:rPr>
                <w:sz w:val="13"/>
                <w:szCs w:val="13"/>
                <w:color w:val="auto"/>
              </w:rPr>
            </w:pPr>
          </w:p>
        </w:tc>
      </w:tr>
      <w:tr>
        <w:trPr>
          <w:trHeight w:val="133"/>
        </w:trPr>
        <w:tc>
          <w:tcPr>
            <w:tcW w:w="69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Beginning of period</w:t>
            </w: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97</w:t>
            </w:r>
          </w:p>
        </w:tc>
        <w:tc>
          <w:tcPr>
            <w:tcW w:w="180" w:type="dxa"/>
            <w:vAlign w:val="bottom"/>
            <w:shd w:val="clear" w:color="auto" w:fill="CCEEFF"/>
          </w:tcPr>
          <w:p>
            <w:pPr>
              <w:spacing w:after="0"/>
              <w:rPr>
                <w:sz w:val="11"/>
                <w:szCs w:val="11"/>
                <w:color w:val="auto"/>
              </w:rPr>
            </w:pPr>
          </w:p>
        </w:tc>
        <w:tc>
          <w:tcPr>
            <w:tcW w:w="1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100" w:type="dxa"/>
            <w:vAlign w:val="bottom"/>
            <w:shd w:val="clear" w:color="auto" w:fill="CCEEFF"/>
          </w:tcPr>
          <w:p>
            <w:pPr>
              <w:spacing w:after="0"/>
              <w:rPr>
                <w:sz w:val="11"/>
                <w:szCs w:val="11"/>
                <w:color w:val="auto"/>
              </w:rPr>
            </w:pPr>
          </w:p>
        </w:tc>
      </w:tr>
      <w:tr>
        <w:trPr>
          <w:trHeight w:val="144"/>
        </w:trPr>
        <w:tc>
          <w:tcPr>
            <w:tcW w:w="69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Opened</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2"/>
                <w:szCs w:val="12"/>
                <w:color w:val="auto"/>
              </w:rPr>
            </w:pPr>
          </w:p>
        </w:tc>
      </w:tr>
      <w:tr>
        <w:trPr>
          <w:trHeight w:val="144"/>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Closed</w:t>
            </w:r>
          </w:p>
        </w:tc>
        <w:tc>
          <w:tcPr>
            <w:tcW w:w="1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(14)</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w:t>
            </w:r>
          </w:p>
        </w:tc>
      </w:tr>
      <w:tr>
        <w:trPr>
          <w:trHeight w:val="140"/>
        </w:trPr>
        <w:tc>
          <w:tcPr>
            <w:tcW w:w="5800" w:type="dxa"/>
            <w:vAlign w:val="bottom"/>
            <w:tcBorders>
              <w:top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End of period</w:t>
            </w:r>
          </w:p>
        </w:tc>
        <w:tc>
          <w:tcPr>
            <w:tcW w:w="11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90</w:t>
            </w:r>
          </w:p>
        </w:tc>
        <w:tc>
          <w:tcPr>
            <w:tcW w:w="180" w:type="dxa"/>
            <w:vAlign w:val="bottom"/>
            <w:tcBorders>
              <w:top w:val="single" w:sz="8" w:color="CCEEFF"/>
            </w:tcBorders>
          </w:tcPr>
          <w:p>
            <w:pPr>
              <w:spacing w:after="0"/>
              <w:rPr>
                <w:sz w:val="12"/>
                <w:szCs w:val="12"/>
                <w:color w:val="auto"/>
              </w:rPr>
            </w:pPr>
          </w:p>
        </w:tc>
        <w:tc>
          <w:tcPr>
            <w:tcW w:w="1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96</w:t>
            </w:r>
          </w:p>
        </w:tc>
        <w:tc>
          <w:tcPr>
            <w:tcW w:w="100" w:type="dxa"/>
            <w:vAlign w:val="bottom"/>
            <w:tcBorders>
              <w:top w:val="single" w:sz="8" w:color="CCEEFF"/>
            </w:tcBorders>
          </w:tcPr>
          <w:p>
            <w:pPr>
              <w:spacing w:after="0"/>
              <w:rPr>
                <w:sz w:val="12"/>
                <w:szCs w:val="12"/>
                <w:color w:val="auto"/>
              </w:rPr>
            </w:pPr>
          </w:p>
        </w:tc>
      </w:tr>
    </w:tbl>
    <w:p>
      <w:pPr>
        <w:spacing w:after="0" w:line="133"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In the ordinary course of business, we anticipate signing additional master franchise agreements and terminating other such agreements. We believe there is a market potential for approximately 300 international stores outside of the United States, Canada, the U.K., Ireland and Denmark. We continue to expect franchisees to leverage the new formats that have been developed for our corporately-managed operations and sourcing changes that have significantly reduced the capital and expenses required to open stores. We expect to continue to develop market expansion through both new and existing franchisees in 2019 and beyond. For example, our new China franchise partner operates nine locations and plans to open up to 10 locations by the end of fiscal year 2019. In addition, we have made progress in opening six stores in India, and we expect to open stores in Chile.</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923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360"/>
          </w:cols>
          <w:pgMar w:left="220" w:top="431" w:right="319" w:bottom="1440" w:gutter="0" w:footer="0" w:header="0"/>
        </w:sectPr>
      </w:pPr>
    </w:p>
    <w:bookmarkStart w:id="21" w:name="page22"/>
    <w:bookmarkEnd w:id="21"/>
    <w:p>
      <w:pPr>
        <w:ind w:left="8"/>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4" w:lineRule="exact"/>
        <w:rPr>
          <w:sz w:val="20"/>
          <w:szCs w:val="20"/>
          <w:color w:val="auto"/>
        </w:rPr>
      </w:pPr>
    </w:p>
    <w:p>
      <w:pPr>
        <w:ind w:left="8" w:right="140" w:firstLine="432"/>
        <w:spacing w:after="0" w:line="280" w:lineRule="auto"/>
        <w:rPr>
          <w:sz w:val="20"/>
          <w:szCs w:val="20"/>
          <w:color w:val="auto"/>
        </w:rPr>
      </w:pPr>
      <w:r>
        <w:rPr>
          <w:rFonts w:ascii="Times New Roman" w:cs="Times New Roman" w:eastAsia="Times New Roman" w:hAnsi="Times New Roman"/>
          <w:sz w:val="12"/>
          <w:szCs w:val="12"/>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as well as immaterial rounding:</w:t>
      </w:r>
    </w:p>
    <w:p>
      <w:pPr>
        <w:spacing w:after="0" w:line="106" w:lineRule="exact"/>
        <w:rPr>
          <w:sz w:val="20"/>
          <w:szCs w:val="20"/>
          <w:color w:val="auto"/>
        </w:rPr>
      </w:pPr>
    </w:p>
    <w:p>
      <w:pPr>
        <w:jc w:val="center"/>
        <w:ind w:right="-127"/>
        <w:spacing w:after="0"/>
        <w:rPr>
          <w:sz w:val="20"/>
          <w:szCs w:val="20"/>
          <w:color w:val="auto"/>
        </w:rPr>
      </w:pPr>
      <w:r>
        <w:rPr>
          <w:rFonts w:ascii="Times New Roman" w:cs="Times New Roman" w:eastAsia="Times New Roman" w:hAnsi="Times New Roman"/>
          <w:sz w:val="12"/>
          <w:szCs w:val="12"/>
          <w:b w:val="1"/>
          <w:bCs w:val="1"/>
          <w:color w:val="auto"/>
        </w:rPr>
        <w:t>BUILD-A-BEAR WORKSHOP, INC. AND SUBSIDIARIES</w:t>
      </w:r>
    </w:p>
    <w:p>
      <w:pPr>
        <w:spacing w:after="0" w:line="21" w:lineRule="exact"/>
        <w:rPr>
          <w:sz w:val="20"/>
          <w:szCs w:val="20"/>
          <w:color w:val="auto"/>
        </w:rPr>
      </w:pPr>
    </w:p>
    <w:p>
      <w:pPr>
        <w:jc w:val="center"/>
        <w:ind w:right="-127"/>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INCOME</w:t>
      </w:r>
    </w:p>
    <w:p>
      <w:pPr>
        <w:spacing w:after="0" w:line="6" w:lineRule="exact"/>
        <w:rPr>
          <w:sz w:val="20"/>
          <w:szCs w:val="20"/>
          <w:color w:val="auto"/>
        </w:rPr>
      </w:pPr>
    </w:p>
    <w:p>
      <w:pPr>
        <w:jc w:val="center"/>
        <w:ind w:right="-12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35" w:lineRule="exact"/>
        <w:rPr>
          <w:sz w:val="20"/>
          <w:szCs w:val="20"/>
          <w:color w:val="auto"/>
        </w:rPr>
      </w:pPr>
    </w:p>
    <w:p>
      <w:pPr>
        <w:ind w:left="8308"/>
        <w:spacing w:after="0"/>
        <w:rPr>
          <w:sz w:val="20"/>
          <w:szCs w:val="20"/>
          <w:color w:val="auto"/>
        </w:rPr>
      </w:pPr>
      <w:r>
        <w:rPr>
          <w:rFonts w:ascii="Times New Roman" w:cs="Times New Roman" w:eastAsia="Times New Roman" w:hAnsi="Times New Roman"/>
          <w:sz w:val="12"/>
          <w:szCs w:val="12"/>
          <w:b w:val="1"/>
          <w:bCs w:val="1"/>
          <w:color w:val="auto"/>
        </w:rPr>
        <w:t>Thirteen weeks ended</w:t>
      </w:r>
    </w:p>
    <w:p>
      <w:pPr>
        <w:spacing w:after="0" w:line="21" w:lineRule="exact"/>
        <w:rPr>
          <w:sz w:val="20"/>
          <w:szCs w:val="20"/>
          <w:color w:val="auto"/>
        </w:rPr>
      </w:pPr>
    </w:p>
    <w:tbl>
      <w:tblPr>
        <w:tblLayout w:type="fixed"/>
        <w:tblInd w:w="868"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120" w:type="dxa"/>
            <w:vAlign w:val="bottom"/>
            <w:tcBorders>
              <w:top w:val="single" w:sz="8" w:color="auto"/>
            </w:tcBorders>
          </w:tcPr>
          <w:p>
            <w:pPr>
              <w:jc w:val="center"/>
              <w:ind w:left="380"/>
              <w:spacing w:after="0" w:line="118" w:lineRule="exact"/>
              <w:rPr>
                <w:sz w:val="20"/>
                <w:szCs w:val="20"/>
                <w:color w:val="auto"/>
              </w:rPr>
            </w:pPr>
            <w:r>
              <w:rPr>
                <w:rFonts w:ascii="Times New Roman" w:cs="Times New Roman" w:eastAsia="Times New Roman" w:hAnsi="Times New Roman"/>
                <w:sz w:val="12"/>
                <w:szCs w:val="12"/>
                <w:b w:val="1"/>
                <w:bCs w:val="1"/>
                <w:color w:val="auto"/>
              </w:rPr>
              <w:t>May 4,</w:t>
            </w: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right"/>
              <w:ind w:right="540"/>
              <w:spacing w:after="0" w:line="118" w:lineRule="exact"/>
              <w:rPr>
                <w:sz w:val="20"/>
                <w:szCs w:val="20"/>
                <w:color w:val="auto"/>
              </w:rPr>
            </w:pPr>
            <w:r>
              <w:rPr>
                <w:rFonts w:ascii="Times New Roman" w:cs="Times New Roman" w:eastAsia="Times New Roman" w:hAnsi="Times New Roman"/>
                <w:sz w:val="12"/>
                <w:szCs w:val="12"/>
                <w:b w:val="1"/>
                <w:bCs w:val="1"/>
                <w:color w:val="auto"/>
              </w:rPr>
              <w:t>May 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6340" w:type="dxa"/>
            <w:vAlign w:val="bottom"/>
            <w:gridSpan w:val="2"/>
          </w:tcPr>
          <w:p>
            <w:pPr>
              <w:spacing w:after="0"/>
              <w:rPr>
                <w:sz w:val="13"/>
                <w:szCs w:val="13"/>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2019</w:t>
            </w:r>
          </w:p>
        </w:tc>
        <w:tc>
          <w:tcPr>
            <w:tcW w:w="4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Revenues:</w:t>
            </w: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Net retail sales</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96.2%</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Commercial revenue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International franchising</w:t>
            </w: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200" w:type="dxa"/>
            <w:vAlign w:val="bottom"/>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40" w:type="dxa"/>
            <w:vAlign w:val="bottom"/>
            <w:gridSpan w:val="2"/>
            <w:shd w:val="clear" w:color="auto" w:fill="CCEEFF"/>
          </w:tcPr>
          <w:p>
            <w:pPr>
              <w:ind w:left="520"/>
              <w:spacing w:after="0" w:line="133" w:lineRule="exact"/>
              <w:rPr>
                <w:sz w:val="20"/>
                <w:szCs w:val="20"/>
                <w:color w:val="auto"/>
              </w:rPr>
            </w:pPr>
            <w:r>
              <w:rPr>
                <w:rFonts w:ascii="Times New Roman" w:cs="Times New Roman" w:eastAsia="Times New Roman" w:hAnsi="Times New Roman"/>
                <w:sz w:val="12"/>
                <w:szCs w:val="12"/>
                <w:color w:val="auto"/>
              </w:rPr>
              <w:t>Total revenues</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CEEFF"/>
          </w:tcPr>
          <w:p>
            <w:pPr>
              <w:spacing w:after="0"/>
              <w:rPr>
                <w:sz w:val="11"/>
                <w:szCs w:val="11"/>
                <w:color w:val="auto"/>
              </w:rPr>
            </w:pPr>
          </w:p>
        </w:tc>
        <w:tc>
          <w:tcPr>
            <w:tcW w:w="1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320" w:type="dxa"/>
            <w:vAlign w:val="bottom"/>
            <w:tcBorders>
              <w:top w:val="single" w:sz="8" w:color="CCEEFF"/>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Costs and expenses: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Cost of merchandise sold - retail (1)</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2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Cost of merchandise sold - commercial (1)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45.9</w:t>
            </w:r>
          </w:p>
        </w:tc>
        <w:tc>
          <w:tcPr>
            <w:tcW w:w="2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Cost of merchandise sold - international franchising (1)</w:t>
            </w: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78.6</w:t>
            </w:r>
          </w:p>
        </w:tc>
        <w:tc>
          <w:tcPr>
            <w:tcW w:w="200" w:type="dxa"/>
            <w:vAlign w:val="bottom"/>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320" w:type="dxa"/>
            <w:vAlign w:val="bottom"/>
            <w:tcBorders>
              <w:bottom w:val="single" w:sz="8" w:color="CCEEFF"/>
            </w:tcBorders>
            <w:shd w:val="clear" w:color="auto" w:fill="CCEEFF"/>
          </w:tcPr>
          <w:p>
            <w:pPr>
              <w:ind w:left="520"/>
              <w:spacing w:after="0" w:line="133" w:lineRule="exact"/>
              <w:rPr>
                <w:sz w:val="20"/>
                <w:szCs w:val="20"/>
                <w:color w:val="auto"/>
              </w:rPr>
            </w:pPr>
            <w:r>
              <w:rPr>
                <w:rFonts w:ascii="Times New Roman" w:cs="Times New Roman" w:eastAsia="Times New Roman" w:hAnsi="Times New Roman"/>
                <w:sz w:val="12"/>
                <w:szCs w:val="12"/>
                <w:color w:val="auto"/>
              </w:rPr>
              <w:t>Total cost of merchandise sold</w:t>
            </w:r>
          </w:p>
        </w:tc>
        <w:tc>
          <w:tcPr>
            <w:tcW w:w="11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54.7</w:t>
            </w:r>
          </w:p>
        </w:tc>
        <w:tc>
          <w:tcPr>
            <w:tcW w:w="2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55.5</w:t>
            </w: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Consolidated gross profit</w:t>
            </w: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45.3</w:t>
            </w:r>
          </w:p>
        </w:tc>
        <w:tc>
          <w:tcPr>
            <w:tcW w:w="200" w:type="dxa"/>
            <w:vAlign w:val="bottom"/>
          </w:tcPr>
          <w:p>
            <w:pPr>
              <w:spacing w:after="0"/>
              <w:rPr>
                <w:sz w:val="11"/>
                <w:szCs w:val="11"/>
                <w:color w:val="auto"/>
              </w:rPr>
            </w:pPr>
          </w:p>
        </w:tc>
        <w:tc>
          <w:tcPr>
            <w:tcW w:w="1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44.5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w:t>
            </w:r>
          </w:p>
        </w:tc>
        <w:tc>
          <w:tcPr>
            <w:tcW w:w="2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Interest expense (income), net</w:t>
            </w: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0" w:type="dxa"/>
            <w:vAlign w:val="bottom"/>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40" w:type="dxa"/>
            <w:vAlign w:val="bottom"/>
            <w:gridSpan w:val="2"/>
            <w:shd w:val="clear" w:color="auto" w:fill="CCEEFF"/>
          </w:tcPr>
          <w:p>
            <w:pPr>
              <w:ind w:left="520"/>
              <w:spacing w:after="0" w:line="133" w:lineRule="exact"/>
              <w:rPr>
                <w:sz w:val="20"/>
                <w:szCs w:val="20"/>
                <w:color w:val="auto"/>
              </w:rPr>
            </w:pPr>
            <w:r>
              <w:rPr>
                <w:rFonts w:ascii="Times New Roman" w:cs="Times New Roman" w:eastAsia="Times New Roman" w:hAnsi="Times New Roman"/>
                <w:sz w:val="12"/>
                <w:szCs w:val="12"/>
                <w:color w:val="auto"/>
              </w:rPr>
              <w:t>Income (loss) before income taxes</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w:t>
            </w:r>
          </w:p>
        </w:tc>
        <w:tc>
          <w:tcPr>
            <w:tcW w:w="200" w:type="dxa"/>
            <w:vAlign w:val="bottom"/>
            <w:shd w:val="clear" w:color="auto" w:fill="CCEEFF"/>
          </w:tcPr>
          <w:p>
            <w:pPr>
              <w:spacing w:after="0"/>
              <w:rPr>
                <w:sz w:val="11"/>
                <w:szCs w:val="11"/>
                <w:color w:val="auto"/>
              </w:rPr>
            </w:pPr>
          </w:p>
        </w:tc>
        <w:tc>
          <w:tcPr>
            <w:tcW w:w="1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00" w:type="dxa"/>
            <w:vAlign w:val="bottom"/>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40" w:type="dxa"/>
            <w:vAlign w:val="bottom"/>
            <w:gridSpan w:val="2"/>
            <w:shd w:val="clear" w:color="auto" w:fill="CCEEFF"/>
          </w:tcPr>
          <w:p>
            <w:pPr>
              <w:ind w:left="520"/>
              <w:spacing w:after="0" w:line="133" w:lineRule="exact"/>
              <w:rPr>
                <w:sz w:val="20"/>
                <w:szCs w:val="20"/>
                <w:color w:val="auto"/>
              </w:rPr>
            </w:pPr>
            <w:r>
              <w:rPr>
                <w:rFonts w:ascii="Times New Roman" w:cs="Times New Roman" w:eastAsia="Times New Roman" w:hAnsi="Times New Roman"/>
                <w:sz w:val="12"/>
                <w:szCs w:val="12"/>
                <w:color w:val="auto"/>
              </w:rPr>
              <w:t>Net income (loss)</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w:t>
            </w:r>
          </w:p>
        </w:tc>
        <w:tc>
          <w:tcPr>
            <w:tcW w:w="2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3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Retail Gross Margin (2)</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45.2%</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44.3%</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388" w:hanging="388"/>
        <w:spacing w:after="0" w:line="260" w:lineRule="auto"/>
        <w:tabs>
          <w:tab w:leader="none" w:pos="38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388" w:hanging="388"/>
        <w:spacing w:after="0"/>
        <w:tabs>
          <w:tab w:leader="none" w:pos="38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Retail gross margin represents net retail sales less cost of merchandise sold - retail; retail gross margin percentage represents retail gross margin divided by net retail sales.</w:t>
      </w:r>
    </w:p>
    <w:p>
      <w:pPr>
        <w:spacing w:after="0" w:line="139" w:lineRule="exact"/>
        <w:rPr>
          <w:sz w:val="20"/>
          <w:szCs w:val="20"/>
          <w:color w:val="auto"/>
        </w:rPr>
      </w:pPr>
    </w:p>
    <w:p>
      <w:pPr>
        <w:jc w:val="center"/>
        <w:ind w:right="-127"/>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2923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348"/>
          </w:cols>
          <w:pgMar w:left="212" w:top="431" w:right="339" w:bottom="1440" w:gutter="0" w:footer="0" w:header="0"/>
        </w:sectPr>
      </w:pPr>
    </w:p>
    <w:bookmarkStart w:id="22" w:name="page23"/>
    <w:bookmarkEnd w:id="22"/>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Thirteen weeks ended May 4, 2019 compared to thirteen weeks ended May 5, 2018</w:t>
      </w:r>
    </w:p>
    <w:p>
      <w:pPr>
        <w:spacing w:after="0" w:line="152" w:lineRule="exact"/>
        <w:rPr>
          <w:sz w:val="20"/>
          <w:szCs w:val="20"/>
          <w:color w:val="auto"/>
        </w:rPr>
      </w:pPr>
    </w:p>
    <w:p>
      <w:pPr>
        <w:ind w:left="8" w:right="220"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Total revenues. </w:t>
      </w:r>
      <w:r>
        <w:rPr>
          <w:rFonts w:ascii="Times New Roman" w:cs="Times New Roman" w:eastAsia="Times New Roman" w:hAnsi="Times New Roman"/>
          <w:sz w:val="12"/>
          <w:szCs w:val="12"/>
          <w:color w:val="auto"/>
        </w:rPr>
        <w:t>Consolidated revenues increased 1.4%, including a 4.5% increase in North America, a 14.8% decrease in Europe, and a double digit increase in consolidated e-commerce sales. We believe that European results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continue to reflect the impact of the ongoing uncertainty surrounding Brexit, as well as the May 2018 implementation of new privacy laws, which severely inhibited the Company’s ability to directly market to guests.</w:t>
      </w:r>
    </w:p>
    <w:p>
      <w:pPr>
        <w:spacing w:after="0" w:line="10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Net retail sales for the thirteen weeks ended May 4, 2019 were $81.0 million, compared to $81.4 million for the thirteen weeks ended May 5, 2018, a decrease of $0.4 million, or 0.5%. The components of this decrease are as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follows:</w:t>
      </w:r>
    </w:p>
    <w:p>
      <w:pPr>
        <w:spacing w:after="0" w:line="135" w:lineRule="exact"/>
        <w:rPr>
          <w:sz w:val="20"/>
          <w:szCs w:val="20"/>
          <w:color w:val="auto"/>
        </w:rPr>
      </w:pPr>
    </w:p>
    <w:tbl>
      <w:tblPr>
        <w:tblLayout w:type="fixed"/>
        <w:tblInd w:w="1148" w:type="dxa"/>
        <w:tblCellMar>
          <w:top w:w="0" w:type="dxa"/>
          <w:left w:w="0" w:type="dxa"/>
          <w:bottom w:w="0" w:type="dxa"/>
          <w:right w:w="0" w:type="dxa"/>
        </w:tblCellMar>
      </w:tblPr>
      <w:tr>
        <w:trPr>
          <w:trHeight w:val="144"/>
        </w:trPr>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Thirteen weeks ended</w:t>
            </w:r>
          </w:p>
        </w:tc>
      </w:tr>
      <w:tr>
        <w:trPr>
          <w:trHeight w:val="159"/>
        </w:trPr>
        <w:tc>
          <w:tcPr>
            <w:tcW w:w="7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May 4, 2019</w:t>
            </w:r>
          </w:p>
        </w:tc>
      </w:tr>
      <w:tr>
        <w:trPr>
          <w:trHeight w:val="133"/>
        </w:trPr>
        <w:tc>
          <w:tcPr>
            <w:tcW w:w="75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rPr>
              <w:t>(dollars in millions)</w:t>
            </w:r>
          </w:p>
        </w:tc>
        <w:tc>
          <w:tcPr>
            <w:tcW w:w="100" w:type="dxa"/>
            <w:vAlign w:val="bottom"/>
          </w:tcPr>
          <w:p>
            <w:pPr>
              <w:spacing w:after="0"/>
              <w:rPr>
                <w:sz w:val="11"/>
                <w:szCs w:val="11"/>
                <w:color w:val="auto"/>
              </w:rPr>
            </w:pPr>
          </w:p>
        </w:tc>
      </w:tr>
      <w:tr>
        <w:trPr>
          <w:trHeight w:val="144"/>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Decrease in existing store and ecommerce sales</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(1.8)</w:t>
            </w:r>
          </w:p>
        </w:tc>
      </w:tr>
      <w:tr>
        <w:trPr>
          <w:trHeight w:val="144"/>
        </w:trPr>
        <w:tc>
          <w:tcPr>
            <w:tcW w:w="7540" w:type="dxa"/>
            <w:vAlign w:val="bottom"/>
          </w:tcPr>
          <w:p>
            <w:pPr>
              <w:spacing w:after="0"/>
              <w:rPr>
                <w:sz w:val="20"/>
                <w:szCs w:val="20"/>
                <w:color w:val="auto"/>
              </w:rPr>
            </w:pPr>
            <w:r>
              <w:rPr>
                <w:rFonts w:ascii="Times New Roman" w:cs="Times New Roman" w:eastAsia="Times New Roman" w:hAnsi="Times New Roman"/>
                <w:sz w:val="12"/>
                <w:szCs w:val="12"/>
                <w:color w:val="auto"/>
              </w:rPr>
              <w:t>Increase from new stores</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tcPr>
          <w:p>
            <w:pPr>
              <w:spacing w:after="0"/>
              <w:rPr>
                <w:sz w:val="12"/>
                <w:szCs w:val="12"/>
                <w:color w:val="auto"/>
              </w:rPr>
            </w:pPr>
          </w:p>
        </w:tc>
      </w:tr>
      <w:tr>
        <w:trPr>
          <w:trHeight w:val="144"/>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Impact of store closures</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w:t>
            </w:r>
          </w:p>
        </w:tc>
      </w:tr>
      <w:tr>
        <w:trPr>
          <w:trHeight w:val="144"/>
        </w:trPr>
        <w:tc>
          <w:tcPr>
            <w:tcW w:w="7540" w:type="dxa"/>
            <w:vAlign w:val="bottom"/>
          </w:tcPr>
          <w:p>
            <w:pPr>
              <w:spacing w:after="0"/>
              <w:rPr>
                <w:sz w:val="20"/>
                <w:szCs w:val="20"/>
                <w:color w:val="auto"/>
              </w:rPr>
            </w:pPr>
            <w:r>
              <w:rPr>
                <w:rFonts w:ascii="Times New Roman" w:cs="Times New Roman" w:eastAsia="Times New Roman" w:hAnsi="Times New Roman"/>
                <w:sz w:val="12"/>
                <w:szCs w:val="12"/>
                <w:color w:val="auto"/>
              </w:rPr>
              <w:t>Impact of foreign currency translation</w:t>
            </w:r>
          </w:p>
        </w:tc>
        <w:tc>
          <w:tcPr>
            <w:tcW w:w="140" w:type="dxa"/>
            <w:vAlign w:val="bottom"/>
          </w:tcPr>
          <w:p>
            <w:pPr>
              <w:spacing w:after="0"/>
              <w:rPr>
                <w:sz w:val="12"/>
                <w:szCs w:val="12"/>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(0.9)</w:t>
            </w:r>
          </w:p>
        </w:tc>
      </w:tr>
      <w:tr>
        <w:trPr>
          <w:trHeight w:val="144"/>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deferred revenue estimates, including breakage</w:t>
            </w:r>
          </w:p>
        </w:tc>
        <w:tc>
          <w:tcPr>
            <w:tcW w:w="1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00" w:type="dxa"/>
            <w:vAlign w:val="bottom"/>
            <w:tcBorders>
              <w:bottom w:val="single" w:sz="8" w:color="CCEEFF"/>
            </w:tcBorders>
            <w:shd w:val="clear" w:color="auto" w:fill="CCEEFF"/>
          </w:tcPr>
          <w:p>
            <w:pPr>
              <w:spacing w:after="0"/>
              <w:rPr>
                <w:sz w:val="12"/>
                <w:szCs w:val="12"/>
                <w:color w:val="auto"/>
              </w:rPr>
            </w:pPr>
          </w:p>
        </w:tc>
      </w:tr>
      <w:tr>
        <w:trPr>
          <w:trHeight w:val="133"/>
        </w:trPr>
        <w:tc>
          <w:tcPr>
            <w:tcW w:w="7540" w:type="dxa"/>
            <w:vAlign w:val="bottom"/>
          </w:tcPr>
          <w:p>
            <w:pPr>
              <w:spacing w:after="0"/>
              <w:rPr>
                <w:sz w:val="11"/>
                <w:szCs w:val="11"/>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(0.4)</w:t>
            </w:r>
          </w:p>
        </w:tc>
      </w:tr>
      <w:tr>
        <w:trPr>
          <w:trHeight w:val="27"/>
        </w:trPr>
        <w:tc>
          <w:tcPr>
            <w:tcW w:w="7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33" w:lineRule="exact"/>
        <w:rPr>
          <w:sz w:val="20"/>
          <w:szCs w:val="20"/>
          <w:color w:val="auto"/>
        </w:rPr>
      </w:pPr>
    </w:p>
    <w:p>
      <w:pPr>
        <w:ind w:left="8" w:right="80" w:firstLine="432"/>
        <w:spacing w:after="0" w:line="265" w:lineRule="auto"/>
        <w:rPr>
          <w:sz w:val="20"/>
          <w:szCs w:val="20"/>
          <w:color w:val="auto"/>
        </w:rPr>
      </w:pPr>
      <w:r>
        <w:rPr>
          <w:rFonts w:ascii="Times New Roman" w:cs="Times New Roman" w:eastAsia="Times New Roman" w:hAnsi="Times New Roman"/>
          <w:sz w:val="12"/>
          <w:szCs w:val="12"/>
          <w:color w:val="auto"/>
        </w:rPr>
        <w:t>The revenue decrease was driven primarily by the U.K. as business continued to decline due to a challenging retail environment brought on by Brexit and the May 2018 implementation of new privacy laws that have significantly inhibited our ability to build our contact database and market directly to our guests. As a part of our focused effort to mitigate some of the issues in the market, we recently implemented a new technology-based Bonus Club enrollment process that is compliant with the new European privacy regulations. Since then, we have seen significant growth in the opt-in rates of Bonus Club members which we believe will benefit the business on a go-forward basis.</w:t>
      </w:r>
    </w:p>
    <w:p>
      <w:pPr>
        <w:spacing w:after="0" w:line="119" w:lineRule="exact"/>
        <w:rPr>
          <w:sz w:val="20"/>
          <w:szCs w:val="20"/>
          <w:color w:val="auto"/>
        </w:rPr>
      </w:pPr>
    </w:p>
    <w:p>
      <w:pPr>
        <w:ind w:left="8" w:right="20" w:firstLine="432"/>
        <w:spacing w:after="0" w:line="280" w:lineRule="auto"/>
        <w:rPr>
          <w:sz w:val="20"/>
          <w:szCs w:val="20"/>
          <w:color w:val="auto"/>
        </w:rPr>
      </w:pPr>
      <w:r>
        <w:rPr>
          <w:rFonts w:ascii="Times New Roman" w:cs="Times New Roman" w:eastAsia="Times New Roman" w:hAnsi="Times New Roman"/>
          <w:sz w:val="12"/>
          <w:szCs w:val="12"/>
          <w:color w:val="auto"/>
        </w:rPr>
        <w:t>Commercial revenue was $2.8 million for the thirteen weeks ended May 4, 2019 compared to $1.0 million for the thirteen weeks ended May 5, 2018. The $1.8 million increase includes wholesale merchandise and furniture/fixture sales and outbound licensing fees, reflecting some of the work that has been done to evolve the business model beyond traditional retail.</w:t>
      </w:r>
    </w:p>
    <w:p>
      <w:pPr>
        <w:spacing w:after="0" w:line="108" w:lineRule="exact"/>
        <w:rPr>
          <w:sz w:val="20"/>
          <w:szCs w:val="20"/>
          <w:color w:val="auto"/>
        </w:rPr>
      </w:pPr>
    </w:p>
    <w:p>
      <w:pPr>
        <w:ind w:left="8" w:right="420"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Retail gross margin. </w:t>
      </w:r>
      <w:r>
        <w:rPr>
          <w:rFonts w:ascii="Times New Roman" w:cs="Times New Roman" w:eastAsia="Times New Roman" w:hAnsi="Times New Roman"/>
          <w:sz w:val="12"/>
          <w:szCs w:val="12"/>
          <w:color w:val="auto"/>
        </w:rPr>
        <w:t>Retail gross margin dollars increased $0.6 million to $36.6 million compared to the thirteen weeks ended May 5, 2018. The retail gross margin rate increased 90 basis points to 45.2% mainly driven by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merchandise margin expansion and lower occupancy costs.</w:t>
      </w:r>
    </w:p>
    <w:p>
      <w:pPr>
        <w:spacing w:after="0" w:line="107" w:lineRule="exact"/>
        <w:rPr>
          <w:sz w:val="20"/>
          <w:szCs w:val="20"/>
          <w:color w:val="auto"/>
        </w:rPr>
      </w:pPr>
    </w:p>
    <w:p>
      <w:pPr>
        <w:ind w:left="8" w:right="200"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Selling, general and administrative. </w:t>
      </w:r>
      <w:r>
        <w:rPr>
          <w:rFonts w:ascii="Times New Roman" w:cs="Times New Roman" w:eastAsia="Times New Roman" w:hAnsi="Times New Roman"/>
          <w:sz w:val="12"/>
          <w:szCs w:val="12"/>
          <w:color w:val="auto"/>
        </w:rPr>
        <w:t>Selling, general and administrative expenses were $35.8 million for the thirteen weeks ended May 4, 2019, a decline of $0.5 million compared to the thirteen weeks ended May 5, 2018.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decrease was driven by continued disciplined expense management and focus on controllable spend.</w:t>
      </w:r>
    </w:p>
    <w:p>
      <w:pPr>
        <w:spacing w:after="0" w:line="10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i w:val="1"/>
          <w:iCs w:val="1"/>
          <w:color w:val="auto"/>
        </w:rPr>
        <w:t xml:space="preserve">Interest expense (income), net. </w:t>
      </w:r>
      <w:r>
        <w:rPr>
          <w:rFonts w:ascii="Times New Roman" w:cs="Times New Roman" w:eastAsia="Times New Roman" w:hAnsi="Times New Roman"/>
          <w:sz w:val="12"/>
          <w:szCs w:val="12"/>
          <w:color w:val="auto"/>
        </w:rPr>
        <w:t>Interest expense (income) was $20,000 for the thirteen weeks ended May 4, 2019 compared to $5,000 for the thirteen weeks ended May 5, 2018.</w:t>
      </w:r>
    </w:p>
    <w:p>
      <w:pPr>
        <w:spacing w:after="0" w:line="150" w:lineRule="exact"/>
        <w:rPr>
          <w:sz w:val="20"/>
          <w:szCs w:val="20"/>
          <w:color w:val="auto"/>
        </w:rPr>
      </w:pPr>
    </w:p>
    <w:p>
      <w:pPr>
        <w:ind w:left="8"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Provision for income taxes. </w:t>
      </w:r>
      <w:r>
        <w:rPr>
          <w:rFonts w:ascii="Times New Roman" w:cs="Times New Roman" w:eastAsia="Times New Roman" w:hAnsi="Times New Roman"/>
          <w:sz w:val="12"/>
          <w:szCs w:val="12"/>
          <w:color w:val="auto"/>
        </w:rPr>
        <w:t>Income tax expense was $1.2 million with a tax rate of 50.3% for the thirteen weeks ended May 4, 2019 as compared to income tax expense of $0.3 million with a tax rate of 45.2% for the thirteen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weeks ended May 5, 2018. In the first quarter of fiscal 2019, the effective tax rate differed from the statutory rate of 21% primarily due to the valuation allowance being recorded in certain foreign jurisdictions and the $0.2 million negative tax impact of equity awards vesting. In the first quarter of fiscal 2018, the effective tax rate differed from the statutory rate of 21% primarily due the $0.1 million tax impact of equity awards vesting.</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Seasonality and Quarterly Results</w:t>
      </w:r>
    </w:p>
    <w:p>
      <w:pPr>
        <w:spacing w:after="0" w:line="154" w:lineRule="exact"/>
        <w:rPr>
          <w:sz w:val="20"/>
          <w:szCs w:val="20"/>
          <w:color w:val="auto"/>
        </w:rPr>
      </w:pPr>
    </w:p>
    <w:p>
      <w:pPr>
        <w:ind w:left="8" w:firstLine="432"/>
        <w:spacing w:after="0" w:line="256" w:lineRule="auto"/>
        <w:rPr>
          <w:sz w:val="20"/>
          <w:szCs w:val="20"/>
          <w:color w:val="auto"/>
        </w:rPr>
      </w:pPr>
      <w:r>
        <w:rPr>
          <w:rFonts w:ascii="Times New Roman" w:cs="Times New Roman" w:eastAsia="Times New Roman" w:hAnsi="Times New Roman"/>
          <w:sz w:val="12"/>
          <w:szCs w:val="12"/>
          <w:color w:val="auto"/>
        </w:rPr>
        <w:t>Our operating results for one period may not be indicative of results for other periods, and may fluctuate significantly because of a variety of factors, including, but not limited to: (1) changes in general economic conditions (including tariffs) and consumer spending patterns; (2) increases or decreases in our existing store and e-commerce sales; (3) fluctuations in the profitability of our stores; (4) the timing and frequency of the sales of licensed products tied to major theatrical releases, our marketing initiatives, including national media and other public relations events; (5) changes in foreign currency exchange rates; (6) the timing of our store openings and closings and related expenses;</w:t>
      </w:r>
    </w:p>
    <w:p>
      <w:pPr>
        <w:spacing w:after="0" w:line="2" w:lineRule="exact"/>
        <w:rPr>
          <w:sz w:val="20"/>
          <w:szCs w:val="20"/>
          <w:color w:val="auto"/>
        </w:rPr>
      </w:pPr>
    </w:p>
    <w:p>
      <w:pPr>
        <w:ind w:left="168" w:hanging="168"/>
        <w:spacing w:after="0"/>
        <w:tabs>
          <w:tab w:leader="none" w:pos="16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consumer preferences; (8) the effectiveness of our inventory management; (9) the actions of our competitors or mall anchors and co-tenants; (10) seasonal shopping patterns and holiday and vacation schedules; and</w:t>
      </w:r>
    </w:p>
    <w:p>
      <w:pPr>
        <w:spacing w:after="0" w:line="6" w:lineRule="exact"/>
        <w:rPr>
          <w:rFonts w:ascii="Times New Roman" w:cs="Times New Roman" w:eastAsia="Times New Roman" w:hAnsi="Times New Roman"/>
          <w:sz w:val="12"/>
          <w:szCs w:val="12"/>
          <w:color w:val="auto"/>
        </w:rPr>
      </w:pPr>
    </w:p>
    <w:p>
      <w:pPr>
        <w:ind w:left="228" w:hanging="228"/>
        <w:spacing w:after="0"/>
        <w:tabs>
          <w:tab w:leader="none" w:pos="22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 conditions.</w:t>
      </w:r>
    </w:p>
    <w:p>
      <w:pPr>
        <w:spacing w:after="0" w:line="1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timing of store closures, remodels and openings may result in fluctuations in quarterly results based on the revenues and expenses associated with each store location. Expenses related to store closings are typically incurred in</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stages: when the decision is made to close the store typically associated with a lease event such as an expiration or lease triggered clause; when the closure is communicated to store associates; and at the time of closure. We typically incur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most preopening costs for a new store in the three months immediately preceding the store’s opening.</w:t>
      </w:r>
    </w:p>
    <w:p>
      <w:pPr>
        <w:spacing w:after="0" w:line="139" w:lineRule="exact"/>
        <w:rPr>
          <w:sz w:val="20"/>
          <w:szCs w:val="20"/>
          <w:color w:val="auto"/>
        </w:rPr>
      </w:pPr>
    </w:p>
    <w:p>
      <w:pPr>
        <w:ind w:left="8" w:firstLine="432"/>
        <w:spacing w:after="0" w:line="265" w:lineRule="auto"/>
        <w:rPr>
          <w:sz w:val="20"/>
          <w:szCs w:val="20"/>
          <w:color w:val="auto"/>
        </w:rPr>
      </w:pPr>
      <w:r>
        <w:rPr>
          <w:rFonts w:ascii="Times New Roman" w:cs="Times New Roman" w:eastAsia="Times New Roman" w:hAnsi="Times New Roman"/>
          <w:sz w:val="12"/>
          <w:szCs w:val="12"/>
          <w:color w:val="auto"/>
        </w:rPr>
        <w:t>As a retailer that has toy products as part of our revenue model, our sales are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For example, the 2014 fiscal fourth quarter had 14 weeks and the fiscal year transition period ended February 3, 2018 had five weeks.</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2923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68"/>
          </w:cols>
          <w:pgMar w:left="212" w:top="431" w:right="2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4" w:lineRule="exact"/>
        <w:rPr>
          <w:sz w:val="20"/>
          <w:szCs w:val="20"/>
          <w:color w:val="auto"/>
        </w:rPr>
      </w:pPr>
    </w:p>
    <w:p>
      <w:pPr>
        <w:ind w:right="160" w:firstLine="432"/>
        <w:spacing w:after="0" w:line="280" w:lineRule="auto"/>
        <w:rPr>
          <w:sz w:val="20"/>
          <w:szCs w:val="20"/>
          <w:color w:val="auto"/>
        </w:rPr>
      </w:pPr>
      <w:r>
        <w:rPr>
          <w:rFonts w:ascii="Times New Roman" w:cs="Times New Roman" w:eastAsia="Times New Roman" w:hAnsi="Times New Roman"/>
          <w:sz w:val="12"/>
          <w:szCs w:val="12"/>
          <w:color w:val="auto"/>
        </w:rPr>
        <w:t>Our cash requirements are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110" w:lineRule="exact"/>
        <w:rPr>
          <w:sz w:val="20"/>
          <w:szCs w:val="20"/>
          <w:color w:val="auto"/>
        </w:rPr>
      </w:pPr>
    </w:p>
    <w:tbl>
      <w:tblPr>
        <w:tblLayout w:type="fixed"/>
        <w:tblInd w:w="420" w:type="dxa"/>
        <w:tblCellMar>
          <w:top w:w="0" w:type="dxa"/>
          <w:left w:w="0" w:type="dxa"/>
          <w:bottom w:w="0" w:type="dxa"/>
          <w:right w:w="0" w:type="dxa"/>
        </w:tblCellMar>
      </w:tblPr>
      <w:tr>
        <w:trPr>
          <w:trHeight w:val="155"/>
        </w:trPr>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A summary of our operating, investing and financing activities are shown in the following table (dollars in thousands):</w:t>
            </w: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63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Thirteen weeks ended</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6360" w:type="dxa"/>
            <w:vAlign w:val="bottom"/>
          </w:tcPr>
          <w:p>
            <w:pPr>
              <w:spacing w:after="0"/>
              <w:rPr>
                <w:sz w:val="10"/>
                <w:szCs w:val="10"/>
                <w:color w:val="auto"/>
              </w:rPr>
            </w:pPr>
          </w:p>
        </w:tc>
        <w:tc>
          <w:tcPr>
            <w:tcW w:w="1020" w:type="dxa"/>
            <w:vAlign w:val="bottom"/>
          </w:tcPr>
          <w:p>
            <w:pPr>
              <w:jc w:val="right"/>
              <w:ind w:right="2"/>
              <w:spacing w:after="0" w:line="118" w:lineRule="exact"/>
              <w:rPr>
                <w:sz w:val="20"/>
                <w:szCs w:val="20"/>
                <w:color w:val="auto"/>
              </w:rPr>
            </w:pPr>
            <w:r>
              <w:rPr>
                <w:rFonts w:ascii="Times New Roman" w:cs="Times New Roman" w:eastAsia="Times New Roman" w:hAnsi="Times New Roman"/>
                <w:sz w:val="12"/>
                <w:szCs w:val="12"/>
                <w:b w:val="1"/>
                <w:bCs w:val="1"/>
                <w:color w:val="auto"/>
              </w:rPr>
              <w:t>May 4,</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tcPr>
          <w:p>
            <w:pPr>
              <w:jc w:val="center"/>
              <w:ind w:right="440"/>
              <w:spacing w:after="0" w:line="118" w:lineRule="exact"/>
              <w:rPr>
                <w:sz w:val="20"/>
                <w:szCs w:val="20"/>
                <w:color w:val="auto"/>
              </w:rPr>
            </w:pPr>
            <w:r>
              <w:rPr>
                <w:rFonts w:ascii="Times New Roman" w:cs="Times New Roman" w:eastAsia="Times New Roman" w:hAnsi="Times New Roman"/>
                <w:sz w:val="12"/>
                <w:szCs w:val="12"/>
                <w:b w:val="1"/>
                <w:bCs w:val="1"/>
                <w:color w:val="auto"/>
              </w:rPr>
              <w:t>May 5,</w:t>
            </w:r>
          </w:p>
        </w:tc>
        <w:tc>
          <w:tcPr>
            <w:tcW w:w="100" w:type="dxa"/>
            <w:vAlign w:val="bottom"/>
          </w:tcPr>
          <w:p>
            <w:pPr>
              <w:spacing w:after="0"/>
              <w:rPr>
                <w:sz w:val="10"/>
                <w:szCs w:val="10"/>
                <w:color w:val="auto"/>
              </w:rPr>
            </w:pPr>
          </w:p>
        </w:tc>
      </w:tr>
      <w:tr>
        <w:trPr>
          <w:trHeight w:val="159"/>
        </w:trPr>
        <w:tc>
          <w:tcPr>
            <w:tcW w:w="6360" w:type="dxa"/>
            <w:vAlign w:val="bottom"/>
          </w:tcPr>
          <w:p>
            <w:pPr>
              <w:spacing w:after="0"/>
              <w:rPr>
                <w:sz w:val="13"/>
                <w:szCs w:val="13"/>
                <w:color w:val="auto"/>
              </w:rPr>
            </w:pPr>
          </w:p>
        </w:tc>
        <w:tc>
          <w:tcPr>
            <w:tcW w:w="10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2019</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Pr>
          <w:p>
            <w:pPr>
              <w:spacing w:after="0"/>
              <w:rPr>
                <w:sz w:val="13"/>
                <w:szCs w:val="13"/>
                <w:color w:val="auto"/>
              </w:rPr>
            </w:pPr>
          </w:p>
        </w:tc>
      </w:tr>
      <w:tr>
        <w:trPr>
          <w:trHeight w:val="133"/>
        </w:trPr>
        <w:tc>
          <w:tcPr>
            <w:tcW w:w="63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102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5,141</w:t>
            </w:r>
          </w:p>
        </w:tc>
        <w:tc>
          <w:tcPr>
            <w:tcW w:w="600" w:type="dxa"/>
            <w:vAlign w:val="bottom"/>
            <w:gridSpan w:val="2"/>
            <w:shd w:val="clear" w:color="auto" w:fill="CCEEFF"/>
          </w:tcPr>
          <w:p>
            <w:pPr>
              <w:jc w:val="right"/>
              <w:ind w:right="4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1,383</w:t>
            </w:r>
          </w:p>
        </w:tc>
      </w:tr>
      <w:tr>
        <w:trPr>
          <w:trHeight w:val="144"/>
        </w:trPr>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10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(2,440)</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(2,945)</w:t>
            </w:r>
          </w:p>
        </w:tc>
      </w:tr>
      <w:tr>
        <w:trPr>
          <w:trHeight w:val="14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10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(258)</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(1,157)</w:t>
            </w:r>
          </w:p>
        </w:tc>
      </w:tr>
      <w:tr>
        <w:trPr>
          <w:trHeight w:val="144"/>
        </w:trPr>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Effect of exchange rates on cash</w:t>
            </w:r>
          </w:p>
        </w:tc>
        <w:tc>
          <w:tcPr>
            <w:tcW w:w="10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(99)</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101</w:t>
            </w:r>
          </w:p>
        </w:tc>
      </w:tr>
      <w:tr>
        <w:trPr>
          <w:trHeight w:val="20"/>
        </w:trPr>
        <w:tc>
          <w:tcPr>
            <w:tcW w:w="6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63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increase (decrease) in cash and cash equivalents</w:t>
            </w:r>
          </w:p>
        </w:tc>
        <w:tc>
          <w:tcPr>
            <w:tcW w:w="102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2,344</w:t>
            </w:r>
          </w:p>
        </w:tc>
        <w:tc>
          <w:tcPr>
            <w:tcW w:w="600" w:type="dxa"/>
            <w:vAlign w:val="bottom"/>
            <w:gridSpan w:val="2"/>
            <w:shd w:val="clear" w:color="auto" w:fill="CCEEFF"/>
          </w:tcPr>
          <w:p>
            <w:pPr>
              <w:jc w:val="right"/>
              <w:ind w:right="4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(2,618)</w:t>
            </w:r>
          </w:p>
        </w:tc>
      </w:tr>
      <w:tr>
        <w:trPr>
          <w:trHeight w:val="27"/>
        </w:trPr>
        <w:tc>
          <w:tcPr>
            <w:tcW w:w="636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31" w:lineRule="exact"/>
        <w:rPr>
          <w:sz w:val="20"/>
          <w:szCs w:val="20"/>
          <w:color w:val="auto"/>
        </w:rPr>
      </w:pPr>
    </w:p>
    <w:p>
      <w:pPr>
        <w:ind w:right="60"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Operating Activities. </w:t>
      </w:r>
      <w:r>
        <w:rPr>
          <w:rFonts w:ascii="Times New Roman" w:cs="Times New Roman" w:eastAsia="Times New Roman" w:hAnsi="Times New Roman"/>
          <w:sz w:val="12"/>
          <w:szCs w:val="12"/>
          <w:color w:val="auto"/>
        </w:rPr>
        <w:t>Cash provided from operating activities increased $3.8 million for the thirteen weeks ended May 4, 2019, as compared to the thirteen weeks ended May 5, 2018. This increase in cash from operating activities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was primarily driven by higher net income and receivable collections for the thirteen weeks ended May 4, 2019 as compared to the thirteen weeks ended May 5, 2018.</w:t>
      </w:r>
    </w:p>
    <w:p>
      <w:pPr>
        <w:spacing w:after="0" w:line="107" w:lineRule="exact"/>
        <w:rPr>
          <w:sz w:val="20"/>
          <w:szCs w:val="20"/>
          <w:color w:val="auto"/>
        </w:rPr>
      </w:pPr>
    </w:p>
    <w:p>
      <w:pPr>
        <w:jc w:val="both"/>
        <w:ind w:right="220"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Investing Activities. </w:t>
      </w:r>
      <w:r>
        <w:rPr>
          <w:rFonts w:ascii="Times New Roman" w:cs="Times New Roman" w:eastAsia="Times New Roman" w:hAnsi="Times New Roman"/>
          <w:sz w:val="12"/>
          <w:szCs w:val="12"/>
          <w:color w:val="auto"/>
        </w:rPr>
        <w:t>Cash used in investing activities decreased $0.5 million for the thirteen weeks ended May 4, 2019, as compared to the thirteen weeks ended May 5, 2018. This decrease in cash from investing activities was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primarily driven by the timing of cash used related to store construction and upgrades, and purchases of information technology infrastructure for the thirteen weeks ended May 4, 2019 as compared to the thirteen weeks ended May 5, 2018.</w:t>
      </w:r>
    </w:p>
    <w:p>
      <w:pPr>
        <w:spacing w:after="0" w:line="116" w:lineRule="exact"/>
        <w:rPr>
          <w:sz w:val="20"/>
          <w:szCs w:val="20"/>
          <w:color w:val="auto"/>
        </w:rPr>
      </w:pPr>
    </w:p>
    <w:p>
      <w:pPr>
        <w:ind w:right="140"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Financing Activities. </w:t>
      </w:r>
      <w:r>
        <w:rPr>
          <w:rFonts w:ascii="Times New Roman" w:cs="Times New Roman" w:eastAsia="Times New Roman" w:hAnsi="Times New Roman"/>
          <w:sz w:val="12"/>
          <w:szCs w:val="12"/>
          <w:color w:val="auto"/>
        </w:rPr>
        <w:t>Cash used in financing activities decreased $0.9 million for the thirteen weeks ended May 4, 2019, as compared to the thirteen weeks ended May 5, 2018. This decrease in cash from financing activities was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primarily driven by the purchases of our common stock in the thirteen weeks ended May 5, 2018.</w:t>
      </w:r>
    </w:p>
    <w:p>
      <w:pPr>
        <w:spacing w:after="0" w:line="10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Capital Resources. </w:t>
      </w:r>
      <w:r>
        <w:rPr>
          <w:rFonts w:ascii="Times New Roman" w:cs="Times New Roman" w:eastAsia="Times New Roman" w:hAnsi="Times New Roman"/>
          <w:sz w:val="12"/>
          <w:szCs w:val="12"/>
          <w:color w:val="auto"/>
        </w:rPr>
        <w:t>As of May 4, 2019, we had a consolidated cash balance of $20.2 million and approximately 65% of this balance was domiciled within the United States. We also have a line of credit which we can use to finance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capital expenditures and working capital needs throughout the year. On April 16, 2019, we entered into the nineteenth amendment to this credit agreement with our lender. Under this agreement, the bank line provides availability of up to $35 million. Borrowings under the credit agreement are secured by our assets and a pledge of 66% of our ownership interest in certain of our foreign subsidiaries. The credit agreement expires on December 31, 2020 and contains various restrictions on indebtedness, liens, guarantees, redemptions, mergers, acquisitions or sale of assets, loans, transactions with affiliates and investments. The agreement limits the amount of, and the conditions under which, the Company may declare dividends and repurchase shares as set forth in the agreement. Borrowings bear interest at LIBOR plus 1.25%. Financial covenants include maintaining minimum thresholds for cumulative earnings before interest, taxes, depreciation and amortizations (“EBITDA”) and liquidity for the first three quarters of fiscal 2019 (as defined by the credit agreement), maintaining a minimum fixed charge coverage ratio effective in the fourth quarter of fiscal 2019 (as defined in the credit agreement) and not exceeding a maximum funded debt to EBITDA ratio. As of May 4, 2019: (i) we were in compliance with all covenants; (ii) there were no borrowings under the line of credit; and (iii) there was $35.0 million available for borrowing under the line of credit.</w:t>
      </w:r>
    </w:p>
    <w:p>
      <w:pPr>
        <w:spacing w:after="0" w:line="126" w:lineRule="exact"/>
        <w:rPr>
          <w:sz w:val="20"/>
          <w:szCs w:val="20"/>
          <w:color w:val="auto"/>
        </w:rPr>
      </w:pPr>
    </w:p>
    <w:p>
      <w:pPr>
        <w:ind w:right="180" w:firstLine="432"/>
        <w:spacing w:after="0" w:line="280" w:lineRule="auto"/>
        <w:rPr>
          <w:sz w:val="20"/>
          <w:szCs w:val="20"/>
          <w:color w:val="auto"/>
        </w:rPr>
      </w:pPr>
      <w:r>
        <w:rPr>
          <w:rFonts w:ascii="Times New Roman" w:cs="Times New Roman" w:eastAsia="Times New Roman" w:hAnsi="Times New Roman"/>
          <w:sz w:val="12"/>
          <w:szCs w:val="12"/>
          <w:color w:val="auto"/>
        </w:rPr>
        <w:t>In fiscal 2019, we expect to spend a total of $13 to $15 million on capital expenditures. Capital spending through the thirteen weeks ended May 4, 2019 totaled $2.7 million, on track with our full year plans. Capital spending in fiscal 2019 is expected to primarily support our store activity, including both remodels and new stores, and investments in information technology infrastructure.</w:t>
      </w:r>
    </w:p>
    <w:p>
      <w:pPr>
        <w:spacing w:after="0" w:line="110" w:lineRule="exact"/>
        <w:rPr>
          <w:sz w:val="20"/>
          <w:szCs w:val="20"/>
          <w:color w:val="auto"/>
        </w:rPr>
      </w:pPr>
    </w:p>
    <w:p>
      <w:pPr>
        <w:ind w:right="340" w:firstLine="432"/>
        <w:spacing w:after="0" w:line="280" w:lineRule="auto"/>
        <w:rPr>
          <w:sz w:val="20"/>
          <w:szCs w:val="20"/>
          <w:color w:val="auto"/>
        </w:rPr>
      </w:pPr>
      <w:r>
        <w:rPr>
          <w:rFonts w:ascii="Times New Roman" w:cs="Times New Roman" w:eastAsia="Times New Roman" w:hAnsi="Times New Roman"/>
          <w:sz w:val="12"/>
          <w:szCs w:val="12"/>
          <w:color w:val="auto"/>
        </w:rPr>
        <w:t>We believe that cash generated from operations and borrowings under our credit agreement will be sufficient to fund our working capital and other cash flow requirements for the near future. Our credit agreement expires on December 31, 2020.</w:t>
      </w:r>
    </w:p>
    <w:p>
      <w:pPr>
        <w:spacing w:after="0" w:line="110" w:lineRule="exact"/>
        <w:rPr>
          <w:sz w:val="20"/>
          <w:szCs w:val="20"/>
          <w:color w:val="auto"/>
        </w:rPr>
      </w:pPr>
    </w:p>
    <w:p>
      <w:pPr>
        <w:ind w:right="180" w:firstLine="432"/>
        <w:spacing w:after="0" w:line="280" w:lineRule="auto"/>
        <w:rPr>
          <w:sz w:val="20"/>
          <w:szCs w:val="20"/>
          <w:color w:val="auto"/>
        </w:rPr>
      </w:pPr>
      <w:r>
        <w:rPr>
          <w:rFonts w:ascii="Times New Roman" w:cs="Times New Roman" w:eastAsia="Times New Roman" w:hAnsi="Times New Roman"/>
          <w:sz w:val="12"/>
          <w:szCs w:val="12"/>
          <w:color w:val="auto"/>
        </w:rPr>
        <w:t>In August 2017, our Board of Directors adopted a share repurchase program authorizing the repurchase of up to $20 million of our common stock. From the date of the program approval through May 4, 2019, we repurchased a total of 1.3 million shares at an average price of $8.75 per share for an aggregate amount of $11.2 million. As of May 4, 2019, we had $8.8 million of availability under the 2017 Share Repurchase Program.</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923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60"/>
          </w:cols>
          <w:pgMar w:left="220" w:top="431" w:right="2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Inflation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do not believe that inflation has had a material adverse impact on our business or operating results during the periods presented. We cannot provide assurance, however, that our business will not be affected by inflation in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Estimates</w:t>
      </w:r>
    </w:p>
    <w:p>
      <w:pPr>
        <w:spacing w:after="0" w:line="154" w:lineRule="exact"/>
        <w:rPr>
          <w:sz w:val="20"/>
          <w:szCs w:val="20"/>
          <w:color w:val="auto"/>
        </w:rPr>
      </w:pPr>
    </w:p>
    <w:p>
      <w:pPr>
        <w:jc w:val="both"/>
        <w:ind w:right="80" w:firstLine="432"/>
        <w:spacing w:after="0" w:line="265"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19"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2"/>
          <w:szCs w:val="12"/>
          <w:color w:val="auto"/>
        </w:rPr>
        <w:t>We believe application of accounting policies, and the estimates inherently required therein, are reasonable. These accounting policies and estimates, including those related to inventory, long-lived assets, leases, revenue recognition and income taxes,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19"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Our critical accounting policies and estimates are discussed in and should be read in conjunction with our Annual Report on Form 10-K, as filed with the Securities and Exchange Commission (SEC) on April 18, 2019, which includes audited consolidated financial statements for our 2018 and 2017 fiscal years and the five weeks ended February 3, 2018. Except for changes resulting from the adoption of new accounting standards during the period, including the new lease standard (See footnote 3 to the Condensed Consolidated Financial Statements), there have been no material changes to the critical accounting estimates disclosed in the 2018 Form 10-K.</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923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40"/>
          </w:cols>
          <w:pgMar w:left="220" w:top="43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See Note 1 to the Condensed Consolidated Financial Statements — Basis of Presentation — Recent Accounting Pronouncements – Adopted in the Current Year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There have been no material changes to our Quantitative and Qualitative Disclosures About Market Risk as disclosed in our Annual Report on Form 10-K for the year ended February 2, 2019 as filed with the SEC on April 18,</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2019.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54"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2"/>
          <w:szCs w:val="12"/>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May 4, 2019, the end of the period covered by this Quarterly Report.</w:t>
      </w:r>
    </w:p>
    <w:p>
      <w:pPr>
        <w:spacing w:after="0" w:line="123"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2"/>
          <w:szCs w:val="12"/>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2"/>
          <w:szCs w:val="12"/>
          <w:color w:val="auto"/>
        </w:rPr>
        <w:t>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Changes in Internal Control Over Financial Reporting. </w:t>
      </w:r>
      <w:r>
        <w:rPr>
          <w:rFonts w:ascii="Times New Roman" w:cs="Times New Roman" w:eastAsia="Times New Roman" w:hAnsi="Times New Roman"/>
          <w:sz w:val="12"/>
          <w:szCs w:val="12"/>
          <w:color w:val="auto"/>
        </w:rPr>
        <w:t>The Company’s management, with the participation of the Company’s President and Chief Executive Officer and Chief Financial Officer, also conducted an evaluation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Company’s internal control over financial reporting to determine whether any changes occurred during the period covered by this report that have materially affected, or are reasonably likely to materially affect, the Company’s internal control over financial reporting. We implemented internal controls to ensure we adequately evaluated our contracts and properly assessed the impact of the new accounting standard related to leases on our financial statements to facilitate its adoption on February 3, 2019. We implemented a new software solution to support our accounting for leases and have implemented new internal controls in response. There has been no other change in our internal control over financial reporting during the quarter covered by this report that has materially affected, or is reasonably likely to materially affect, our internal control over financial reporting.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 –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There have been no material changes to our risk factors as disclosed in our Annual Report on Form 10-K for the year ended February 2, 2019 as filed with the SEC on April 18, 2019.</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923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431" w:right="199" w:bottom="1440" w:gutter="0" w:footer="0" w:header="0"/>
        </w:sectPr>
      </w:pPr>
    </w:p>
    <w:bookmarkStart w:id="26" w:name="page27"/>
    <w:bookmarkEnd w:id="26"/>
    <w:tbl>
      <w:tblPr>
        <w:tblLayout w:type="fixed"/>
        <w:tblInd w:w="8" w:type="dxa"/>
        <w:tblCellMar>
          <w:top w:w="0" w:type="dxa"/>
          <w:left w:w="0" w:type="dxa"/>
          <w:bottom w:w="0" w:type="dxa"/>
          <w:right w:w="0" w:type="dxa"/>
        </w:tblCellMar>
      </w:tblPr>
      <w:tr>
        <w:trPr>
          <w:trHeight w:val="159"/>
        </w:trPr>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61"/>
        </w:trPr>
        <w:tc>
          <w:tcPr>
            <w:tcW w:w="54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4100" w:type="dxa"/>
            <w:vAlign w:val="bottom"/>
            <w:gridSpan w:val="7"/>
          </w:tcPr>
          <w:p>
            <w:pPr>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80"/>
        </w:trPr>
        <w:tc>
          <w:tcPr>
            <w:tcW w:w="5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w:t>
            </w:r>
          </w:p>
        </w:tc>
      </w:tr>
      <w:tr>
        <w:trPr>
          <w:trHeight w:val="144"/>
        </w:trPr>
        <w:tc>
          <w:tcPr>
            <w:tcW w:w="5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w w:val="89"/>
              </w:rPr>
              <w:t>(c)</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Maximum Number</w:t>
            </w:r>
          </w:p>
        </w:tc>
      </w:tr>
      <w:tr>
        <w:trPr>
          <w:trHeight w:val="144"/>
        </w:trPr>
        <w:tc>
          <w:tcPr>
            <w:tcW w:w="5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60" w:type="dxa"/>
            <w:vAlign w:val="bottom"/>
          </w:tcPr>
          <w:p>
            <w:pPr>
              <w:jc w:val="center"/>
              <w:ind w:left="220"/>
              <w:spacing w:after="0"/>
              <w:rPr>
                <w:sz w:val="20"/>
                <w:szCs w:val="20"/>
                <w:color w:val="auto"/>
              </w:rPr>
            </w:pPr>
            <w:r>
              <w:rPr>
                <w:rFonts w:ascii="Times New Roman" w:cs="Times New Roman" w:eastAsia="Times New Roman" w:hAnsi="Times New Roman"/>
                <w:sz w:val="12"/>
                <w:szCs w:val="12"/>
                <w:b w:val="1"/>
                <w:bCs w:val="1"/>
                <w:color w:val="auto"/>
                <w:w w:val="99"/>
              </w:rPr>
              <w:t>(a)</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w w:val="97"/>
              </w:rPr>
              <w:t>Total Number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(or Approximate</w:t>
            </w:r>
          </w:p>
        </w:tc>
      </w:tr>
      <w:tr>
        <w:trPr>
          <w:trHeight w:val="144"/>
        </w:trPr>
        <w:tc>
          <w:tcPr>
            <w:tcW w:w="5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60" w:type="dxa"/>
            <w:vAlign w:val="bottom"/>
          </w:tcPr>
          <w:p>
            <w:pPr>
              <w:jc w:val="center"/>
              <w:ind w:left="2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rPr>
              <w:t>Shares (or Units)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Dollar Value) of</w:t>
            </w:r>
          </w:p>
        </w:tc>
      </w:tr>
      <w:tr>
        <w:trPr>
          <w:trHeight w:val="144"/>
        </w:trPr>
        <w:tc>
          <w:tcPr>
            <w:tcW w:w="5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60" w:type="dxa"/>
            <w:vAlign w:val="bottom"/>
          </w:tcPr>
          <w:p>
            <w:pPr>
              <w:jc w:val="center"/>
              <w:ind w:left="24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w w:val="95"/>
              </w:rPr>
              <w:t>(b)</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rPr>
              <w:t>Purchased as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Shares (or Units)</w:t>
            </w:r>
          </w:p>
        </w:tc>
      </w:tr>
      <w:tr>
        <w:trPr>
          <w:trHeight w:val="144"/>
        </w:trPr>
        <w:tc>
          <w:tcPr>
            <w:tcW w:w="5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60" w:type="dxa"/>
            <w:vAlign w:val="bottom"/>
          </w:tcPr>
          <w:p>
            <w:pPr>
              <w:jc w:val="center"/>
              <w:ind w:left="240"/>
              <w:spacing w:after="0"/>
              <w:rPr>
                <w:sz w:val="20"/>
                <w:szCs w:val="20"/>
                <w:color w:val="auto"/>
              </w:rPr>
            </w:pPr>
            <w:r>
              <w:rPr>
                <w:rFonts w:ascii="Times New Roman" w:cs="Times New Roman" w:eastAsia="Times New Roman" w:hAnsi="Times New Roman"/>
                <w:sz w:val="12"/>
                <w:szCs w:val="12"/>
                <w:b w:val="1"/>
                <w:bCs w:val="1"/>
                <w:color w:val="auto"/>
                <w:w w:val="98"/>
              </w:rPr>
              <w:t>Shares (or</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w w:val="99"/>
              </w:rPr>
              <w:t>Part of Publicly</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that May Yet Be</w:t>
            </w:r>
          </w:p>
        </w:tc>
      </w:tr>
      <w:tr>
        <w:trPr>
          <w:trHeight w:val="144"/>
        </w:trPr>
        <w:tc>
          <w:tcPr>
            <w:tcW w:w="5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60" w:type="dxa"/>
            <w:vAlign w:val="bottom"/>
          </w:tcPr>
          <w:p>
            <w:pPr>
              <w:jc w:val="center"/>
              <w:ind w:left="24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rPr>
              <w:t>Price Paid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rPr>
              <w:t>Announced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Purchased Under</w:t>
            </w:r>
          </w:p>
        </w:tc>
      </w:tr>
      <w:tr>
        <w:trPr>
          <w:trHeight w:val="144"/>
        </w:trPr>
        <w:tc>
          <w:tcPr>
            <w:tcW w:w="5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60" w:type="dxa"/>
            <w:vAlign w:val="bottom"/>
          </w:tcPr>
          <w:p>
            <w:pPr>
              <w:jc w:val="center"/>
              <w:ind w:left="220"/>
              <w:spacing w:after="0"/>
              <w:rPr>
                <w:sz w:val="20"/>
                <w:szCs w:val="20"/>
                <w:color w:val="auto"/>
              </w:rPr>
            </w:pPr>
            <w:r>
              <w:rPr>
                <w:rFonts w:ascii="Times New Roman" w:cs="Times New Roman" w:eastAsia="Times New Roman" w:hAnsi="Times New Roman"/>
                <w:sz w:val="12"/>
                <w:szCs w:val="12"/>
                <w:b w:val="1"/>
                <w:bCs w:val="1"/>
                <w:color w:val="auto"/>
                <w:w w:val="99"/>
              </w:rPr>
              <w:t>Purchased</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w w:val="97"/>
              </w:rPr>
              <w:t>Per Share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w w:val="99"/>
              </w:rPr>
              <w:t>Plans or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the Plans or</w:t>
            </w:r>
          </w:p>
        </w:tc>
      </w:tr>
      <w:tr>
        <w:trPr>
          <w:trHeight w:val="159"/>
        </w:trPr>
        <w:tc>
          <w:tcPr>
            <w:tcW w:w="4400" w:type="dxa"/>
            <w:vAlign w:val="bottom"/>
            <w:gridSpan w:val="2"/>
          </w:tcPr>
          <w:p>
            <w:pPr>
              <w:ind w:left="540"/>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860" w:type="dxa"/>
            <w:vAlign w:val="bottom"/>
            <w:tcBorders>
              <w:bottom w:val="single" w:sz="8" w:color="auto"/>
            </w:tcBorders>
          </w:tcPr>
          <w:p>
            <w:pPr>
              <w:jc w:val="center"/>
              <w:ind w:left="220"/>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3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rPr>
              <w:t>(or Unit)</w:t>
            </w:r>
          </w:p>
        </w:tc>
        <w:tc>
          <w:tcPr>
            <w:tcW w:w="2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Borders>
              <w:bottom w:val="single" w:sz="8" w:color="auto"/>
            </w:tcBorders>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rPr>
              <w:t>Programs (2)</w:t>
            </w:r>
          </w:p>
        </w:tc>
        <w:tc>
          <w:tcPr>
            <w:tcW w:w="1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Programs (2)</w:t>
            </w:r>
          </w:p>
        </w:tc>
        <w:tc>
          <w:tcPr>
            <w:tcW w:w="80" w:type="dxa"/>
            <w:vAlign w:val="bottom"/>
          </w:tcPr>
          <w:p>
            <w:pPr>
              <w:spacing w:after="0"/>
              <w:rPr>
                <w:sz w:val="13"/>
                <w:szCs w:val="13"/>
                <w:color w:val="auto"/>
              </w:rPr>
            </w:pPr>
          </w:p>
        </w:tc>
      </w:tr>
      <w:tr>
        <w:trPr>
          <w:trHeight w:val="133"/>
        </w:trPr>
        <w:tc>
          <w:tcPr>
            <w:tcW w:w="540" w:type="dxa"/>
            <w:vAlign w:val="bottom"/>
          </w:tcPr>
          <w:p>
            <w:pPr>
              <w:spacing w:after="0"/>
              <w:rPr>
                <w:sz w:val="11"/>
                <w:szCs w:val="11"/>
                <w:color w:val="auto"/>
              </w:rPr>
            </w:pPr>
          </w:p>
        </w:tc>
        <w:tc>
          <w:tcPr>
            <w:tcW w:w="3860" w:type="dxa"/>
            <w:vAlign w:val="bottom"/>
            <w:tcBorders>
              <w:right w:val="single" w:sz="8" w:color="CCEEFF"/>
            </w:tcBorders>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Feb. 3, 2019 – Mar. 2, 2019</w:t>
            </w: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5.15</w:t>
            </w:r>
          </w:p>
        </w:tc>
        <w:tc>
          <w:tcPr>
            <w:tcW w:w="12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8,795,529</w:t>
            </w:r>
          </w:p>
        </w:tc>
      </w:tr>
      <w:tr>
        <w:trPr>
          <w:trHeight w:val="144"/>
        </w:trPr>
        <w:tc>
          <w:tcPr>
            <w:tcW w:w="540" w:type="dxa"/>
            <w:vAlign w:val="bottom"/>
          </w:tcPr>
          <w:p>
            <w:pPr>
              <w:spacing w:after="0"/>
              <w:rPr>
                <w:sz w:val="12"/>
                <w:szCs w:val="12"/>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Mar. 3, 2019 – Apr. 6, 2019</w:t>
            </w:r>
          </w:p>
        </w:tc>
        <w:tc>
          <w:tcPr>
            <w:tcW w:w="8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31,987</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5.81</w:t>
            </w:r>
          </w:p>
        </w:tc>
        <w:tc>
          <w:tcPr>
            <w:tcW w:w="122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8,795,529</w:t>
            </w:r>
          </w:p>
        </w:tc>
      </w:tr>
      <w:tr>
        <w:trPr>
          <w:trHeight w:val="144"/>
        </w:trPr>
        <w:tc>
          <w:tcPr>
            <w:tcW w:w="540" w:type="dxa"/>
            <w:vAlign w:val="bottom"/>
          </w:tcPr>
          <w:p>
            <w:pPr>
              <w:spacing w:after="0"/>
              <w:rPr>
                <w:sz w:val="12"/>
                <w:szCs w:val="12"/>
                <w:color w:val="auto"/>
              </w:rPr>
            </w:pPr>
          </w:p>
        </w:tc>
        <w:tc>
          <w:tcPr>
            <w:tcW w:w="38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Apr. 7, 2019 – May 4, 2019</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12,565</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5.60</w:t>
            </w:r>
          </w:p>
        </w:tc>
        <w:tc>
          <w:tcPr>
            <w:tcW w:w="1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8,795,529</w:t>
            </w:r>
          </w:p>
        </w:tc>
      </w:tr>
      <w:tr>
        <w:trPr>
          <w:trHeight w:val="20"/>
        </w:trPr>
        <w:tc>
          <w:tcPr>
            <w:tcW w:w="540" w:type="dxa"/>
            <w:vAlign w:val="bottom"/>
          </w:tcPr>
          <w:p>
            <w:pPr>
              <w:spacing w:after="0" w:line="20" w:lineRule="exact"/>
              <w:rPr>
                <w:sz w:val="1"/>
                <w:szCs w:val="1"/>
                <w:color w:val="auto"/>
              </w:rPr>
            </w:pPr>
          </w:p>
        </w:tc>
        <w:tc>
          <w:tcPr>
            <w:tcW w:w="386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33"/>
        </w:trPr>
        <w:tc>
          <w:tcPr>
            <w:tcW w:w="540" w:type="dxa"/>
            <w:vAlign w:val="bottom"/>
          </w:tcPr>
          <w:p>
            <w:pPr>
              <w:spacing w:after="0"/>
              <w:rPr>
                <w:sz w:val="11"/>
                <w:szCs w:val="11"/>
                <w:color w:val="auto"/>
              </w:rPr>
            </w:pPr>
          </w:p>
        </w:tc>
        <w:tc>
          <w:tcPr>
            <w:tcW w:w="386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860" w:type="dxa"/>
            <w:vAlign w:val="bottom"/>
          </w:tcPr>
          <w:p>
            <w:pPr>
              <w:spacing w:after="0"/>
              <w:rPr>
                <w:sz w:val="11"/>
                <w:szCs w:val="11"/>
                <w:color w:val="auto"/>
              </w:rPr>
            </w:pPr>
          </w:p>
        </w:tc>
        <w:tc>
          <w:tcPr>
            <w:tcW w:w="3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44,563</w:t>
            </w:r>
          </w:p>
        </w:tc>
        <w:tc>
          <w:tcPr>
            <w:tcW w:w="200" w:type="dxa"/>
            <w:vAlign w:val="bottom"/>
          </w:tcPr>
          <w:p>
            <w:pPr>
              <w:spacing w:after="0"/>
              <w:rPr>
                <w:sz w:val="11"/>
                <w:szCs w:val="11"/>
                <w:color w:val="auto"/>
              </w:rPr>
            </w:pPr>
          </w:p>
        </w:tc>
        <w:tc>
          <w:tcPr>
            <w:tcW w:w="980" w:type="dxa"/>
            <w:vAlign w:val="bottom"/>
          </w:tcPr>
          <w:p>
            <w:pPr>
              <w:jc w:val="right"/>
              <w:ind w:right="86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5.75</w:t>
            </w:r>
          </w:p>
        </w:tc>
        <w:tc>
          <w:tcPr>
            <w:tcW w:w="1220" w:type="dxa"/>
            <w:vAlign w:val="bottom"/>
          </w:tcPr>
          <w:p>
            <w:pPr>
              <w:spacing w:after="0"/>
              <w:rPr>
                <w:sz w:val="11"/>
                <w:szCs w:val="11"/>
                <w:color w:val="auto"/>
              </w:rPr>
            </w:pPr>
          </w:p>
        </w:tc>
        <w:tc>
          <w:tcPr>
            <w:tcW w:w="34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8,795,529</w:t>
            </w:r>
          </w:p>
        </w:tc>
      </w:tr>
      <w:tr>
        <w:trPr>
          <w:trHeight w:val="27"/>
        </w:trPr>
        <w:tc>
          <w:tcPr>
            <w:tcW w:w="540" w:type="dxa"/>
            <w:vAlign w:val="bottom"/>
          </w:tcPr>
          <w:p>
            <w:pPr>
              <w:spacing w:after="0"/>
              <w:rPr>
                <w:sz w:val="2"/>
                <w:szCs w:val="2"/>
                <w:color w:val="auto"/>
              </w:rPr>
            </w:pPr>
          </w:p>
        </w:tc>
        <w:tc>
          <w:tcPr>
            <w:tcW w:w="386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33" w:lineRule="exact"/>
        <w:rPr>
          <w:sz w:val="20"/>
          <w:szCs w:val="20"/>
          <w:color w:val="auto"/>
        </w:rPr>
      </w:pPr>
    </w:p>
    <w:p>
      <w:pPr>
        <w:ind w:left="388" w:right="320" w:hanging="388"/>
        <w:spacing w:after="0" w:line="260" w:lineRule="auto"/>
        <w:tabs>
          <w:tab w:leader="none" w:pos="38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ind w:left="388" w:hanging="388"/>
        <w:spacing w:after="0" w:line="255" w:lineRule="auto"/>
        <w:tabs>
          <w:tab w:leader="none" w:pos="38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August 2017, the Board of Directors adopted a share repurchase program authorizing the repurchase of up to $20 million of our common stock. This program authorizes the Company to repurchase shares through September 30, 2020 and does not require the Company to repurchase any specific number of shares, and may be modified, suspended or terminated at any time without prior notice. Shares repurchased under the program will be subsequently retired.</w:t>
      </w:r>
    </w:p>
    <w:p>
      <w:pPr>
        <w:spacing w:after="0" w:line="126"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2923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08"/>
          </w:cols>
          <w:pgMar w:left="212" w:top="431" w:right="2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b w:val="1"/>
          <w:bCs w:val="1"/>
          <w:color w:val="auto"/>
        </w:rPr>
        <w:t>Item 6.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is a list of exhibits filed as a part of the quarterly report on Form 10-Q:</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8160" w:type="dxa"/>
            <w:vAlign w:val="bottom"/>
            <w:tcBorders>
              <w:bottom w:val="single" w:sz="8" w:color="auto"/>
            </w:tcBorders>
            <w:gridSpan w:val="12"/>
          </w:tcPr>
          <w:p>
            <w:pPr>
              <w:ind w:left="26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21"/>
                <w:szCs w:val="21"/>
                <w:color w:val="auto"/>
              </w:rPr>
            </w:pPr>
          </w:p>
        </w:tc>
        <w:tc>
          <w:tcPr>
            <w:tcW w:w="10460" w:type="dxa"/>
            <w:vAlign w:val="bottom"/>
            <w:gridSpan w:val="14"/>
          </w:tcPr>
          <w:p>
            <w:pPr>
              <w:spacing w:after="0"/>
              <w:rPr>
                <w:rFonts w:ascii="Times New Roman" w:cs="Times New Roman" w:eastAsia="Times New Roman" w:hAnsi="Times New Roman"/>
                <w:sz w:val="12"/>
                <w:szCs w:val="12"/>
                <w:color w:val="0000EE"/>
              </w:rPr>
            </w:pPr>
            <w:hyperlink r:id="rId47">
              <w:r>
                <w:rPr>
                  <w:rFonts w:ascii="Times New Roman" w:cs="Times New Roman" w:eastAsia="Times New Roman" w:hAnsi="Times New Roman"/>
                  <w:sz w:val="12"/>
                  <w:szCs w:val="12"/>
                  <w:color w:val="0000EE"/>
                </w:rPr>
                <w:t>Agreement and Plan of Merger dated April 3, 2000 between Build-A-Bear Workshop, L.L.C. and the Registrant (incorporated by reference from Exhibit 2.1 to our Registration Statement on Form S-1, filed on</w:t>
              </w:r>
            </w:hyperlink>
          </w:p>
        </w:tc>
      </w:tr>
      <w:tr>
        <w:trPr>
          <w:trHeight w:val="124"/>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20" w:type="dxa"/>
            <w:vAlign w:val="bottom"/>
            <w:tcBorders>
              <w:top w:val="single" w:sz="8" w:color="0000EE"/>
            </w:tcBorders>
            <w:gridSpan w:val="12"/>
          </w:tcPr>
          <w:p>
            <w:pPr>
              <w:spacing w:after="0" w:line="124" w:lineRule="exact"/>
              <w:rPr>
                <w:rFonts w:ascii="Times New Roman" w:cs="Times New Roman" w:eastAsia="Times New Roman" w:hAnsi="Times New Roman"/>
                <w:sz w:val="12"/>
                <w:szCs w:val="12"/>
                <w:color w:val="0000EE"/>
              </w:rPr>
            </w:pPr>
            <w:hyperlink r:id="rId47">
              <w:r>
                <w:rPr>
                  <w:rFonts w:ascii="Times New Roman" w:cs="Times New Roman" w:eastAsia="Times New Roman" w:hAnsi="Times New Roman"/>
                  <w:sz w:val="12"/>
                  <w:szCs w:val="12"/>
                  <w:color w:val="0000EE"/>
                </w:rPr>
                <w:t>August 12, 2004, Registration No. 333-118142)</w:t>
              </w:r>
            </w:hyperlink>
          </w:p>
        </w:tc>
        <w:tc>
          <w:tcPr>
            <w:tcW w:w="440" w:type="dxa"/>
            <w:vAlign w:val="bottom"/>
            <w:gridSpan w:val="2"/>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Pr>
          <w:p>
            <w:pPr>
              <w:spacing w:after="0"/>
              <w:rPr>
                <w:sz w:val="23"/>
                <w:szCs w:val="23"/>
                <w:color w:val="auto"/>
              </w:rPr>
            </w:pPr>
          </w:p>
        </w:tc>
        <w:tc>
          <w:tcPr>
            <w:tcW w:w="10460" w:type="dxa"/>
            <w:vAlign w:val="bottom"/>
            <w:gridSpan w:val="14"/>
          </w:tcPr>
          <w:p>
            <w:pPr>
              <w:spacing w:after="0"/>
              <w:rPr>
                <w:rFonts w:ascii="Times New Roman" w:cs="Times New Roman" w:eastAsia="Times New Roman" w:hAnsi="Times New Roman"/>
                <w:sz w:val="12"/>
                <w:szCs w:val="12"/>
                <w:color w:val="0000EE"/>
              </w:rPr>
            </w:pPr>
            <w:hyperlink r:id="rId48">
              <w:r>
                <w:rPr>
                  <w:rFonts w:ascii="Times New Roman" w:cs="Times New Roman" w:eastAsia="Times New Roman" w:hAnsi="Times New Roman"/>
                  <w:sz w:val="12"/>
                  <w:szCs w:val="12"/>
                  <w:color w:val="0000EE"/>
                </w:rPr>
                <w:t>Third Amended and Restated Certificate of Incorporation (incorporated by reference from Exhibit 3.1 of our Current Report on Form 8-K, filed on November 11, 2004)</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9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Pr>
          <w:p>
            <w:pPr>
              <w:spacing w:after="0"/>
              <w:rPr>
                <w:sz w:val="23"/>
                <w:szCs w:val="23"/>
                <w:color w:val="auto"/>
              </w:rPr>
            </w:pPr>
          </w:p>
        </w:tc>
        <w:tc>
          <w:tcPr>
            <w:tcW w:w="8700" w:type="dxa"/>
            <w:vAlign w:val="bottom"/>
            <w:tcBorders>
              <w:bottom w:val="single" w:sz="8" w:color="0000EE"/>
            </w:tcBorders>
            <w:gridSpan w:val="8"/>
          </w:tcPr>
          <w:p>
            <w:pPr>
              <w:spacing w:after="0"/>
              <w:rPr>
                <w:rFonts w:ascii="Times New Roman" w:cs="Times New Roman" w:eastAsia="Times New Roman" w:hAnsi="Times New Roman"/>
                <w:sz w:val="12"/>
                <w:szCs w:val="12"/>
                <w:color w:val="0000EE"/>
                <w:w w:val="99"/>
              </w:rPr>
            </w:pPr>
            <w:hyperlink r:id="rId49">
              <w:r>
                <w:rPr>
                  <w:rFonts w:ascii="Times New Roman" w:cs="Times New Roman" w:eastAsia="Times New Roman" w:hAnsi="Times New Roman"/>
                  <w:sz w:val="12"/>
                  <w:szCs w:val="12"/>
                  <w:color w:val="0000EE"/>
                  <w:w w:val="99"/>
                </w:rPr>
                <w:t>Amended and Restated Bylaws, as amended through February 23, 2016 (incorporated by reference from Exhibit 3.1 of our Current Report on Form 8-K, filed on February 24, 2016)</w:t>
              </w:r>
            </w:hyperlink>
          </w:p>
        </w:tc>
        <w:tc>
          <w:tcPr>
            <w:tcW w:w="1760" w:type="dxa"/>
            <w:vAlign w:val="bottom"/>
            <w:gridSpan w:val="6"/>
          </w:tcPr>
          <w:p>
            <w:pPr>
              <w:spacing w:after="0"/>
              <w:rPr>
                <w:sz w:val="23"/>
                <w:szCs w:val="23"/>
                <w:color w:val="auto"/>
              </w:rPr>
            </w:pPr>
          </w:p>
        </w:tc>
      </w:tr>
      <w:tr>
        <w:trPr>
          <w:trHeight w:val="26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23"/>
                <w:szCs w:val="23"/>
                <w:color w:val="auto"/>
              </w:rPr>
            </w:pPr>
          </w:p>
        </w:tc>
        <w:tc>
          <w:tcPr>
            <w:tcW w:w="10460" w:type="dxa"/>
            <w:vAlign w:val="bottom"/>
            <w:gridSpan w:val="14"/>
          </w:tcPr>
          <w:p>
            <w:pPr>
              <w:spacing w:after="0"/>
              <w:rPr>
                <w:rFonts w:ascii="Times New Roman" w:cs="Times New Roman" w:eastAsia="Times New Roman" w:hAnsi="Times New Roman"/>
                <w:sz w:val="12"/>
                <w:szCs w:val="12"/>
                <w:color w:val="0000EE"/>
              </w:rPr>
            </w:pPr>
            <w:hyperlink r:id="rId50">
              <w:r>
                <w:rPr>
                  <w:rFonts w:ascii="Times New Roman" w:cs="Times New Roman" w:eastAsia="Times New Roman" w:hAnsi="Times New Roman"/>
                  <w:sz w:val="12"/>
                  <w:szCs w:val="12"/>
                  <w:color w:val="0000EE"/>
                </w:rPr>
                <w:t>Specimen Stock Certificate (incorporated by reference from Exhibit 4.1 to Amendment No. 3 to our Registration Statement on Form S-1, filed on October 1, 2004, Registration No. 333-118142)</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9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tcPr>
          <w:p>
            <w:pPr>
              <w:spacing w:after="0"/>
              <w:rPr>
                <w:sz w:val="23"/>
                <w:szCs w:val="23"/>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2"/>
                <w:szCs w:val="12"/>
                <w:color w:val="0000EE"/>
                <w:w w:val="99"/>
              </w:rPr>
            </w:pPr>
            <w:hyperlink r:id="rId51">
              <w:r>
                <w:rPr>
                  <w:rFonts w:ascii="Times New Roman" w:cs="Times New Roman" w:eastAsia="Times New Roman" w:hAnsi="Times New Roman"/>
                  <w:sz w:val="12"/>
                  <w:szCs w:val="12"/>
                  <w:color w:val="0000EE"/>
                  <w:w w:val="99"/>
                </w:rPr>
                <w:t>Description of Build-A-Bear Workshop, Inc. Cash Bonus Program for C-Level Employees (incorporated by reference from Exhibit 10.1 to our Current Report on Form 8-K, filed on April 19, 2019)</w:t>
              </w:r>
            </w:hyperlink>
          </w:p>
        </w:tc>
        <w:tc>
          <w:tcPr>
            <w:tcW w:w="980" w:type="dxa"/>
            <w:vAlign w:val="bottom"/>
            <w:gridSpan w:val="3"/>
          </w:tcPr>
          <w:p>
            <w:pPr>
              <w:spacing w:after="0"/>
              <w:rPr>
                <w:sz w:val="23"/>
                <w:szCs w:val="23"/>
                <w:color w:val="auto"/>
              </w:rPr>
            </w:pPr>
          </w:p>
        </w:tc>
      </w:tr>
      <w:tr>
        <w:trPr>
          <w:trHeight w:val="26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10.2</w:t>
            </w:r>
          </w:p>
        </w:tc>
        <w:tc>
          <w:tcPr>
            <w:tcW w:w="100" w:type="dxa"/>
            <w:vAlign w:val="bottom"/>
          </w:tcPr>
          <w:p>
            <w:pPr>
              <w:spacing w:after="0"/>
              <w:rPr>
                <w:sz w:val="23"/>
                <w:szCs w:val="23"/>
                <w:color w:val="auto"/>
              </w:rPr>
            </w:pPr>
          </w:p>
        </w:tc>
        <w:tc>
          <w:tcPr>
            <w:tcW w:w="10460" w:type="dxa"/>
            <w:vAlign w:val="bottom"/>
            <w:gridSpan w:val="14"/>
          </w:tcPr>
          <w:p>
            <w:pPr>
              <w:spacing w:after="0"/>
              <w:rPr>
                <w:rFonts w:ascii="Times New Roman" w:cs="Times New Roman" w:eastAsia="Times New Roman" w:hAnsi="Times New Roman"/>
                <w:sz w:val="12"/>
                <w:szCs w:val="12"/>
                <w:color w:val="0000EE"/>
              </w:rPr>
            </w:pPr>
            <w:hyperlink r:id="rId52">
              <w:r>
                <w:rPr>
                  <w:rFonts w:ascii="Times New Roman" w:cs="Times New Roman" w:eastAsia="Times New Roman" w:hAnsi="Times New Roman"/>
                  <w:sz w:val="12"/>
                  <w:szCs w:val="12"/>
                  <w:color w:val="0000EE"/>
                </w:rPr>
                <w:t>Form of Restricted Stock Agreement under the Registrant’s 2017 Omnibus Incentive Plan (incorporated by reference from Exhibit 10.2 to our Current Report on Form 8-K, filed on April 19, 2019)</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9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10.3</w:t>
            </w:r>
          </w:p>
        </w:tc>
        <w:tc>
          <w:tcPr>
            <w:tcW w:w="100" w:type="dxa"/>
            <w:vAlign w:val="bottom"/>
          </w:tcPr>
          <w:p>
            <w:pPr>
              <w:spacing w:after="0"/>
              <w:rPr>
                <w:sz w:val="23"/>
                <w:szCs w:val="23"/>
                <w:color w:val="auto"/>
              </w:rPr>
            </w:pPr>
          </w:p>
        </w:tc>
        <w:tc>
          <w:tcPr>
            <w:tcW w:w="10380" w:type="dxa"/>
            <w:vAlign w:val="bottom"/>
            <w:tcBorders>
              <w:bottom w:val="single" w:sz="8" w:color="0000EE"/>
            </w:tcBorders>
            <w:gridSpan w:val="13"/>
          </w:tcPr>
          <w:p>
            <w:pPr>
              <w:spacing w:after="0"/>
              <w:rPr>
                <w:rFonts w:ascii="Times New Roman" w:cs="Times New Roman" w:eastAsia="Times New Roman" w:hAnsi="Times New Roman"/>
                <w:sz w:val="12"/>
                <w:szCs w:val="12"/>
                <w:color w:val="0000EE"/>
                <w:w w:val="99"/>
              </w:rPr>
            </w:pPr>
            <w:hyperlink r:id="rId53">
              <w:r>
                <w:rPr>
                  <w:rFonts w:ascii="Times New Roman" w:cs="Times New Roman" w:eastAsia="Times New Roman" w:hAnsi="Times New Roman"/>
                  <w:sz w:val="12"/>
                  <w:szCs w:val="12"/>
                  <w:color w:val="0000EE"/>
                  <w:w w:val="99"/>
                </w:rPr>
                <w:t>Description of Build-A-Bear Workshop, Inc. Three-Year Performance-Based Cash Program for C-Level Employees (incorporated by reference from Exhibit 10.3 to our Current Report on Form 8-K, filed on April 19,</w:t>
              </w:r>
            </w:hyperlink>
          </w:p>
        </w:tc>
        <w:tc>
          <w:tcPr>
            <w:tcW w:w="80" w:type="dxa"/>
            <w:vAlign w:val="bottom"/>
          </w:tcPr>
          <w:p>
            <w:pPr>
              <w:spacing w:after="0"/>
              <w:rPr>
                <w:sz w:val="23"/>
                <w:szCs w:val="23"/>
                <w:color w:val="auto"/>
              </w:rPr>
            </w:pPr>
          </w:p>
        </w:tc>
      </w:tr>
      <w:tr>
        <w:trPr>
          <w:trHeight w:val="124"/>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92"/>
              </w:rPr>
            </w:pPr>
            <w:hyperlink r:id="rId53">
              <w:r>
                <w:rPr>
                  <w:rFonts w:ascii="Times New Roman" w:cs="Times New Roman" w:eastAsia="Times New Roman" w:hAnsi="Times New Roman"/>
                  <w:sz w:val="12"/>
                  <w:szCs w:val="12"/>
                  <w:color w:val="0000EE"/>
                  <w:w w:val="92"/>
                </w:rPr>
                <w:t>2019)</w:t>
              </w:r>
            </w:hyperlink>
          </w:p>
        </w:tc>
        <w:tc>
          <w:tcPr>
            <w:tcW w:w="20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6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31.1</w:t>
            </w:r>
          </w:p>
        </w:tc>
        <w:tc>
          <w:tcPr>
            <w:tcW w:w="100" w:type="dxa"/>
            <w:vAlign w:val="bottom"/>
          </w:tcPr>
          <w:p>
            <w:pPr>
              <w:spacing w:after="0"/>
              <w:rPr>
                <w:sz w:val="23"/>
                <w:szCs w:val="23"/>
                <w:color w:val="auto"/>
              </w:rPr>
            </w:pPr>
          </w:p>
        </w:tc>
        <w:tc>
          <w:tcPr>
            <w:tcW w:w="748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w w:val="99"/>
              </w:rPr>
            </w:pPr>
            <w:hyperlink w:anchor="page30">
              <w:r>
                <w:rPr>
                  <w:rFonts w:ascii="Times New Roman" w:cs="Times New Roman" w:eastAsia="Times New Roman" w:hAnsi="Times New Roman"/>
                  <w:sz w:val="12"/>
                  <w:szCs w:val="12"/>
                  <w:color w:val="0000EE"/>
                  <w:w w:val="99"/>
                </w:rPr>
                <w:t>Rule 13a-14(a)/15d-14(a) certification (pursuant to Section 302 of the Sarbanes-Oxley Act of 2002, executed by the President and Chief Executive Officer)</w:t>
              </w:r>
            </w:hyperlink>
          </w:p>
        </w:tc>
        <w:tc>
          <w:tcPr>
            <w:tcW w:w="2980" w:type="dxa"/>
            <w:vAlign w:val="bottom"/>
            <w:gridSpan w:val="8"/>
          </w:tcPr>
          <w:p>
            <w:pPr>
              <w:spacing w:after="0"/>
              <w:rPr>
                <w:sz w:val="23"/>
                <w:szCs w:val="23"/>
                <w:color w:val="auto"/>
              </w:rPr>
            </w:pPr>
          </w:p>
        </w:tc>
      </w:tr>
      <w:tr>
        <w:trPr>
          <w:trHeight w:val="26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31.2</w:t>
            </w:r>
          </w:p>
        </w:tc>
        <w:tc>
          <w:tcPr>
            <w:tcW w:w="100" w:type="dxa"/>
            <w:vAlign w:val="bottom"/>
          </w:tcPr>
          <w:p>
            <w:pPr>
              <w:spacing w:after="0"/>
              <w:rPr>
                <w:sz w:val="23"/>
                <w:szCs w:val="23"/>
                <w:color w:val="auto"/>
              </w:rPr>
            </w:pPr>
          </w:p>
        </w:tc>
        <w:tc>
          <w:tcPr>
            <w:tcW w:w="10460" w:type="dxa"/>
            <w:vAlign w:val="bottom"/>
            <w:gridSpan w:val="14"/>
          </w:tcPr>
          <w:p>
            <w:pPr>
              <w:spacing w:after="0"/>
              <w:rPr>
                <w:rFonts w:ascii="Times New Roman" w:cs="Times New Roman" w:eastAsia="Times New Roman" w:hAnsi="Times New Roman"/>
                <w:sz w:val="12"/>
                <w:szCs w:val="12"/>
                <w:color w:val="0000EE"/>
              </w:rPr>
            </w:pPr>
            <w:hyperlink w:anchor="page31">
              <w:r>
                <w:rPr>
                  <w:rFonts w:ascii="Times New Roman" w:cs="Times New Roman" w:eastAsia="Times New Roman" w:hAnsi="Times New Roman"/>
                  <w:sz w:val="12"/>
                  <w:szCs w:val="12"/>
                  <w:color w:val="0000EE"/>
                </w:rPr>
                <w:t>Rule 13a-14(a)/15d-14(a) certification (pursuant to Section 302 of the Sarbanes-Oxley Act of 2002, executed by the Chief Financial Officer)</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gridSpan w:val="9"/>
          </w:tcPr>
          <w:p>
            <w:pPr>
              <w:spacing w:after="0" w:line="20" w:lineRule="exact"/>
              <w:rPr>
                <w:sz w:val="1"/>
                <w:szCs w:val="1"/>
                <w:color w:val="auto"/>
              </w:rPr>
            </w:pPr>
          </w:p>
        </w:tc>
      </w:tr>
      <w:tr>
        <w:trPr>
          <w:trHeight w:val="26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32.1</w:t>
            </w:r>
          </w:p>
        </w:tc>
        <w:tc>
          <w:tcPr>
            <w:tcW w:w="100" w:type="dxa"/>
            <w:vAlign w:val="bottom"/>
          </w:tcPr>
          <w:p>
            <w:pPr>
              <w:spacing w:after="0"/>
              <w:rPr>
                <w:sz w:val="23"/>
                <w:szCs w:val="23"/>
                <w:color w:val="auto"/>
              </w:rPr>
            </w:pPr>
          </w:p>
        </w:tc>
        <w:tc>
          <w:tcPr>
            <w:tcW w:w="10460" w:type="dxa"/>
            <w:vAlign w:val="bottom"/>
            <w:gridSpan w:val="14"/>
          </w:tcPr>
          <w:p>
            <w:pPr>
              <w:spacing w:after="0"/>
              <w:rPr>
                <w:rFonts w:ascii="Times New Roman" w:cs="Times New Roman" w:eastAsia="Times New Roman" w:hAnsi="Times New Roman"/>
                <w:sz w:val="12"/>
                <w:szCs w:val="12"/>
                <w:color w:val="0000EE"/>
              </w:rPr>
            </w:pPr>
            <w:hyperlink w:anchor="page32">
              <w:r>
                <w:rPr>
                  <w:rFonts w:ascii="Times New Roman" w:cs="Times New Roman" w:eastAsia="Times New Roman" w:hAnsi="Times New Roman"/>
                  <w:sz w:val="12"/>
                  <w:szCs w:val="12"/>
                  <w:color w:val="0000EE"/>
                </w:rPr>
                <w:t>Section 1350 Certification (pursuant to Section 906 of the Sarbanes-Oxley Act of 2002, executed by the President and Chief Executive Officer)</w:t>
              </w:r>
            </w:hyperlink>
          </w:p>
        </w:tc>
      </w:tr>
      <w:tr>
        <w:trPr>
          <w:trHeight w:val="26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32.2</w:t>
            </w:r>
          </w:p>
        </w:tc>
        <w:tc>
          <w:tcPr>
            <w:tcW w:w="100" w:type="dxa"/>
            <w:vAlign w:val="bottom"/>
          </w:tcPr>
          <w:p>
            <w:pPr>
              <w:spacing w:after="0"/>
              <w:rPr>
                <w:sz w:val="23"/>
                <w:szCs w:val="23"/>
                <w:color w:val="auto"/>
              </w:rPr>
            </w:pPr>
          </w:p>
        </w:tc>
        <w:tc>
          <w:tcPr>
            <w:tcW w:w="6900" w:type="dxa"/>
            <w:vAlign w:val="bottom"/>
            <w:tcBorders>
              <w:top w:val="single" w:sz="8" w:color="0000EE"/>
            </w:tcBorders>
            <w:gridSpan w:val="5"/>
          </w:tcPr>
          <w:p>
            <w:pPr>
              <w:spacing w:after="0"/>
              <w:rPr>
                <w:rFonts w:ascii="Times New Roman" w:cs="Times New Roman" w:eastAsia="Times New Roman" w:hAnsi="Times New Roman"/>
                <w:sz w:val="12"/>
                <w:szCs w:val="12"/>
                <w:color w:val="0000EE"/>
              </w:rPr>
            </w:pPr>
            <w:hyperlink w:anchor="page33">
              <w:r>
                <w:rPr>
                  <w:rFonts w:ascii="Times New Roman" w:cs="Times New Roman" w:eastAsia="Times New Roman" w:hAnsi="Times New Roman"/>
                  <w:sz w:val="12"/>
                  <w:szCs w:val="12"/>
                  <w:color w:val="0000EE"/>
                </w:rPr>
                <w:t>Section 1350 Certification (pursuant to Section 906 of the Sarbanes-Oxley Act of 2002, executed by the Chief Financial Officer)</w:t>
              </w:r>
            </w:hyperlink>
          </w:p>
        </w:tc>
        <w:tc>
          <w:tcPr>
            <w:tcW w:w="3560" w:type="dxa"/>
            <w:vAlign w:val="bottom"/>
            <w:gridSpan w:val="9"/>
          </w:tcPr>
          <w:p>
            <w:pPr>
              <w:spacing w:after="0"/>
              <w:rPr>
                <w:sz w:val="23"/>
                <w:szCs w:val="23"/>
                <w:color w:val="auto"/>
              </w:rPr>
            </w:pPr>
          </w:p>
        </w:tc>
      </w:tr>
      <w:tr>
        <w:trPr>
          <w:trHeight w:val="295"/>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101.INS</w:t>
            </w:r>
          </w:p>
        </w:tc>
        <w:tc>
          <w:tcPr>
            <w:tcW w:w="100" w:type="dxa"/>
            <w:vAlign w:val="bottom"/>
          </w:tcPr>
          <w:p>
            <w:pPr>
              <w:spacing w:after="0"/>
              <w:rPr>
                <w:sz w:val="24"/>
                <w:szCs w:val="24"/>
                <w:color w:val="auto"/>
              </w:rPr>
            </w:pPr>
          </w:p>
        </w:tc>
        <w:tc>
          <w:tcPr>
            <w:tcW w:w="61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2"/>
                <w:szCs w:val="12"/>
                <w:color w:val="auto"/>
              </w:rPr>
              <w:t>XBRL Instance</w:t>
            </w:r>
          </w:p>
        </w:tc>
        <w:tc>
          <w:tcPr>
            <w:tcW w:w="4280" w:type="dxa"/>
            <w:vAlign w:val="bottom"/>
            <w:gridSpan w:val="11"/>
          </w:tcPr>
          <w:p>
            <w:pPr>
              <w:spacing w:after="0"/>
              <w:rPr>
                <w:sz w:val="24"/>
                <w:szCs w:val="24"/>
                <w:color w:val="auto"/>
              </w:rPr>
            </w:pPr>
          </w:p>
        </w:tc>
      </w:tr>
      <w:tr>
        <w:trPr>
          <w:trHeight w:val="28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101.SCH</w:t>
            </w:r>
          </w:p>
        </w:tc>
        <w:tc>
          <w:tcPr>
            <w:tcW w:w="100" w:type="dxa"/>
            <w:vAlign w:val="bottom"/>
          </w:tcPr>
          <w:p>
            <w:pPr>
              <w:spacing w:after="0"/>
              <w:rPr>
                <w:sz w:val="24"/>
                <w:szCs w:val="24"/>
                <w:color w:val="auto"/>
              </w:rPr>
            </w:pPr>
          </w:p>
        </w:tc>
        <w:tc>
          <w:tcPr>
            <w:tcW w:w="1046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XBRL Extension Schema</w:t>
            </w:r>
          </w:p>
        </w:tc>
      </w:tr>
      <w:tr>
        <w:trPr>
          <w:trHeight w:val="28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101.CAL</w:t>
            </w:r>
          </w:p>
        </w:tc>
        <w:tc>
          <w:tcPr>
            <w:tcW w:w="100" w:type="dxa"/>
            <w:vAlign w:val="bottom"/>
          </w:tcPr>
          <w:p>
            <w:pPr>
              <w:spacing w:after="0"/>
              <w:rPr>
                <w:sz w:val="24"/>
                <w:szCs w:val="24"/>
                <w:color w:val="auto"/>
              </w:rPr>
            </w:pPr>
          </w:p>
        </w:tc>
        <w:tc>
          <w:tcPr>
            <w:tcW w:w="1046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XBRL Extension Calculation</w:t>
            </w:r>
          </w:p>
        </w:tc>
      </w:tr>
      <w:tr>
        <w:trPr>
          <w:trHeight w:val="28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101.DEF</w:t>
            </w:r>
          </w:p>
        </w:tc>
        <w:tc>
          <w:tcPr>
            <w:tcW w:w="100" w:type="dxa"/>
            <w:vAlign w:val="bottom"/>
          </w:tcPr>
          <w:p>
            <w:pPr>
              <w:spacing w:after="0"/>
              <w:rPr>
                <w:sz w:val="24"/>
                <w:szCs w:val="24"/>
                <w:color w:val="auto"/>
              </w:rPr>
            </w:pPr>
          </w:p>
        </w:tc>
        <w:tc>
          <w:tcPr>
            <w:tcW w:w="1046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XBRL Extension Definition</w:t>
            </w:r>
          </w:p>
        </w:tc>
      </w:tr>
      <w:tr>
        <w:trPr>
          <w:trHeight w:val="28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101.LAB</w:t>
            </w:r>
          </w:p>
        </w:tc>
        <w:tc>
          <w:tcPr>
            <w:tcW w:w="100" w:type="dxa"/>
            <w:vAlign w:val="bottom"/>
          </w:tcPr>
          <w:p>
            <w:pPr>
              <w:spacing w:after="0"/>
              <w:rPr>
                <w:sz w:val="24"/>
                <w:szCs w:val="24"/>
                <w:color w:val="auto"/>
              </w:rPr>
            </w:pPr>
          </w:p>
        </w:tc>
        <w:tc>
          <w:tcPr>
            <w:tcW w:w="1046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XBRL Extension Label</w:t>
            </w:r>
          </w:p>
        </w:tc>
      </w:tr>
      <w:tr>
        <w:trPr>
          <w:trHeight w:val="28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101.PRE</w:t>
            </w:r>
          </w:p>
        </w:tc>
        <w:tc>
          <w:tcPr>
            <w:tcW w:w="100" w:type="dxa"/>
            <w:vAlign w:val="bottom"/>
          </w:tcPr>
          <w:p>
            <w:pPr>
              <w:spacing w:after="0"/>
              <w:rPr>
                <w:sz w:val="24"/>
                <w:szCs w:val="24"/>
                <w:color w:val="auto"/>
              </w:rPr>
            </w:pPr>
          </w:p>
        </w:tc>
        <w:tc>
          <w:tcPr>
            <w:tcW w:w="1046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XBRL Extension Presentation</w:t>
            </w:r>
          </w:p>
        </w:tc>
      </w:tr>
      <w:tr>
        <w:trPr>
          <w:trHeight w:val="288"/>
        </w:trPr>
        <w:tc>
          <w:tcPr>
            <w:tcW w:w="920" w:type="dxa"/>
            <w:vAlign w:val="bottom"/>
          </w:tcPr>
          <w:p>
            <w:pPr>
              <w:spacing w:after="0"/>
              <w:rPr>
                <w:sz w:val="24"/>
                <w:szCs w:val="24"/>
                <w:color w:val="auto"/>
              </w:rPr>
            </w:pPr>
          </w:p>
        </w:tc>
        <w:tc>
          <w:tcPr>
            <w:tcW w:w="6280" w:type="dxa"/>
            <w:vAlign w:val="bottom"/>
            <w:gridSpan w:val="4"/>
          </w:tcPr>
          <w:p>
            <w:pPr>
              <w:jc w:val="right"/>
              <w:ind w:right="1340"/>
              <w:spacing w:after="0"/>
              <w:rPr>
                <w:sz w:val="20"/>
                <w:szCs w:val="20"/>
                <w:color w:val="auto"/>
              </w:rPr>
            </w:pPr>
            <w:r>
              <w:rPr>
                <w:rFonts w:ascii="Times New Roman" w:cs="Times New Roman" w:eastAsia="Times New Roman" w:hAnsi="Times New Roman"/>
                <w:sz w:val="12"/>
                <w:szCs w:val="12"/>
                <w:color w:val="auto"/>
              </w:rPr>
              <w:t>27</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2"/>
        </w:trPr>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38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r>
    </w:tbl>
    <w:p>
      <w:pPr>
        <w:sectPr>
          <w:pgSz w:w="11900" w:h="16838" w:orient="portrait"/>
          <w:cols w:equalWidth="0" w:num="1">
            <w:col w:w="11480"/>
          </w:cols>
          <w:pgMar w:left="220" w:top="431" w:right="199" w:bottom="1440" w:gutter="0" w:footer="0" w:header="0"/>
        </w:sectPr>
      </w:pPr>
    </w:p>
    <w:bookmarkStart w:id="28" w:name="page29"/>
    <w:bookmarkEnd w:id="28"/>
    <w:p>
      <w:pPr>
        <w:ind w:left="534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June 13, 2019</w:t>
      </w:r>
    </w:p>
    <w:p>
      <w:pPr>
        <w:spacing w:after="0" w:line="29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2"/>
          <w:szCs w:val="12"/>
          <w:color w:val="auto"/>
        </w:rPr>
        <w:t>BUILD-A-BEAR WORKSHOP, INC.</w:t>
      </w:r>
    </w:p>
    <w:p>
      <w:pPr>
        <w:spacing w:after="0" w:line="1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2"/>
          <w:szCs w:val="12"/>
          <w:color w:val="auto"/>
        </w:rPr>
        <w:t>(Registrant)</w:t>
      </w:r>
    </w:p>
    <w:p>
      <w:pPr>
        <w:spacing w:after="0" w:line="13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2"/>
          <w:szCs w:val="12"/>
          <w:color w:val="auto"/>
        </w:rPr>
        <w:t>By: /s/ Sharon John</w:t>
      </w:r>
    </w:p>
    <w:p>
      <w:pPr>
        <w:spacing w:after="0" w:line="1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-86995</wp:posOffset>
            </wp:positionV>
            <wp:extent cx="291719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ind w:left="6880"/>
        <w:spacing w:after="0"/>
        <w:rPr>
          <w:sz w:val="20"/>
          <w:szCs w:val="20"/>
          <w:color w:val="auto"/>
        </w:rPr>
      </w:pPr>
      <w:r>
        <w:rPr>
          <w:rFonts w:ascii="Times New Roman" w:cs="Times New Roman" w:eastAsia="Times New Roman" w:hAnsi="Times New Roman"/>
          <w:sz w:val="11"/>
          <w:szCs w:val="11"/>
          <w:color w:val="auto"/>
        </w:rPr>
        <w:t>President and Chief Executive Officer (on behalf of</w:t>
      </w:r>
    </w:p>
    <w:p>
      <w:pPr>
        <w:spacing w:after="0" w:line="18"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the registrant and as principal executive officer)</w:t>
      </w:r>
    </w:p>
    <w:p>
      <w:pPr>
        <w:spacing w:after="0" w:line="13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2"/>
          <w:szCs w:val="12"/>
          <w:color w:val="auto"/>
        </w:rPr>
        <w:t>By: /s/ Voin Todorovic</w:t>
      </w:r>
    </w:p>
    <w:p>
      <w:pPr>
        <w:spacing w:after="0" w:line="1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-86995</wp:posOffset>
            </wp:positionV>
            <wp:extent cx="291719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ind w:left="688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(on behalf of the registrant and as principal</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financial officer)</w:t>
      </w:r>
    </w:p>
    <w:p>
      <w:pPr>
        <w:spacing w:after="0" w:line="13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10239"/>
          </w:cols>
          <w:pgMar w:left="220" w:top="431"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302 OF THE SARBANES-OXLEY ACT OF 2002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AND RULE 13a-14(a)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Sharon John, certify that:</w:t>
      </w:r>
    </w:p>
    <w:p>
      <w:pPr>
        <w:spacing w:after="0" w:line="150" w:lineRule="exact"/>
        <w:rPr>
          <w:sz w:val="20"/>
          <w:szCs w:val="20"/>
          <w:color w:val="auto"/>
        </w:rPr>
      </w:pPr>
    </w:p>
    <w:p>
      <w:pPr>
        <w:ind w:left="760" w:hanging="381"/>
        <w:spacing w:after="0"/>
        <w:tabs>
          <w:tab w:leader="none" w:pos="7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Build-A-Bear Workshop, Inc.;</w:t>
      </w:r>
    </w:p>
    <w:p>
      <w:pPr>
        <w:spacing w:after="0" w:line="150" w:lineRule="exact"/>
        <w:rPr>
          <w:rFonts w:ascii="Times New Roman" w:cs="Times New Roman" w:eastAsia="Times New Roman" w:hAnsi="Times New Roman"/>
          <w:sz w:val="12"/>
          <w:szCs w:val="12"/>
          <w:color w:val="auto"/>
        </w:rPr>
      </w:pPr>
    </w:p>
    <w:p>
      <w:pPr>
        <w:ind w:left="760" w:right="80" w:hanging="381"/>
        <w:spacing w:after="0" w:line="280" w:lineRule="auto"/>
        <w:tabs>
          <w:tab w:leader="none" w:pos="7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2"/>
          <w:szCs w:val="12"/>
          <w:color w:val="auto"/>
        </w:rPr>
      </w:pPr>
    </w:p>
    <w:p>
      <w:pPr>
        <w:ind w:left="760" w:right="80" w:hanging="381"/>
        <w:spacing w:after="0" w:line="280" w:lineRule="auto"/>
        <w:tabs>
          <w:tab w:leader="none" w:pos="7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2"/>
          <w:szCs w:val="12"/>
          <w:color w:val="auto"/>
        </w:rPr>
      </w:pPr>
    </w:p>
    <w:p>
      <w:pPr>
        <w:ind w:left="760" w:right="280" w:hanging="381"/>
        <w:spacing w:after="0" w:line="280" w:lineRule="auto"/>
        <w:tabs>
          <w:tab w:leader="none" w:pos="7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Times New Roman" w:cs="Times New Roman" w:eastAsia="Times New Roman" w:hAnsi="Times New Roman"/>
          <w:sz w:val="12"/>
          <w:szCs w:val="12"/>
          <w:color w:val="auto"/>
        </w:rPr>
      </w:pPr>
    </w:p>
    <w:p>
      <w:pPr>
        <w:ind w:left="1140" w:right="120" w:hanging="373"/>
        <w:spacing w:after="0" w:line="280" w:lineRule="auto"/>
        <w:tabs>
          <w:tab w:leader="none" w:pos="1140" w:val="left"/>
        </w:tabs>
        <w:numPr>
          <w:ilvl w:val="1"/>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2"/>
          <w:szCs w:val="12"/>
          <w:color w:val="auto"/>
        </w:rPr>
      </w:pPr>
    </w:p>
    <w:p>
      <w:pPr>
        <w:ind w:left="1140" w:right="320" w:hanging="373"/>
        <w:spacing w:after="0" w:line="280" w:lineRule="auto"/>
        <w:tabs>
          <w:tab w:leader="none" w:pos="1140" w:val="left"/>
        </w:tabs>
        <w:numPr>
          <w:ilvl w:val="1"/>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2"/>
          <w:szCs w:val="12"/>
          <w:color w:val="auto"/>
        </w:rPr>
      </w:pPr>
    </w:p>
    <w:p>
      <w:pPr>
        <w:ind w:left="1140" w:right="240" w:hanging="373"/>
        <w:spacing w:after="0" w:line="280" w:lineRule="auto"/>
        <w:tabs>
          <w:tab w:leader="none" w:pos="1140" w:val="left"/>
        </w:tabs>
        <w:numPr>
          <w:ilvl w:val="1"/>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2"/>
          <w:szCs w:val="12"/>
          <w:color w:val="auto"/>
        </w:rPr>
      </w:pPr>
    </w:p>
    <w:p>
      <w:pPr>
        <w:ind w:left="1140" w:right="280" w:hanging="373"/>
        <w:spacing w:after="0" w:line="280" w:lineRule="auto"/>
        <w:tabs>
          <w:tab w:leader="none" w:pos="1140" w:val="left"/>
        </w:tabs>
        <w:numPr>
          <w:ilvl w:val="1"/>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Times New Roman" w:cs="Times New Roman" w:eastAsia="Times New Roman" w:hAnsi="Times New Roman"/>
          <w:sz w:val="12"/>
          <w:szCs w:val="12"/>
          <w:color w:val="auto"/>
        </w:rPr>
      </w:pPr>
    </w:p>
    <w:p>
      <w:pPr>
        <w:ind w:left="760" w:right="60" w:hanging="381"/>
        <w:spacing w:after="0" w:line="280" w:lineRule="auto"/>
        <w:tabs>
          <w:tab w:leader="none" w:pos="7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2"/>
          <w:szCs w:val="12"/>
          <w:color w:val="auto"/>
        </w:rPr>
      </w:pPr>
    </w:p>
    <w:p>
      <w:pPr>
        <w:ind w:left="1700" w:right="120" w:hanging="510"/>
        <w:spacing w:after="0" w:line="280" w:lineRule="auto"/>
        <w:tabs>
          <w:tab w:leader="none" w:pos="1700" w:val="left"/>
        </w:tabs>
        <w:numPr>
          <w:ilvl w:val="2"/>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2"/>
          <w:szCs w:val="12"/>
          <w:color w:val="auto"/>
        </w:rPr>
      </w:pPr>
    </w:p>
    <w:p>
      <w:pPr>
        <w:ind w:left="1700" w:hanging="510"/>
        <w:spacing w:after="0"/>
        <w:tabs>
          <w:tab w:leader="none" w:pos="1700" w:val="left"/>
        </w:tabs>
        <w:numPr>
          <w:ilvl w:val="2"/>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/s/ Sharon John</w:t>
      </w:r>
    </w:p>
    <w:p>
      <w:pPr>
        <w:spacing w:after="0" w:line="1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-86995</wp:posOffset>
            </wp:positionV>
            <wp:extent cx="291719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ind w:left="688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Build-A-Bear Workshop, Inc.</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June 13, 2019</w:t>
      </w:r>
    </w:p>
    <w:p>
      <w:pPr>
        <w:sectPr>
          <w:pgSz w:w="11900" w:h="16838" w:orient="portrait"/>
          <w:cols w:equalWidth="0" w:num="1">
            <w:col w:w="11480"/>
          </w:cols>
          <w:pgMar w:left="220" w:top="125" w:right="1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302 OF THE SARBANES-OXLEY ACT OF 2002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AND RULE 13a-14(a)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Voin Todorovic, certify that:</w:t>
      </w:r>
    </w:p>
    <w:p>
      <w:pPr>
        <w:spacing w:after="0" w:line="150" w:lineRule="exact"/>
        <w:rPr>
          <w:sz w:val="20"/>
          <w:szCs w:val="20"/>
          <w:color w:val="auto"/>
        </w:rPr>
      </w:pPr>
    </w:p>
    <w:p>
      <w:pPr>
        <w:ind w:left="760" w:hanging="381"/>
        <w:spacing w:after="0"/>
        <w:tabs>
          <w:tab w:leader="none" w:pos="7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Build-A-Bear Workshop, Inc.;</w:t>
      </w:r>
    </w:p>
    <w:p>
      <w:pPr>
        <w:spacing w:after="0" w:line="150" w:lineRule="exact"/>
        <w:rPr>
          <w:rFonts w:ascii="Times New Roman" w:cs="Times New Roman" w:eastAsia="Times New Roman" w:hAnsi="Times New Roman"/>
          <w:sz w:val="12"/>
          <w:szCs w:val="12"/>
          <w:color w:val="auto"/>
        </w:rPr>
      </w:pPr>
    </w:p>
    <w:p>
      <w:pPr>
        <w:ind w:left="760" w:right="80" w:hanging="381"/>
        <w:spacing w:after="0" w:line="280" w:lineRule="auto"/>
        <w:tabs>
          <w:tab w:leader="none" w:pos="7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2"/>
          <w:szCs w:val="12"/>
          <w:color w:val="auto"/>
        </w:rPr>
      </w:pPr>
    </w:p>
    <w:p>
      <w:pPr>
        <w:ind w:left="760" w:right="80" w:hanging="381"/>
        <w:spacing w:after="0" w:line="280" w:lineRule="auto"/>
        <w:tabs>
          <w:tab w:leader="none" w:pos="7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2"/>
          <w:szCs w:val="12"/>
          <w:color w:val="auto"/>
        </w:rPr>
      </w:pPr>
    </w:p>
    <w:p>
      <w:pPr>
        <w:ind w:left="760" w:right="280" w:hanging="381"/>
        <w:spacing w:after="0" w:line="280" w:lineRule="auto"/>
        <w:tabs>
          <w:tab w:leader="none" w:pos="7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Times New Roman" w:cs="Times New Roman" w:eastAsia="Times New Roman" w:hAnsi="Times New Roman"/>
          <w:sz w:val="12"/>
          <w:szCs w:val="12"/>
          <w:color w:val="auto"/>
        </w:rPr>
      </w:pPr>
    </w:p>
    <w:p>
      <w:pPr>
        <w:ind w:left="1140" w:right="120" w:hanging="373"/>
        <w:spacing w:after="0" w:line="280" w:lineRule="auto"/>
        <w:tabs>
          <w:tab w:leader="none" w:pos="1140"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2"/>
          <w:szCs w:val="12"/>
          <w:color w:val="auto"/>
        </w:rPr>
      </w:pPr>
    </w:p>
    <w:p>
      <w:pPr>
        <w:ind w:left="1140" w:right="320" w:hanging="373"/>
        <w:spacing w:after="0" w:line="280" w:lineRule="auto"/>
        <w:tabs>
          <w:tab w:leader="none" w:pos="1140"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2"/>
          <w:szCs w:val="12"/>
          <w:color w:val="auto"/>
        </w:rPr>
      </w:pPr>
    </w:p>
    <w:p>
      <w:pPr>
        <w:ind w:left="1140" w:right="240" w:hanging="373"/>
        <w:spacing w:after="0" w:line="280" w:lineRule="auto"/>
        <w:tabs>
          <w:tab w:leader="none" w:pos="1140"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2"/>
          <w:szCs w:val="12"/>
          <w:color w:val="auto"/>
        </w:rPr>
      </w:pPr>
    </w:p>
    <w:p>
      <w:pPr>
        <w:ind w:left="1140" w:right="280" w:hanging="373"/>
        <w:spacing w:after="0" w:line="280" w:lineRule="auto"/>
        <w:tabs>
          <w:tab w:leader="none" w:pos="1140"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Times New Roman" w:cs="Times New Roman" w:eastAsia="Times New Roman" w:hAnsi="Times New Roman"/>
          <w:sz w:val="12"/>
          <w:szCs w:val="12"/>
          <w:color w:val="auto"/>
        </w:rPr>
      </w:pPr>
    </w:p>
    <w:p>
      <w:pPr>
        <w:ind w:left="760" w:right="60" w:hanging="381"/>
        <w:spacing w:after="0" w:line="280" w:lineRule="auto"/>
        <w:tabs>
          <w:tab w:leader="none" w:pos="7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2"/>
          <w:szCs w:val="12"/>
          <w:color w:val="auto"/>
        </w:rPr>
      </w:pPr>
    </w:p>
    <w:p>
      <w:pPr>
        <w:ind w:left="1140" w:right="260" w:hanging="373"/>
        <w:spacing w:after="0" w:line="280" w:lineRule="auto"/>
        <w:tabs>
          <w:tab w:leader="none" w:pos="1140"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2"/>
          <w:szCs w:val="12"/>
          <w:color w:val="auto"/>
        </w:rPr>
      </w:pPr>
    </w:p>
    <w:p>
      <w:pPr>
        <w:ind w:left="1140" w:hanging="373"/>
        <w:spacing w:after="0"/>
        <w:tabs>
          <w:tab w:leader="none" w:pos="1140"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/s/ Voin Todorovic</w:t>
      </w:r>
    </w:p>
    <w:p>
      <w:pPr>
        <w:spacing w:after="0" w:line="1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-86995</wp:posOffset>
            </wp:positionV>
            <wp:extent cx="291719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ind w:left="688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Build-A-Bear Workshop, Inc.</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(Principal Financial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June 13, 2019</w:t>
      </w:r>
    </w:p>
    <w:p>
      <w:pPr>
        <w:sectPr>
          <w:pgSz w:w="11900" w:h="16838" w:orient="portrait"/>
          <w:cols w:equalWidth="0" w:num="1">
            <w:col w:w="11480"/>
          </w:cols>
          <w:pgMar w:left="220" w:top="125" w:right="19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In connection with the quarterly report of Build-A-Bear Workshop, Inc. (the “Company”) on Form 10-Q for the period ended May 4, 2019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19" w:lineRule="exact"/>
        <w:rPr>
          <w:sz w:val="20"/>
          <w:szCs w:val="20"/>
          <w:color w:val="auto"/>
        </w:rPr>
      </w:pPr>
    </w:p>
    <w:p>
      <w:pPr>
        <w:ind w:left="600" w:hanging="176"/>
        <w:spacing w:after="0"/>
        <w:tabs>
          <w:tab w:leader="none" w:pos="6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50" w:lineRule="exact"/>
        <w:rPr>
          <w:rFonts w:ascii="Times New Roman" w:cs="Times New Roman" w:eastAsia="Times New Roman" w:hAnsi="Times New Roman"/>
          <w:sz w:val="12"/>
          <w:szCs w:val="12"/>
          <w:color w:val="auto"/>
        </w:rPr>
      </w:pPr>
    </w:p>
    <w:p>
      <w:pPr>
        <w:ind w:left="600" w:hanging="176"/>
        <w:spacing w:after="0"/>
        <w:tabs>
          <w:tab w:leader="none" w:pos="6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29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/s/ Sharon John</w:t>
      </w:r>
    </w:p>
    <w:p>
      <w:pPr>
        <w:spacing w:after="0" w:line="1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-86995</wp:posOffset>
            </wp:positionV>
            <wp:extent cx="291719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ind w:left="688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Build-A-Bear Workshop, Inc.</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June 13, 2019</w:t>
      </w:r>
    </w:p>
    <w:p>
      <w:pPr>
        <w:sectPr>
          <w:pgSz w:w="11900" w:h="16838" w:orient="portrait"/>
          <w:cols w:equalWidth="0" w:num="1">
            <w:col w:w="11480"/>
          </w:cols>
          <w:pgMar w:left="220" w:top="125" w:right="1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2"/>
          <w:szCs w:val="12"/>
          <w:color w:val="auto"/>
        </w:rPr>
        <w:t>In connection with the quarterly report of Build-A-Bear Workshop, Inc. (the “Company”) on Form 10-Q for the period ended May 4, 2019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19" w:lineRule="exact"/>
        <w:rPr>
          <w:sz w:val="20"/>
          <w:szCs w:val="20"/>
          <w:color w:val="auto"/>
        </w:rPr>
      </w:pPr>
    </w:p>
    <w:p>
      <w:pPr>
        <w:ind w:left="600" w:hanging="176"/>
        <w:spacing w:after="0"/>
        <w:tabs>
          <w:tab w:leader="none" w:pos="60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50" w:lineRule="exact"/>
        <w:rPr>
          <w:rFonts w:ascii="Times New Roman" w:cs="Times New Roman" w:eastAsia="Times New Roman" w:hAnsi="Times New Roman"/>
          <w:sz w:val="12"/>
          <w:szCs w:val="12"/>
          <w:color w:val="auto"/>
        </w:rPr>
      </w:pPr>
    </w:p>
    <w:p>
      <w:pPr>
        <w:ind w:left="600" w:hanging="176"/>
        <w:spacing w:after="0"/>
        <w:tabs>
          <w:tab w:leader="none" w:pos="60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29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/s/ Voin Todorovic</w:t>
      </w:r>
    </w:p>
    <w:p>
      <w:pPr>
        <w:spacing w:after="0" w:line="1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-86995</wp:posOffset>
            </wp:positionV>
            <wp:extent cx="291719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ind w:left="688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Build-A-Bear Workshop, Inc</w:t>
      </w:r>
      <w:r>
        <w:rPr>
          <w:rFonts w:ascii="Times New Roman" w:cs="Times New Roman" w:eastAsia="Times New Roman" w:hAnsi="Times New Roman"/>
          <w:sz w:val="12"/>
          <w:szCs w:val="12"/>
          <w:i w:val="1"/>
          <w:iCs w:val="1"/>
          <w:color w:val="auto"/>
        </w:rPr>
        <w:t>.</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(Principal Financial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June 13, 2019</w:t>
      </w:r>
    </w:p>
    <w:sectPr>
      <w:pgSz w:w="11900" w:h="16838" w:orient="portrait"/>
      <w:cols w:equalWidth="0" w:num="1">
        <w:col w:w="11480"/>
      </w:cols>
      <w:pgMar w:left="22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lvl w:ilvl="1">
      <w:lvlJc w:val="left"/>
      <w:lvlText w:val="(%2)"/>
      <w:numFmt w:val="decimal"/>
      <w:start w:val="1"/>
    </w:lvl>
  </w:abstractNum>
  <w:abstractNum w:abstractNumId="5">
    <w:nsid w:val="3352255A"/>
    <w:multiLevelType w:val="hybridMultilevel"/>
    <w:lvl w:ilvl="0">
      <w:lvlJc w:val="left"/>
      <w:lvlText w:val="%1."/>
      <w:numFmt w:val="decimal"/>
      <w:start w:val="5"/>
    </w:lvl>
    <w:lvl w:ilvl="1">
      <w:lvlJc w:val="left"/>
      <w:lvlText w:val="%2"/>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7"/>
    </w:lvl>
  </w:abstractNum>
  <w:abstractNum w:abstractNumId="14">
    <w:nsid w:val="519B500D"/>
    <w:multiLevelType w:val="hybridMultilevel"/>
    <w:lvl w:ilvl="0">
      <w:lvlJc w:val="left"/>
      <w:lvlText w:val="(%1)"/>
      <w:numFmt w:val="decimal"/>
      <w:start w:val="1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47" Type="http://schemas.openxmlformats.org/officeDocument/2006/relationships/hyperlink" Target="http://www.sec.gov/Archives/edgar/data/1113809/000095013704006634/c86750exv2w1.txt" TargetMode="External"/><Relationship Id="rId48" Type="http://schemas.openxmlformats.org/officeDocument/2006/relationships/hyperlink" Target="http://www.sec.gov/Archives/edgar/data/1113809/000095013804000748/exh3-1.htm" TargetMode="External"/><Relationship Id="rId49" Type="http://schemas.openxmlformats.org/officeDocument/2006/relationships/hyperlink" Target="http://www.sec.gov/Archives/edgar/data/1113809/000115752316004713/a51286063ex3_1.htm" TargetMode="External"/><Relationship Id="rId50" Type="http://schemas.openxmlformats.org/officeDocument/2006/relationships/hyperlink" Target="http://www.sec.gov/Archives/edgar/data/1113809/000095013704008227/c86750a3exv4w1.txt" TargetMode="External"/><Relationship Id="rId51" Type="http://schemas.openxmlformats.org/officeDocument/2006/relationships/hyperlink" Target="http://www.sec.gov/Archives/edgar/data/1113809/000143774919007569/ex_141143.htm" TargetMode="External"/><Relationship Id="rId52" Type="http://schemas.openxmlformats.org/officeDocument/2006/relationships/hyperlink" Target="http://www.sec.gov/Archives/edgar/data/1113809/000143774919007569/ex_141145.htm" TargetMode="External"/><Relationship Id="rId53" Type="http://schemas.openxmlformats.org/officeDocument/2006/relationships/hyperlink" Target="http://www.sec.gov/Archives/edgar/data/1113809/000143774919007569/ex_1411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2019-12-28T10:53:17Z</dcterms:created>
  <dcterms:modified xsi:type="dcterms:W3CDTF">2019-12-28T10:53:17Z</dcterms:modified>
</cp:coreProperties>
</file>