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245110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92710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9"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40" w:right="4460" w:hanging="432"/>
        <w:spacing w:after="0" w:line="253" w:lineRule="auto"/>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January 2,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1784985</wp:posOffset>
            </wp:positionH>
            <wp:positionV relativeFrom="paragraph">
              <wp:posOffset>-20320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74295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BUILD-A-BEAR</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WORKSHOP,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73025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43-1883836</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
          </w:tcPr>
          <w:p>
            <w:pPr>
              <w:jc w:val="center"/>
              <w:ind w:left="1430"/>
              <w:spacing w:after="0"/>
              <w:rPr>
                <w:sz w:val="20"/>
                <w:szCs w:val="20"/>
                <w:color w:val="auto"/>
              </w:rPr>
            </w:pPr>
            <w:r>
              <w:rPr>
                <w:rFonts w:ascii="Arial" w:cs="Arial" w:eastAsia="Arial" w:hAnsi="Arial"/>
                <w:sz w:val="18"/>
                <w:szCs w:val="18"/>
                <w:b w:val="1"/>
                <w:bCs w:val="1"/>
                <w:i w:val="1"/>
                <w:iCs w:val="1"/>
                <w:color w:val="auto"/>
                <w:w w:val="91"/>
              </w:rPr>
              <w:t>(I.R.S. Employer</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4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
          </w:tcPr>
          <w:p>
            <w:pPr>
              <w:jc w:val="center"/>
              <w:ind w:left="1430"/>
              <w:spacing w:after="0"/>
              <w:rPr>
                <w:sz w:val="20"/>
                <w:szCs w:val="20"/>
                <w:color w:val="auto"/>
              </w:rPr>
            </w:pPr>
            <w:r>
              <w:rPr>
                <w:rFonts w:ascii="Arial" w:cs="Arial" w:eastAsia="Arial" w:hAnsi="Arial"/>
                <w:sz w:val="18"/>
                <w:szCs w:val="18"/>
                <w:b w:val="1"/>
                <w:bCs w:val="1"/>
                <w:i w:val="1"/>
                <w:iCs w:val="1"/>
                <w:color w:val="auto"/>
                <w:w w:val="90"/>
              </w:rPr>
              <w:t>Identification No.)</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4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St. Louis, Missouri</w:t>
            </w:r>
          </w:p>
        </w:tc>
        <w:tc>
          <w:tcPr>
            <w:tcW w:w="420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63114</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40" w:type="dxa"/>
            <w:vAlign w:val="bottom"/>
          </w:tcPr>
          <w:p>
            <w:pPr>
              <w:jc w:val="center"/>
              <w:ind w:left="510"/>
              <w:spacing w:after="0"/>
              <w:rPr>
                <w:sz w:val="20"/>
                <w:szCs w:val="20"/>
                <w:color w:val="auto"/>
              </w:rPr>
            </w:pPr>
            <w:r>
              <w:rPr>
                <w:rFonts w:ascii="Arial" w:cs="Arial" w:eastAsia="Arial" w:hAnsi="Arial"/>
                <w:sz w:val="18"/>
                <w:szCs w:val="18"/>
                <w:b w:val="1"/>
                <w:bCs w:val="1"/>
                <w:i w:val="1"/>
                <w:iCs w:val="1"/>
                <w:color w:val="auto"/>
                <w:w w:val="87"/>
              </w:rPr>
              <w:t>(Address of Principal Executive Offices)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60" w:type="dxa"/>
            <w:vAlign w:val="bottom"/>
            <w:gridSpan w:val="2"/>
          </w:tcPr>
          <w:p>
            <w:pPr>
              <w:jc w:val="center"/>
              <w:ind w:left="1430"/>
              <w:spacing w:after="0"/>
              <w:rPr>
                <w:sz w:val="20"/>
                <w:szCs w:val="20"/>
                <w:color w:val="auto"/>
              </w:rPr>
            </w:pPr>
            <w:r>
              <w:rPr>
                <w:rFonts w:ascii="Arial" w:cs="Arial" w:eastAsia="Arial" w:hAnsi="Arial"/>
                <w:sz w:val="18"/>
                <w:szCs w:val="18"/>
                <w:b w:val="1"/>
                <w:bCs w:val="1"/>
                <w:i w:val="1"/>
                <w:iCs w:val="1"/>
                <w:color w:val="auto"/>
                <w:w w:val="87"/>
              </w:rPr>
              <w:t>(Zip Code)</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40" w:type="dxa"/>
            <w:vAlign w:val="bottom"/>
          </w:tcPr>
          <w:p>
            <w:pPr>
              <w:spacing w:after="0"/>
              <w:rPr>
                <w:sz w:val="19"/>
                <w:szCs w:val="19"/>
                <w:color w:val="auto"/>
              </w:rPr>
            </w:pPr>
          </w:p>
        </w:tc>
        <w:tc>
          <w:tcPr>
            <w:tcW w:w="3480" w:type="dxa"/>
            <w:vAlign w:val="bottom"/>
            <w:gridSpan w:val="4"/>
          </w:tcPr>
          <w:p>
            <w:pPr>
              <w:jc w:val="center"/>
              <w:ind w:right="2190"/>
              <w:spacing w:after="0"/>
              <w:rPr>
                <w:sz w:val="20"/>
                <w:szCs w:val="20"/>
                <w:color w:val="auto"/>
              </w:rPr>
            </w:pPr>
            <w:r>
              <w:rPr>
                <w:rFonts w:ascii="Arial" w:cs="Arial" w:eastAsia="Arial" w:hAnsi="Arial"/>
                <w:sz w:val="18"/>
                <w:szCs w:val="18"/>
                <w:b w:val="1"/>
                <w:bCs w:val="1"/>
                <w:color w:val="auto"/>
                <w:w w:val="90"/>
              </w:rPr>
              <w:t>(314) 423-8000</w:t>
            </w:r>
          </w:p>
        </w:tc>
        <w:tc>
          <w:tcPr>
            <w:tcW w:w="7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5"/>
          </w:tcPr>
          <w:p>
            <w:pPr>
              <w:jc w:val="center"/>
              <w:ind w:left="2710"/>
              <w:spacing w:after="0"/>
              <w:rPr>
                <w:sz w:val="20"/>
                <w:szCs w:val="20"/>
                <w:color w:val="auto"/>
              </w:rPr>
            </w:pPr>
            <w:r>
              <w:rPr>
                <w:rFonts w:ascii="Arial" w:cs="Arial" w:eastAsia="Arial" w:hAnsi="Arial"/>
                <w:sz w:val="18"/>
                <w:szCs w:val="18"/>
                <w:b w:val="1"/>
                <w:bCs w:val="1"/>
                <w:i w:val="1"/>
                <w:iCs w:val="1"/>
                <w:color w:val="auto"/>
                <w:w w:val="87"/>
              </w:rPr>
              <w:t>(Registrant’s Telephone Number, Including Area Code)</w:t>
            </w:r>
          </w:p>
        </w:tc>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8620" w:type="dxa"/>
            <w:vAlign w:val="bottom"/>
            <w:gridSpan w:val="5"/>
          </w:tcPr>
          <w:p>
            <w:pPr>
              <w:jc w:val="center"/>
              <w:ind w:left="2730"/>
              <w:spacing w:after="0"/>
              <w:rPr>
                <w:sz w:val="20"/>
                <w:szCs w:val="20"/>
                <w:color w:val="auto"/>
              </w:rPr>
            </w:pPr>
            <w:r>
              <w:rPr>
                <w:rFonts w:ascii="Arial" w:cs="Arial" w:eastAsia="Arial" w:hAnsi="Arial"/>
                <w:sz w:val="18"/>
                <w:szCs w:val="18"/>
                <w:b w:val="1"/>
                <w:bCs w:val="1"/>
                <w:color w:val="auto"/>
                <w:w w:val="88"/>
              </w:rPr>
              <w:t>Securities registered pursuant to Section 12(b)</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480" w:type="dxa"/>
            <w:vAlign w:val="bottom"/>
            <w:gridSpan w:val="4"/>
          </w:tcPr>
          <w:p>
            <w:pPr>
              <w:jc w:val="center"/>
              <w:ind w:right="2230"/>
              <w:spacing w:after="0"/>
              <w:rPr>
                <w:sz w:val="20"/>
                <w:szCs w:val="20"/>
                <w:color w:val="auto"/>
              </w:rPr>
            </w:pPr>
            <w:r>
              <w:rPr>
                <w:rFonts w:ascii="Arial" w:cs="Arial" w:eastAsia="Arial" w:hAnsi="Arial"/>
                <w:sz w:val="18"/>
                <w:szCs w:val="18"/>
                <w:b w:val="1"/>
                <w:bCs w:val="1"/>
                <w:color w:val="auto"/>
                <w:w w:val="89"/>
              </w:rPr>
              <w:t>of the Act:</w:t>
            </w:r>
          </w:p>
        </w:tc>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1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Title of Each Class</w:t>
            </w: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514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40" w:type="dxa"/>
            <w:vAlign w:val="bottom"/>
            <w:gridSpan w:val="3"/>
          </w:tcPr>
          <w:p>
            <w:pPr>
              <w:ind w:left="1420"/>
              <w:spacing w:after="0"/>
              <w:rPr>
                <w:sz w:val="20"/>
                <w:szCs w:val="20"/>
                <w:color w:val="auto"/>
              </w:rPr>
            </w:pPr>
            <w:r>
              <w:rPr>
                <w:rFonts w:ascii="Arial" w:cs="Arial" w:eastAsia="Arial" w:hAnsi="Arial"/>
                <w:sz w:val="18"/>
                <w:szCs w:val="18"/>
                <w:b w:val="1"/>
                <w:bCs w:val="1"/>
                <w:color w:val="auto"/>
              </w:rPr>
              <w:t>New York Stock Exchange</w:t>
            </w:r>
          </w:p>
        </w:tc>
        <w:tc>
          <w:tcPr>
            <w:tcW w:w="0" w:type="dxa"/>
            <w:vAlign w:val="bottom"/>
          </w:tcPr>
          <w:p>
            <w:pPr>
              <w:spacing w:after="0"/>
              <w:rPr>
                <w:sz w:val="1"/>
                <w:szCs w:val="1"/>
                <w:color w:val="auto"/>
              </w:rPr>
            </w:pPr>
          </w:p>
        </w:tc>
      </w:tr>
      <w:tr>
        <w:trPr>
          <w:trHeight w:val="414"/>
        </w:trPr>
        <w:tc>
          <w:tcPr>
            <w:tcW w:w="8620" w:type="dxa"/>
            <w:vAlign w:val="bottom"/>
            <w:gridSpan w:val="5"/>
          </w:tcPr>
          <w:p>
            <w:pPr>
              <w:jc w:val="center"/>
              <w:ind w:left="273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1140" w:type="dxa"/>
            <w:vAlign w:val="bottom"/>
            <w:tcBorders>
              <w:bottom w:val="single" w:sz="8" w:color="auto"/>
            </w:tcBorders>
            <w:gridSpan w:val="3"/>
          </w:tcPr>
          <w:p>
            <w:pPr>
              <w:spacing w:after="0"/>
              <w:rPr>
                <w:sz w:val="9"/>
                <w:szCs w:val="9"/>
                <w:color w:val="auto"/>
              </w:rPr>
            </w:pPr>
          </w:p>
        </w:tc>
        <w:tc>
          <w:tcPr>
            <w:tcW w:w="2340" w:type="dxa"/>
            <w:vAlign w:val="bottom"/>
          </w:tcPr>
          <w:p>
            <w:pPr>
              <w:spacing w:after="0"/>
              <w:rPr>
                <w:sz w:val="9"/>
                <w:szCs w:val="9"/>
                <w:color w:val="auto"/>
              </w:rPr>
            </w:pPr>
          </w:p>
        </w:tc>
        <w:tc>
          <w:tcPr>
            <w:tcW w:w="72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208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271"/>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Yes</w:t>
            </w:r>
          </w:p>
        </w:tc>
        <w:tc>
          <w:tcPr>
            <w:tcW w:w="20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bl>
    <w:p>
      <w:pPr>
        <w:ind w:right="48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40"/>
        <w:spacing w:after="0" w:line="28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0" w:lineRule="exact"/>
        <w:rPr>
          <w:sz w:val="24"/>
          <w:szCs w:val="24"/>
          <w:color w:val="auto"/>
        </w:rPr>
      </w:pPr>
    </w:p>
    <w:p>
      <w:pPr>
        <w:ind w:left="1780"/>
        <w:spacing w:after="0" w:line="207" w:lineRule="exact"/>
        <w:tabs>
          <w:tab w:leader="none" w:pos="3800" w:val="left"/>
          <w:tab w:leader="none" w:pos="5440" w:val="left"/>
          <w:tab w:leader="none" w:pos="74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tabs>
          <w:tab w:leader="none" w:pos="76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58"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There is no non-voting common equity. The aggregate market value of the common stock held by nonaffiliates (based upon the closing price of $15.76 for the shares on the New York Stock Exchange on July 2, 2015) was $223,366,732 as of July 4, 2015.</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As of March 11, 2016, there were 15,829,725 issued and outstanding shares of the registrant’s common stock.</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its May 12, 2016 Annual Meeting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40" w:type="dxa"/>
            <w:vAlign w:val="bottom"/>
          </w:tcPr>
          <w:p>
            <w:pPr>
              <w:ind w:left="3420"/>
              <w:spacing w:after="0"/>
              <w:rPr>
                <w:sz w:val="20"/>
                <w:szCs w:val="20"/>
                <w:color w:val="auto"/>
              </w:rPr>
            </w:pPr>
            <w:r>
              <w:rPr>
                <w:rFonts w:ascii="Arial" w:cs="Arial" w:eastAsia="Arial" w:hAnsi="Arial"/>
                <w:sz w:val="18"/>
                <w:szCs w:val="18"/>
                <w:b w:val="1"/>
                <w:bCs w:val="1"/>
                <w:color w:val="auto"/>
              </w:rPr>
              <w:t>BUILD-A-BEAR WORKSHOP, INC.</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40" w:type="dxa"/>
            <w:vAlign w:val="bottom"/>
          </w:tcPr>
          <w:p>
            <w:pPr>
              <w:ind w:left="3920"/>
              <w:spacing w:after="0"/>
              <w:rPr>
                <w:sz w:val="20"/>
                <w:szCs w:val="20"/>
                <w:color w:val="auto"/>
              </w:rPr>
            </w:pPr>
            <w:r>
              <w:rPr>
                <w:rFonts w:ascii="Arial" w:cs="Arial" w:eastAsia="Arial" w:hAnsi="Arial"/>
                <w:sz w:val="18"/>
                <w:szCs w:val="18"/>
                <w:b w:val="1"/>
                <w:bCs w:val="1"/>
                <w:color w:val="auto"/>
              </w:rPr>
              <w:t>INDEX TO FORM 10-K</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5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8"/>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9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Part I</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Business</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9"/>
              </w:rPr>
              <w:t>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040" w:type="dxa"/>
            <w:vAlign w:val="bottom"/>
          </w:tcPr>
          <w:p>
            <w:pPr>
              <w:ind w:left="60"/>
              <w:spacing w:after="0"/>
              <w:rPr>
                <w:sz w:val="20"/>
                <w:szCs w:val="20"/>
                <w:color w:val="auto"/>
              </w:rPr>
            </w:pPr>
            <w:r>
              <w:rPr>
                <w:rFonts w:ascii="Arial" w:cs="Arial" w:eastAsia="Arial" w:hAnsi="Arial"/>
                <w:sz w:val="18"/>
                <w:szCs w:val="18"/>
                <w:color w:val="auto"/>
              </w:rPr>
              <w:t>Risk Factors</w:t>
            </w:r>
          </w:p>
        </w:tc>
        <w:tc>
          <w:tcPr>
            <w:tcW w:w="1280" w:type="dxa"/>
            <w:vAlign w:val="bottom"/>
            <w:gridSpan w:val="2"/>
          </w:tcPr>
          <w:p>
            <w:pPr>
              <w:jc w:val="center"/>
              <w:ind w:left="810"/>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Unresolved Staff Comments</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040" w:type="dxa"/>
            <w:vAlign w:val="bottom"/>
          </w:tcPr>
          <w:p>
            <w:pPr>
              <w:ind w:left="60"/>
              <w:spacing w:after="0"/>
              <w:rPr>
                <w:sz w:val="20"/>
                <w:szCs w:val="20"/>
                <w:color w:val="auto"/>
              </w:rPr>
            </w:pPr>
            <w:r>
              <w:rPr>
                <w:rFonts w:ascii="Arial" w:cs="Arial" w:eastAsia="Arial" w:hAnsi="Arial"/>
                <w:sz w:val="18"/>
                <w:szCs w:val="18"/>
                <w:color w:val="auto"/>
              </w:rPr>
              <w:t>Properties</w:t>
            </w:r>
          </w:p>
        </w:tc>
        <w:tc>
          <w:tcPr>
            <w:tcW w:w="128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Legal Proceedings</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040" w:type="dxa"/>
            <w:vAlign w:val="bottom"/>
          </w:tcPr>
          <w:p>
            <w:pPr>
              <w:ind w:left="60"/>
              <w:spacing w:after="0"/>
              <w:rPr>
                <w:sz w:val="20"/>
                <w:szCs w:val="20"/>
                <w:color w:val="auto"/>
              </w:rPr>
            </w:pPr>
            <w:r>
              <w:rPr>
                <w:rFonts w:ascii="Arial" w:cs="Arial" w:eastAsia="Arial" w:hAnsi="Arial"/>
                <w:sz w:val="18"/>
                <w:szCs w:val="18"/>
                <w:color w:val="auto"/>
              </w:rPr>
              <w:t>Mine Safety Disclosure</w:t>
            </w:r>
          </w:p>
        </w:tc>
        <w:tc>
          <w:tcPr>
            <w:tcW w:w="128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4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rPr>
              <w:t>Part II</w:t>
            </w: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040" w:type="dxa"/>
            <w:vAlign w:val="bottom"/>
          </w:tcPr>
          <w:p>
            <w:pPr>
              <w:ind w:left="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28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13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Selected Financial Data</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16</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7.</w:t>
            </w:r>
          </w:p>
        </w:tc>
        <w:tc>
          <w:tcPr>
            <w:tcW w:w="904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8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18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31</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8.</w:t>
            </w:r>
          </w:p>
        </w:tc>
        <w:tc>
          <w:tcPr>
            <w:tcW w:w="9040" w:type="dxa"/>
            <w:vAlign w:val="bottom"/>
          </w:tcPr>
          <w:p>
            <w:pPr>
              <w:ind w:left="60"/>
              <w:spacing w:after="0"/>
              <w:rPr>
                <w:sz w:val="20"/>
                <w:szCs w:val="20"/>
                <w:color w:val="auto"/>
              </w:rPr>
            </w:pPr>
            <w:r>
              <w:rPr>
                <w:rFonts w:ascii="Arial" w:cs="Arial" w:eastAsia="Arial" w:hAnsi="Arial"/>
                <w:sz w:val="18"/>
                <w:szCs w:val="18"/>
                <w:color w:val="auto"/>
              </w:rPr>
              <w:t>Financial Statements and Supplementary Data</w:t>
            </w:r>
          </w:p>
        </w:tc>
        <w:tc>
          <w:tcPr>
            <w:tcW w:w="128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31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31</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9A.</w:t>
            </w:r>
          </w:p>
        </w:tc>
        <w:tc>
          <w:tcPr>
            <w:tcW w:w="904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128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32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33</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40" w:type="dxa"/>
            <w:vAlign w:val="bottom"/>
          </w:tcPr>
          <w:p>
            <w:pPr>
              <w:jc w:val="center"/>
              <w:ind w:right="110"/>
              <w:spacing w:after="0"/>
              <w:rPr>
                <w:sz w:val="20"/>
                <w:szCs w:val="20"/>
                <w:color w:val="auto"/>
              </w:rPr>
            </w:pPr>
            <w:r>
              <w:rPr>
                <w:rFonts w:ascii="Arial" w:cs="Arial" w:eastAsia="Arial" w:hAnsi="Arial"/>
                <w:sz w:val="18"/>
                <w:szCs w:val="18"/>
                <w:b w:val="1"/>
                <w:bCs w:val="1"/>
                <w:color w:val="auto"/>
              </w:rPr>
              <w:t>Part III</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Directors, Executive Officers and Corporate Governance</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33</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11.</w:t>
            </w:r>
          </w:p>
        </w:tc>
        <w:tc>
          <w:tcPr>
            <w:tcW w:w="9040" w:type="dxa"/>
            <w:vAlign w:val="bottom"/>
          </w:tcPr>
          <w:p>
            <w:pPr>
              <w:ind w:left="60"/>
              <w:spacing w:after="0"/>
              <w:rPr>
                <w:sz w:val="20"/>
                <w:szCs w:val="20"/>
                <w:color w:val="auto"/>
              </w:rPr>
            </w:pPr>
            <w:r>
              <w:rPr>
                <w:rFonts w:ascii="Arial" w:cs="Arial" w:eastAsia="Arial" w:hAnsi="Arial"/>
                <w:sz w:val="18"/>
                <w:szCs w:val="18"/>
                <w:color w:val="auto"/>
              </w:rPr>
              <w:t>Executive Compensation</w:t>
            </w:r>
          </w:p>
        </w:tc>
        <w:tc>
          <w:tcPr>
            <w:tcW w:w="128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35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35</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13.</w:t>
            </w:r>
          </w:p>
        </w:tc>
        <w:tc>
          <w:tcPr>
            <w:tcW w:w="9040" w:type="dxa"/>
            <w:vAlign w:val="bottom"/>
          </w:tcPr>
          <w:p>
            <w:pPr>
              <w:ind w:left="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280" w:type="dxa"/>
            <w:vAlign w:val="bottom"/>
            <w:gridSpan w:val="2"/>
          </w:tcPr>
          <w:p>
            <w:pPr>
              <w:jc w:val="center"/>
              <w:ind w:left="810"/>
              <w:spacing w:after="0"/>
              <w:rPr>
                <w:sz w:val="20"/>
                <w:szCs w:val="20"/>
                <w:color w:val="auto"/>
              </w:rPr>
            </w:pPr>
            <w:r>
              <w:rPr>
                <w:rFonts w:ascii="Arial" w:cs="Arial" w:eastAsia="Arial" w:hAnsi="Arial"/>
                <w:sz w:val="18"/>
                <w:szCs w:val="18"/>
                <w:color w:val="auto"/>
                <w:w w:val="89"/>
              </w:rPr>
              <w:t>35</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Principal Accountant Fees and Services</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35</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40" w:type="dxa"/>
            <w:vAlign w:val="bottom"/>
          </w:tcPr>
          <w:p>
            <w:pPr>
              <w:jc w:val="center"/>
              <w:ind w:right="110"/>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Exhibits and Financial Statement Schedules</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36</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Index</w:t>
            </w:r>
          </w:p>
        </w:tc>
        <w:tc>
          <w:tcPr>
            <w:tcW w:w="128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56</w:t>
            </w: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2"/>
              </w:rPr>
              <w:t>Signatures</w:t>
            </w:r>
          </w:p>
        </w:tc>
        <w:tc>
          <w:tcPr>
            <w:tcW w:w="90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90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58"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operating strategies and future strategic expansion initiatives;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rate of store relocations, openings and closures;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relocations, openings and closures.</w:t>
      </w:r>
    </w:p>
    <w:p>
      <w:pPr>
        <w:spacing w:after="0" w:line="225"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71"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0" w:lineRule="exact"/>
        <w:rPr>
          <w:sz w:val="20"/>
          <w:szCs w:val="20"/>
          <w:color w:val="auto"/>
        </w:rPr>
      </w:pPr>
    </w:p>
    <w:p>
      <w:pPr>
        <w:jc w:val="both"/>
        <w:ind w:right="100" w:firstLine="441"/>
        <w:spacing w:after="0" w:line="289"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Build-A-Bear Workshop, Inc., a Delaware corporation, was formed in 1997 and is primarily a specialty retailer offering a “make your own stuffed animal” interactive retail-entertainment experience. As of January 2, 2016, we operated 329 company-owned retail stores in the United States, Canada, the United Kingdom, Ireland and Denmark, including 269 Build-A-Bear Workshop® stores in the United States and Canada and 60 Build-A-Bear Workshop stores in the United Kingdom, Ireland and Denmark. In addition, franchisees operated 77 Build-A-Bear Workshop stores in other international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conduct our operations through three reportable segments consisting of direct-to-consumer (“DTC”), international franchising, and commercial.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geographic area.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Operations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Currently, we primarily operate specialty retail stores that provide a “make your own stuffed animal” interactive entertainment experience in which our guests visit a variety of stations within a store in order to make and customize a stuffed animal. Our retail concept is a unique combination of experience and product and we are focused on enhancing our brand equity while meeting the needs of consumers by offering a relevant selection of premium products that meet high quality standards and are trend-right. In addition, we sell products through our e-commerce sites. Our store experience appeals to a broad range of age groups and demographics, including children, as well as their parents and grandparents, teens, and adult collector and affinity consumers. We seek to provide outstanding guest service and experiences across all channels and touch points including our stores, our Web sites, our mobile sites and apps as well as traditional and social media. We have relatively balanced seasonality on a quarterly basis and guests visit our stores for multiple reasons including interactive family experiences, birthdays, parties and other milestone occasions and to purchase gifts including the “gift of experience” that comes with a Bear Bucks® gift card. We believe the hands-on and interactive nature of our store and high touch service model result in guests forming an emotional connection with our brand.</w:t>
      </w:r>
    </w:p>
    <w:p>
      <w:pPr>
        <w:spacing w:after="0" w:line="178"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We believe there are opportunities to leverage the strength of the Build-A-Bear brand and generate incremental revenue and profits given the high consumer recognition and strong positioning as a trusted, high quality brand that is emotionally connected with both kids and their parents.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company has been executing a multi-year turnaround plan since 2013 to improve both consolidated comparable sales and profitability with the goals of achieving sustained profitability. In 2015, we delivered our third consecutive year of consolidated comparable sales growth and improved profitability and believe that we are positioned to evolve our goal to sustained profitable growth. In 2016, as we continue to execute our strategic plan with the key initiatives outlined below that we refer to as our MORE Strategy, we expect to deliver both incremental revenue and profit. The four key areas that we are focused on are:</w:t>
      </w:r>
    </w:p>
    <w:p>
      <w:pPr>
        <w:spacing w:after="0" w:line="184" w:lineRule="exact"/>
        <w:rPr>
          <w:sz w:val="20"/>
          <w:szCs w:val="20"/>
          <w:color w:val="auto"/>
        </w:rPr>
      </w:pPr>
    </w:p>
    <w:p>
      <w:pPr>
        <w:ind w:left="660" w:right="140" w:hanging="328"/>
        <w:spacing w:after="0" w:line="272" w:lineRule="auto"/>
        <w:tabs>
          <w:tab w:leader="none" w:pos="66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More places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plan to continue to diversify, expand and elevate our real estate portfolio while upgrading e-commerce and launching enterprise-selling capabilities. In 2015, we introduced our new “Discovery” store format which was designed to drive overall sales productivity and refresh an aged brand look. We opened eleven Discovery stores in 2015 and have seen double-digit sales growth compared to our heritage stores since the introduction. Through a combination of new stores and remodeled locations, we expect to have 45 to 55 Discovery stores by the end of 2016. We also continued to diversify our stores by opening our first ever value-based outlet concept, increased our shop-in-shop presence and expanded our seasonal pop-up locations. Separately, our international model evolved as we converted a previously franchised store in Denmark at Copenhagen’s Tivoli Gardens tourist attraction to an owned location while our franchisees adopted our successful real estate strategies adding shop-in-shop and seasonal locations in key territories.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ind w:left="660" w:hanging="328"/>
        <w:spacing w:after="0" w:line="271"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More product</w:t>
      </w:r>
      <w:r>
        <w:rPr>
          <w:rFonts w:ascii="Arial" w:cs="Arial" w:eastAsia="Arial" w:hAnsi="Arial"/>
          <w:sz w:val="17"/>
          <w:szCs w:val="17"/>
          <w:color w:val="auto"/>
        </w:rPr>
        <w:t>: Our goal is to increase consumer engagement with our brand with products that offer “play beyond the plush” using multi-media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platforms while we also leverage our brand strength by growing outbound licensing. In 2015, we introduced two new intellectual properties, with the Honey Girls collection that targets older girls and our Promise Pets collection that appeals across segments, and also updated the Merry Mission property that was introduced in 2014 with our new Glisten reindeer character. Glisten became our top selling product in the 2015 fourth quarter. Each of these collections was supported with play beyond the plush including related apps, games, music and videos that have garnered over 10 million digital interfaces. Through the end of fiscal 2015, these properties have collectively contributed almost $60 million in revenue and we plan to expand the collections in the future. We also grew our wholesale business and our outbound licensing programs as we secured ten new agreements spanning a variety of consumer categories.</w:t>
      </w:r>
    </w:p>
    <w:p>
      <w:pPr>
        <w:spacing w:after="0" w:line="178" w:lineRule="exact"/>
        <w:rPr>
          <w:rFonts w:ascii="Arial" w:cs="Arial" w:eastAsia="Arial" w:hAnsi="Arial"/>
          <w:sz w:val="17"/>
          <w:szCs w:val="17"/>
          <w:b w:val="1"/>
          <w:bCs w:val="1"/>
          <w:i w:val="1"/>
          <w:iCs w:val="1"/>
          <w:color w:val="auto"/>
        </w:rPr>
      </w:pPr>
    </w:p>
    <w:p>
      <w:pPr>
        <w:ind w:left="660" w:right="20" w:hanging="328"/>
        <w:spacing w:after="0" w:line="276"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More people: </w:t>
      </w:r>
      <w:r>
        <w:rPr>
          <w:rFonts w:ascii="Arial" w:cs="Arial" w:eastAsia="Arial" w:hAnsi="Arial"/>
          <w:sz w:val="17"/>
          <w:szCs w:val="17"/>
          <w:color w:val="auto"/>
        </w:rPr>
        <w:t>We plan to extend our brand by driving our primary consumer segments while increasing demand for our teen-plus and giftables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We expect to grow our core consumer segments of young girls, older girls and boys with a balanced offering of licensed and internally developed programs while improving our infrastructure and technology in order to drive sales with improved inventory positions. We also plan to continue to broaden our teen-plus segment by leveraging a compelling assortment of affinity, collectible, entertainment, sports and fashion properties to appeal to this generally less price-sensitive demographic that is more likely to purchase online.</w:t>
      </w:r>
    </w:p>
    <w:p>
      <w:pPr>
        <w:spacing w:after="0" w:line="172" w:lineRule="exact"/>
        <w:rPr>
          <w:rFonts w:ascii="Arial" w:cs="Arial" w:eastAsia="Arial" w:hAnsi="Arial"/>
          <w:sz w:val="17"/>
          <w:szCs w:val="17"/>
          <w:b w:val="1"/>
          <w:bCs w:val="1"/>
          <w:i w:val="1"/>
          <w:iCs w:val="1"/>
          <w:color w:val="auto"/>
        </w:rPr>
      </w:pPr>
    </w:p>
    <w:p>
      <w:pPr>
        <w:ind w:left="660" w:right="440" w:hanging="328"/>
        <w:spacing w:after="0" w:line="264"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More profitability</w:t>
      </w:r>
      <w:r>
        <w:rPr>
          <w:rFonts w:ascii="Arial" w:cs="Arial" w:eastAsia="Arial" w:hAnsi="Arial"/>
          <w:sz w:val="18"/>
          <w:szCs w:val="18"/>
          <w:color w:val="auto"/>
        </w:rPr>
        <w:t>: We expect to increase our 2016 pretax profit by 15% to 25% over our fiscal 2015 results by the disciplined execution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strategies including those initiatives detailed above as well as our on-going efforts in process improvement, system upgrades, value engineering and strategic pricing to enhance merchandise margins.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Merchandise Sourcing and Inventory Management</w:t>
      </w:r>
    </w:p>
    <w:p>
      <w:pPr>
        <w:spacing w:after="0" w:line="22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retail stores offer an extensive and coordinated selection of merchandise, including over 30 different styles of animals to be stuffed, sounds and scents that can be added to the stuffed animals and a wide variety of clothing, shoes and accessories, as well as other brand appropriate toy and novelty items. We believe we comply with governmental toy safety requirements specific to each country where we have stores.</w:t>
      </w:r>
    </w:p>
    <w:p>
      <w:pPr>
        <w:spacing w:after="0" w:line="166"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Our stuffed animal skins and clothing are produced from high quality man-made materials or natural fibers, and the stuffing is made of a high-grade polyester fiber. We believe all of our products in our stores and on our e-commerce sites meet Consumer Product Safety Commission (CPSC) requirements including the Consumer Product Safety Improvement Act (CPSIA) for Children’s Products. We also comply with American Society for Testing and Materials (ASTM-F963), European Toy Safety Standards (EN71), China National Toy Standards (GB6675/GB5296.5), China Compulsory Certification (CCC) and Canadian Consumer Product Safety Act Toys Regulation (CCPSA). Our products are tested through independent third-party testing labs for compliance with toy safety standards. Packaging and labels for each product indicate to our guests the age grading for the product and any special warnings in accordance with guidelines established by the Consumer Product Safety Commission. We believe that our supplier factories are compliant with the International Council of Toy Industries (ICTI) CARE certification or with other third party social compliance programs. The CARE (Caring, Awareness, Responsible, Ethical) process is the ICTI program to promote ethical manufacturing in the form of fair labor treatment, as well as employee health and safety in the toy industry supply chain worldwide. In order to obtain this certification, each factory completed a rigorous evaluation performed by an accredited ICTI agent.</w:t>
      </w:r>
    </w:p>
    <w:p>
      <w:pPr>
        <w:spacing w:after="0" w:line="169"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average time from product conception to the arrival of the products into our stores is approximately twelve months, including approximately 90 to 120 days from the beginning of production to in-store delivery. Through an ongoing analysis of selling trends, we regularly update our product assortment by increasing quantities of productive styles and eliminating less productive items. Our relationships with our vendors generally are on a purchase order basis and do not provide a contractual obligation to provide adequate supply or acceptable pricing on a long-term basis.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 and Logistics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own a 350,000 square-foot distribution center near Columbus, Ohio which serves the majority of our stores in the United States and Canada. We also contract with a third-party warehouse in southern California to service our West Coast stores. The contract has a one year term and is renewable. In Europe, we contract with a third-party distribution center in Selby, England under an agreement that ends in December 2019. This agreement contains clauses that allow for termination if certain performance criteria are not met.</w:t>
      </w:r>
    </w:p>
    <w:p>
      <w:pPr>
        <w:spacing w:after="0" w:line="18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Transportation from the warehouses to our stores is managed by several third-party logistics providers. In the United States,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or twice a week on a regular schedule, which allows us to consolidate shipments in order to reduce distribution and shipping costs. Back-up supplies, such as Cub Condo® carrying cases and stuffing for the animals, are often stored in limited amounts at regional pool points.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January 2, 2016, we had approximately 900 full-time and 3,200 part-time employees in the United States, Canada, the United Kingdom, Ireland and Denmark. The number of part-time employees at all locations fluctuates depending on our seasonal needs. None of our employees are represented by a labor union, and we believe our relationship with our employees is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view the Build-A-Bear Workshop store experience as a distinctive combination of entertainment and retail with limited direct competition. Because our signature product is a stuffed animal, we compete with toy retailers, such as Wal-Mart, Toys “R” Us, Target and other discount chains. Since we develop proprietary products, we also compete indirectly with a number of companies that sell stuffed animals in the United States, including, but not limited to, Ty, Fisher Price, Mattel, Ganz, Applause, Hasbro, Commonwealth, Gund and Vermont Teddy Bear.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Being a mall-based retailer, we also compete with other mall-based retailers for prime mall locations, including various apparel, footwear and specialty retailers.</w:t>
      </w:r>
    </w:p>
    <w:p>
      <w:pPr>
        <w:spacing w:after="0" w:line="178"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have expirations ranging from 2016 to 2033.</w:t>
      </w:r>
    </w:p>
    <w:p>
      <w:pPr>
        <w:spacing w:after="0" w:line="181" w:lineRule="exact"/>
        <w:rPr>
          <w:sz w:val="20"/>
          <w:szCs w:val="20"/>
          <w:color w:val="auto"/>
        </w:rPr>
      </w:pPr>
    </w:p>
    <w:p>
      <w:pPr>
        <w:ind w:right="180" w:firstLine="486"/>
        <w:spacing w:after="0" w:line="276" w:lineRule="auto"/>
        <w:rPr>
          <w:sz w:val="20"/>
          <w:szCs w:val="20"/>
          <w:color w:val="auto"/>
        </w:rPr>
      </w:pPr>
      <w:r>
        <w:rPr>
          <w:rFonts w:ascii="Arial" w:cs="Arial" w:eastAsia="Arial" w:hAnsi="Arial"/>
          <w:sz w:val="17"/>
          <w:szCs w:val="17"/>
          <w:color w:val="auto"/>
        </w:rPr>
        <w:t>We have developed licensing and strategic relationships with leading retail and cultural organizations. We plan to continue to add partnerships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DreamWorks Animation, Hasbro, and major professional and collegiate sports along with other culturally relevant brands.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make certain filings with the Securities and Exchange Commission (the “SEC”), including our Annual Report on Form 10-K, Quarterly Reports on Form 10-Q, Current Reports on Form 8-K, and all amendments and exhibits to those reports, available free of charge in the Investor Relations section of our corporate Web site, http://ir.buildabear.com, as soon as reasonably practicable after they are filed with the SEC. The filings are also available through the SEC at the SEC’s Public Reference Room at 100 F Street, N.E., Washington, D.C. 20549 or by calling 1-800-SEC-0330. Also, these filings are available on the Internet at http://www.sec.gov. Our Annual Reports to shareholders, press releases and investor updates are also available on our Web site, free of charge, in the Investor Relations section or by writing to the Investor Relations department at World Bearquarters, 1954 Innerbelt Business Center Dr., St. Louis, MO 63114.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Risks Related to Our Business</w:t>
      </w:r>
    </w:p>
    <w:p>
      <w:pPr>
        <w:spacing w:after="0" w:line="200" w:lineRule="exact"/>
        <w:rPr>
          <w:sz w:val="20"/>
          <w:szCs w:val="20"/>
          <w:color w:val="auto"/>
        </w:rPr>
      </w:pPr>
    </w:p>
    <w:p>
      <w:pPr>
        <w:spacing w:after="0" w:line="24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A decline in general global economic conditions could lead to disproportionately reduced consumer demand for our products, which represent relatively discretionary spending, and have an adverse effect on our liquidity and profitability.</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slowdown in the United States, Canadian or European economies or in the economies of the countries in which our franchisees operate or uncertainty as to the economic outlook could reduce discretionary spending or cause a shift in consumer discretionary spending to other products. Any of these factors would likely result in lower net retail sales and could also result in excess inventories, which could, in turn, lead to increased merchandise markdowns and related costs associated with higher levels of inventory and adversely affect our liquidity and profitability.</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depend upon the shopping malls in which we are located to attract guests to our stores and a decline in mall traffic could adversely affect our financial performance and profitability.</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While we invest in integrated marketing efforts and believe we are more of a destination location than traditional retailers, we rely to a great extent on consumer traffic in the malls in which our stores are located. We rely on the ability of the malls’ anchor tenants, generally large department stores, and on the continuing popularity of malls as shopping destinations to attract high levels of consumer traffic. We cannot control the development of new shopping malls, the addition or loss of anchors and co-tenants, the availability or cost of appropriate locations within existing or new shopping malls or the desirability, safety or success of shopping malls. In addition, consumer mall traffic may be reduced due to factors such as the economy, civil unrest, actual or threatened acts of terrorism to shopping malls, the impact of weather or natural disasters or a decline in consumer confidence resulting from international conflicts or war. A decrease in shopping mall traffic could have an adverse effect on our financial condition and profitability.</w:t>
      </w:r>
    </w:p>
    <w:p>
      <w:pPr>
        <w:spacing w:after="0" w:line="174"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If we are unable to generate interest in and demand for our interactive retail experience and products, including being able to identify and respond to consumer preferences in a timely manner, our financial condition and profitability could be adversely affected.</w:t>
      </w:r>
    </w:p>
    <w:p>
      <w:pPr>
        <w:spacing w:after="0" w:line="14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believe that our success depends in large part upon our ability to continue to attract guests with our interactive shopping experience and our ability to anticipate, gauge and respond in a timely manner to changing consumer preferences and fashion trends. We cannot assure you that there will continue to be a demand for our “make-your-own stuffed animal” interactive experience, or for our stuffed animals, animal apparel and accessories. A decline in demand for our interactive shopping experience, our animals, animal apparel or accessories, or a misjudgment of consumer preferences, fashion trends or the demand for licensed products including those that are associated with new movie releases could have a negative impact on our business, financial condition and results of operations. Our future success depends, in part, on the popularity and consumer demand for brands of partner companies such as Disney, Marvel, Hasbro and Nickelodeon. If we are not able to meet our contractual commitments or are unable to maintain licensing agreements with key partner brands, our business would be adversely affected. There can be no certainty that licensed brands will continue to be successful or maintain high levels of sales in the future and the timing of future entertainment projects may not coincide with historical dates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6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Consumer interests change rapidly and our success depends on the ongoing effectiveness of our marketing and online initiatives to build consumer affinity for our brand, drive consumer demand for key products and generate traffic for our stores.</w:t>
      </w:r>
    </w:p>
    <w:p>
      <w:pPr>
        <w:spacing w:after="0" w:line="16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continue to update and evaluate our marketing initiatives, focusing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and future marketing and advertising efforts that we undertake, including our ability to:</w:t>
      </w:r>
    </w:p>
    <w:p>
      <w:pPr>
        <w:spacing w:after="0" w:line="147"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greater awareness of our brand, interactive shopping experience and products;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 consumer awareness into store visits and product purchases;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marketing spend;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appropriate creative message and media mix for marketing expenditures; and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effectively manage marketing costs (including creative and media) to maintain acceptable operating margins and return on marketing investment.</w:t>
      </w:r>
    </w:p>
    <w:p>
      <w:pPr>
        <w:spacing w:after="0" w:line="222"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Our planned marketing expenditures may not result in increased total or comparable sales or generate sufficient levels of product and brand awareness which could have a material adverse effect on our financial condition and profitability.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7" w:name="page8"/>
    <w:bookmarkEnd w:id="7"/>
    <w:p>
      <w:pPr>
        <w:ind w:right="100"/>
        <w:spacing w:after="0" w:line="266" w:lineRule="auto"/>
        <w:rPr>
          <w:sz w:val="20"/>
          <w:szCs w:val="20"/>
          <w:color w:val="auto"/>
        </w:rPr>
      </w:pPr>
      <w:r>
        <w:rPr>
          <w:rFonts w:ascii="Arial" w:cs="Arial" w:eastAsia="Arial" w:hAnsi="Arial"/>
          <w:sz w:val="18"/>
          <w:szCs w:val="18"/>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and damage to our reputation.</w:t>
      </w:r>
    </w:p>
    <w:p>
      <w:pPr>
        <w:spacing w:after="0" w:line="2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Information technology is a critically important part of our business operations. We depend on information systems to process transactions, manage inventory, operate our Web 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173" w:lineRule="exact"/>
        <w:rPr>
          <w:sz w:val="20"/>
          <w:szCs w:val="20"/>
          <w:color w:val="auto"/>
        </w:rPr>
      </w:pPr>
    </w:p>
    <w:p>
      <w:pPr>
        <w:ind w:right="160" w:firstLine="441"/>
        <w:spacing w:after="0" w:line="290" w:lineRule="auto"/>
        <w:rPr>
          <w:sz w:val="20"/>
          <w:szCs w:val="20"/>
          <w:color w:val="auto"/>
        </w:rPr>
      </w:pPr>
      <w:r>
        <w:rPr>
          <w:rFonts w:ascii="Arial" w:cs="Arial" w:eastAsia="Arial" w:hAnsi="Arial"/>
          <w:sz w:val="16"/>
          <w:szCs w:val="16"/>
          <w:color w:val="auto"/>
        </w:rPr>
        <w:t>Our business involves the storage and transmission of consumers’ personal information, such as personal preferences and credit card information. We invest in industry-standard security technology to protect the Company’s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66"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7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We currently obtain and retain personal information about our Web site users, store shoppers and loyalty program members. In addition, we obtain personal information about our guests as part of their registration in our Find-A-Bear® identification system.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w:t>
      </w:r>
    </w:p>
    <w:p>
      <w:pPr>
        <w:spacing w:after="0" w:line="18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have a stringent, comprehensive privacy policy covering the information we collect from our guests and have established security features to protect our consumer database and Web sites. While we have implemented programs and procedures designed to protect the privacy of people, including children, from whom we collect information, and our Web sites are designed to be fully compliant with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young children and young children frequently interact with our Web 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increase our total and comparable sales, our results of operations and financial condition could be adversely affected.</w:t>
      </w:r>
    </w:p>
    <w:p>
      <w:pPr>
        <w:spacing w:after="0" w:line="26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consolidated comparable sales increased by 1.0% in 2015, 1.7% in 2014 and 4.9% in 2013 following a multi-year decline. We believe the principal factors that will affect comparable sales results include the following:</w:t>
      </w:r>
    </w:p>
    <w:p>
      <w:pPr>
        <w:spacing w:after="0" w:line="170"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continuing appeal of our concept;</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marketing efforts to attract new and repeat guests;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confidence and general economic conditions;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changes in governmental policies on consumer sentiment and discretionary spending levels;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store closures, relocations and openings in existing markets;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anticipate and to respond, in a timely manner, to consumer trends;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introduction and expansion of our merchandise offerings;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mall traffic;</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for product offerings including in the online space;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trend of consumers preferring to purchase products from online merchants rather than traditional brick and mortar stores;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updates to our brand appearance and our store design;</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1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As a result of these and other factors, we may not be able to achieve comparable sales growth in the future. If we are unable to do so, our results of operations could be significantly harmed and we may be required to record significant impairment charges.</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not be able to evolve our store locations to align with market trends or to effectively manage our overall portfolio of stores which could adversely affect our ability to grow and could significantly harm our profitability.</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future results will largely depend on our ability to optimize store productivity and profitability by strategically evolving our real estate portfolio to align with market trends while selectively opening new locations and systematically refreshing our store base. In 2012, we announced a plan to reduce our store count in North America and substantially completed this plan in 2014, closing 61 stores in North America in the three years. Our ability to manage our portfolio of stores in future years and position stores in desirable locations and operate stores profitably, particularly in multi-store markets, is a key factor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w:t>
      </w:r>
    </w:p>
    <w:p>
      <w:pPr>
        <w:spacing w:after="0" w:line="18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In June 2015, we closed a flagship store in New York City. Because this store had much larger annual sales than our typical mall-based stores, closing this store had an adverse impact on our revenues.</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Additionally, in 2015 we operated twelve stores located within other retailers’ stores and as such are subject to the operational risks of these retailers, including but not limited to, ineffective store operations, labor disputes and negative publicity. If other retailers in which we have stores are impacted by these factors, it could have a negative impact on our sales and operating performance.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are unable to renew, renegotiate or replace our store leases or enter into leases for new stores on favorable terms, or if we violate any of the terms of our current leases, our growth and profitability could be harmed.</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options or ours. Furthermore, some of our leases contain various restrictions relating to change of control of our company. Our leases also subject us to risks relating to compliance with changing mall rules and the exercise of discretion by our landlords on various matters within the malls. We may not be able to maintain or obtain favorable locations in desirable malls. The terms of new leases may not be as favorable, which could cause an increase in store expenses negatively impacting overall profitability. If we execute termination rights, we may have expenses and charges associated with those closures which could negatively impact our profitability. Additionally, several large landlords dominate the ownership of prime malls, particularly in the United States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8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Our leases in the United Kingdom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65" w:lineRule="exact"/>
        <w:rPr>
          <w:sz w:val="20"/>
          <w:szCs w:val="20"/>
          <w:color w:val="auto"/>
        </w:rPr>
      </w:pPr>
    </w:p>
    <w:p>
      <w:pPr>
        <w:ind w:right="80" w:firstLine="441"/>
        <w:spacing w:after="0" w:line="217" w:lineRule="auto"/>
        <w:rPr>
          <w:sz w:val="20"/>
          <w:szCs w:val="20"/>
          <w:color w:val="auto"/>
        </w:rPr>
      </w:pPr>
      <w:r>
        <w:rPr>
          <w:rFonts w:ascii="Arial" w:cs="Arial" w:eastAsia="Arial" w:hAnsi="Arial"/>
          <w:sz w:val="17"/>
          <w:szCs w:val="17"/>
          <w:color w:val="auto"/>
        </w:rPr>
        <w:t>In addition, the lease for our store in the Downtown Disney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District at the Disneyland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Resort in Anaheim, California provides that the landlord may terminate the lease at any time. As a result, we cannot be assured that the landlord will not exercise its right to terminate this lease.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 w:name="page10"/>
    <w:bookmarkEnd w:id="9"/>
    <w:p>
      <w:pPr>
        <w:ind w:right="80"/>
        <w:spacing w:after="0" w:line="266" w:lineRule="auto"/>
        <w:rPr>
          <w:sz w:val="20"/>
          <w:szCs w:val="20"/>
          <w:color w:val="auto"/>
        </w:rPr>
      </w:pPr>
      <w:r>
        <w:rPr>
          <w:rFonts w:ascii="Arial" w:cs="Arial" w:eastAsia="Arial" w:hAnsi="Arial"/>
          <w:sz w:val="18"/>
          <w:szCs w:val="18"/>
          <w:b w:val="1"/>
          <w:bCs w:val="1"/>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20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purchase our merchandise from both domestic vendors who contract with manufacturers in foreign countries and directly from factories in foreign countries, primarily in China and Vietnam. Any event causing a disruption of imports, including the imposition of import restrictions or labor strikes or lock-outs, could adversely affect our business.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 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which would impact our revenue and profit in various markets.</w:t>
      </w:r>
    </w:p>
    <w:p>
      <w:pPr>
        <w:spacing w:after="0" w:line="16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ship any products that do not meet current safety standards or production requirements or if our products are recalled or cause injuries.</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Although we require our manufacturers to meet governmental safety standards and our product specifications and submit our products for testing, we cannot control the materials used by our manufacturers. If one of these manufacturers ships merchandise that does not meet our required standards, we could in turn experience negative publicity or be sued.</w:t>
      </w:r>
    </w:p>
    <w:p>
      <w:pPr>
        <w:spacing w:after="0" w:line="181"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seven years due to possible safety issues. While the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operate our international company-owned stores profitably.</w:t>
      </w:r>
    </w:p>
    <w:p>
      <w:pPr>
        <w:spacing w:after="0" w:line="25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currently operate company-owned stores in the United Kingdom, Canada, Ireland and Denmark. Our future success in international markets may be impacted by differences in consumer demand, regulatory and cultural differences, economic conditions, changes in foreign government policies and regulations and potential restrictions and costs to convert and repatriate currency, as well as other risks that we may not anticipate. Brand awareness in international markets may be lower than in the U.S. and we may face higher labor and rent costs, as well as different holiday schedules. Although we have realized benefits from our operations in the United Kingdom and Ireland, we may be unable to continue to do so on a consistent basis. In February 2015, we converted a previously franchised store in Denmark into a company-owned location. In 2013 and 2014, we closed eight stores in Canada. In 2012, we recognized an impairment charge on all of the goodwill associated with our UK acquisition along with the store assets at certain store locations with poor operating results.</w:t>
      </w:r>
    </w:p>
    <w:p>
      <w:pPr>
        <w:spacing w:after="0" w:line="192" w:lineRule="exact"/>
        <w:rPr>
          <w:sz w:val="20"/>
          <w:szCs w:val="20"/>
          <w:color w:val="auto"/>
        </w:rPr>
      </w:pPr>
    </w:p>
    <w:p>
      <w:pPr>
        <w:ind w:right="480" w:firstLine="441"/>
        <w:spacing w:after="0" w:line="308" w:lineRule="auto"/>
        <w:rPr>
          <w:sz w:val="20"/>
          <w:szCs w:val="20"/>
          <w:color w:val="auto"/>
        </w:rPr>
      </w:pPr>
      <w:r>
        <w:rPr>
          <w:rFonts w:ascii="Arial" w:cs="Arial" w:eastAsia="Arial" w:hAnsi="Arial"/>
          <w:sz w:val="17"/>
          <w:szCs w:val="17"/>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w:t>
      </w:r>
    </w:p>
    <w:p>
      <w:pPr>
        <w:spacing w:after="0" w:line="14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be able to operate successfully if we lose key personnel, are unable to hire qualified additional personnel, or experience turnover of our management team.</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success of our business depends upon the quality of associates throughout our organization and our ability to attract and retain qualified key employees. In June 2013, we hired a new Chief Executive Officer who replaced our retiring Founder and Chief Executive Bear. Since then, four other executive officers left the Company and four executive officers joined the Company. The success of our business depends on effective transition of these positions. During these transitions, organizational changes are likely to occur and we may not be able to retain key managers or associates. We may incur expenses related to the transition in these positions that could negatively impact the profitability of our business.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8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do not own or operate any manufacturing facilities. For the past three years, we purchased between 80% and 85% of our merchandise from four vendors. These vendors in turn contract for the production of merchandise with multiple manufacturing facilities, located primarily in China and, beginning in 2014, in Vietnam.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94" w:gutter="0" w:footer="0" w:header="0"/>
        </w:sectPr>
      </w:pPr>
    </w:p>
    <w:bookmarkStart w:id="10" w:name="page11"/>
    <w:bookmarkEnd w:id="10"/>
    <w:p>
      <w:pPr>
        <w:ind w:right="380"/>
        <w:spacing w:after="0" w:line="313" w:lineRule="auto"/>
        <w:rPr>
          <w:sz w:val="20"/>
          <w:szCs w:val="20"/>
          <w:color w:val="auto"/>
        </w:rPr>
      </w:pPr>
      <w:r>
        <w:rPr>
          <w:rFonts w:ascii="Arial" w:cs="Arial" w:eastAsia="Arial" w:hAnsi="Arial"/>
          <w:sz w:val="17"/>
          <w:szCs w:val="17"/>
          <w:b w:val="1"/>
          <w:bCs w:val="1"/>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January 2, 2016, there were 77 Build-A-Bear Workshop international franchised stores. We cannot ensure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owned and operated markets, which impact the performance of these stores. Additionally, our franchisees may experience financing, merchandising and distribution expenses and challenges that are different from those we encounter in our existing markets. The operations and results of our franchisees could be negatively impacted by the economic or political factors in the countries in which they operate or foreign currency fluctuations. These challenges, as well as others, could have a material adverse effect on our business, financial condition and results of operations. For example, we incurred $1.4 million and $1.1 million of bad debt expense related to receivables from our franchisees in fiscal 2014 and 2013, respectively.</w:t>
      </w:r>
    </w:p>
    <w:p>
      <w:pPr>
        <w:spacing w:after="0" w:line="17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success of our franchising strategy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and may not operate their stores profitably. As a result, our franchising operations may not be profitable. Moreover, our brand image and reputation may suffer. When franchisees perform below expectations we may transfer those agreements to other parties, take over the operations directly or discontinue the franchise agreement. For example, in 2015, we terminated the franchise agreement in Scandinavia leading to the closure of stores in Norway and Sweden. In early 2016 we consented to the sale of the South African franchise to new owners. Furthermore, the interests of franchisees might sometimes conflict with our interests. For example, whereas franchisees are concerned with their individual business objectives, we are responsible for ensuring the success of the Build-A-Bear brand and all of our stores.</w:t>
      </w:r>
    </w:p>
    <w:p>
      <w:pPr>
        <w:spacing w:after="0" w:line="182"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The laws of the various foreign countries in which our franchisees operate govern our relationships with our franchisees. These laws, and any new laws that may be enacted, may detrimentally affect the rights and obligations between us and our franchisees and could expose us to additional liability.</w:t>
      </w:r>
    </w:p>
    <w:p>
      <w:pPr>
        <w:spacing w:after="0" w:line="12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20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Other parties have asserted in the past, and may assert in the future, trademark, patent, copyright or other intellectual property rights that are important to our business. We cannot assure you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54"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 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technology and digital operations.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operations are subject to numerous technology related risks, including risks related to the failure of the computer systems that operate our point of sale and inventory systems, Web sites and mobile sites and their related support systems. We are also subject to risks related to computer viruses, telecommunications failures, and similar disruptions. Also, we may require additional capital in the future to sustain or grow our technological infrastructure and digital commerce capabilities.</w:t>
      </w:r>
    </w:p>
    <w:p>
      <w:pPr>
        <w:spacing w:after="0" w:line="187"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materializes, it could have a material adverse effect on our business.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ind w:right="560"/>
        <w:spacing w:after="0" w:line="282" w:lineRule="auto"/>
        <w:rPr>
          <w:sz w:val="20"/>
          <w:szCs w:val="20"/>
          <w:color w:val="auto"/>
        </w:rPr>
      </w:pPr>
      <w:r>
        <w:rPr>
          <w:rFonts w:ascii="Arial" w:cs="Arial" w:eastAsia="Arial" w:hAnsi="Arial"/>
          <w:sz w:val="18"/>
          <w:szCs w:val="18"/>
          <w:b w:val="1"/>
          <w:bCs w:val="1"/>
          <w:color w:val="auto"/>
        </w:rPr>
        <w:t>We may suffer negative publicity or be sued if the manufacturers of our merchandise violate labor laws or engage in practices that consumers believe are unethical.</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United States, we could in turn experience negative publicity or be sued.</w:t>
      </w:r>
    </w:p>
    <w:p>
      <w:pPr>
        <w:spacing w:after="0" w:line="183"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b w:val="1"/>
          <w:bCs w:val="1"/>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they may operate inefficiently.</w:t>
      </w:r>
    </w:p>
    <w:p>
      <w:pPr>
        <w:spacing w:after="0" w:line="2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operation of our stores is dependent on our ability to distribute merchandise to locations throughout the United States, Canada and Europe in a timely manner. We have a 350,000-square-foot distribution center in Groveport, Ohio. We rely on this company-owned distribution center to receive, store and distribute merchandise for the majority of our North America stores. We rely on third parties to manage all of the warehousing and distribution aspects of our business on the West Coast of the United States and in Europe. Any significant interruption in the operation of the distribution centers due to natural disasters or severe weather, as well as events such as fire, accidents, power outages, system failures or other unforeseen causes could damage a significant portion of our inventory. These factors may also impair our ability to adequately stock our stores and could decrease our sales and increase our costs associated with our supply chain.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profitability could be adversely affected by fluctuations in petroleum products prices.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plans to leverage the Build-A-Bear brand to drive strategic expansion into new sales and profit streams may not be successful.</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objective to achieve sustained profitable growth depends in part on our ability to use our brand and existing infrastructure as a foundation to drive new lines of business. For example, we initiated an outbound licensing program in 2015 and currently expect to expand this business in the future. If we are unable to develop these new lines of business profitably, we may not be able to achieve our long-term objectives.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share may be adversely impacted at any time by a significant variety of competitive threats.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operate in a highly competitive environment characterized by low barriers to entry. We compete against a diverse group of competitors. Because we are primarily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assure you that they will not compete directly with us in the future.</w:t>
      </w:r>
    </w:p>
    <w:p>
      <w:pPr>
        <w:spacing w:after="0" w:line="17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Many of our competitors have longer operating histories, significantly greater financial, marketing and other resources, and greater name recognition. We cannot assure you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Poor global economic conditions could have a material adverse effect on our liquidity and capital resources.</w:t>
      </w:r>
    </w:p>
    <w:p>
      <w:pPr>
        <w:spacing w:after="0" w:line="2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Although we believe that our capital structure and credit facilities will provide sufficient liquidity, there can be no assurance that our liquidity will not be affected by changes in the capital markets or that our capital resources will at all times be sufficient or at an acceptable cost to satisfy our liquidity needs. Capital market conditions may affect the renewal or replacement of our credit agreement, which was originally entered into in 2000 and has been extended annually since then and currently expires December 31, 2016.</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quarterly results of operations could cause the price of our common stock to substantially decline.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70"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or decreases in comparable sales;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or decreases in total revenues;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 shopping patterns, including whether the Easter holiday occurs in the first or second quarter and other school holiday schedules;</w:t>
      </w:r>
    </w:p>
    <w:p>
      <w:pPr>
        <w:spacing w:after="0" w:line="20" w:lineRule="exact"/>
        <w:rPr>
          <w:rFonts w:ascii="Arial" w:cs="Arial" w:eastAsia="Arial" w:hAnsi="Arial"/>
          <w:sz w:val="17"/>
          <w:szCs w:val="17"/>
          <w:color w:val="auto"/>
        </w:rPr>
      </w:pPr>
    </w:p>
    <w:p>
      <w:pPr>
        <w:ind w:left="440" w:hanging="324"/>
        <w:spacing w:after="0" w:line="181"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a 53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week in our fiscal year which occurs approximately every six years, including fiscal 2014;</w:t>
      </w: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7"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 and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w:t>
      </w:r>
    </w:p>
    <w:p>
      <w:pPr>
        <w:spacing w:after="0" w:line="21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If our future quarterly results fluctuate significantly or fail to meet the expectations of the investment community, then the market price of our common stock could decline substantially.</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2015, our Board of Directors terminated the previously existing $50 million share repurchase plan under which we had repurchased 6.2 million shares of our common stock for an aggregate price of $46.2 million since February 2007 and adopted three share repurchase programs for an aggregate of $35 million. The new program does not require the Company to repurchase any specific number of shares of our common stock, and may be modified, suspended or terminated at any time without prior notice. Shares repurchased under the program will be subsequently retired. If our cash flow decreases as a result of a decline in sales, increased expenses or capital expenditures or other uses of cash, we may not be able to repurchase shares of our common stock at all or at times or in the amounts we desire. Therefore, the results of the share repurchase program may not be as beneficial as we would like.</w:t>
      </w:r>
    </w:p>
    <w:p>
      <w:pPr>
        <w:spacing w:after="0" w:line="161"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37"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9" w:lineRule="exact"/>
        <w:rPr>
          <w:rFonts w:ascii="Arial" w:cs="Arial" w:eastAsia="Arial" w:hAnsi="Arial"/>
          <w:sz w:val="18"/>
          <w:szCs w:val="18"/>
          <w:color w:val="auto"/>
        </w:rPr>
      </w:pPr>
    </w:p>
    <w:p>
      <w:pPr>
        <w:ind w:left="440" w:hanging="324"/>
        <w:spacing w:after="0" w:line="250"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ind w:left="440" w:right="320" w:hanging="324"/>
        <w:spacing w:after="0" w:line="290"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t>These provisions may:</w:t>
      </w:r>
    </w:p>
    <w:p>
      <w:pPr>
        <w:spacing w:after="0" w:line="225" w:lineRule="exact"/>
        <w:rPr>
          <w:sz w:val="20"/>
          <w:szCs w:val="20"/>
          <w:color w:val="auto"/>
        </w:rPr>
      </w:pPr>
    </w:p>
    <w:p>
      <w:pPr>
        <w:ind w:left="440" w:hanging="324"/>
        <w:spacing w:after="0" w:line="25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spacing w:after="0" w:line="1"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lease all of our store locations. As of January 2, 2016, we operated 329 retail stores located primarily in major malls throughout the United States, Canada, Puerto Rico, the United Kingdom, Ireland and Denmark in our DTC segment. Our leases in the United Kingdom and Ireland typically have rent reviews every five years in which the base rental rate is adjusted to current market rates if they are higher than the original rent agreed.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to leasing all of our store locations, we own a warehouse and distribution center in Groveport, Ohio, which is utilized primarily by our DTC segment. The facility is approximately 350,000 square feet and includes our e-commerce fulfillment site. We also lease approximately 59,000 square feet for our corporate headquarters in St. Louis, Missouri which houses our corporate staff, our call center and our on-site training facilities. The lease was amended, effective January 1, 2014 with a five-year term. In the United Kingdom, we lease approximately 2,500 square feet for our regional headquarters in Windsor, England under a lease that commenced in August 2003. In December 2015, we gave notice of our intent to terminate this lease in 2016.</w:t>
      </w:r>
    </w:p>
    <w:p>
      <w:pPr>
        <w:spacing w:after="0" w:line="15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We are involved in several court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00" w:right="220" w:hanging="985"/>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common stock is listed on the New York Stock Exchange (NYSE) under the symbol “BBW.” Our common stock commenced trading on the NYSE on October 28, 2004. The following table sets forth the high and low sale prices of our common stock for the periods indicated.</w:t>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Fiscal 2015</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Fiscal 2014</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Second Quarter</w:t>
            </w:r>
          </w:p>
        </w:tc>
        <w:tc>
          <w:tcPr>
            <w:tcW w:w="1420" w:type="dxa"/>
            <w:vAlign w:val="bottom"/>
            <w:gridSpan w:val="2"/>
          </w:tcPr>
          <w:p>
            <w:pPr>
              <w:jc w:val="right"/>
              <w:ind w:right="125"/>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20.96</w:t>
            </w:r>
          </w:p>
        </w:tc>
        <w:tc>
          <w:tcPr>
            <w:tcW w:w="600" w:type="dxa"/>
            <w:vAlign w:val="bottom"/>
            <w:gridSpan w:val="2"/>
          </w:tcPr>
          <w:p>
            <w:pPr>
              <w:jc w:val="right"/>
              <w:ind w:right="245"/>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15.29</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15.43</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21.69</w:t>
            </w:r>
          </w:p>
        </w:tc>
        <w:tc>
          <w:tcPr>
            <w:tcW w:w="60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15.60</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56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Fourth Quarter</w:t>
            </w:r>
          </w:p>
        </w:tc>
        <w:tc>
          <w:tcPr>
            <w:tcW w:w="1420" w:type="dxa"/>
            <w:vAlign w:val="bottom"/>
            <w:gridSpan w:val="2"/>
          </w:tcPr>
          <w:p>
            <w:pPr>
              <w:jc w:val="right"/>
              <w:ind w:right="125"/>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19.44</w:t>
            </w:r>
          </w:p>
        </w:tc>
        <w:tc>
          <w:tcPr>
            <w:tcW w:w="600" w:type="dxa"/>
            <w:vAlign w:val="bottom"/>
            <w:gridSpan w:val="2"/>
          </w:tcPr>
          <w:p>
            <w:pPr>
              <w:jc w:val="right"/>
              <w:ind w:right="245"/>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11.18</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21.22</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20"/>
                <w:szCs w:val="20"/>
                <w:color w:val="auto"/>
              </w:rPr>
            </w:pPr>
          </w:p>
        </w:tc>
      </w:tr>
    </w:tbl>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11, 2016, the number of holders of record of the Company’s common stock totaled approximately 2,620.</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firstLine="441"/>
        <w:spacing w:after="0" w:line="238" w:lineRule="auto"/>
        <w:rPr>
          <w:sz w:val="20"/>
          <w:szCs w:val="20"/>
          <w:color w:val="auto"/>
        </w:rPr>
      </w:pPr>
      <w:r>
        <w:rPr>
          <w:rFonts w:ascii="Arial" w:cs="Arial" w:eastAsia="Arial" w:hAnsi="Arial"/>
          <w:sz w:val="17"/>
          <w:szCs w:val="17"/>
          <w:color w:val="auto"/>
        </w:rPr>
        <w:t>The following performance graph compares the 60-month cumulative total stockholder return of our common stock, with the cumulative total return on the Russell 2000</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Index and an SEC-defined peer group of companies identified as SIC Code 5600-5699 (the “Peer Group”). The Peer Group consists of companies whose primary business is the operation of apparel and accessory retail stores. Build-A-Bear Workshop is not strictly a merchandise retailer and there is a strong interactive, entertainment component to our business which differentiates us from retailers in the Peer Group. However, in the absence of any other readily identifiable peer group, we believe the use of the Peer Group is appropriate.</w:t>
      </w:r>
    </w:p>
    <w:p>
      <w:pPr>
        <w:spacing w:after="0" w:line="202"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The performance graph starts on January 1, 2011 and ends on December 31, 2015, the last trading day prior to January 2, 2016, the end of our fiscal 2015. The graph assumes that $100 was invested on January 1, 2011 in each of our common stock, the Russell 2000 Index and the Peer Group, and that all dividends were reinvested.</w:t>
      </w:r>
    </w:p>
    <w:p>
      <w:pPr>
        <w:spacing w:after="0" w:line="18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These indices are included only for comparative purposes as required by SEC rules and do not necessarily reflect management’s opinion that such indices are an appropriate measure of the relative performance of our common stock. They are not intended to forecast the possible future performance of our common stock.</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5574030" cy="4613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574030" cy="461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6480" w:type="dxa"/>
            <w:vAlign w:val="bottom"/>
            <w:gridSpan w:val="10"/>
          </w:tcPr>
          <w:p>
            <w:pPr>
              <w:ind w:left="740"/>
              <w:spacing w:after="0"/>
              <w:rPr>
                <w:sz w:val="20"/>
                <w:szCs w:val="20"/>
                <w:color w:val="auto"/>
              </w:rPr>
            </w:pPr>
            <w:r>
              <w:rPr>
                <w:rFonts w:ascii="Arial" w:cs="Arial" w:eastAsia="Arial" w:hAnsi="Arial"/>
                <w:sz w:val="18"/>
                <w:szCs w:val="18"/>
                <w:b w:val="1"/>
                <w:bCs w:val="1"/>
                <w:color w:val="auto"/>
              </w:rPr>
              <w:t>ISSUER PURCHASES OF EQUITY SECURITIES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0"/>
        </w:trPr>
        <w:tc>
          <w:tcPr>
            <w:tcW w:w="3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(or</w:t>
            </w:r>
          </w:p>
        </w:tc>
      </w:tr>
      <w:tr>
        <w:trPr>
          <w:trHeight w:val="216"/>
        </w:trPr>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Value) of Shares (or</w:t>
            </w:r>
          </w:p>
        </w:tc>
      </w:tr>
      <w:tr>
        <w:trPr>
          <w:trHeight w:val="216"/>
        </w:trPr>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Shares (or Units)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Units) that May Yet</w:t>
            </w:r>
          </w:p>
        </w:tc>
      </w:tr>
      <w:tr>
        <w:trPr>
          <w:trHeight w:val="216"/>
        </w:trPr>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Be</w:t>
            </w:r>
          </w:p>
        </w:tc>
      </w:tr>
      <w:tr>
        <w:trPr>
          <w:trHeight w:val="216"/>
        </w:trPr>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Average Price Paid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Publicly Announced</w:t>
            </w:r>
          </w:p>
        </w:tc>
        <w:tc>
          <w:tcPr>
            <w:tcW w:w="120" w:type="dxa"/>
            <w:vAlign w:val="bottom"/>
          </w:tcPr>
          <w:p>
            <w:pPr>
              <w:spacing w:after="0"/>
              <w:rPr>
                <w:sz w:val="18"/>
                <w:szCs w:val="18"/>
                <w:color w:val="auto"/>
              </w:rPr>
            </w:pPr>
          </w:p>
        </w:tc>
        <w:tc>
          <w:tcPr>
            <w:tcW w:w="18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Per Share (or Unit)</w:t>
            </w:r>
          </w:p>
        </w:tc>
        <w:tc>
          <w:tcPr>
            <w:tcW w:w="220" w:type="dxa"/>
            <w:vAlign w:val="bottom"/>
          </w:tcPr>
          <w:p>
            <w:pPr>
              <w:spacing w:after="0"/>
              <w:rPr>
                <w:sz w:val="20"/>
                <w:szCs w:val="20"/>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Plans or Programs (2)</w:t>
            </w:r>
          </w:p>
        </w:tc>
        <w:tc>
          <w:tcPr>
            <w:tcW w:w="120" w:type="dxa"/>
            <w:vAlign w:val="bottom"/>
          </w:tcPr>
          <w:p>
            <w:pPr>
              <w:spacing w:after="0"/>
              <w:rPr>
                <w:sz w:val="20"/>
                <w:szCs w:val="20"/>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Plans or Programs (2)</w:t>
            </w:r>
          </w:p>
        </w:tc>
      </w:tr>
      <w:tr>
        <w:trPr>
          <w:trHeight w:val="210"/>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Oct. 4, 2015 – Oct. 31, 2015</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163,141</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20" w:type="dxa"/>
            <w:vAlign w:val="bottom"/>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6,340,043</w:t>
            </w: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Nov. 1, 2015 – Nov. 28, 2015</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527,473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14.34</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527,473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13,776,425</w:t>
            </w: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Nov. 29, 2015 – Jan. 2, 2016</w:t>
            </w:r>
          </w:p>
        </w:tc>
        <w:tc>
          <w:tcPr>
            <w:tcW w:w="760" w:type="dxa"/>
            <w:vAlign w:val="bottom"/>
            <w:gridSpan w:val="2"/>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383,242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9,090,585</w:t>
            </w:r>
          </w:p>
        </w:tc>
      </w:tr>
      <w:tr>
        <w:trPr>
          <w:trHeight w:val="210"/>
        </w:trPr>
        <w:tc>
          <w:tcPr>
            <w:tcW w:w="302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CCEEFF"/>
            </w:tcBorders>
            <w:gridSpan w:val="2"/>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1,073,935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13.81</w:t>
            </w: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1,073,793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68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440" w:right="40" w:hanging="432"/>
        <w:spacing w:after="0" w:line="25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440" w:right="20" w:hanging="432"/>
        <w:spacing w:after="0" w:line="273"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February 2015 and July 2015, the board of directors adopted new repurchase programs, each authorizing the repurchase of up to $10 million of our common stock. In November 2015, the board adopted a new repurchase program authorizing the repurchase of up to an additional $15 million of our common stock until March 31, 2016, subject to further extension by the board, resulting in an aggregate authorization in 2015 to repurchase $35 million of our common stock. Shares repurchased under these programs will be subsequently retired.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the past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No dividends were paid in 2015, 2014 or 2013. We anticipate that we will retain any future earnings to support operations, to finance the growth and development of our business and to repurchase shares of our common stock from time to time and we do not expect, at this time, to pay cash dividends. Any future determination relating to our dividend policy will be made at the discretion of our board of directors and will depend on a number of factors, including future earnings, capital requirements, financial conditions, future prospects and other factors that the board of directors may deem relevant. Additionally, under our credit agreement, we are prohibited from declaring dividends without the prior consent of our lender, subject to certain exceptions, as described in “Management’s Discussion and Analysis of Financial Condition and Results of Operations — Liquidity and Capital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7" w:name="page18"/>
    <w:bookmarkEnd w:id="17"/>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Throughout this Annual Report on Form 10-K, we refer to our fiscal years ended January 2, 2016, January 3, 2015, December 28, 2013, December 29, 2012 and December 31, 2011, as fiscal years 2015, 2014, 2013, 2012 and 2011, respectively. Our fiscal year consists of 52 or 53 weeks, and ends on the Saturday nearest December 31 in each year. The 2014 fiscal year included 53 weeks and fiscal years 2015, 2013, 2012 and 2011included 52 weeks. All of our fiscal quarters presented in this Annual Report on Form 10-K included 13 weeks, with the exception of the fourth quarter of fiscal 2014, which included 14 weeks. When we refer to our fiscal quarters, or any three month period ending as of a specified date, we are referring to the 13-week or 14-week period prior to that date.</w:t>
      </w:r>
    </w:p>
    <w:p>
      <w:pPr>
        <w:spacing w:after="0" w:line="193"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following table sets forth, for the periods and dates indicated, our selected consolidated financial and operating data. The balance sheet data for fiscal 2015 and 2014 and the statement of operations and other financial data for fiscal 2015, 2014 and 2013 are derived from our audited financial statements included elsewhere in this Annual Report on Form 10-K. The balance sheet data for fiscal 2013, 2012 and 2011, and the statement of operations and other financial data for fiscal 2012 and 2011 are derived from our audited consolidated financial statements that are not included in this Annual Report on Form 10-K. You should read our selected consolidated financial and operating data in conjunction with our consolidated financial statements and related notes and with “Management’s Discussion and Analysis of Financial Condition and Results of Operations” appearing elsewhere in this Annual Report on Form 10-K.</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8"/>
              </w:rPr>
              <w:t>Fiscal Year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gridSpan w:val="7"/>
          </w:tcPr>
          <w:p>
            <w:pPr>
              <w:jc w:val="right"/>
              <w:spacing w:after="0"/>
              <w:rPr>
                <w:sz w:val="20"/>
                <w:szCs w:val="20"/>
                <w:color w:val="auto"/>
              </w:rPr>
            </w:pPr>
            <w:r>
              <w:rPr>
                <w:rFonts w:ascii="Arial" w:cs="Arial" w:eastAsia="Arial" w:hAnsi="Arial"/>
                <w:sz w:val="18"/>
                <w:szCs w:val="18"/>
                <w:b w:val="1"/>
                <w:bCs w:val="1"/>
                <w:color w:val="auto"/>
              </w:rPr>
              <w:t>(Dollars in thousands, except share and per share data)</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377,694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392,354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379,069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380,941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394,375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Costs and expenses: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Cost of merchandise sold - retail</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197,101</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210,887</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219,696</w:t>
            </w:r>
          </w:p>
        </w:tc>
        <w:tc>
          <w:tcPr>
            <w:tcW w:w="30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228,866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232,573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 of merchandise sold - commercial</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1,375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161,463</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164,445</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160,708</w:t>
            </w:r>
          </w:p>
        </w:tc>
        <w:tc>
          <w:tcPr>
            <w:tcW w:w="30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165,516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162,881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Goodwill impairment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33,670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Interest expense (income), net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(143)</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359,796</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376,330</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381,187</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429,370</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397,027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17,898</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(2,118)</w:t>
            </w: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(48,429)</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(9,447)</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1,662</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866</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27,345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(2,112)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(49,295)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per common share:</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1.61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6"/>
              </w:rPr>
              <w:t>Shares used in computing common per share amounts: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16,642,269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16,908,001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16,465,138</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16,331,672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17,371,315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16,867,356</w:t>
            </w: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17,133,811</w:t>
            </w:r>
          </w:p>
        </w:tc>
        <w:tc>
          <w:tcPr>
            <w:tcW w:w="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16,465,138</w:t>
            </w:r>
          </w:p>
        </w:tc>
        <w:tc>
          <w:tcPr>
            <w:tcW w:w="30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9"/>
              </w:rPr>
              <w:t>16,331,672</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17,371,315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3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6"/>
              </w:rPr>
              <w:t xml:space="preserve">Fiscal Year </w:t>
            </w:r>
            <w:r>
              <w:rPr>
                <w:rFonts w:ascii="Arial" w:cs="Arial" w:eastAsia="Arial" w:hAnsi="Arial"/>
                <w:sz w:val="30"/>
                <w:szCs w:val="30"/>
                <w:b w:val="1"/>
                <w:bCs w:val="1"/>
                <w:color w:val="auto"/>
                <w:w w:val="86"/>
                <w:vertAlign w:val="superscript"/>
              </w:rPr>
              <w:t>(1)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9"/>
              </w:rPr>
              <w:t>2013</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gridSpan w:val="8"/>
          </w:tcPr>
          <w:p>
            <w:pPr>
              <w:jc w:val="center"/>
              <w:ind w:left="490"/>
              <w:spacing w:after="0"/>
              <w:rPr>
                <w:sz w:val="20"/>
                <w:szCs w:val="20"/>
                <w:color w:val="auto"/>
              </w:rPr>
            </w:pPr>
            <w:r>
              <w:rPr>
                <w:rFonts w:ascii="Arial" w:cs="Arial" w:eastAsia="Arial" w:hAnsi="Arial"/>
                <w:sz w:val="18"/>
                <w:szCs w:val="18"/>
                <w:b w:val="1"/>
                <w:bCs w:val="1"/>
                <w:color w:val="auto"/>
                <w:w w:val="89"/>
              </w:rPr>
              <w:t>(Dollars in thousands, except per store and per square foot data)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175,614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176,838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153,477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145,687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Capital expenditures, net </w:t>
            </w:r>
            <w:r>
              <w:rPr>
                <w:rFonts w:ascii="Arial" w:cs="Arial" w:eastAsia="Arial" w:hAnsi="Arial"/>
                <w:sz w:val="25"/>
                <w:szCs w:val="25"/>
                <w:color w:val="auto"/>
                <w:vertAlign w:val="superscript"/>
              </w:rPr>
              <w:t>(3)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24,388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10,890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19,362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17,268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16,419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18,128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19,216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21,422</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34,884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19,058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16,542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(25,146)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(11,789)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(19,362)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(15,096)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w w:val="99"/>
              </w:rPr>
              <w:t>Cash flows (used in) provided by financing activities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(26,390)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(1,783)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(2,902)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(15,811)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Store data:</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line="216" w:lineRule="exact"/>
              <w:rPr>
                <w:sz w:val="20"/>
                <w:szCs w:val="20"/>
                <w:color w:val="auto"/>
              </w:rPr>
            </w:pPr>
            <w:r>
              <w:rPr>
                <w:rFonts w:ascii="Arial" w:cs="Arial" w:eastAsia="Arial" w:hAnsi="Arial"/>
                <w:sz w:val="16"/>
                <w:szCs w:val="16"/>
                <w:color w:val="auto"/>
              </w:rPr>
              <w:t xml:space="preserve">Number of stores at end of period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40"/>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269</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291</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60</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60</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960"/>
              <w:spacing w:after="0"/>
              <w:rPr>
                <w:sz w:val="20"/>
                <w:szCs w:val="20"/>
                <w:color w:val="auto"/>
              </w:rPr>
            </w:pPr>
            <w:r>
              <w:rPr>
                <w:rFonts w:ascii="Arial" w:cs="Arial" w:eastAsia="Arial" w:hAnsi="Arial"/>
                <w:sz w:val="18"/>
                <w:szCs w:val="18"/>
                <w:color w:val="auto"/>
              </w:rPr>
              <w:t>Total stores</w:t>
            </w:r>
          </w:p>
        </w:tc>
        <w:tc>
          <w:tcPr>
            <w:tcW w:w="2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329</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351</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line="216" w:lineRule="exact"/>
              <w:rPr>
                <w:sz w:val="20"/>
                <w:szCs w:val="20"/>
                <w:color w:val="auto"/>
              </w:rPr>
            </w:pPr>
            <w:r>
              <w:rPr>
                <w:rFonts w:ascii="Arial" w:cs="Arial" w:eastAsia="Arial" w:hAnsi="Arial"/>
                <w:sz w:val="16"/>
                <w:szCs w:val="16"/>
                <w:color w:val="auto"/>
              </w:rPr>
              <w:t xml:space="preserve">Square footage at end of period </w:t>
            </w:r>
            <w:r>
              <w:rPr>
                <w:rFonts w:ascii="Arial" w:cs="Arial" w:eastAsia="Arial" w:hAnsi="Arial"/>
                <w:sz w:val="25"/>
                <w:szCs w:val="25"/>
                <w:color w:val="auto"/>
                <w:vertAlign w:val="superscript"/>
              </w:rPr>
              <w:t>(5)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40"/>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719,535</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725,942</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735,605</w:t>
            </w:r>
          </w:p>
        </w:tc>
        <w:tc>
          <w:tcPr>
            <w:tcW w:w="28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818,380</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848,405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85,908</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84,789</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86,859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86,331</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960"/>
              <w:spacing w:after="0"/>
              <w:rPr>
                <w:sz w:val="20"/>
                <w:szCs w:val="20"/>
                <w:color w:val="auto"/>
              </w:rPr>
            </w:pPr>
            <w:r>
              <w:rPr>
                <w:rFonts w:ascii="Arial" w:cs="Arial" w:eastAsia="Arial" w:hAnsi="Arial"/>
                <w:sz w:val="18"/>
                <w:szCs w:val="18"/>
                <w:color w:val="auto"/>
              </w:rPr>
              <w:t>Total square footage</w:t>
            </w:r>
          </w:p>
        </w:tc>
        <w:tc>
          <w:tcPr>
            <w:tcW w:w="2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805,443</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810,731</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822,464</w:t>
            </w:r>
          </w:p>
        </w:tc>
        <w:tc>
          <w:tcPr>
            <w:tcW w:w="28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904,711</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932,316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line="216" w:lineRule="exact"/>
              <w:rPr>
                <w:sz w:val="20"/>
                <w:szCs w:val="20"/>
                <w:color w:val="auto"/>
              </w:rPr>
            </w:pPr>
            <w:r>
              <w:rPr>
                <w:rFonts w:ascii="Arial" w:cs="Arial" w:eastAsia="Arial" w:hAnsi="Arial"/>
                <w:sz w:val="16"/>
                <w:szCs w:val="16"/>
                <w:color w:val="auto"/>
              </w:rPr>
              <w:t xml:space="preserve">Average net retail sales per store: </w:t>
            </w:r>
            <w:r>
              <w:rPr>
                <w:rFonts w:ascii="Arial" w:cs="Arial" w:eastAsia="Arial" w:hAnsi="Arial"/>
                <w:sz w:val="25"/>
                <w:szCs w:val="25"/>
                <w:color w:val="auto"/>
                <w:vertAlign w:val="superscript"/>
              </w:rPr>
              <w:t>(6)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4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1,075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1,158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1,080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1,003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781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Net retail sales per square foot: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640"/>
              <w:spacing w:after="0" w:line="216" w:lineRule="exact"/>
              <w:rPr>
                <w:sz w:val="20"/>
                <w:szCs w:val="20"/>
                <w:color w:val="auto"/>
              </w:rPr>
            </w:pPr>
            <w:r>
              <w:rPr>
                <w:rFonts w:ascii="Arial" w:cs="Arial" w:eastAsia="Arial" w:hAnsi="Arial"/>
                <w:sz w:val="16"/>
                <w:szCs w:val="16"/>
                <w:color w:val="auto"/>
              </w:rPr>
              <w:t xml:space="preserve">North America </w:t>
            </w:r>
            <w:r>
              <w:rPr>
                <w:rFonts w:ascii="Arial" w:cs="Arial" w:eastAsia="Arial" w:hAnsi="Arial"/>
                <w:sz w:val="25"/>
                <w:szCs w:val="25"/>
                <w:color w:val="auto"/>
                <w:vertAlign w:val="superscript"/>
              </w:rPr>
              <w:t>(7)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640"/>
              <w:spacing w:after="0" w:line="216" w:lineRule="exact"/>
              <w:rPr>
                <w:sz w:val="20"/>
                <w:szCs w:val="20"/>
                <w:color w:val="auto"/>
              </w:rPr>
            </w:pPr>
            <w:r>
              <w:rPr>
                <w:rFonts w:ascii="Arial" w:cs="Arial" w:eastAsia="Arial" w:hAnsi="Arial"/>
                <w:sz w:val="16"/>
                <w:szCs w:val="16"/>
                <w:color w:val="auto"/>
              </w:rPr>
              <w:t xml:space="preserve">Europe </w:t>
            </w:r>
            <w:r>
              <w:rPr>
                <w:rFonts w:ascii="Arial" w:cs="Arial" w:eastAsia="Arial" w:hAnsi="Arial"/>
                <w:sz w:val="25"/>
                <w:szCs w:val="25"/>
                <w:color w:val="auto"/>
                <w:vertAlign w:val="superscript"/>
              </w:rPr>
              <w:t>(8)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551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567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525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511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line="216" w:lineRule="exact"/>
              <w:rPr>
                <w:sz w:val="20"/>
                <w:szCs w:val="20"/>
                <w:color w:val="auto"/>
              </w:rPr>
            </w:pPr>
            <w:r>
              <w:rPr>
                <w:rFonts w:ascii="Arial" w:cs="Arial" w:eastAsia="Arial" w:hAnsi="Arial"/>
                <w:sz w:val="16"/>
                <w:szCs w:val="16"/>
                <w:color w:val="auto"/>
              </w:rPr>
              <w:t xml:space="preserve">Consolidated comparable sales change (%) </w:t>
            </w:r>
            <w:r>
              <w:rPr>
                <w:rFonts w:ascii="Arial" w:cs="Arial" w:eastAsia="Arial" w:hAnsi="Arial"/>
                <w:sz w:val="25"/>
                <w:szCs w:val="25"/>
                <w:color w:val="auto"/>
                <w:vertAlign w:val="superscript"/>
              </w:rPr>
              <w:t>(9)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45,196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65,389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44,665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45,171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28,870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45,313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30,353</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30,503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213,334</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212,054</w:t>
            </w:r>
          </w:p>
        </w:tc>
        <w:tc>
          <w:tcPr>
            <w:tcW w:w="2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195,611</w:t>
            </w:r>
          </w:p>
        </w:tc>
        <w:tc>
          <w:tcPr>
            <w:tcW w:w="28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192,102</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99,414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97,625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84,390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83,137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Fiscal 2015, 2013, 2012 and 2011 included 52 weeks; fiscal 2014 included 53 weeks.</w:t>
      </w:r>
    </w:p>
    <w:p>
      <w:pPr>
        <w:spacing w:after="0" w:line="23" w:lineRule="exact"/>
        <w:rPr>
          <w:rFonts w:ascii="Arial" w:cs="Arial" w:eastAsia="Arial" w:hAnsi="Arial"/>
          <w:sz w:val="18"/>
          <w:szCs w:val="18"/>
          <w:color w:val="auto"/>
        </w:rPr>
      </w:pPr>
    </w:p>
    <w:p>
      <w:pPr>
        <w:ind w:left="440" w:right="58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ind w:left="440" w:right="8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 consist of leasehold improvements, furniture and fixtures, land, buildings, computer equipment and software purchases, as well as trademarks, intellectual property and deferred leasing fees.</w:t>
      </w:r>
    </w:p>
    <w:p>
      <w:pPr>
        <w:ind w:left="440" w:right="28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our e-commerce sites. North American stores are located in the United States, Canada and Puerto Rico. In Europe, stores are located in the United Kingdom, Ireland and, beginning in 2015, Denmark.</w:t>
      </w:r>
    </w:p>
    <w:p>
      <w:pPr>
        <w:ind w:left="440" w:right="38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Square footage for stores located in North America is leased square footage. Square footage for stores located in Europe is estimated selling square footage.</w:t>
      </w:r>
    </w:p>
    <w:p>
      <w:pPr>
        <w:ind w:left="440" w:right="6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net retail sales per store represents net retail sales only from stores open throughout the entire period, excluding e-commerce locations, divided by the total number of such stores.</w:t>
      </w:r>
    </w:p>
    <w:p>
      <w:pPr>
        <w:ind w:left="4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square foot in North America represents net retail sales from stores open throughout the entire period in North America, excluding e-commerce location, divided by the total leased square footage of such stores.</w:t>
      </w:r>
    </w:p>
    <w:p>
      <w:pPr>
        <w:ind w:left="440" w:right="380" w:hanging="432"/>
        <w:spacing w:after="0" w:line="261"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square foot in Europe represents net retail sales from stores open throughout the entire period in Europe, excluding e-commerce location, divided by the total selling square footage of such stores.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40" w:right="239" w:bottom="1440" w:gutter="0" w:footer="0" w:header="0"/>
        </w:sectPr>
      </w:pPr>
    </w:p>
    <w:bookmarkStart w:id="19" w:name="page20"/>
    <w:bookmarkEnd w:id="19"/>
    <w:p>
      <w:pPr>
        <w:ind w:left="440" w:right="260" w:hanging="432"/>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Consolidated comparable sales percentage changes are based on net retail sales, including e-commerce, and exclude the impact of foreign exchange. Store locations are considered comparable beginning in their thirteenth full month of operation. Comparable sales percentage changes for 2015 are based on net retail sales as compared to the 52-week period ended January 3, 2015.</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January 2, 2016, we operated 329 Company-owned stores and had 77 franchised stores operating in international locations under the Build-A-Bear Workshop brand. In addition to our stores, we sell our products on our e-commerce sites, buildabear.com and buildabear.co.uk.</w:t>
      </w:r>
    </w:p>
    <w:p>
      <w:pPr>
        <w:spacing w:after="0" w:line="18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right="640" w:hanging="324"/>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DTC – Company-owned retail stores located in the United States, Canada, Puerto Rico, the United Kingdom, Ireland and Denmark, and two e-commerce sites;</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500" w:hanging="324"/>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Selected financial data attributable to each segment for fiscal 2015, 2014 and 2013, are set forth in Note 15 to our consolidated financial statements included elsewhere in this Annual Report on Form 10-K.</w:t>
      </w:r>
    </w:p>
    <w:p>
      <w:pPr>
        <w:spacing w:after="0" w:line="170"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For a discussion of the key trends and uncertainties that have affected our revenues, income and liquidity, see the “— Revenues,” “— Costs and Expenses” and “— Stores” subsections of this Overview, along with the “Risk Factors” and “Results of Operations.”</w:t>
      </w:r>
    </w:p>
    <w:p>
      <w:pPr>
        <w:spacing w:after="0" w:line="170"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We believe that we have an appealing retail store concept that has broad demographic appeal which, for North American stores open for the entire year, averaged net retail sales per store of $1.1 million in fiscal 2015, $1.2 million in fiscal 2014 and $1.1 million in fiscal 2013. Consolidated store contribution consists of store location net retail sales less cost of product, marketing and store related expenses. Non-store general and administrative expenses are excluded as are our e-commerce sites, locations not open for the full fiscal year and adjustments to deferred revenue related to our loyalty program and gift card breakage. See “— Non-GAAP Financial Measures” for a reconciliation of store contribution to net income (loss). Consolidated store contribution as a percent of store location net retail sales was 18.2%, 16.3% and 12.1% for fiscal 2015, 2014 and 2013, respectively. Consolidated net income (loss) as a percentage of total revenues was 7.2%, 3.7% and (0.6)% for 2015, 2014 and 2013, respectively.</w:t>
      </w:r>
    </w:p>
    <w:p>
      <w:pPr>
        <w:spacing w:after="0" w:line="178"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We believe that the improvement in consolidated store contribution in fiscal 2015 was the result of the disciplined execution of our stated strategies as we expanded our real estate portfolio, with our new Discovery store design and first ever value-driven outlet format stores, extended engagement with our core consumer segment, expanded our business with the teen-plus affinity and gift-giving segment, introduced new intellectual property collections and drove e-commerce sales while making investments in infrastructure and personnel. Through these efforts, we delivered the third consecutive year of improved profitability and increased consolidated comparable sales, with higher units per transaction and the highest dollars per transaction in our history.</w:t>
      </w:r>
    </w:p>
    <w:p>
      <w:pPr>
        <w:spacing w:after="0" w:line="158"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In 2014, the successful and consistent implementation of our key strategies of optimizing real estate, resetting the consumer value equation and rationalizing our expense structure resulted in improved North American sales per square foot, expanded consolidated retail gross margin and a reduction in the number of unprofitable stores in North America to less than 2%. Our 2013 performance demonstrated progress on our turnaround plan and our objective to return to profitability as we hired a new chief executive officer, executed a significant real estate repositioning strategy and implemented stringent cost controls throughout the organization.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0" w:name="page21"/>
    <w:bookmarkEnd w:id="20"/>
    <w:p>
      <w:pPr>
        <w:ind w:right="260" w:firstLine="441"/>
        <w:spacing w:after="0" w:line="271" w:lineRule="auto"/>
        <w:rPr>
          <w:sz w:val="20"/>
          <w:szCs w:val="20"/>
          <w:color w:val="auto"/>
        </w:rPr>
      </w:pPr>
      <w:r>
        <w:rPr>
          <w:rFonts w:ascii="Arial" w:cs="Arial" w:eastAsia="Arial" w:hAnsi="Arial"/>
          <w:sz w:val="17"/>
          <w:szCs w:val="17"/>
          <w:color w:val="auto"/>
        </w:rPr>
        <w:t>Our 2016 plan builds on the successes of the last three years. We plan to continue to improve our real estate portfolio through a combination of remodels and new locations in the U.S. and internationally in our new Discovery format, including remodeling select flagship locations and opening a new flagship store in Shanghai, China, and diversifying our real estate portfolio to include more stores in new formats including outlets, shop-in-shops and seasonal pop-up locations. As we continue to evolve our international franchise model, we expect our franchisees to open additional stores throughout the year. Additionally, we intend to increase revenues and profit by developing new licensed relationships and products and expanding our own intellectual property to extend our core consumer business, while leveraging the strength of the Build-A-Bear brand to expand wholesale and outbound licensing programs. We expect to do this more profitably as we continue to realize efficiencies and expand our capabilities through our ongoing efforts in process improvement, system upgrades, value engineering and strategic pricing actions.</w:t>
      </w:r>
    </w:p>
    <w:p>
      <w:pPr>
        <w:spacing w:after="0" w:line="179"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We ended fiscal 2015 with no borrowings under our bank loan agreement and with $45.2 million in cash and cash equivalents after investing $24.4 million in capital projects. Throughout the year, we spent $25.9 million repurchasing shares of our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Net retail sales: </w:t>
      </w:r>
      <w:r>
        <w:rPr>
          <w:rFonts w:ascii="Arial" w:cs="Arial" w:eastAsia="Arial" w:hAnsi="Arial"/>
          <w:sz w:val="16"/>
          <w:szCs w:val="16"/>
          <w:color w:val="auto"/>
        </w:rPr>
        <w:t>Net retail sales are revenues from retail sales (including our e-commerce sites), are net of discounts, exclude sales tax, include shipping and</w:t>
      </w:r>
      <w:r>
        <w:rPr>
          <w:rFonts w:ascii="Arial" w:cs="Arial" w:eastAsia="Arial" w:hAnsi="Arial"/>
          <w:sz w:val="16"/>
          <w:szCs w:val="16"/>
          <w:i w:val="1"/>
          <w:iCs w:val="1"/>
          <w:color w:val="auto"/>
        </w:rPr>
        <w:t xml:space="preserve"> </w:t>
      </w:r>
      <w:r>
        <w:rPr>
          <w:rFonts w:ascii="Arial" w:cs="Arial" w:eastAsia="Arial" w:hAnsi="Arial"/>
          <w:sz w:val="16"/>
          <w:szCs w:val="16"/>
          <w:color w:val="auto"/>
        </w:rPr>
        <w:t>handling costs billed to customers, and are recognized at the time of sale. Revenues from gift cards are recognized at the time of redemption. Our guests use cash, checks, gift cards and third party credit cards to make purchases. We classify stores as new, non-comparable and comparable stores. Stores enter the comparable sales calculation in their thirteenth full month of operation. Our temporary and seasonal locations are not included in our comparable calculations. Non-comparable stores also result from a store relocation or remodel that results in a significant change in square footage or temporary closure. The net retail sales for that location are excluded from comparable sales calculations until the thirteenth full month of operation after the date of the change.</w:t>
      </w:r>
    </w:p>
    <w:p>
      <w:pPr>
        <w:spacing w:after="0" w:line="165"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Beginning in 2015, we began to recognize breakage revenue on unredeemed gift cards sold in the U.S. using the redemption recognition method. Revenue is recognized in net retail sales when the likelihood of the gift card being redeemed is considered remote, based on historical redemption patterns. We have a loyalty program with a frequent shopper reward feature, the Stuff Fur Stuff® club. Members of the program receive one point for every dollar spent and receive awards after reaching certain point thresholds. On a quarterly basis, an estimate of the obligation related to the program, based on actual points, awards outstanding and historical point conversion and award redemption patterns, is recorded as an adjustment to the deferred revenue liability and net retail sales. Gift cards can be purchased and redeemed and awards can be earned or redeemed at any of our store locations. Accordingly, we account for gift card breakage and changes in the deferred revenue account at the total company level only. Therefore, when we refer to net retail sales by location, such as comparable stores or new stores, these amounts do not include gift card breakage or any changes in deferred revenue. See “-Critical Accounting Estimates” for additional information on the accounting for gift card breakage and the deferred revenue related to our customer loyalty program.</w:t>
      </w:r>
    </w:p>
    <w:p>
      <w:pPr>
        <w:spacing w:after="0" w:line="16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We use net retail sales per square foot and comparable sales as performance measures for our business. The following table details net retail sales per square foot for the periods presented:</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Fiscal</w:t>
            </w:r>
          </w:p>
        </w:tc>
        <w:tc>
          <w:tcPr>
            <w:tcW w:w="30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Fiscal</w:t>
            </w:r>
          </w:p>
        </w:tc>
        <w:tc>
          <w:tcPr>
            <w:tcW w:w="2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Fiscal</w:t>
            </w:r>
          </w:p>
        </w:tc>
      </w:tr>
      <w:tr>
        <w:trPr>
          <w:trHeight w:val="258"/>
        </w:trPr>
        <w:tc>
          <w:tcPr>
            <w:tcW w:w="5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11"/>
              <w:spacing w:after="0" w:line="258" w:lineRule="exact"/>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9"/>
                <w:szCs w:val="29"/>
                <w:b w:val="1"/>
                <w:bCs w:val="1"/>
                <w:color w:val="auto"/>
                <w:vertAlign w:val="superscript"/>
              </w:rPr>
              <w:t>(3)</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51"/>
              <w:spacing w:after="0" w:line="258" w:lineRule="exact"/>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9"/>
                <w:szCs w:val="29"/>
                <w:b w:val="1"/>
                <w:bCs w:val="1"/>
                <w:color w:val="auto"/>
                <w:vertAlign w:val="superscript"/>
              </w:rPr>
              <w:t>(3)</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51"/>
              <w:spacing w:after="0" w:line="258" w:lineRule="exact"/>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(3)</w:t>
            </w:r>
          </w:p>
        </w:tc>
        <w:tc>
          <w:tcPr>
            <w:tcW w:w="100" w:type="dxa"/>
            <w:vAlign w:val="bottom"/>
          </w:tcPr>
          <w:p>
            <w:pPr>
              <w:spacing w:after="0"/>
              <w:rPr>
                <w:sz w:val="22"/>
                <w:szCs w:val="2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retail sales per square foot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North America </w:t>
            </w:r>
            <w:r>
              <w:rPr>
                <w:rFonts w:ascii="Arial" w:cs="Arial" w:eastAsia="Arial" w:hAnsi="Arial"/>
                <w:sz w:val="25"/>
                <w:szCs w:val="25"/>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409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r>
      <w:tr>
        <w:trPr>
          <w:trHeight w:val="216"/>
        </w:trPr>
        <w:tc>
          <w:tcPr>
            <w:tcW w:w="514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Europe </w:t>
            </w:r>
            <w:r>
              <w:rPr>
                <w:rFonts w:ascii="Arial" w:cs="Arial" w:eastAsia="Arial" w:hAnsi="Arial"/>
                <w:sz w:val="25"/>
                <w:szCs w:val="25"/>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3600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0" w:hanging="432"/>
        <w:spacing w:after="0" w:line="25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retail sales per square foot in North America represents net retail sales from stores open throughout the entire period in North America, excluding e-commerce sales, divided by the total leased square footage of such stores.</w:t>
      </w:r>
    </w:p>
    <w:p>
      <w:pPr>
        <w:spacing w:after="0" w:line="1" w:lineRule="exact"/>
        <w:rPr>
          <w:rFonts w:ascii="Arial" w:cs="Arial" w:eastAsia="Arial" w:hAnsi="Arial"/>
          <w:sz w:val="18"/>
          <w:szCs w:val="18"/>
          <w:color w:val="auto"/>
        </w:rPr>
      </w:pPr>
    </w:p>
    <w:p>
      <w:pPr>
        <w:ind w:left="440" w:right="380" w:hanging="432"/>
        <w:spacing w:after="0" w:line="250"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retail sales per square foot in Europe represents net retail sales from stores open throughout the entire period in Europe, excluding e-commerce sales, divided by the total selling square footage of such stores.</w:t>
      </w: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2015 and 2013 included 52 weeks; fiscal 2014 included 53 weeks.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color w:val="auto"/>
        </w:rPr>
        <w:t>The percentage increase (or decrease) in comparable sales for the periods presented below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100" w:type="dxa"/>
            <w:vAlign w:val="bottom"/>
          </w:tcPr>
          <w:p>
            <w:pPr>
              <w:ind w:left="540"/>
              <w:spacing w:after="0"/>
              <w:rPr>
                <w:sz w:val="20"/>
                <w:szCs w:val="20"/>
                <w:color w:val="auto"/>
              </w:rPr>
            </w:pPr>
            <w:r>
              <w:rPr>
                <w:rFonts w:ascii="Arial" w:cs="Arial" w:eastAsia="Arial" w:hAnsi="Arial"/>
                <w:sz w:val="18"/>
                <w:szCs w:val="18"/>
                <w:b w:val="1"/>
                <w:bCs w:val="1"/>
                <w:color w:val="auto"/>
              </w:rPr>
              <w:t>Fiscal</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left="290"/>
              <w:spacing w:after="0"/>
              <w:rPr>
                <w:sz w:val="20"/>
                <w:szCs w:val="20"/>
                <w:color w:val="auto"/>
              </w:rPr>
            </w:pPr>
            <w:r>
              <w:rPr>
                <w:rFonts w:ascii="Arial" w:cs="Arial" w:eastAsia="Arial" w:hAnsi="Arial"/>
                <w:sz w:val="18"/>
                <w:szCs w:val="18"/>
                <w:b w:val="1"/>
                <w:bCs w:val="1"/>
                <w:color w:val="auto"/>
                <w:w w:val="86"/>
              </w:rPr>
              <w:t>Fiscal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Fiscal</w:t>
            </w:r>
          </w:p>
        </w:tc>
      </w:tr>
      <w:tr>
        <w:trPr>
          <w:trHeight w:val="234"/>
        </w:trPr>
        <w:tc>
          <w:tcPr>
            <w:tcW w:w="6100" w:type="dxa"/>
            <w:vAlign w:val="bottom"/>
            <w:gridSpan w:val="2"/>
          </w:tcPr>
          <w:p>
            <w:pPr>
              <w:ind w:left="5580"/>
              <w:spacing w:after="0"/>
              <w:rPr>
                <w:sz w:val="20"/>
                <w:szCs w:val="20"/>
                <w:color w:val="auto"/>
              </w:rPr>
            </w:pPr>
            <w:r>
              <w:rPr>
                <w:rFonts w:ascii="Arial" w:cs="Arial" w:eastAsia="Arial" w:hAnsi="Arial"/>
                <w:sz w:val="18"/>
                <w:szCs w:val="18"/>
                <w:b w:val="1"/>
                <w:bCs w:val="1"/>
                <w:color w:val="auto"/>
              </w:rPr>
              <w:t>2015</w:t>
            </w:r>
          </w:p>
        </w:tc>
        <w:tc>
          <w:tcPr>
            <w:tcW w:w="18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r>
      <w:tr>
        <w:trPr>
          <w:trHeight w:val="210"/>
        </w:trPr>
        <w:tc>
          <w:tcPr>
            <w:tcW w:w="50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Comparable sales change (%) </w:t>
            </w:r>
            <w:r>
              <w:rPr>
                <w:rFonts w:ascii="Arial" w:cs="Arial" w:eastAsia="Arial" w:hAnsi="Arial"/>
                <w:sz w:val="24"/>
                <w:szCs w:val="24"/>
                <w:color w:val="auto"/>
                <w:vertAlign w:val="superscript"/>
              </w:rPr>
              <w:t>(1)</w:t>
            </w: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160"/>
              <w:spacing w:after="0"/>
              <w:rPr>
                <w:sz w:val="20"/>
                <w:szCs w:val="20"/>
                <w:color w:val="auto"/>
              </w:rPr>
            </w:pPr>
            <w:r>
              <w:rPr>
                <w:rFonts w:ascii="Arial" w:cs="Arial" w:eastAsia="Arial" w:hAnsi="Arial"/>
                <w:sz w:val="18"/>
                <w:szCs w:val="18"/>
                <w:color w:val="auto"/>
              </w:rPr>
              <w:t>North America</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w:t>
            </w:r>
          </w:p>
        </w:tc>
        <w:tc>
          <w:tcPr>
            <w:tcW w:w="1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w:t>
            </w:r>
          </w:p>
        </w:tc>
        <w:tc>
          <w:tcPr>
            <w:tcW w:w="1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00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5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100" w:type="dxa"/>
            <w:vAlign w:val="bottom"/>
            <w:gridSpan w:val="2"/>
            <w:shd w:val="clear" w:color="auto" w:fill="CCEEFF"/>
          </w:tcPr>
          <w:p>
            <w:pPr>
              <w:spacing w:after="0"/>
              <w:rPr>
                <w:sz w:val="17"/>
                <w:szCs w:val="17"/>
                <w:color w:val="auto"/>
              </w:rPr>
            </w:pPr>
          </w:p>
        </w:tc>
        <w:tc>
          <w:tcPr>
            <w:tcW w:w="740" w:type="dxa"/>
            <w:vAlign w:val="bottom"/>
            <w:gridSpan w:val="2"/>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17"/>
                <w:szCs w:val="17"/>
                <w:color w:val="auto"/>
              </w:rPr>
            </w:pPr>
          </w:p>
        </w:tc>
        <w:tc>
          <w:tcPr>
            <w:tcW w:w="1660" w:type="dxa"/>
            <w:vAlign w:val="bottom"/>
            <w:gridSpan w:val="2"/>
            <w:shd w:val="clear" w:color="auto" w:fill="CCEEFF"/>
          </w:tcPr>
          <w:p>
            <w:pPr>
              <w:spacing w:after="0"/>
              <w:rPr>
                <w:sz w:val="17"/>
                <w:szCs w:val="17"/>
                <w:color w:val="auto"/>
              </w:rPr>
            </w:pPr>
          </w:p>
        </w:tc>
      </w:tr>
      <w:tr>
        <w:trPr>
          <w:trHeight w:val="216"/>
        </w:trPr>
        <w:tc>
          <w:tcPr>
            <w:tcW w:w="6100" w:type="dxa"/>
            <w:vAlign w:val="bottom"/>
            <w:gridSpan w:val="2"/>
          </w:tcPr>
          <w:p>
            <w:pPr>
              <w:ind w:left="160"/>
              <w:spacing w:after="0"/>
              <w:rPr>
                <w:sz w:val="20"/>
                <w:szCs w:val="20"/>
                <w:color w:val="auto"/>
              </w:rPr>
            </w:pPr>
            <w:r>
              <w:rPr>
                <w:rFonts w:ascii="Arial" w:cs="Arial" w:eastAsia="Arial" w:hAnsi="Arial"/>
                <w:sz w:val="18"/>
                <w:szCs w:val="18"/>
                <w:color w:val="auto"/>
              </w:rPr>
              <w:t>Stores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0.5%</w:t>
            </w:r>
          </w:p>
        </w:tc>
        <w:tc>
          <w:tcPr>
            <w:tcW w:w="1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E-commerce</w:t>
            </w: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w:t>
            </w:r>
          </w:p>
        </w:tc>
        <w:tc>
          <w:tcPr>
            <w:tcW w:w="1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0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00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5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53"/>
        <w:spacing w:after="0" w:line="277"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Comparable sales percentage changes are based on net retail sales and exclude the impact of foreign exchange. Stores are considered comparable beginning in their thirteenth full month of operation.</w:t>
      </w:r>
    </w:p>
    <w:p>
      <w:pPr>
        <w:spacing w:after="0" w:line="17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Comparable sales percentage changes for 2015 are based on net retail sales as compared to the 52-week period ended January 3, 2015. We believe the increase in comparable sales for the year is primarily attributable to the balanced product assortment that simultaneously and consistently focused on our four key consumer segments supported by elevated marketing programs. We believe this drove improvements in key metrics including dollars and units per transaction across geographies that were able to offset a decrease in transactions due to a challenging retail environment in North America and the success of certain licensed product in the fourth quarter of fiscal 2014.</w:t>
      </w:r>
    </w:p>
    <w:p>
      <w:pPr>
        <w:spacing w:after="0" w:line="18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Fiscal 2014 consolidated comparable sales for the full year are compared to the 53-week period ended January 4, 2014. We believe the increase in comparable sales for fiscal 2014 was primarily driven by:</w:t>
      </w:r>
    </w:p>
    <w:p>
      <w:pPr>
        <w:spacing w:after="0" w:line="170" w:lineRule="exact"/>
        <w:rPr>
          <w:sz w:val="20"/>
          <w:szCs w:val="20"/>
          <w:color w:val="auto"/>
        </w:rPr>
      </w:pPr>
    </w:p>
    <w:p>
      <w:pPr>
        <w:ind w:left="660" w:right="6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High-impact product launches supported by well-executed, elevated marketing programs which led to robust sales of key licensed products, continued strength in our core collections and successful proprietary launches;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Improvement in key operational levers as we saw increases in dollars per transaction, units per transaction and average unit selling price for the year;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store closures, primarily in North American multi-store markets, which transferred approximately 15% of their sales to remaining stores in the market.</w:t>
      </w:r>
    </w:p>
    <w:p>
      <w:pPr>
        <w:spacing w:after="0" w:line="170" w:lineRule="exact"/>
        <w:rPr>
          <w:rFonts w:ascii="Arial" w:cs="Arial" w:eastAsia="Arial" w:hAnsi="Arial"/>
          <w:sz w:val="18"/>
          <w:szCs w:val="18"/>
          <w:color w:val="auto"/>
        </w:rPr>
      </w:pPr>
    </w:p>
    <w:p>
      <w:pPr>
        <w:ind w:left="660" w:right="40" w:hanging="328"/>
        <w:spacing w:after="0" w:line="273"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Additionally, we believe fiscal 2014 was negatively impacted by a decrease in traffic partially attributable to the extreme weather patterns in the first quarter of 2014 in North America and its lingering effects. In the first quarter of 2014, extreme weather decreased overall mall traffic for many markets in North America impacting the retail sector overall. In the second quarter of 2014, we saw the lingering effect of the first quarter weather patterns as school vacations were cancelled and the school year was extended in many markets impacting experiential children’s retail such as ours whose traffic benefits when kids are out of school. We believe that consumer traffic in many of the malls in which we operate stores decreased from historical levels impacting overall consumer traffic to our stores.</w:t>
      </w:r>
    </w:p>
    <w:p>
      <w:pPr>
        <w:spacing w:after="0" w:line="178" w:lineRule="exact"/>
        <w:rPr>
          <w:sz w:val="20"/>
          <w:szCs w:val="20"/>
          <w:color w:val="auto"/>
        </w:rPr>
      </w:pPr>
    </w:p>
    <w:p>
      <w:pPr>
        <w:jc w:val="both"/>
        <w:ind w:right="280" w:firstLine="441"/>
        <w:spacing w:after="0" w:line="279" w:lineRule="auto"/>
        <w:rPr>
          <w:sz w:val="20"/>
          <w:szCs w:val="20"/>
          <w:color w:val="auto"/>
        </w:rPr>
      </w:pPr>
      <w:r>
        <w:rPr>
          <w:rFonts w:ascii="Arial" w:cs="Arial" w:eastAsia="Arial" w:hAnsi="Arial"/>
          <w:sz w:val="17"/>
          <w:szCs w:val="17"/>
          <w:i w:val="1"/>
          <w:iCs w:val="1"/>
          <w:color w:val="auto"/>
        </w:rPr>
        <w:t xml:space="preserve">Franchise fees: </w:t>
      </w:r>
      <w:r>
        <w:rPr>
          <w:rFonts w:ascii="Arial" w:cs="Arial" w:eastAsia="Arial" w:hAnsi="Arial"/>
          <w:sz w:val="17"/>
          <w:szCs w:val="17"/>
          <w:color w:val="auto"/>
        </w:rPr>
        <w:t>Typically, we receive an initial, one-time franchise fee for each master franchise agreement which is amortized to revenue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term of the respective franchise agreement, which may extend for periods up to 25 years and include a renewal option if certain conditions are met. Master franchise rights are typically granted to a franchisee for an entire country or countries. Continuing franchise fees are based on a percentage of sales made by the franchisees’ stores and are recognized as revenue at the time of those sales.</w:t>
      </w:r>
    </w:p>
    <w:p>
      <w:pPr>
        <w:spacing w:after="0" w:line="171" w:lineRule="exact"/>
        <w:rPr>
          <w:sz w:val="20"/>
          <w:szCs w:val="20"/>
          <w:color w:val="auto"/>
        </w:rPr>
      </w:pPr>
    </w:p>
    <w:p>
      <w:pPr>
        <w:ind w:right="220" w:firstLine="441"/>
        <w:spacing w:after="0" w:line="276" w:lineRule="auto"/>
        <w:rPr>
          <w:sz w:val="20"/>
          <w:szCs w:val="20"/>
          <w:color w:val="auto"/>
        </w:rPr>
      </w:pPr>
      <w:r>
        <w:rPr>
          <w:rFonts w:ascii="Arial" w:cs="Arial" w:eastAsia="Arial" w:hAnsi="Arial"/>
          <w:sz w:val="17"/>
          <w:szCs w:val="17"/>
          <w:i w:val="1"/>
          <w:iCs w:val="1"/>
          <w:color w:val="auto"/>
        </w:rPr>
        <w:t xml:space="preserve">Commercial revenue: </w:t>
      </w:r>
      <w:r>
        <w:rPr>
          <w:rFonts w:ascii="Arial" w:cs="Arial" w:eastAsia="Arial" w:hAnsi="Arial"/>
          <w:sz w:val="17"/>
          <w:szCs w:val="17"/>
          <w:color w:val="auto"/>
        </w:rPr>
        <w:t>Commercial revenue includes the company’s transactions with other businesses, mainly through wholesale and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Revenue from wholesale product sales includes revenue from merchandise sold at stores operated by third parties under licensing agreements. Revenue from licensing activities is generally based on a percentage of sales made by licensees to third parties and is recognized at the time the product is shipped by the licensee or at the point of sale. We have historically entered into a number of licensing arrangements whereby third parties manufacture merchandise carrying the Build-A-Bear trademark and sell it to other retailers.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Costs and Expenses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Cost of merchandise sold - retail and retail gross margin: </w:t>
      </w:r>
      <w:r>
        <w:rPr>
          <w:rFonts w:ascii="Arial" w:cs="Arial" w:eastAsia="Arial" w:hAnsi="Arial"/>
          <w:sz w:val="18"/>
          <w:szCs w:val="18"/>
          <w:color w:val="auto"/>
        </w:rPr>
        <w:t>Cost of merchandise sold – retail includes the cost of the merchandise, including royalties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licensors of third party branded merchandise; store occupancy cost, including store depreciation and store asset impairment charges; cost of warehousing and distribution; packaging; stuffing; damages and shortages; and shipping and handling costs incurred in shipment to customers. Retail gross margin is defined as net retail sales less the cost of merchandise sold - retail.</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These expenses include store payroll and benefits, advertising, credit card fees, store supplies, normal</w:t>
      </w:r>
      <w:r>
        <w:rPr>
          <w:rFonts w:ascii="Arial" w:cs="Arial" w:eastAsia="Arial" w:hAnsi="Arial"/>
          <w:sz w:val="18"/>
          <w:szCs w:val="18"/>
          <w:i w:val="1"/>
          <w:iCs w:val="1"/>
          <w:color w:val="auto"/>
        </w:rPr>
        <w:t xml:space="preserve"> </w:t>
      </w:r>
      <w:r>
        <w:rPr>
          <w:rFonts w:ascii="Arial" w:cs="Arial" w:eastAsia="Arial" w:hAnsi="Arial"/>
          <w:sz w:val="18"/>
          <w:szCs w:val="18"/>
          <w:color w:val="auto"/>
        </w:rPr>
        <w:t>store closings and preopening expenses as well as central office general and administrative expenses, including costs for management payroll, benefits, stock-based compensation, travel, information systems, accounting, insurance, legal and public relations. These expenses also include depreciation of central office assets as well as the amortization of intellectual property and other assets. Certain store expenses such as store payroll and credit card fees historically have increased or decreased proportionately with net retail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stores: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number of Build-A-Bear Workshop stores in the United States, Canada, Puerto Rico (collectively, North America), the United Kingdom, Ireland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Denmark (collectively, Europe) for the last three fiscal years can be summarized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20" w:type="dxa"/>
            <w:vAlign w:val="bottom"/>
          </w:tcPr>
          <w:p>
            <w:pPr>
              <w:jc w:val="center"/>
              <w:ind w:left="350"/>
              <w:spacing w:after="0"/>
              <w:rPr>
                <w:sz w:val="20"/>
                <w:szCs w:val="20"/>
                <w:color w:val="auto"/>
              </w:rPr>
            </w:pPr>
            <w:r>
              <w:rPr>
                <w:rFonts w:ascii="Arial" w:cs="Arial" w:eastAsia="Arial" w:hAnsi="Arial"/>
                <w:sz w:val="18"/>
                <w:szCs w:val="18"/>
                <w:b w:val="1"/>
                <w:bCs w:val="1"/>
                <w:color w:val="auto"/>
                <w:w w:val="95"/>
              </w:rPr>
              <w:t>North</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2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America</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ind w:left="480"/>
              <w:spacing w:after="0"/>
              <w:rPr>
                <w:sz w:val="20"/>
                <w:szCs w:val="20"/>
                <w:color w:val="auto"/>
              </w:rPr>
            </w:pPr>
            <w:r>
              <w:rPr>
                <w:rFonts w:ascii="Arial" w:cs="Arial" w:eastAsia="Arial" w:hAnsi="Arial"/>
                <w:sz w:val="18"/>
                <w:szCs w:val="18"/>
                <w:b w:val="1"/>
                <w:bCs w:val="1"/>
                <w:color w:val="auto"/>
              </w:rPr>
              <w:t>Europe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December 29, 2012</w:t>
            </w: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December 28, 2013</w:t>
            </w:r>
          </w:p>
        </w:tc>
        <w:tc>
          <w:tcPr>
            <w:tcW w:w="1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Opened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Closed</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3, 2015</w:t>
            </w: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2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b w:val="1"/>
                <w:bCs w:val="1"/>
                <w:color w:val="auto"/>
              </w:rPr>
              <w:t>Opened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Closed</w:t>
            </w: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w:t>
            </w:r>
          </w:p>
        </w:tc>
        <w:tc>
          <w:tcPr>
            <w:tcW w:w="1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w:t>
            </w: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January 2, 2016</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During 2016, we expect to expand our owned and operated locations by adding approximately 10 stores, net of closures. Through a combination of remodels and new openings, we expect to end the year with between 45 and 55 stores in our Discovery format, including select flagship locations, both domestic and internationally. We also expect to continue to diversify our real estate portfolio with the addition of more outlet format stores, shop-in-shops and seasonal pop-up locations. We plan to update stores primarily in conjunction with natural lease events including new store openings, relocations and lease required remodels. We also expect to close select stores in accordance with natural lease events as an ongoing part of our real estate management and day-to-day operational plans. The majority of store relocations and in-place remodels in fiscal 2016 are expected to begin in the first half of the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Non-traditional Store Locations: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also operate in a number of non-traditional locations, such as a ballpark, a zoo and science center. Additionally, we had eight locations within other retailers’ stores. Six of these shop-in-shop locations closed in the first week of fiscal 2016 as planned due to the seasonal nature of the locations. We also operate temporary stores, which generally have lease terms of six to eighteen months and are excluded from our traditional store count. These locations are intended to capitalize on short-term opportunities in specific locations. In 2015, we opened our first true outlet format stores, in which we offer a value-oriented merchandise assortment, targeting locations near kid-centric tourist destinations. We expect these locations to drive incremental sales and to play an important role in the management of our product lifecycle. As of January 2, 2016, we operated 15 temporary and six outlet stores.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and merchandise assortments as our company-owned heritage stores. As of January 2, 2016, we had eight master franchise agreements, which typically grant franchise rights for a particular country or group of countries, covering an aggregate of 14 countries. The number of international, franchised stores opened and closed for the periods presented below are summarized as follows:</w:t>
      </w:r>
    </w:p>
    <w:p>
      <w:pPr>
        <w:spacing w:after="0" w:line="183"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4740" w:type="dxa"/>
            <w:vAlign w:val="bottom"/>
            <w:gridSpan w:val="2"/>
          </w:tcPr>
          <w:p>
            <w:pPr>
              <w:spacing w:after="0"/>
              <w:rPr>
                <w:sz w:val="18"/>
                <w:szCs w:val="18"/>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4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vMerge w:val="restart"/>
          </w:tcPr>
          <w:p>
            <w:pPr>
              <w:spacing w:after="0"/>
              <w:rPr>
                <w:sz w:val="18"/>
                <w:szCs w:val="18"/>
                <w:color w:val="auto"/>
              </w:rPr>
            </w:pPr>
          </w:p>
        </w:tc>
        <w:tc>
          <w:tcPr>
            <w:tcW w:w="51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Opened</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tcPr>
          <w:p>
            <w:pPr>
              <w:ind w:left="700"/>
              <w:spacing w:after="0"/>
              <w:rPr>
                <w:sz w:val="20"/>
                <w:szCs w:val="20"/>
                <w:color w:val="auto"/>
              </w:rPr>
            </w:pPr>
            <w:r>
              <w:rPr>
                <w:rFonts w:ascii="Arial" w:cs="Arial" w:eastAsia="Arial" w:hAnsi="Arial"/>
                <w:sz w:val="18"/>
                <w:szCs w:val="18"/>
                <w:color w:val="auto"/>
              </w:rPr>
              <w:t>End of period</w:t>
            </w:r>
          </w:p>
        </w:tc>
        <w:tc>
          <w:tcPr>
            <w:tcW w:w="1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gridSpan w:val="3"/>
          </w:tcPr>
          <w:p>
            <w:pPr>
              <w:spacing w:after="0"/>
              <w:rPr>
                <w:sz w:val="20"/>
                <w:szCs w:val="20"/>
                <w:color w:val="auto"/>
              </w:rPr>
            </w:pPr>
            <w:r>
              <w:rPr>
                <w:rFonts w:ascii="Arial" w:cs="Arial" w:eastAsia="Arial" w:hAnsi="Arial"/>
                <w:sz w:val="18"/>
                <w:szCs w:val="18"/>
                <w:color w:val="auto"/>
              </w:rPr>
              <w:t>The distribution of stores among these countries is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vMerge w:val="restart"/>
          </w:tcPr>
          <w:p>
            <w:pPr>
              <w:spacing w:after="0"/>
              <w:rPr>
                <w:sz w:val="18"/>
                <w:szCs w:val="18"/>
                <w:color w:val="auto"/>
              </w:rPr>
            </w:pPr>
          </w:p>
        </w:tc>
        <w:tc>
          <w:tcPr>
            <w:tcW w:w="51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Germany </w:t>
            </w:r>
            <w:r>
              <w:rPr>
                <w:rFonts w:ascii="Arial" w:cs="Arial" w:eastAsia="Arial" w:hAnsi="Arial"/>
                <w:sz w:val="25"/>
                <w:szCs w:val="25"/>
                <w:color w:val="auto"/>
                <w:vertAlign w:val="superscript"/>
              </w:rPr>
              <w:t>(1)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Gulf States </w:t>
            </w:r>
            <w:r>
              <w:rPr>
                <w:rFonts w:ascii="Arial" w:cs="Arial" w:eastAsia="Arial" w:hAnsi="Arial"/>
                <w:sz w:val="25"/>
                <w:szCs w:val="25"/>
                <w:color w:val="auto"/>
                <w:vertAlign w:val="superscript"/>
              </w:rPr>
              <w:t>(2)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Thailand</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South Africa</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Turkey</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Germany agreement includes Austria and Switzerland where stores have not yet opened</w:t>
      </w:r>
    </w:p>
    <w:p>
      <w:pPr>
        <w:spacing w:after="0" w:line="23"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Gulf States agreement includes Kuwait, Bahrain, Qatar, Oman and the United Arab Emirates</w:t>
      </w:r>
    </w:p>
    <w:p>
      <w:pPr>
        <w:spacing w:after="0" w:line="21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In the ordinary course of business, we anticipate signing additional master franchise agreements in the future and terminating other such agreements. We believe there is a market potential for approximately 300 international stores outside of the United States, Canada, the United Kingdom, Ireland and Denmark. In 2016, our international strategy is to leverage the improving strength in our company-owned stores to restructure and extend our international footprint. Key franchisees have started to apply our successful real estate strategies including opening pop-up stores to assess long-term potential and adding shop-in-shops with select partners. We expect to develop market expansion through both new and existing franchisees and a company-owned store model.</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Overview</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2015 performance demonstrated successful and consistent implementation of key strategies toward our objective to achieve sustained profitability. Our accomplishments included:</w:t>
      </w:r>
    </w:p>
    <w:p>
      <w:pPr>
        <w:spacing w:after="0" w:line="170" w:lineRule="exact"/>
        <w:rPr>
          <w:sz w:val="20"/>
          <w:szCs w:val="20"/>
          <w:color w:val="auto"/>
        </w:rPr>
      </w:pPr>
    </w:p>
    <w:p>
      <w:pPr>
        <w:ind w:left="1080" w:hanging="316"/>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consolidated comparable sales of 1.0%, on top of a 1.7% increase in 2014;</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Expanded retail gross margin of 150 basis points on top of a 450 point expansion in 2014; and</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pre-tax income 11.7% to $17.9 million.</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In fiscal 2016, we expect to continue to build on these successes to reach more people, in more places, with more products and do it more profitably as we continue to deliver on our MORE Strategy by refreshing our brand with our Discovery store, international expansion, developing new licensed and internally developed programs to extend our core consumer business and expanding our wholesale and outbound licensing programs to drive incremental, margin-accretive business.</w:t>
      </w:r>
    </w:p>
    <w:p>
      <w:pPr>
        <w:spacing w:after="0" w:line="18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180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Fiscal 2015</w:t>
            </w:r>
          </w:p>
        </w:tc>
        <w:tc>
          <w:tcPr>
            <w:tcW w:w="176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Fiscal 2014</w:t>
            </w:r>
          </w:p>
        </w:tc>
        <w:tc>
          <w:tcPr>
            <w:tcW w:w="15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Fiscal 2013</w:t>
            </w:r>
          </w:p>
        </w:tc>
        <w:tc>
          <w:tcPr>
            <w:tcW w:w="160" w:type="dxa"/>
            <w:vAlign w:val="bottom"/>
          </w:tcPr>
          <w:p>
            <w:pPr>
              <w:spacing w:after="0"/>
              <w:rPr>
                <w:sz w:val="19"/>
                <w:szCs w:val="19"/>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98.7%</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98.4%</w:t>
            </w: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Commercial revenue</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26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10"/>
        </w:trPr>
        <w:tc>
          <w:tcPr>
            <w:tcW w:w="5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1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5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52.9</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54.4</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58.9</w:t>
            </w:r>
          </w:p>
        </w:tc>
      </w:tr>
      <w:tr>
        <w:trPr>
          <w:trHeight w:val="216"/>
        </w:trPr>
        <w:tc>
          <w:tcPr>
            <w:tcW w:w="5020" w:type="dxa"/>
            <w:vAlign w:val="bottom"/>
            <w:shd w:val="clear" w:color="auto" w:fill="CCEEFF"/>
          </w:tcPr>
          <w:p>
            <w:pPr>
              <w:ind w:left="32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49.4</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42.7</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41.9</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0"/>
        </w:trPr>
        <w:tc>
          <w:tcPr>
            <w:tcW w:w="5020" w:type="dxa"/>
            <w:vAlign w:val="bottom"/>
            <w:shd w:val="clear" w:color="auto" w:fill="CCEEFF"/>
          </w:tcPr>
          <w:p>
            <w:pPr>
              <w:spacing w:after="0" w:line="20" w:lineRule="exact"/>
              <w:rPr>
                <w:sz w:val="1"/>
                <w:szCs w:val="1"/>
                <w:color w:val="auto"/>
              </w:rPr>
            </w:pPr>
          </w:p>
        </w:tc>
        <w:tc>
          <w:tcPr>
            <w:tcW w:w="15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02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95.3</w:t>
            </w:r>
          </w:p>
        </w:tc>
        <w:tc>
          <w:tcPr>
            <w:tcW w:w="26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95.9</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100.6</w:t>
            </w:r>
          </w:p>
        </w:tc>
      </w:tr>
      <w:tr>
        <w:trPr>
          <w:trHeight w:val="210"/>
        </w:trPr>
        <w:tc>
          <w:tcPr>
            <w:tcW w:w="5020" w:type="dxa"/>
            <w:vAlign w:val="bottom"/>
            <w:shd w:val="clear" w:color="auto" w:fill="CCEEFF"/>
          </w:tcPr>
          <w:p>
            <w:pPr>
              <w:spacing w:after="0"/>
              <w:rPr>
                <w:sz w:val="18"/>
                <w:szCs w:val="18"/>
                <w:color w:val="auto"/>
              </w:rPr>
            </w:pPr>
          </w:p>
        </w:tc>
        <w:tc>
          <w:tcPr>
            <w:tcW w:w="154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64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6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(benefit) expense</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0"/>
        </w:trPr>
        <w:tc>
          <w:tcPr>
            <w:tcW w:w="5020" w:type="dxa"/>
            <w:vAlign w:val="bottom"/>
            <w:shd w:val="clear" w:color="auto" w:fill="CCEEFF"/>
          </w:tcPr>
          <w:p>
            <w:pPr>
              <w:spacing w:after="0" w:line="20" w:lineRule="exact"/>
              <w:rPr>
                <w:sz w:val="1"/>
                <w:szCs w:val="1"/>
                <w:color w:val="auto"/>
              </w:rPr>
            </w:pPr>
          </w:p>
        </w:tc>
        <w:tc>
          <w:tcPr>
            <w:tcW w:w="15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020" w:type="dxa"/>
            <w:vAlign w:val="bottom"/>
          </w:tcPr>
          <w:p>
            <w:pPr>
              <w:ind w:left="640"/>
              <w:spacing w:after="0"/>
              <w:rPr>
                <w:sz w:val="20"/>
                <w:szCs w:val="20"/>
                <w:color w:val="auto"/>
              </w:rPr>
            </w:pPr>
            <w:r>
              <w:rPr>
                <w:rFonts w:ascii="Arial" w:cs="Arial" w:eastAsia="Arial" w:hAnsi="Arial"/>
                <w:sz w:val="18"/>
                <w:szCs w:val="18"/>
                <w:color w:val="auto"/>
              </w:rPr>
              <w:t>Net income (loss)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50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spacing w:after="0"/>
              <w:rPr>
                <w:sz w:val="17"/>
                <w:szCs w:val="17"/>
                <w:color w:val="auto"/>
              </w:rPr>
            </w:pPr>
          </w:p>
        </w:tc>
        <w:tc>
          <w:tcPr>
            <w:tcW w:w="1760" w:type="dxa"/>
            <w:vAlign w:val="bottom"/>
            <w:gridSpan w:val="2"/>
            <w:shd w:val="clear" w:color="auto" w:fill="CCEEFF"/>
          </w:tcPr>
          <w:p>
            <w:pPr>
              <w:spacing w:after="0"/>
              <w:rPr>
                <w:sz w:val="17"/>
                <w:szCs w:val="17"/>
                <w:color w:val="auto"/>
              </w:rPr>
            </w:pPr>
          </w:p>
        </w:tc>
        <w:tc>
          <w:tcPr>
            <w:tcW w:w="1680" w:type="dxa"/>
            <w:vAlign w:val="bottom"/>
            <w:gridSpan w:val="2"/>
            <w:shd w:val="clear" w:color="auto" w:fill="CCEEFF"/>
          </w:tcPr>
          <w:p>
            <w:pPr>
              <w:spacing w:after="0"/>
              <w:rPr>
                <w:sz w:val="17"/>
                <w:szCs w:val="17"/>
                <w:color w:val="auto"/>
              </w:rPr>
            </w:pPr>
          </w:p>
        </w:tc>
      </w:tr>
      <w:tr>
        <w:trPr>
          <w:trHeight w:val="216"/>
        </w:trPr>
        <w:tc>
          <w:tcPr>
            <w:tcW w:w="5020" w:type="dxa"/>
            <w:vAlign w:val="bottom"/>
          </w:tcPr>
          <w:p>
            <w:pPr>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(2)</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47.1%</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50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right="120" w:hanging="432"/>
        <w:spacing w:after="0" w:line="277"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merchandise sold – retail and cost of merchandise sold – commercial are expressed as a percentage of net retail sales and commercial revenue, respectively.</w:t>
      </w:r>
    </w:p>
    <w:p>
      <w:pPr>
        <w:spacing w:after="0" w:line="170"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Fiscal Year Ended January 2, 2016 (52 weeks) Compared to Fiscal Year Ended January 3, 2015 (53 weeks)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$372.7 million for fiscal 2015, compared to $387.7 million for fiscal 2014, a decrease of $15.0 million. The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decrease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Fiscal 2015</w:t>
            </w:r>
          </w:p>
        </w:tc>
      </w:tr>
      <w:tr>
        <w:trPr>
          <w:trHeight w:val="210"/>
        </w:trPr>
        <w:tc>
          <w:tcPr>
            <w:tcW w:w="8060" w:type="dxa"/>
            <w:vAlign w:val="bottom"/>
          </w:tcPr>
          <w:p>
            <w:pPr>
              <w:spacing w:after="0"/>
              <w:rPr>
                <w:sz w:val="18"/>
                <w:szCs w:val="18"/>
                <w:color w:val="auto"/>
              </w:rPr>
            </w:pPr>
          </w:p>
        </w:tc>
        <w:tc>
          <w:tcPr>
            <w:tcW w:w="15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(dollars in millions)</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Decrease from other retail, including the impact of calendar shift</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(8.2)</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Increase in comparable sales</w:t>
            </w: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breakage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(0.9)</w:t>
            </w:r>
          </w:p>
        </w:tc>
      </w:tr>
      <w:tr>
        <w:trPr>
          <w:trHeight w:val="20"/>
        </w:trPr>
        <w:tc>
          <w:tcPr>
            <w:tcW w:w="8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(15.0)</w:t>
            </w:r>
          </w:p>
        </w:tc>
      </w:tr>
      <w:tr>
        <w:trPr>
          <w:trHeight w:val="20"/>
        </w:trPr>
        <w:tc>
          <w:tcPr>
            <w:tcW w:w="8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320" w:firstLine="441"/>
        <w:spacing w:after="0" w:line="312" w:lineRule="auto"/>
        <w:rPr>
          <w:sz w:val="20"/>
          <w:szCs w:val="20"/>
          <w:color w:val="auto"/>
        </w:rPr>
      </w:pPr>
      <w:r>
        <w:rPr>
          <w:rFonts w:ascii="Arial" w:cs="Arial" w:eastAsia="Arial" w:hAnsi="Arial"/>
          <w:sz w:val="16"/>
          <w:szCs w:val="16"/>
          <w:color w:val="auto"/>
        </w:rPr>
        <w:t>Revenue from international franchise fees was $2.2 million for fiscal 2015 compared to $2.5 million for fiscal 2014. This $0.3 million decrease was primarily the result of having fewer franchise locations open throughout the majority of the year. Commercial revenue was $2.8 million for fiscal 2015 compared to $2.1 million for fiscal 2014, an increase of $0.7 million. This increase was primarily due to an increase in wholesale activity in 2015.</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Retail gross margin</w:t>
      </w:r>
      <w:r>
        <w:rPr>
          <w:rFonts w:ascii="Arial" w:cs="Arial" w:eastAsia="Arial" w:hAnsi="Arial"/>
          <w:sz w:val="17"/>
          <w:szCs w:val="17"/>
          <w:color w:val="auto"/>
        </w:rPr>
        <w:t>. Retail gross margin was $175.6 million in fiscal 2015 compared to $176.8 million in fiscal 2014, a decrease of $1.2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0.7%. As a percentage of net retail sales, retail gross margin increased to 47.1% for fiscal 2015 from 45.6% for fiscal 2014, an increase of 150 basis points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percentage of net retail sales. This improvement in margin was primarily attributable to 150 points of expansion in merchandise margin while efficiencies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supply chain were offset by deleverage on fixed occupancy expenses.</w:t>
      </w:r>
    </w:p>
    <w:p>
      <w:pPr>
        <w:spacing w:after="0" w:line="21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were $161.5 million for fiscal 2015 as compared to $164.4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2014, a decrease of $3.0 million, or 1.8%. As a percentage of total revenues, selling, general and administrative expenses were 42.7% for fiscal 2015, compared to 41.9% in fiscal 2014. The decrease in dollars was primarily attributable to lower variable costs related to the 53rd week and lower management transition expenses in fiscal 2015, partially offset by investments to advance the Company’s long-term strategy. As a result of the calendar shift in fiscal 2014, fiscal 2015 had one less week of sales which deleveraged selling, general and administrative expense as a percent of total revenues.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income, net of interest expense, was $0.1 million for fiscal 2015 compared to $0.1 million of expense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benefit was $9.4 million in fiscal 2015, compared to a tax expense of $1.7 million in fiscal 2014.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rate was (52.8)% in fiscal 2015 and 10.4% in fiscal 2014. The fluctuation in the effective rate was primarily attributable to the reversal of all of the valuation allowance on U.S. deferred tax assets at January 2, 2016. In 2011, a full valuation allowance was established on all U.S. deferred taxes due to significant losses and uncertainty about future earnings forecast. The valuation allowance was reduced in fiscal 2015 because the weight of evidence regarding the future realizability of the deferred tax assets had become predominately positive. The positive evidence considered in our assessment of the realizability of the deferred tax assets included the generation of significant positive cumulative income in the U.S. for the three-year period ending with fiscal 2015, the implementation of tax planning strategies, and projections of future taxable income, based on its positive earnings performance trend, expected continued profitability and improvements in our financial condition. The negative evidence considered included historical losses in certain prior years; however, the positive evidence outweighed this negative evidence. Accordingly, management determined it was more likely than not that all of the U.S. deferred tax assets would be realized.</w:t>
      </w:r>
    </w:p>
    <w:p>
      <w:pPr>
        <w:spacing w:after="0" w:line="19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For 2014, the rate was impacted by the full valuation allowance in the U.S. as well as tax expense recorded for state and withholding taxes, adjustments to tax position reserves, and tax expense recorded in foreign jurisdictions.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Fiscal Year Ended January 3, 2015 (53 weeks) Compared to Fiscal Year Ended December 28, 2013 (52 weeks)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$387.7 million for fiscal 2014, compared to $373.2 million for fiscal 2013, an increase of $14.5 million. The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increase are as follows:</w:t>
      </w:r>
    </w:p>
    <w:p>
      <w:pPr>
        <w:spacing w:after="0" w:line="383"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9"/>
              </w:rPr>
              <w:t>Fiscal 2014</w:t>
            </w:r>
          </w:p>
        </w:tc>
      </w:tr>
      <w:tr>
        <w:trPr>
          <w:trHeight w:val="210"/>
        </w:trPr>
        <w:tc>
          <w:tcPr>
            <w:tcW w:w="8060" w:type="dxa"/>
            <w:vAlign w:val="bottom"/>
          </w:tcPr>
          <w:p>
            <w:pPr>
              <w:spacing w:after="0"/>
              <w:rPr>
                <w:sz w:val="18"/>
                <w:szCs w:val="18"/>
                <w:color w:val="auto"/>
              </w:rPr>
            </w:pPr>
          </w:p>
        </w:tc>
        <w:tc>
          <w:tcPr>
            <w:tcW w:w="15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(dollars 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in comparable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17.1</w:t>
            </w:r>
          </w:p>
        </w:tc>
        <w:tc>
          <w:tcPr>
            <w:tcW w:w="8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2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(16.6)</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w:t>
            </w:r>
          </w:p>
        </w:tc>
        <w:tc>
          <w:tcPr>
            <w:tcW w:w="8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Change in deferred revenue estimate</w:t>
            </w: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r>
      <w:tr>
        <w:trPr>
          <w:trHeight w:val="216"/>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from other retail</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80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14.5</w:t>
            </w:r>
          </w:p>
        </w:tc>
        <w:tc>
          <w:tcPr>
            <w:tcW w:w="8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Revenue from international franchise fees was $2.5 million for fiscal 2014 compared to $3.6 million for fiscal 2013. This $1.0 million decrease was the result of having fewer franchise locations open throughout the year. Commercial revenue was $2.1 million for fiscal 2014 compared to $2.3 million for fiscal 2013, a decrease of $0.2 million. This decrease was primarily due to an overall decrease in licensing activity in 2014.</w:t>
      </w:r>
    </w:p>
    <w:p>
      <w:pPr>
        <w:spacing w:after="0" w:line="166"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i w:val="1"/>
          <w:iCs w:val="1"/>
          <w:color w:val="auto"/>
        </w:rPr>
        <w:t>Retail gross margin</w:t>
      </w:r>
      <w:r>
        <w:rPr>
          <w:rFonts w:ascii="Arial" w:cs="Arial" w:eastAsia="Arial" w:hAnsi="Arial"/>
          <w:sz w:val="16"/>
          <w:szCs w:val="16"/>
          <w:color w:val="auto"/>
        </w:rPr>
        <w:t>. Retail gross margin increased to $176.8 million in fiscal 2014 compared to $153.5 million in fiscal 2013, an increase of $23.4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15.2%. As a percentage of net retail sales, retail gross margin increased to 45.6% for fiscal 2014 from 41.1% for fiscal 2013, an increase of 450 basis points as a percentage of net retail. This improvement in margin was primarily attributable to 370 points of expansion in merchandise margin and improved efficiencies in the supply chain. The remaining 80 basis points of expansion came from leverage on fixed occupancy expenses driven by improved sales performance, including the impact of the 53rd week, and the deferred revenue adjustment related to our loyalty program.</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were $164.4 million for fiscal 2014 as compared to $160.7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2013, an increase of $3.7 million, or 2.3%. As a percentage of total revenues, selling, general and administrative expenses were 41.9% for fiscal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42.4% in fiscal 2013. Fiscal 2014 included $2.2 million in management transition, asset impairment and store closing expenses,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 million in management transition, asset impairment and store closing expenses in fiscal 2013. Excluding these costs in both periods, selling,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30 basis points to 41.3% of total revenues in fiscal 2014. The increase in dollars was driven by increased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compensation and higher investment in elevated brand marketing.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expense, net of interest income, was $0.1 million for fiscal 2014 compared to $0.3 million of income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expense was $1.7 million in fiscal 2014 compared to an income tax benefit of $6,000 in fiscal 2013.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rate was 10.4% in 2014 and 0.3% in 2013. The fluctuation in the effective rate was primarily attributable to state and withholding taxes, return-to-provision adjustments, adjustments to tax position reserves and tax expense recorded in foreign jurisdictions, partially offset by the reversal of valuation allowances in the U.S. and foreign jurisdictions. See Note 7 – Income Taxes to our Consolidated Financial Statements for information regarding our valuation allowances and their impact on the effective tax rate in fiscal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use the term “store contribution” throughout this Annual Report on Form 10-K. Store contribution consists of income before income tax expense, interest, general and administrative expense, excluding income from franchise and commercial activities and contribution from our e-commerce sites, locations not open for the full fiscal year and adjustments to deferred revenue related to our loyalty program and gift card breakage. This term, as we define it, may not be comparable to similarly titled measures used by other companies and is not a measure of performance presented in accordance with U.S. generally accepted accounting principles (GAAP). We use store contribution as a measure of our stores’ operating performance. Store contribution should not be considered a substitute for net income, net income per store, cash flows provided by operating activities, cash flows provided by operating activities per store, or other income or cash flow data prepared in accordance with U.S. GAAP. We believe store contribution is useful to investors in evaluating our operating performance because it, along with the number of stores in operation, directly impacts our profitability.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27" w:name="page28"/>
    <w:bookmarkEnd w:id="27"/>
    <w:p>
      <w:pPr>
        <w:jc w:val="both"/>
        <w:ind w:right="20" w:firstLine="324"/>
        <w:spacing w:after="0" w:line="264" w:lineRule="auto"/>
        <w:rPr>
          <w:sz w:val="20"/>
          <w:szCs w:val="20"/>
          <w:color w:val="auto"/>
        </w:rPr>
      </w:pPr>
      <w:r>
        <w:rPr>
          <w:rFonts w:ascii="Arial" w:cs="Arial" w:eastAsia="Arial" w:hAnsi="Arial"/>
          <w:sz w:val="18"/>
          <w:szCs w:val="18"/>
          <w:color w:val="auto"/>
        </w:rPr>
        <w:t>The following table sets forth a reconciliation of store contribution to net income for our company-owned stores located in the United States, Canada and Puerto Rico (North America), stores located in the United Kingdom, Ireland and Denmark (Europe) and for our consolidated store base (dollars in thousands). Fiscal 2015 and 2013 included 52 weeks; fiscal 2014 included 53 weeks.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89"/>
              </w:rPr>
              <w:t>Fiscal 2014</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620"/>
              <w:spacing w:after="0" w:line="191" w:lineRule="exact"/>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Europe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America</w:t>
            </w:r>
          </w:p>
        </w:tc>
        <w:tc>
          <w:tcPr>
            <w:tcW w:w="12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Europe</w:t>
            </w:r>
          </w:p>
        </w:tc>
        <w:tc>
          <w:tcPr>
            <w:tcW w:w="26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27,345</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12,035</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(10,276)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(9,447)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(143)</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line="216" w:lineRule="exact"/>
              <w:rPr>
                <w:sz w:val="20"/>
                <w:szCs w:val="20"/>
                <w:color w:val="auto"/>
              </w:rPr>
            </w:pPr>
            <w:r>
              <w:rPr>
                <w:rFonts w:ascii="Arial" w:cs="Arial" w:eastAsia="Arial" w:hAnsi="Arial"/>
                <w:sz w:val="16"/>
                <w:szCs w:val="16"/>
                <w:color w:val="auto"/>
              </w:rPr>
              <w:t xml:space="preserve">General and administrative expense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49,509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54,154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48,029</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5,288</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Contribution from other retail activities</w:t>
            </w:r>
            <w:r>
              <w:rPr>
                <w:rFonts w:ascii="Arial" w:cs="Arial" w:eastAsia="Arial" w:hAnsi="Arial"/>
                <w:sz w:val="25"/>
                <w:szCs w:val="25"/>
                <w:color w:val="auto"/>
                <w:vertAlign w:val="superscript"/>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(3,615)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line="216" w:lineRule="exact"/>
              <w:rPr>
                <w:sz w:val="20"/>
                <w:szCs w:val="20"/>
                <w:color w:val="auto"/>
              </w:rPr>
            </w:pPr>
            <w:r>
              <w:rPr>
                <w:rFonts w:ascii="Arial" w:cs="Arial" w:eastAsia="Arial" w:hAnsi="Arial"/>
                <w:sz w:val="16"/>
                <w:szCs w:val="16"/>
                <w:color w:val="auto"/>
              </w:rPr>
              <w:t xml:space="preserve">Other contribution </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(6,980)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contribution</w:t>
            </w: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61,314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Total revenues from external customers</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78,484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377,694</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81,491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line="216" w:lineRule="exact"/>
              <w:rPr>
                <w:sz w:val="20"/>
                <w:szCs w:val="20"/>
                <w:color w:val="auto"/>
              </w:rPr>
            </w:pPr>
            <w:r>
              <w:rPr>
                <w:rFonts w:ascii="Arial" w:cs="Arial" w:eastAsia="Arial" w:hAnsi="Arial"/>
                <w:sz w:val="16"/>
                <w:szCs w:val="16"/>
                <w:color w:val="auto"/>
              </w:rPr>
              <w:t xml:space="preserve">Revenues from other retail activities </w:t>
            </w:r>
            <w:r>
              <w:rPr>
                <w:rFonts w:ascii="Arial" w:cs="Arial" w:eastAsia="Arial" w:hAnsi="Arial"/>
                <w:sz w:val="25"/>
                <w:szCs w:val="25"/>
                <w:color w:val="auto"/>
                <w:vertAlign w:val="superscript"/>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(26,549)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(9,830)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(36,379)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(28,112)</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(4,360)</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(32,472)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Borders>
              <w:right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5"/>
              </w:rPr>
              <w:t>Other revenues from external customers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(4,979)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(4,979)</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(4,629)</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8"/>
                <w:szCs w:val="18"/>
                <w:color w:val="auto"/>
              </w:rPr>
              <w:t>Store location net retail sales</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267,682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68,654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336,336</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278,122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77,131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355,253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12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Store contribution as a percentage of</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18.2%</w:t>
            </w:r>
          </w:p>
        </w:tc>
        <w:tc>
          <w:tcPr>
            <w:tcW w:w="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store location net retail sales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120" w:type="dxa"/>
            <w:vAlign w:val="bottom"/>
          </w:tcPr>
          <w:p>
            <w:pPr>
              <w:spacing w:after="0" w:line="182" w:lineRule="exact"/>
              <w:rPr>
                <w:sz w:val="20"/>
                <w:szCs w:val="20"/>
                <w:color w:val="auto"/>
              </w:rPr>
            </w:pPr>
            <w:r>
              <w:rPr>
                <w:rFonts w:ascii="Arial" w:cs="Arial" w:eastAsia="Arial" w:hAnsi="Arial"/>
                <w:sz w:val="18"/>
                <w:szCs w:val="18"/>
                <w:color w:val="auto"/>
                <w:w w:val="94"/>
              </w:rPr>
              <w:t>Total net income as a percentage of 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7.2%</w:t>
            </w:r>
          </w:p>
        </w:tc>
        <w:tc>
          <w:tcPr>
            <w:tcW w:w="80" w:type="dxa"/>
            <w:vAlign w:val="bottom"/>
          </w:tcPr>
          <w:p>
            <w:pPr>
              <w:spacing w:after="0"/>
              <w:rPr>
                <w:sz w:val="15"/>
                <w:szCs w:val="15"/>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5"/>
                <w:szCs w:val="15"/>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0"/>
        </w:trPr>
        <w:tc>
          <w:tcPr>
            <w:tcW w:w="3140" w:type="dxa"/>
            <w:vAlign w:val="bottom"/>
            <w:gridSpan w:val="2"/>
          </w:tcPr>
          <w:p>
            <w:pPr>
              <w:spacing w:after="0" w:line="190" w:lineRule="exact"/>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89"/>
              </w:rPr>
              <w:t>Fiscal 2013</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520"/>
              <w:spacing w:after="0" w:line="191" w:lineRule="exact"/>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America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Europe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line="216" w:lineRule="exact"/>
              <w:rPr>
                <w:sz w:val="20"/>
                <w:szCs w:val="20"/>
                <w:color w:val="auto"/>
              </w:rPr>
            </w:pPr>
            <w:r>
              <w:rPr>
                <w:rFonts w:ascii="Arial" w:cs="Arial" w:eastAsia="Arial" w:hAnsi="Arial"/>
                <w:sz w:val="16"/>
                <w:szCs w:val="16"/>
                <w:color w:val="auto"/>
              </w:rPr>
              <w:t xml:space="preserve">General and administrative expense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47,803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5,146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52,949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Contribution from other retail activities</w:t>
            </w:r>
            <w:r>
              <w:rPr>
                <w:rFonts w:ascii="Arial" w:cs="Arial" w:eastAsia="Arial" w:hAnsi="Arial"/>
                <w:sz w:val="25"/>
                <w:szCs w:val="25"/>
                <w:color w:val="auto"/>
                <w:vertAlign w:val="superscript"/>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(4,837)</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line="216" w:lineRule="exact"/>
              <w:rPr>
                <w:sz w:val="20"/>
                <w:szCs w:val="20"/>
                <w:color w:val="auto"/>
              </w:rPr>
            </w:pPr>
            <w:r>
              <w:rPr>
                <w:rFonts w:ascii="Arial" w:cs="Arial" w:eastAsia="Arial" w:hAnsi="Arial"/>
                <w:sz w:val="16"/>
                <w:szCs w:val="16"/>
                <w:color w:val="auto"/>
              </w:rPr>
              <w:t xml:space="preserve">Other contribution </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(5,510)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contribution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35,779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40,225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spacing w:after="0"/>
              <w:rPr>
                <w:sz w:val="17"/>
                <w:szCs w:val="17"/>
                <w:color w:val="auto"/>
              </w:rPr>
            </w:pPr>
          </w:p>
        </w:tc>
        <w:tc>
          <w:tcPr>
            <w:tcW w:w="320" w:type="dxa"/>
            <w:vAlign w:val="bottom"/>
            <w:gridSpan w:val="2"/>
          </w:tcPr>
          <w:p>
            <w:pPr>
              <w:spacing w:after="0"/>
              <w:rPr>
                <w:sz w:val="17"/>
                <w:szCs w:val="17"/>
                <w:color w:val="auto"/>
              </w:rPr>
            </w:pPr>
          </w:p>
        </w:tc>
        <w:tc>
          <w:tcPr>
            <w:tcW w:w="10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Total revenues from external customers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304,956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74,113</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379,069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line="216" w:lineRule="exact"/>
              <w:rPr>
                <w:sz w:val="20"/>
                <w:szCs w:val="20"/>
                <w:color w:val="auto"/>
              </w:rPr>
            </w:pPr>
            <w:r>
              <w:rPr>
                <w:rFonts w:ascii="Arial" w:cs="Arial" w:eastAsia="Arial" w:hAnsi="Arial"/>
                <w:sz w:val="16"/>
                <w:szCs w:val="16"/>
                <w:color w:val="auto"/>
              </w:rPr>
              <w:t xml:space="preserve">Revenues from other retail activities </w:t>
            </w:r>
            <w:r>
              <w:rPr>
                <w:rFonts w:ascii="Arial" w:cs="Arial" w:eastAsia="Arial" w:hAnsi="Arial"/>
                <w:sz w:val="25"/>
                <w:szCs w:val="25"/>
                <w:color w:val="auto"/>
                <w:vertAlign w:val="superscript"/>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(37,886)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(4,077)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(41,963)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w w:val="98"/>
              </w:rPr>
              <w:t xml:space="preserve">Other revenues from external customers </w:t>
            </w:r>
            <w:r>
              <w:rPr>
                <w:rFonts w:ascii="Arial" w:cs="Arial" w:eastAsia="Arial" w:hAnsi="Arial"/>
                <w:sz w:val="25"/>
                <w:szCs w:val="25"/>
                <w:color w:val="auto"/>
                <w:w w:val="98"/>
                <w:vertAlign w:val="superscript"/>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(5,896)</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8"/>
                <w:szCs w:val="18"/>
                <w:color w:val="auto"/>
              </w:rPr>
              <w:t>Store location net retail sales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261,174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70,036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331,210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12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Store contribution as a percentage of store</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right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location net retail sales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vMerge w:val="continue"/>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120" w:type="dxa"/>
            <w:vAlign w:val="bottom"/>
          </w:tcPr>
          <w:p>
            <w:pPr>
              <w:spacing w:after="0" w:line="182" w:lineRule="exact"/>
              <w:rPr>
                <w:sz w:val="20"/>
                <w:szCs w:val="20"/>
                <w:color w:val="auto"/>
              </w:rPr>
            </w:pPr>
            <w:r>
              <w:rPr>
                <w:rFonts w:ascii="Arial" w:cs="Arial" w:eastAsia="Arial" w:hAnsi="Arial"/>
                <w:sz w:val="18"/>
                <w:szCs w:val="18"/>
                <w:color w:val="auto"/>
              </w:rPr>
              <w:t>Total net loss as a percentage of total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vMerge w:val="restart"/>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5"/>
                <w:szCs w:val="15"/>
                <w:color w:val="auto"/>
              </w:rPr>
            </w:pPr>
          </w:p>
        </w:tc>
        <w:tc>
          <w:tcPr>
            <w:tcW w:w="134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5"/>
                <w:szCs w:val="15"/>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8"/>
                <w:szCs w:val="18"/>
                <w:color w:val="auto"/>
              </w:rPr>
              <w:t>(0.6)%</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40" w:type="dxa"/>
            <w:vAlign w:val="bottom"/>
            <w:gridSpan w:val="2"/>
          </w:tcPr>
          <w:p>
            <w:pPr>
              <w:spacing w:after="0" w:line="190" w:lineRule="exact"/>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600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right="100" w:hanging="432"/>
        <w:spacing w:after="0" w:line="268"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and administrative expenses consist of non-store, central office general and administrative functions such as management payroll and related benefits, travel, information systems, accounting, purchasing and legal costs, depreciation of central office assets as well as the amortization of intellectual property and other assets, store closing and pre-opening expenses. Certain intercompany charges are included in general and administrative expenses in Europe. General and administrative expenses also include a central office marketing department, primarily payroll and related benefits expense, but exclude advertising expenses, which are included in store contribution.</w:t>
      </w:r>
    </w:p>
    <w:p>
      <w:pPr>
        <w:spacing w:after="0" w:line="3" w:lineRule="exact"/>
        <w:rPr>
          <w:rFonts w:ascii="Arial" w:cs="Arial" w:eastAsia="Arial" w:hAnsi="Arial"/>
          <w:sz w:val="17"/>
          <w:szCs w:val="17"/>
          <w:color w:val="auto"/>
        </w:rPr>
      </w:pPr>
    </w:p>
    <w:p>
      <w:pPr>
        <w:ind w:left="440" w:right="180" w:hanging="432"/>
        <w:spacing w:after="0" w:line="250"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retail activities are comprised primarily of our e-commerce sites, stores not open for the full year and adjustments to deferred revenue related to our loyalty program and gift card breakage.</w:t>
      </w:r>
    </w:p>
    <w:p>
      <w:pPr>
        <w:ind w:left="440" w:right="60" w:hanging="432"/>
        <w:spacing w:after="0" w:line="265"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contribution includes franchising, commercial revenues and intercompany revenues and all expenses attributable to the international franchising and commercial segments, excluding interest expense/income and income tax expense/benefit. Interest expense/income and income tax expense/benefit related to franchising and commercial activities are included in their respective captions.</w:t>
      </w:r>
    </w:p>
    <w:p>
      <w:pPr>
        <w:ind w:left="440" w:hanging="432"/>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revenues from external customers are comprised of international franchising and commercial revenues.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certain unaudited quarterly results of operations data for each of the last two fiscal years.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Fiscal 2015</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Fiscal 2014</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20"/>
              <w:spacing w:after="0" w:line="168" w:lineRule="exact"/>
              <w:rPr>
                <w:sz w:val="20"/>
                <w:szCs w:val="20"/>
                <w:color w:val="auto"/>
              </w:rPr>
            </w:pPr>
            <w:r>
              <w:rPr>
                <w:rFonts w:ascii="Arial" w:cs="Arial" w:eastAsia="Arial" w:hAnsi="Arial"/>
                <w:sz w:val="18"/>
                <w:szCs w:val="18"/>
                <w:b w:val="1"/>
                <w:bCs w:val="1"/>
                <w:color w:val="auto"/>
              </w:rPr>
              <w:t>First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line="168" w:lineRule="exact"/>
              <w:rPr>
                <w:sz w:val="20"/>
                <w:szCs w:val="20"/>
                <w:color w:val="auto"/>
              </w:rPr>
            </w:pPr>
            <w:r>
              <w:rPr>
                <w:rFonts w:ascii="Arial" w:cs="Arial" w:eastAsia="Arial" w:hAnsi="Arial"/>
                <w:sz w:val="18"/>
                <w:szCs w:val="18"/>
                <w:b w:val="1"/>
                <w:bCs w:val="1"/>
                <w:color w:val="auto"/>
                <w:w w:val="82"/>
              </w:rPr>
              <w:t>Second</w:t>
            </w:r>
          </w:p>
        </w:tc>
        <w:tc>
          <w:tcPr>
            <w:tcW w:w="100" w:type="dxa"/>
            <w:vAlign w:val="bottom"/>
          </w:tcPr>
          <w:p>
            <w:pPr>
              <w:spacing w:after="0"/>
              <w:rPr>
                <w:sz w:val="14"/>
                <w:szCs w:val="14"/>
                <w:color w:val="auto"/>
              </w:rPr>
            </w:pPr>
          </w:p>
        </w:tc>
        <w:tc>
          <w:tcPr>
            <w:tcW w:w="940" w:type="dxa"/>
            <w:vAlign w:val="bottom"/>
            <w:gridSpan w:val="2"/>
          </w:tcPr>
          <w:p>
            <w:pPr>
              <w:jc w:val="right"/>
              <w:ind w:right="380"/>
              <w:spacing w:after="0" w:line="168"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4"/>
                <w:szCs w:val="14"/>
                <w:color w:val="auto"/>
              </w:rPr>
            </w:pPr>
          </w:p>
        </w:tc>
        <w:tc>
          <w:tcPr>
            <w:tcW w:w="740" w:type="dxa"/>
            <w:vAlign w:val="bottom"/>
          </w:tcPr>
          <w:p>
            <w:pPr>
              <w:jc w:val="center"/>
              <w:ind w:right="30"/>
              <w:spacing w:after="0" w:line="168" w:lineRule="exact"/>
              <w:rPr>
                <w:sz w:val="20"/>
                <w:szCs w:val="20"/>
                <w:color w:val="auto"/>
              </w:rPr>
            </w:pPr>
            <w:r>
              <w:rPr>
                <w:rFonts w:ascii="Arial" w:cs="Arial" w:eastAsia="Arial" w:hAnsi="Arial"/>
                <w:sz w:val="18"/>
                <w:szCs w:val="18"/>
                <w:b w:val="1"/>
                <w:bCs w:val="1"/>
                <w:color w:val="auto"/>
                <w:w w:val="94"/>
              </w:rPr>
              <w:t>Fourth</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140"/>
              <w:spacing w:after="0" w:line="168" w:lineRule="exact"/>
              <w:rPr>
                <w:sz w:val="20"/>
                <w:szCs w:val="20"/>
                <w:color w:val="auto"/>
              </w:rPr>
            </w:pPr>
            <w:r>
              <w:rPr>
                <w:rFonts w:ascii="Arial" w:cs="Arial" w:eastAsia="Arial" w:hAnsi="Arial"/>
                <w:sz w:val="18"/>
                <w:szCs w:val="18"/>
                <w:b w:val="1"/>
                <w:bCs w:val="1"/>
                <w:color w:val="auto"/>
              </w:rPr>
              <w:t>First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80"/>
              <w:spacing w:after="0" w:line="168" w:lineRule="exact"/>
              <w:rPr>
                <w:sz w:val="20"/>
                <w:szCs w:val="20"/>
                <w:color w:val="auto"/>
              </w:rPr>
            </w:pPr>
            <w:r>
              <w:rPr>
                <w:rFonts w:ascii="Arial" w:cs="Arial" w:eastAsia="Arial" w:hAnsi="Arial"/>
                <w:sz w:val="18"/>
                <w:szCs w:val="18"/>
                <w:b w:val="1"/>
                <w:bCs w:val="1"/>
                <w:color w:val="auto"/>
                <w:w w:val="89"/>
              </w:rPr>
              <w:t>Second</w:t>
            </w:r>
          </w:p>
        </w:tc>
        <w:tc>
          <w:tcPr>
            <w:tcW w:w="100" w:type="dxa"/>
            <w:vAlign w:val="bottom"/>
          </w:tcPr>
          <w:p>
            <w:pPr>
              <w:spacing w:after="0"/>
              <w:rPr>
                <w:sz w:val="14"/>
                <w:szCs w:val="14"/>
                <w:color w:val="auto"/>
              </w:rPr>
            </w:pPr>
          </w:p>
        </w:tc>
        <w:tc>
          <w:tcPr>
            <w:tcW w:w="860" w:type="dxa"/>
            <w:vAlign w:val="bottom"/>
            <w:gridSpan w:val="2"/>
          </w:tcPr>
          <w:p>
            <w:pPr>
              <w:jc w:val="right"/>
              <w:ind w:right="320"/>
              <w:spacing w:after="0" w:line="168" w:lineRule="exact"/>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w w:val="98"/>
              </w:rPr>
              <w:t>Fourth</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(Dollars in millions, except per share data)</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Quarter</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bottom w:val="single" w:sz="8" w:color="auto"/>
            </w:tcBorders>
            <w:gridSpan w:val="2"/>
          </w:tcPr>
          <w:p>
            <w:pPr>
              <w:spacing w:after="0" w:line="258" w:lineRule="exact"/>
              <w:rPr>
                <w:sz w:val="20"/>
                <w:szCs w:val="20"/>
                <w:color w:val="auto"/>
              </w:rPr>
            </w:pPr>
            <w:r>
              <w:rPr>
                <w:rFonts w:ascii="Arial" w:cs="Arial" w:eastAsia="Arial" w:hAnsi="Arial"/>
                <w:sz w:val="18"/>
                <w:szCs w:val="18"/>
                <w:b w:val="1"/>
                <w:bCs w:val="1"/>
                <w:color w:val="auto"/>
                <w:w w:val="89"/>
              </w:rPr>
              <w:t xml:space="preserve">Quarter </w:t>
            </w:r>
            <w:r>
              <w:rPr>
                <w:rFonts w:ascii="Arial" w:cs="Arial" w:eastAsia="Arial" w:hAnsi="Arial"/>
                <w:sz w:val="29"/>
                <w:szCs w:val="29"/>
                <w:b w:val="1"/>
                <w:bCs w:val="1"/>
                <w:color w:val="auto"/>
                <w:w w:val="89"/>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line="216" w:lineRule="exact"/>
              <w:rPr>
                <w:sz w:val="20"/>
                <w:szCs w:val="20"/>
                <w:color w:val="auto"/>
              </w:rPr>
            </w:pPr>
            <w:r>
              <w:rPr>
                <w:rFonts w:ascii="Arial" w:cs="Arial" w:eastAsia="Arial" w:hAnsi="Arial"/>
                <w:sz w:val="16"/>
                <w:szCs w:val="16"/>
                <w:color w:val="auto"/>
              </w:rPr>
              <w:t>Retail gross margin</w:t>
            </w:r>
            <w:r>
              <w:rPr>
                <w:rFonts w:ascii="Arial" w:cs="Arial" w:eastAsia="Arial" w:hAnsi="Arial"/>
                <w:sz w:val="25"/>
                <w:szCs w:val="25"/>
                <w:color w:val="auto"/>
                <w:vertAlign w:val="superscript"/>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34.9</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38.2</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59.7</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income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8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Number of stores (end of quarter)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315</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317</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fiscal 2014 fourth quarter included 14 weeks. All other quarters presented included 13 weeks.</w:t>
      </w:r>
    </w:p>
    <w:p>
      <w:pPr>
        <w:spacing w:after="0" w:line="211"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comparable sales;</w:t>
      </w:r>
    </w:p>
    <w:p>
      <w:pPr>
        <w:ind w:right="240" w:firstLine="8"/>
        <w:spacing w:after="0" w:line="25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profitability of our stores; (4) 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90"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The timing of store openings, closures and remodels may cause fluctuations in quarterly results due to the changes in revenues and expenses associated with each store location. We typically incur most preopening costs for a new store, remodeled or relocated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187" w:lineRule="exact"/>
        <w:rPr>
          <w:sz w:val="20"/>
          <w:szCs w:val="20"/>
          <w:color w:val="auto"/>
        </w:rPr>
      </w:pPr>
    </w:p>
    <w:p>
      <w:pPr>
        <w:ind w:right="140" w:firstLine="446"/>
        <w:spacing w:after="0" w:line="286" w:lineRule="auto"/>
        <w:rPr>
          <w:sz w:val="20"/>
          <w:szCs w:val="20"/>
          <w:color w:val="auto"/>
        </w:rPr>
      </w:pPr>
      <w:r>
        <w:rPr>
          <w:rFonts w:ascii="Arial" w:cs="Arial" w:eastAsia="Arial" w:hAnsi="Arial"/>
          <w:sz w:val="17"/>
          <w:szCs w:val="17"/>
          <w:color w:val="auto"/>
        </w:rPr>
        <w:t>As a specialty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cash requirements are primarily for the opening of new stores, installation and upgrades of information systems and working capital. Over the past several years, we have met these requirements through capital generated from cash flow provided by operations. We have access to additional cash through a revolving line of credit that has been in place since 2000.</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$32.0 million in fiscal 2015, $34.9 million in fiscal 2014 and $19.1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2013. Cash flows from operating activities decreased in fiscal 2015 as compared to 2014 primarily due to the timing of inventory receipts and payments and the increase in receivables partially offset by increased store contribution. Cash flows from operating activities increased in fiscal 2014 as compared to 2013 primarily due to increased store contribution.</w:t>
      </w:r>
    </w:p>
    <w:p>
      <w:pPr>
        <w:spacing w:after="0" w:line="187"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Cash flows used in investing activities were $25.1 million in fiscal 2015, $11.8 million in fiscal 2014 and $19.4 million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2013. Cash used in investing activities in 2015 related primarily to the continued installation and upgrades of central office information technology systems, the opening of 25 new stores, the remodeling or relocation of eight stores and the net purchases of short-term investments. Cash used in investing activities in 2014 related primarily to the opening of five new traditional stores and eleven non-traditional stores, the continued installation and upgrades of central office information technology systems and the purchase of short-term investments. Cash used in investing activities in 2013 related primarily to the continued installation and upgrades of central office information technology systems, the remodeling or relocation of 20 stores and the opening of ten new locations.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ind w:right="40" w:firstLine="441"/>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Financing activities used cash of $26.4 million and $1.8 million in 2015 and 2014, respectively, and provided cash of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2013. Purchases of our stock used cash of $25.9 million, $3.4 million and $0.2 million, in fiscal 2015, 2014 and 2013, respectively. In fiscal 2015, the exercises of employee stock options, net of shares used for withholding tax payments related to vesting of restricted stock used cash of $0.5 million. In fiscal 2014 and 2013, the exercises of employee stock options, net of shares used for withholding tax payments related to vesting of restricted stock provided cash of $1.6 million and $0.3 million, respectively.</w:t>
      </w:r>
    </w:p>
    <w:p>
      <w:pPr>
        <w:spacing w:after="0" w:line="188"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i w:val="1"/>
          <w:iCs w:val="1"/>
          <w:color w:val="auto"/>
        </w:rPr>
        <w:t>Capital Resources</w:t>
      </w:r>
      <w:r>
        <w:rPr>
          <w:rFonts w:ascii="Arial" w:cs="Arial" w:eastAsia="Arial" w:hAnsi="Arial"/>
          <w:sz w:val="17"/>
          <w:szCs w:val="17"/>
          <w:color w:val="auto"/>
        </w:rPr>
        <w:t>. As of January 2, 2016, we had a cash balance of $45.2 million, more than half of which was domiciled outside of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We also have a line of credit, which we can use to finance capital expenditures and working capital needs throughout the year. The bank line provides availability of up to $35 million. Borrowings under the credit agreement are secured by our assets and a pledge of 65% of our ownership interest in our foreign subsidiaries. The credit agreement expires on December 31, 2016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January 2, 2016: (i) we were in compliance with these covenants; (ii) there were no borrowings under our line of credit; and (iii) there was $35.0 million available for borrowing under the line of credit.</w:t>
      </w:r>
    </w:p>
    <w:p>
      <w:pPr>
        <w:spacing w:after="0" w:line="183"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of the leases contain a provision whereby either we or the landlord may terminate the lease after a certain time, typically in the third or fourth year and sixth or seventh year of the lease, if a certain minimum sales volume is not achieved. Many leases contain incentives to help defray the cost of construction of a new store. Typically, a portion of the incentive must be repaid to the landlord if we choose to terminate the lease.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charged monthly and paid in advance.</w:t>
      </w:r>
    </w:p>
    <w:p>
      <w:pPr>
        <w:spacing w:after="0" w:line="16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Our leases in the United Kingdom and Ireland typically have terms of ten to fifteen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154"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In fiscal 2016, we expect to spend approximately $25 million to $30 million on capital expenditures. Capital spending in fiscal 2015 totaled $24.4 million, primarily to support the refresh and repositioning of stores and investment in infrastructure.</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On February 20, 2007, we announced that our board of directors had authorized a $25 million share repurchase program of our outstanding common stock. On March 10, 2008, we announced an expansion of our share repurchase program to $50 million (the “2008 Share Repurchase Program”). Following a series of annual extensions, as of February 25, 2015, under the 2008 Share Repurchase Program, we had repurchased approximately 6,245,000 shares at an average price of $7.40 per share for an aggregate amount of $46.2 million, leaving $3.8 million of availability under the program. On February 25, 2015, we announced the termination of the 2008 Share Repurchase Program. In February 2015 and July 2015, the board of directors adopted new repurchase programs, each authorizing the repurchase of up to $10 million of our common stock, and in November 2015, the board adopted a new repurchase program (collectively, the “2015 Share Repurchase Programs”) authorizing the repurchase of up to an additional $15 million of our common stock until March 31, 2016, subject to further extension by the board. Collectively, the 2015 Share Repurchase Programs authorized us to purchase up to $35 million of our common stock in the open market (including through 10b5-1 trading plans), through privately negotiated transactions, or through an accelerated repurchase transaction. The primary source of funding has been, and is expected to be, cash on hand. The timing and amount of share repurchases, if any, will depend on price, market conditions, applicable regulatory requirements, and other factors. The 2015 Share Repurchase Programs do not require us to repurchase any specific number of shares, and may be modified, suspended or terminated at any time without prior notice. Shares repurchased under the 2015 Share Repurchase Programs will be subsequently retired. As of March 11, 2016, we had repurchased approximately 1.8 million shares at an average price of $14.89 per share for an aggregate amount of $27.4 million, leaving $7.6 million of availability under the 2015 Share Repurchase Programs.</w:t>
      </w:r>
    </w:p>
    <w:p>
      <w:pPr>
        <w:spacing w:after="0" w:line="17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contractual obligations and commercial commitments include future minimum obligations under operating leases and purchase obligations. Our purchase obligations primarily consist of purchase orders for merchandise inventory. The future minimum payments for these obligations as of January 2, 2016 for periods subsequent to this date are as follows:</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40" w:type="dxa"/>
            <w:vAlign w:val="bottom"/>
            <w:gridSpan w:val="9"/>
          </w:tcPr>
          <w:p>
            <w:pPr>
              <w:jc w:val="right"/>
              <w:ind w:right="170"/>
              <w:spacing w:after="0"/>
              <w:rPr>
                <w:sz w:val="20"/>
                <w:szCs w:val="20"/>
                <w:color w:val="auto"/>
              </w:rPr>
            </w:pPr>
            <w:r>
              <w:rPr>
                <w:rFonts w:ascii="Arial" w:cs="Arial" w:eastAsia="Arial" w:hAnsi="Arial"/>
                <w:sz w:val="18"/>
                <w:szCs w:val="18"/>
                <w:b w:val="1"/>
                <w:bCs w:val="1"/>
                <w:color w:val="auto"/>
                <w:w w:val="89"/>
              </w:rPr>
              <w:t>Payments Due by Fiscal Period as of January 2, 2016</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Total</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2017</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9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Beyond</w:t>
            </w: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202,088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64,749</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38,386</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38,386</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240,474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24,695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64,749</w:t>
            </w:r>
          </w:p>
        </w:tc>
      </w:tr>
    </w:tbl>
    <w:p>
      <w:pPr>
        <w:spacing w:after="0" w:line="202"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Our total liability for uncertain tax positions under the Financial Accounting Standards Board Accounting Standards Codification (ASC) 740-10-25 was $0.7 million as of January 2, 2016. Currently, we do not anticipate that the total amount of unrecognized tax benefits will increase or decrease significantly, nor do we expect a significant payment related to these obligations within the next twelve months. See Note 7 – Income Taxes to the Consolidated Financial Statements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assure you,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accordance with ASC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Fair value is calculated as the present value of estimated future cash flows for each asset group. The calculation of fair value could increase or decrease depending on changes in the inputs and assumptions used, such as changes in the financial performance of the asset group, future growth rate and discount rate.</w:t>
      </w:r>
    </w:p>
    <w:p>
      <w:pPr>
        <w:spacing w:after="0" w:line="178"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For purposes of evaluating store assets for impairment, we have determined that each store location is an asset group.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annually, using the full year’s results. We consider a historical and/or projected negative cash flow trend for a store location to be an indicator that the carrying value of that asset group may not be recoverable. Impairment charges related to this assessment are included in cost of merchandise sold – retail as a component of net income (loss) before income taxes in the DTC segment.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ind w:right="60" w:firstLine="441"/>
        <w:spacing w:after="0" w:line="255" w:lineRule="auto"/>
        <w:rPr>
          <w:sz w:val="20"/>
          <w:szCs w:val="20"/>
          <w:color w:val="auto"/>
        </w:rPr>
      </w:pPr>
      <w:r>
        <w:rPr>
          <w:rFonts w:ascii="Arial" w:cs="Arial" w:eastAsia="Arial" w:hAnsi="Arial"/>
          <w:sz w:val="18"/>
          <w:szCs w:val="18"/>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Asset impairment charges resulting from this assessment are included in selling, general and administrative expenses as a component of income (loss) before income taxes in the DTC segment. In the event that we decide to close any or all of these stores in the future, we may be required to record additional impairments, lease termination fees, severance and other charges. Impairment losses in the future are dependent on a number of factors such as site selection and general economic trends, and thus could be significantly different than historical results. The assumptions used in future calculations of fair value may change significantly which could result in further impairment charges in future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revenue recognition for the Company does not involve significant judgment, it represents an important accounting policy. Revenues from retail sales, net of discounts and excluding sales tax, are recognized at the time of sale. Merchandise returns have not been significant. For e-commerce sales, revenue is recognized at the time of shipment. We sell gift cards to our customers in our retail stores, through our e-commerce sites, and through select third parties. We do not charge administrative fees on unused gift cards and our gift cards do not have an expiration date. A current liability is recorded upon purchase of a gift card, and revenue is recognized when the gift card is redeemed for merchandise. Revenue from various licensing and international franchising arrangements is recognized when earned in accordance with the terms of the underlying agreement, generally based upon the greater of the contractually earned or guaranteed minimum levels.</w:t>
      </w:r>
    </w:p>
    <w:p>
      <w:pPr>
        <w:spacing w:after="0" w:line="189"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In 2015, we established a new legal entity, Build-A-Bear Card Services LLC (“Card Services”), to issue and administer all gift cards in the United States. The escheatment requirements of the jurisdiction where Card Services was established differ from those that the Company has historically been subject to. Given the change in legal requirements, we evaluated our accounting treatment of unredeemed gift cards and determined that the change in our legal obligations indicated that a change in our accounting treatment was necessary. Accordingly, in December 2015 when Card Services began issuing gift cards, we began to recognize breakage income on unredeemed gift cards using the redemption recognition method. Revenue is recognized in net retail sales when the likelihood of the gift card being redeemed is considered remote, based on historical redemption patterns. In the fourth quarter of fiscal 2015, our estimate of breakage resulted in a $0.5 million increase in net retail sales. We have no reason to believe that there will be a material change in the future estimates or assumptions we use to measure gift card breakage. However, if actual results are not consistent with our estimates or assumptions, we may be exposed to losses or gains that could be material. A 100 basis point change in our gift card breakage rate as of January 2, 2016 would not have had a material impact on our results. For gift cards issued prior to the establishment of Card Services, the company escheats a portion of unredeemed gift cards according to the escheatment regulations of the relevant authority and the remaining amount is recorded as income in the consolidated statement of operations in a manner consistent with the delayed recognition method.</w:t>
      </w:r>
    </w:p>
    <w:p>
      <w:pPr>
        <w:spacing w:after="0" w:line="180"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We have a customer loyalty program, the Stuff Fur Stuff® club, whereby guests enroll in the program and receive one point for every dollar spent. Points accumulate and expire after twelve months of inactivity. In North America, guests receive a coupon for free merchandise after reaching their first 50 points and a $10 reward certificate for every 100 points earned in a twelve month period. In the UK, guests receive a £5 certificate for every 50 points they earn. An estimate of the obligation related to the program, based on historical redemption patterns, is recorded as deferred revenue and a reduction of net retail sales.</w:t>
      </w:r>
    </w:p>
    <w:p>
      <w:pPr>
        <w:spacing w:after="0" w:line="188"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We assess the adequacy of the deferred revenue liability based upon our review of point conversion and award redemption patterns at the end of each fiscal quarter. Due to the estimates involved in these assessments, adjustments to the historical rates are generally made no more often than annually in order to allow time for more definite trends to emerge. Based on this assessment at the end of fiscal 2015, 2014 and 2013, the deferred revenue liability was adjusted downward by $0.1 million, $1.3 million and $0.1 million, respectively, with a corresponding increase to net retail sales.</w:t>
      </w:r>
    </w:p>
    <w:p>
      <w:pPr>
        <w:spacing w:after="0" w:line="17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calculation of fair value could increase or decrease depending on changes in the inputs and assumptions used, specifically, expected conversion and redemption rates. In order to evaluate the sensitivity of the estimates used in the recognition of deferred revenue, we applied a hypothetical increase of 100 bps in the conversion and redemption rates. Based on the analysis performed as of January 2, 2016, the change in our assumptions would have resulted in a $0.2 million change in the deferred revenue liability and net retail sales.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are required to estimate taxable income in future years or develop tax strategies that would enable tax asset realization in each taxing jurisdiction and use significant judgment to determine whether to record a deferred tax asset valuation allowance for part or all of a deferred tax asset. We also consider the weight of all available evidence, both positive and negative, in assessing the realizability of the deferred tax assets. The need for a valuation allowance is assessed by tax jurisdiction. We consider the reversals of existing taxable temporary differences as well as projections of future taxable income. We consider the future reversals of existing taxable temporary differences to the extent they were of the same character as the temporary differences giving rise to the deferred tax assets. We also consider whether the future reversals of existing taxable temporary differences will occur in the same period and jurisdiction as the temporary differences giving rise to the deferred tax assets. We have deferred tax assets in the U.S. on which we no longer have recorded a valuation allowance. The realization of these deferred tax assets is dependent upon the recognition of future jurisdictional income. After weighing all the evidence, management determined that it was more likely than not that the Company would be able to realize all of its domestic deferred tax assets and, therefore, the valuation allowance was no longer required. Management's decision was based upon evidence including its earnings performance trend, expected continued profitability, and improvement in the Company's financial condition.</w:t>
      </w:r>
    </w:p>
    <w:p>
      <w:pPr>
        <w:spacing w:after="0" w:line="18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the company’s returns in the jurisdictions in which the Company does business. Management regularly assesses the tax risk of the company’s return filing positions and believes its accruals for uncertain tax benefits are adequate as of January 2, 2016 and January 3,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during fiscal 2015. Accordingly, a 100 basis point change in interest rates would result in no material change to our annual interest expense. The second component of interest rate risk involves the short term investment of excess cash in short term, investment grade interest-bearing securities. If there are changes in interest rates, those changes would affect the investment income we earn on these investments and, therefore, impact our cash flows and results of operations.</w:t>
      </w:r>
    </w:p>
    <w:p>
      <w:pPr>
        <w:spacing w:after="0" w:line="17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188"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schedules are listed under Item 15(a) and filed as part of this Annual Report on Form 10-K.</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3" w:name="page34"/>
    <w:bookmarkEnd w:id="33"/>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our Chief President Bear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Chief President Bear and the Chief Financial Officer, concluded that our disclosure controls and procedures were effective as of January 2, 2016, the end of the period covered by this Annual Report.</w:t>
      </w:r>
    </w:p>
    <w:p>
      <w:pPr>
        <w:spacing w:after="0" w:line="17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Chief President Bear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Chief Executive Officer and Chief President Bear and the Chief Financial Officer, we conducted an evaluation of the effectiveness of our internal control over financial reporting as of January 2, 2016. Our management, with the participation of our Chief Executive Officer and Chief President Bear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82"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(“COSO”) in Internal Control-Integrated Framework (2013 framework). Based upon this evaluation, our management has concluded that our internal control over financial reporting as of January 2, 2016 is effective.</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Our independent registered public accounting firm, Ernst &amp; Young LLP, has audited the effectiveness of our internal control over financial reporting, as stated in its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There were no changes in internal control over financial reporting (as defined in Exchange Act Rules 13a-15(f) and 15d-15(f)) that occurred during the fiscal 2015 fourth quarter that have materially affected, or are reasonably likely to materially affect, our internal control over financial reporting.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Build-A-Bear Workshop, Inc. and subsidiaries (collectively, the Company’s) internal control over financial reporting as of January 2,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Build-A-Bear Workshop, Inc. and subsidiaries, maintained, in all material respects, effective internal control over financial reporting as of January 2, 2016,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Build-A-Bear Workshop, Inc. and subsidiaries as of January 2, 2016 and January 3, 2015, and the related consolidated statements of operations, comprehensive income (loss), stockholders’ equity, and cash flows for each of the three years in the period ended January 2, 2016, and our report dated March 17, 2016, expressed an unqualified opinion thereon.</w:t>
      </w:r>
    </w:p>
    <w:p>
      <w:pPr>
        <w:spacing w:after="0" w:line="193" w:lineRule="exact"/>
        <w:rPr>
          <w:sz w:val="20"/>
          <w:szCs w:val="20"/>
          <w:color w:val="auto"/>
        </w:rPr>
      </w:pPr>
    </w:p>
    <w:p>
      <w:pPr>
        <w:ind w:left="94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20"/>
          <w:szCs w:val="20"/>
          <w:color w:val="auto"/>
        </w:rPr>
        <w:t>Ernst &amp; Young LLP</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2016</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Information concerning directors, appearing in the sections titled “Directors,” “The Board of Directors and its Committees,” “Committee Charters, Corporate Governance Guidelines, Business Conduct Policy and Code of Ethics” and “Section 16(a) Beneficial Ownership Reporting Compliance” in our Proxy Statement (the “Proxy Statement”) to be filed with the SEC in connection with our Annual Meeting of Stockholders scheduled to be held on May 12, 2016 is incorporated by reference in response to this Item 10.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Business Conduct Policy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 site at http://ir.buildabear.com. We intend to satisfy the amendment and waiver disclosure requirements under applicable securities regulations by posting any amendments of, or waivers to, the Business Conduct Policy on our Web site.</w:t>
      </w:r>
    </w:p>
    <w:p>
      <w:pPr>
        <w:spacing w:after="0" w:line="18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information appearing in the sections titled “Committee Charters, Corporate Governance Guidelines, Business Conduct Policy and Code of Ethics” in the Proxy Statement is incorporated by reference in response to this Item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Sharon Price John</w:t>
      </w:r>
      <w:r>
        <w:rPr>
          <w:rFonts w:ascii="Arial" w:cs="Arial" w:eastAsia="Arial" w:hAnsi="Arial"/>
          <w:sz w:val="17"/>
          <w:szCs w:val="17"/>
          <w:color w:val="auto"/>
        </w:rPr>
        <w:t>, 52, was appointed to the Board of Directors on June 3, 2013 in connection with her employment as Chief Executive Officer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Bear of the Company. From January 2010 through May 2013, Ms. John served as President of Stride Rite Children’s Group LLC, a division of Wolverine World 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Gina Collins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43, joined Build-A-Bear Workshop in January 2014 as Chief Marketing Officer and Brand Bear. Prior to joining the Company, Ms. Collins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The Coca-Cola Company from December 2001 to January 2014 in various senior leadership roles of increasing responsibility, including Area Vice President, North America, Entertainment Marketing from April 2012 to January 2014, Group Director, North America, Strategic Marketing from April 2010 to March 2012, and Global Director, Media and Interactive Marketing Procurement from January 2008 to March 2010. Before joining The Coca-Cola Company, Ms. Collins was a Principal/Senior Analyst at American Management Systems (CapGemini).</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Eric Fencl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53, joined Build-A-Bear Workshop in July 2008 as Chief Bearrister—General Counsel. Effective October 2015, he now holds the title of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he held legal positions at Monsanto Company, McDonnell Douglas Corporation and Bryan Cave LLP. Mr. Fencl began his career in 1984 as an auditor with Arthur Young &amp; Company.</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J. Christopher Hurt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49, joined Build-A-Bear Workshop in April 2015 as Chief Operations Officer. Prior to joining the Company, Mr. Hurt was at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Eagle 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spacing w:after="0" w:line="18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Jennifer Kretchmar</w:t>
      </w:r>
      <w:r>
        <w:rPr>
          <w:rFonts w:ascii="Arial" w:cs="Arial" w:eastAsia="Arial" w:hAnsi="Arial"/>
          <w:sz w:val="17"/>
          <w:szCs w:val="17"/>
          <w:color w:val="auto"/>
        </w:rPr>
        <w:t>, 42, joined Build-A-Bear Workshop in August 2014 as Chief Product Officer and Innovation Bear. Prior to joining the Company, 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Kretchmar was Senior Vice President of Product and Brand Management with the Stride Rite Children’s Group of Wolverine World Wide, Inc. where since 2004 she was responsible for the global product creation strategy for a diverse portfolio of children’s footwear brands including Stride Rite, Sperry Top-Sider®, Saucony®, Keds®, Merrell®, Robeez®, Jessica Simpson® and Hush Puppies®. Before joining Stride Rite, Ms. Kretchmar held positions of increasing responsibility at The Timberland Company, Goldbug, and the United States Department of Agriculture Foreign Service.</w:t>
      </w:r>
    </w:p>
    <w:p>
      <w:pPr>
        <w:spacing w:after="0" w:line="1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Voin Todorovic</w:t>
      </w:r>
      <w:r>
        <w:rPr>
          <w:rFonts w:ascii="Arial" w:cs="Arial" w:eastAsia="Arial" w:hAnsi="Arial"/>
          <w:sz w:val="17"/>
          <w:szCs w:val="17"/>
          <w:color w:val="auto"/>
        </w:rPr>
        <w:t>, 41, joined Build-A-Bear Workshop in September 2014 as Chief Financial Officer. Prior to joining the Company, Mr. Todorovic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employed at Wolverine World Wide, Inc., a leading global footwear and apparel company, where since September 2013 he served as the head of finance and operations for its Lifestyle Group which includes a portfolio of iconic brands such as Sperry Top-Sider®, Hush Puppies®, Keds®, and Stride Rite®. From 2011 to 2013 he was Vice President—Finance and Administration of the Stride Rite Children’s Group business, operating in wholesale, direct to consumer and international franchising, and from 2010 to 2011 he was Vice President of the Performance + Lifestyle Group. Prior to his tenure at Wolverine World Wide he held positions of increasing responsibility at Collective Brands, Inc. and Payless ShoeSource.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6" w:name="page37"/>
    <w:bookmarkEnd w:id="36"/>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ind w:left="1000" w:right="340" w:hanging="985"/>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60" w:type="dxa"/>
            <w:vAlign w:val="bottom"/>
            <w:gridSpan w:val="6"/>
          </w:tcPr>
          <w:p>
            <w:pPr>
              <w:jc w:val="right"/>
              <w:ind w:right="1720"/>
              <w:spacing w:after="0"/>
              <w:rPr>
                <w:sz w:val="20"/>
                <w:szCs w:val="20"/>
                <w:color w:val="auto"/>
              </w:rPr>
            </w:pPr>
            <w:r>
              <w:rPr>
                <w:rFonts w:ascii="Arial" w:cs="Arial" w:eastAsia="Arial" w:hAnsi="Arial"/>
                <w:sz w:val="18"/>
                <w:szCs w:val="18"/>
                <w:b w:val="1"/>
                <w:bCs w:val="1"/>
                <w:color w:val="auto"/>
                <w:w w:val="96"/>
              </w:rPr>
              <w:t>Equity Compensation Plan Information</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w:t>
            </w:r>
          </w:p>
        </w:tc>
        <w:tc>
          <w:tcPr>
            <w:tcW w:w="2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(b)</w:t>
            </w:r>
          </w:p>
        </w:tc>
        <w:tc>
          <w:tcPr>
            <w:tcW w:w="220" w:type="dxa"/>
            <w:vAlign w:val="bottom"/>
            <w:vMerge w:val="restart"/>
          </w:tcPr>
          <w:p>
            <w:pPr>
              <w:spacing w:after="0"/>
              <w:rPr>
                <w:sz w:val="16"/>
                <w:szCs w:val="16"/>
                <w:color w:val="auto"/>
              </w:rPr>
            </w:pPr>
          </w:p>
        </w:tc>
        <w:tc>
          <w:tcPr>
            <w:tcW w:w="2060" w:type="dxa"/>
            <w:vAlign w:val="bottom"/>
            <w:tcBorders>
              <w:top w:val="single" w:sz="8" w:color="auto"/>
            </w:tcBorders>
          </w:tcPr>
          <w:p>
            <w:pPr>
              <w:jc w:val="center"/>
              <w:ind w:left="10"/>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0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8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9"/>
              </w:rPr>
              <w:t>Number of securities to</w:t>
            </w:r>
          </w:p>
        </w:tc>
        <w:tc>
          <w:tcPr>
            <w:tcW w:w="180" w:type="dxa"/>
            <w:vAlign w:val="bottom"/>
          </w:tcPr>
          <w:p>
            <w:pPr>
              <w:spacing w:after="0"/>
              <w:rPr>
                <w:sz w:val="16"/>
                <w:szCs w:val="16"/>
                <w:color w:val="auto"/>
              </w:rPr>
            </w:pPr>
          </w:p>
        </w:tc>
        <w:tc>
          <w:tcPr>
            <w:tcW w:w="20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Weighted-average</w:t>
            </w:r>
          </w:p>
        </w:tc>
        <w:tc>
          <w:tcPr>
            <w:tcW w:w="2160" w:type="dxa"/>
            <w:vAlign w:val="bottom"/>
            <w:gridSpan w:val="2"/>
          </w:tcPr>
          <w:p>
            <w:pPr>
              <w:jc w:val="center"/>
              <w:ind w:right="40"/>
              <w:spacing w:after="0" w:line="191" w:lineRule="exact"/>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7"/>
              </w:rPr>
              <w:t>equity compensation</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5"/>
              </w:rPr>
              <w:t>be issued upon exercise</w:t>
            </w:r>
          </w:p>
        </w:tc>
        <w:tc>
          <w:tcPr>
            <w:tcW w:w="180" w:type="dxa"/>
            <w:vAlign w:val="bottom"/>
          </w:tcPr>
          <w:p>
            <w:pPr>
              <w:spacing w:after="0"/>
              <w:rPr>
                <w:sz w:val="9"/>
                <w:szCs w:val="9"/>
                <w:color w:val="auto"/>
              </w:rPr>
            </w:pPr>
          </w:p>
        </w:tc>
        <w:tc>
          <w:tcPr>
            <w:tcW w:w="20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7"/>
              </w:rPr>
              <w:t>exercise price of</w:t>
            </w: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7"/>
              </w:rPr>
              <w:t>of outstanding options,</w:t>
            </w:r>
          </w:p>
        </w:tc>
        <w:tc>
          <w:tcPr>
            <w:tcW w:w="180" w:type="dxa"/>
            <w:vAlign w:val="bottom"/>
          </w:tcPr>
          <w:p>
            <w:pPr>
              <w:spacing w:after="0"/>
              <w:rPr>
                <w:sz w:val="9"/>
                <w:szCs w:val="9"/>
                <w:color w:val="auto"/>
              </w:rPr>
            </w:pPr>
          </w:p>
        </w:tc>
        <w:tc>
          <w:tcPr>
            <w:tcW w:w="20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7"/>
              </w:rPr>
              <w:t>outstanding options,</w:t>
            </w: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108"/>
        </w:trPr>
        <w:tc>
          <w:tcPr>
            <w:tcW w:w="3700" w:type="dxa"/>
            <w:vAlign w:val="bottom"/>
            <w:gridSpan w:val="2"/>
            <w:vMerge w:val="restart"/>
          </w:tcPr>
          <w:p>
            <w:pPr>
              <w:spacing w:after="0" w:line="194" w:lineRule="exact"/>
              <w:rPr>
                <w:sz w:val="20"/>
                <w:szCs w:val="20"/>
                <w:color w:val="auto"/>
              </w:rPr>
            </w:pPr>
            <w:r>
              <w:rPr>
                <w:rFonts w:ascii="Arial" w:cs="Arial" w:eastAsia="Arial" w:hAnsi="Arial"/>
                <w:sz w:val="18"/>
                <w:szCs w:val="18"/>
                <w:b w:val="1"/>
                <w:bCs w:val="1"/>
                <w:color w:val="auto"/>
              </w:rPr>
              <w:t>Plan category</w:t>
            </w:r>
          </w:p>
        </w:tc>
        <w:tc>
          <w:tcPr>
            <w:tcW w:w="420" w:type="dxa"/>
            <w:vAlign w:val="bottom"/>
          </w:tcPr>
          <w:p>
            <w:pPr>
              <w:spacing w:after="0"/>
              <w:rPr>
                <w:sz w:val="9"/>
                <w:szCs w:val="9"/>
                <w:color w:val="auto"/>
              </w:rPr>
            </w:pPr>
          </w:p>
        </w:tc>
        <w:tc>
          <w:tcPr>
            <w:tcW w:w="2280" w:type="dxa"/>
            <w:vAlign w:val="bottom"/>
            <w:gridSpan w:val="2"/>
            <w:vMerge w:val="restart"/>
          </w:tcPr>
          <w:p>
            <w:pPr>
              <w:jc w:val="center"/>
              <w:ind w:right="100"/>
              <w:spacing w:after="0" w:line="194" w:lineRule="exact"/>
              <w:rPr>
                <w:sz w:val="20"/>
                <w:szCs w:val="20"/>
                <w:color w:val="auto"/>
              </w:rPr>
            </w:pPr>
            <w:r>
              <w:rPr>
                <w:rFonts w:ascii="Arial" w:cs="Arial" w:eastAsia="Arial" w:hAnsi="Arial"/>
                <w:sz w:val="18"/>
                <w:szCs w:val="18"/>
                <w:b w:val="1"/>
                <w:bCs w:val="1"/>
                <w:color w:val="auto"/>
                <w:w w:val="92"/>
              </w:rPr>
              <w:t>warrants and rights</w:t>
            </w:r>
          </w:p>
        </w:tc>
        <w:tc>
          <w:tcPr>
            <w:tcW w:w="180" w:type="dxa"/>
            <w:vAlign w:val="bottom"/>
          </w:tcPr>
          <w:p>
            <w:pPr>
              <w:spacing w:after="0"/>
              <w:rPr>
                <w:sz w:val="9"/>
                <w:szCs w:val="9"/>
                <w:color w:val="auto"/>
              </w:rPr>
            </w:pPr>
          </w:p>
        </w:tc>
        <w:tc>
          <w:tcPr>
            <w:tcW w:w="2080" w:type="dxa"/>
            <w:vAlign w:val="bottom"/>
            <w:gridSpan w:val="2"/>
            <w:vMerge w:val="restart"/>
          </w:tcPr>
          <w:p>
            <w:pPr>
              <w:jc w:val="center"/>
              <w:ind w:right="280"/>
              <w:spacing w:after="0" w:line="194" w:lineRule="exact"/>
              <w:rPr>
                <w:sz w:val="20"/>
                <w:szCs w:val="20"/>
                <w:color w:val="auto"/>
              </w:rPr>
            </w:pPr>
            <w:r>
              <w:rPr>
                <w:rFonts w:ascii="Arial" w:cs="Arial" w:eastAsia="Arial" w:hAnsi="Arial"/>
                <w:sz w:val="18"/>
                <w:szCs w:val="18"/>
                <w:b w:val="1"/>
                <w:bCs w:val="1"/>
                <w:color w:val="auto"/>
                <w:w w:val="90"/>
              </w:rPr>
              <w:t>warrants and rights</w:t>
            </w:r>
          </w:p>
        </w:tc>
        <w:tc>
          <w:tcPr>
            <w:tcW w:w="2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70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reflected in column (a))</w:t>
            </w:r>
          </w:p>
        </w:tc>
        <w:tc>
          <w:tcPr>
            <w:tcW w:w="0" w:type="dxa"/>
            <w:vAlign w:val="bottom"/>
          </w:tcPr>
          <w:p>
            <w:pPr>
              <w:spacing w:after="0"/>
              <w:rPr>
                <w:sz w:val="1"/>
                <w:szCs w:val="1"/>
                <w:color w:val="auto"/>
              </w:rPr>
            </w:pPr>
          </w:p>
        </w:tc>
      </w:tr>
      <w:tr>
        <w:trPr>
          <w:trHeight w:val="129"/>
        </w:trPr>
        <w:tc>
          <w:tcPr>
            <w:tcW w:w="1040" w:type="dxa"/>
            <w:vAlign w:val="bottom"/>
            <w:tcBorders>
              <w:top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Equity compensation plans approved by security</w:t>
            </w:r>
          </w:p>
        </w:tc>
        <w:tc>
          <w:tcPr>
            <w:tcW w:w="420" w:type="dxa"/>
            <w:vAlign w:val="bottom"/>
            <w:vMerge w:val="restart"/>
            <w:shd w:val="clear" w:color="auto" w:fill="CCEEFF"/>
          </w:tcPr>
          <w:p>
            <w:pPr>
              <w:spacing w:after="0"/>
              <w:rPr>
                <w:sz w:val="17"/>
                <w:szCs w:val="17"/>
                <w:color w:val="auto"/>
              </w:rPr>
            </w:pP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574,851</w:t>
            </w:r>
          </w:p>
        </w:tc>
        <w:tc>
          <w:tcPr>
            <w:tcW w:w="2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8.30</w:t>
            </w:r>
          </w:p>
        </w:tc>
        <w:tc>
          <w:tcPr>
            <w:tcW w:w="2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1,271,884</w:t>
            </w:r>
          </w:p>
        </w:tc>
        <w:tc>
          <w:tcPr>
            <w:tcW w:w="0" w:type="dxa"/>
            <w:vAlign w:val="bottom"/>
          </w:tcPr>
          <w:p>
            <w:pPr>
              <w:spacing w:after="0"/>
              <w:rPr>
                <w:sz w:val="1"/>
                <w:szCs w:val="1"/>
                <w:color w:val="auto"/>
              </w:rPr>
            </w:pPr>
          </w:p>
        </w:tc>
      </w:tr>
      <w:tr>
        <w:trPr>
          <w:trHeight w:val="21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holders</w:t>
            </w:r>
          </w:p>
        </w:tc>
        <w:tc>
          <w:tcPr>
            <w:tcW w:w="420" w:type="dxa"/>
            <w:vAlign w:val="bottom"/>
            <w:vMerge w:val="continue"/>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080" w:type="dxa"/>
            <w:vAlign w:val="bottom"/>
            <w:gridSpan w:val="2"/>
            <w:vMerge w:val="continue"/>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574,851</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8.30</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1,271,884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520" w:firstLine="441"/>
        <w:spacing w:after="0" w:line="308" w:lineRule="auto"/>
        <w:rPr>
          <w:sz w:val="20"/>
          <w:szCs w:val="20"/>
          <w:color w:val="auto"/>
        </w:rPr>
      </w:pPr>
      <w:r>
        <w:rPr>
          <w:rFonts w:ascii="Arial" w:cs="Arial" w:eastAsia="Arial" w:hAnsi="Arial"/>
          <w:sz w:val="17"/>
          <w:szCs w:val="17"/>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026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10260" w:type="dxa"/>
            <w:vAlign w:val="bottom"/>
            <w:gridSpan w:val="2"/>
          </w:tcPr>
          <w:p>
            <w:pPr>
              <w:ind w:left="42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10260" w:type="dxa"/>
            <w:vAlign w:val="bottom"/>
            <w:gridSpan w:val="2"/>
          </w:tcPr>
          <w:p>
            <w:pPr>
              <w:ind w:left="420"/>
              <w:spacing w:after="0"/>
              <w:rPr>
                <w:sz w:val="20"/>
                <w:szCs w:val="20"/>
                <w:color w:val="auto"/>
              </w:rPr>
            </w:pPr>
            <w:r>
              <w:rPr>
                <w:rFonts w:ascii="Arial" w:cs="Arial" w:eastAsia="Arial" w:hAnsi="Arial"/>
                <w:sz w:val="18"/>
                <w:szCs w:val="18"/>
                <w:color w:val="auto"/>
                <w:w w:val="93"/>
              </w:rPr>
              <w:t>The financial statements and schedules set forth below are filed on the indicated pages as part of this Annual Report on Form 10-K.</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2"/>
        </w:trPr>
        <w:tc>
          <w:tcPr>
            <w:tcW w:w="58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Page</w:t>
            </w:r>
          </w:p>
        </w:tc>
        <w:tc>
          <w:tcPr>
            <w:tcW w:w="620" w:type="dxa"/>
            <w:vAlign w:val="bottom"/>
          </w:tcPr>
          <w:p>
            <w:pPr>
              <w:spacing w:after="0"/>
              <w:rPr>
                <w:sz w:val="24"/>
                <w:szCs w:val="24"/>
                <w:color w:val="auto"/>
              </w:rPr>
            </w:pPr>
          </w:p>
        </w:tc>
      </w:tr>
      <w:tr>
        <w:trPr>
          <w:trHeight w:val="21"/>
        </w:trPr>
        <w:tc>
          <w:tcPr>
            <w:tcW w:w="5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22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Consolidated Balance Sheets as of January 2, 2016 and January 3, 2015</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w w:val="97"/>
              </w:rPr>
              <w:t>Consolidated Statements of Operations for the fiscal years ended January 2, 2016, January 3, 2015 and December 28, 2013</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22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9680" w:type="dxa"/>
            <w:vAlign w:val="bottom"/>
          </w:tcPr>
          <w:p>
            <w:pPr>
              <w:spacing w:after="0" w:line="201" w:lineRule="exact"/>
              <w:rPr>
                <w:sz w:val="20"/>
                <w:szCs w:val="20"/>
                <w:color w:val="auto"/>
              </w:rPr>
            </w:pPr>
            <w:r>
              <w:rPr>
                <w:rFonts w:ascii="Arial" w:cs="Arial" w:eastAsia="Arial" w:hAnsi="Arial"/>
                <w:sz w:val="18"/>
                <w:szCs w:val="18"/>
                <w:color w:val="auto"/>
                <w:w w:val="98"/>
              </w:rPr>
              <w:t>Consolidated Statements of Comprehensive Income (Loss) for the fiscal years ended January 2, 2016, January 3, 2015 and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9680" w:type="dxa"/>
            <w:vAlign w:val="bottom"/>
          </w:tcPr>
          <w:p>
            <w:pPr>
              <w:ind w:left="220"/>
              <w:spacing w:after="0"/>
              <w:rPr>
                <w:sz w:val="20"/>
                <w:szCs w:val="20"/>
                <w:color w:val="auto"/>
              </w:rPr>
            </w:pPr>
            <w:r>
              <w:rPr>
                <w:rFonts w:ascii="Arial" w:cs="Arial" w:eastAsia="Arial" w:hAnsi="Arial"/>
                <w:sz w:val="18"/>
                <w:szCs w:val="18"/>
                <w:color w:val="auto"/>
              </w:rPr>
              <w:t>December 28, 2013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9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Consolidated Statements of Stockholders’ Equity for the fiscal years ended January 2, 2016, January 3, 2015 and December 28,</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shd w:val="clear" w:color="auto" w:fill="CCEEFF"/>
          </w:tcPr>
          <w:p>
            <w:pPr>
              <w:spacing w:after="0"/>
              <w:rPr>
                <w:sz w:val="20"/>
                <w:szCs w:val="20"/>
                <w:color w:val="auto"/>
              </w:rPr>
            </w:pPr>
          </w:p>
        </w:tc>
        <w:tc>
          <w:tcPr>
            <w:tcW w:w="62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w w:val="96"/>
              </w:rPr>
              <w:t>Consolidated Statements of Cash Flows for the fiscal years ended January 2, 2016, January 3, 2015 and December 28, 2013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Schedule II - Valuation and Qualifying Accounts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61"/>
        </w:trPr>
        <w:tc>
          <w:tcPr>
            <w:tcW w:w="10260" w:type="dxa"/>
            <w:vAlign w:val="bottom"/>
            <w:gridSpan w:val="2"/>
          </w:tcPr>
          <w:p>
            <w:pPr>
              <w:ind w:left="562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9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96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Build-A-Bear Workshop, Inc. and subsidiaries (collectively, the Company) as of January 2, 2016 and January 3, 2015, and the related consolidated statements of operations, comprehensive income (loss), stockholders’ equity, and cash flows for each of the three years in the period ended January 2, 2016.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Build-A-Bear Workshop, Inc. and subsidiaries at January 2, 2016 and January 3, 2015, and the consolidated results of their operations and their cash flows for each of the three years in the period ended January 2, 2016, in conformity with U.S. generally accepted accounting principles. Also, in our opinion, the financial statement schedule,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Build-A-Bear Workshop, Inc. and subsidiaries’ internal control over financial reporting as of January 2,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and our report dated March 17, 2016 expressed an unqualified opinion thereon.</w:t>
      </w:r>
    </w:p>
    <w:p>
      <w:pPr>
        <w:spacing w:after="0" w:line="200" w:lineRule="exact"/>
        <w:rPr>
          <w:sz w:val="20"/>
          <w:szCs w:val="20"/>
          <w:color w:val="auto"/>
        </w:rPr>
      </w:pPr>
    </w:p>
    <w:p>
      <w:pPr>
        <w:spacing w:after="0" w:line="209" w:lineRule="exact"/>
        <w:rPr>
          <w:sz w:val="20"/>
          <w:szCs w:val="20"/>
          <w:color w:val="auto"/>
        </w:rPr>
      </w:pPr>
    </w:p>
    <w:p>
      <w:pPr>
        <w:ind w:left="942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20"/>
          <w:szCs w:val="20"/>
          <w:color w:val="auto"/>
        </w:rPr>
        <w:t>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17,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January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January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45,196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53,877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16,312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10,864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assets,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19,286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Gift cards and customer deposits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Preferred stock, par value $0.01, Shares authorized: 15,000,000; No shares issued or outstanding at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January 2, 2016 and January 3, 2015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320"/>
              <w:spacing w:after="0" w:line="201" w:lineRule="exact"/>
              <w:rPr>
                <w:sz w:val="20"/>
                <w:szCs w:val="20"/>
                <w:color w:val="auto"/>
              </w:rPr>
            </w:pPr>
            <w:r>
              <w:rPr>
                <w:rFonts w:ascii="Arial" w:cs="Arial" w:eastAsia="Arial" w:hAnsi="Arial"/>
                <w:sz w:val="18"/>
                <w:szCs w:val="18"/>
                <w:color w:val="auto"/>
                <w:w w:val="90"/>
              </w:rPr>
              <w:t>Common stock, par value $0.01, Shares authorized: 50,000,000; Issued and outstanding: 15,795,891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17,360,635 shares,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(9,971)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80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99,414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97,625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6"/>
              </w:rPr>
              <w:t>Fiscal Year</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372,715</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387,725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Commercial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392,354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Cost of merchandise sold - retail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210,887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161,463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164,445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359,796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376,330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381,187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17,898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80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27,345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14,362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1.59</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0.81</w:t>
            </w:r>
          </w:p>
        </w:tc>
        <w:tc>
          <w:tcPr>
            <w:tcW w:w="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16,642,269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16,908,001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16,465,138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16,867,356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17,133,811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16,465,138</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center"/>
        <w:ind w:left="260" w:right="2660"/>
        <w:spacing w:after="0" w:line="266" w:lineRule="auto"/>
        <w:rPr>
          <w:sz w:val="20"/>
          <w:szCs w:val="20"/>
          <w:color w:val="auto"/>
        </w:rPr>
      </w:pPr>
      <w:r>
        <w:rPr>
          <w:rFonts w:ascii="Arial" w:cs="Arial" w:eastAsia="Arial" w:hAnsi="Arial"/>
          <w:sz w:val="18"/>
          <w:szCs w:val="18"/>
          <w:b w:val="1"/>
          <w:bCs w:val="1"/>
          <w:color w:val="auto"/>
        </w:rPr>
        <w:t xml:space="preserve">BUILD-A-BEAR WORKSHOP, INC. AND SUBSIDIARIES CONSOLIDATED STATEMENTS OF COMPREHENSIVE INCOME (LOSS) </w:t>
      </w:r>
      <w:r>
        <w:rPr>
          <w:rFonts w:ascii="Arial" w:cs="Arial" w:eastAsia="Arial" w:hAnsi="Arial"/>
          <w:sz w:val="18"/>
          <w:szCs w:val="18"/>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27,345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jc w:val="center"/>
              <w:ind w:right="2770"/>
              <w:spacing w:after="0"/>
              <w:rPr>
                <w:sz w:val="20"/>
                <w:szCs w:val="20"/>
                <w:color w:val="auto"/>
              </w:rPr>
            </w:pPr>
            <w:r>
              <w:rPr>
                <w:rFonts w:ascii="Arial" w:cs="Arial" w:eastAsia="Arial" w:hAnsi="Arial"/>
                <w:sz w:val="18"/>
                <w:szCs w:val="18"/>
                <w:color w:val="auto"/>
                <w:w w:val="90"/>
              </w:rPr>
              <w:t>Foreign currency translation adjustment</w:t>
            </w:r>
          </w:p>
        </w:tc>
        <w:tc>
          <w:tcPr>
            <w:tcW w:w="9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r>
      <w:tr>
        <w:trPr>
          <w:trHeight w:val="210"/>
        </w:trPr>
        <w:tc>
          <w:tcPr>
            <w:tcW w:w="6400" w:type="dxa"/>
            <w:vAlign w:val="bottom"/>
            <w:tcBorders>
              <w:bottom w:val="single" w:sz="8" w:color="CCEEFF"/>
            </w:tcBorders>
            <w:shd w:val="clear" w:color="auto" w:fill="CCEEFF"/>
          </w:tcPr>
          <w:p>
            <w:pPr>
              <w:jc w:val="center"/>
              <w:ind w:right="2750"/>
              <w:spacing w:after="0"/>
              <w:rPr>
                <w:sz w:val="20"/>
                <w:szCs w:val="20"/>
                <w:color w:val="auto"/>
              </w:rPr>
            </w:pPr>
            <w:r>
              <w:rPr>
                <w:rFonts w:ascii="Arial" w:cs="Arial" w:eastAsia="Arial" w:hAnsi="Arial"/>
                <w:sz w:val="18"/>
                <w:szCs w:val="18"/>
                <w:color w:val="auto"/>
                <w:w w:val="90"/>
              </w:rPr>
              <w:t>Other comprehensive (loss) income</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26,072</w:t>
            </w:r>
          </w:p>
        </w:tc>
        <w:tc>
          <w:tcPr>
            <w:tcW w:w="16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12,967</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(1,732)</w:t>
            </w:r>
          </w:p>
        </w:tc>
      </w:tr>
      <w:tr>
        <w:trPr>
          <w:trHeight w:val="20"/>
        </w:trPr>
        <w:tc>
          <w:tcPr>
            <w:tcW w:w="6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paid-in</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comprehensive</w:t>
            </w: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stock</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66,112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24,537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and retirement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plans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28, 2013</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and retirement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plans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(1,395)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gridSpan w:val="2"/>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gridSpan w:val="2"/>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3, 2015</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69,362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36,787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and retirement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plans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(1,273)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27,345</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gridSpan w:val="2"/>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gridSpan w:val="2"/>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2, 2016</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66,009</w:t>
            </w:r>
          </w:p>
        </w:tc>
        <w:tc>
          <w:tcPr>
            <w:tcW w:w="30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43,218</w:t>
            </w:r>
          </w:p>
        </w:tc>
        <w:tc>
          <w:tcPr>
            <w:tcW w:w="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99,414</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27,345</w:t>
            </w:r>
          </w:p>
        </w:tc>
        <w:tc>
          <w:tcPr>
            <w:tcW w:w="140" w:type="dxa"/>
            <w:vAlign w:val="bottom"/>
          </w:tcPr>
          <w:p>
            <w:pPr>
              <w:spacing w:after="0"/>
              <w:rPr>
                <w:sz w:val="18"/>
                <w:szCs w:val="18"/>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14,362</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Adjustments to reconcile net income (loss) to net cash provided by operating</w:t>
            </w:r>
          </w:p>
        </w:tc>
        <w:tc>
          <w:tcPr>
            <w:tcW w:w="9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activities:</w:t>
            </w:r>
          </w:p>
        </w:tc>
        <w:tc>
          <w:tcPr>
            <w:tcW w:w="94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18,128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Deferred taxes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Asset impairment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credit utilization</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assets and liabilities: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(2,323)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Receivables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(3,745)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Lease related liabilities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(5,986)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Gift cards and customer deposits</w:t>
            </w:r>
          </w:p>
        </w:tc>
        <w:tc>
          <w:tcPr>
            <w:tcW w:w="9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32,047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(22,466)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short term investments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Proceeds from sale or maturity of short term investments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 used in investing activities</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0"/>
              </w:rPr>
              <w:t>(25,146)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Proceeds from the exercise of employee stock options, net of withholding tax</w:t>
            </w:r>
          </w:p>
        </w:tc>
        <w:tc>
          <w:tcPr>
            <w:tcW w:w="9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w:t>
            </w:r>
          </w:p>
        </w:tc>
        <w:tc>
          <w:tcPr>
            <w:tcW w:w="9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Purchases of Company's common stock</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(25,909)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(3,364)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Cash flow (used in) provided by financing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0"/>
              </w:rPr>
              <w:t>(26,390)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0"/>
              </w:rPr>
              <w:t>(20,193)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65,389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44,665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45,171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45,196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65,389</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paid during the period for income taxes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1,024</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Build-A-Bear Workshop, Inc. (the Company) is a specialty retailer of plush animals and related products. The Company began operations in October 1997. The Company sells its products through its 329 company-owned stores operated primarily in leased mall locations in the United States, Canada, Puerto Rico, the United Kingdom, Ireland and Denmark along with its e-commerce sites. Operations in foreign countries where the Company does not have company-owned stores are through franchise agreements.</w:t>
      </w:r>
    </w:p>
    <w:p>
      <w:pPr>
        <w:spacing w:after="0" w:line="187"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A reclassification was made in the current year presentation of the consolidated balance sheet as of January 2, 2016. The Company adjusted the classification of the impact of shares repurchased, which had previously been recorded as a deduction to additional paid-in capital, to a deduction which was allocated between additional paid-in capital and retained earnings. As a result of this reclassification, retained earnings were reduced by $2.1 million and additional paid-in capital was increased by the same amount.</w:t>
      </w:r>
    </w:p>
    <w:p>
      <w:pPr>
        <w:spacing w:after="0" w:line="18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Additionally, reclassification of prior year amounts related to the break out of cost of merchandise sold between retail and commercial have been made in the statement of operations to conform to current year presentation with no impact to net income or loss in any period.</w:t>
      </w:r>
    </w:p>
    <w:p>
      <w:pPr>
        <w:spacing w:after="0" w:line="166"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significant accounting policies applied in the preparation of the accompanying consolidated financial statements follows: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Build-A-Bear Workshop, Inc. and its wholly-owned subsidiaries. All significant intercompany accounts are eliminated in consolidation.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The Company operates on a 52- or 53-week fiscal year ending on the Saturday closest to December 31. The periods presented in these financial statements are the fiscal 2015 (52 weeks ended January 2, 2016), fiscal 2014 (53 weeks ended January 3, 2015) and fiscal 2013 (52 weeks ended December 28, 2013). References to years in these financial statements relate to fiscal years or year ends rather than calendar years.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Cash and cash equivalents include cash and short-term highly liquid investments with an original maturity of three months or less held in both domestic and foreign financial institutions.</w:t>
      </w:r>
    </w:p>
    <w:p>
      <w:pPr>
        <w:spacing w:after="0" w:line="170" w:lineRule="exact"/>
        <w:rPr>
          <w:sz w:val="20"/>
          <w:szCs w:val="20"/>
          <w:color w:val="auto"/>
        </w:rPr>
      </w:pPr>
    </w:p>
    <w:p>
      <w:pPr>
        <w:ind w:right="40" w:firstLine="441"/>
        <w:spacing w:after="0" w:line="308" w:lineRule="auto"/>
        <w:rPr>
          <w:sz w:val="20"/>
          <w:szCs w:val="20"/>
          <w:color w:val="auto"/>
        </w:rPr>
      </w:pPr>
      <w:r>
        <w:rPr>
          <w:rFonts w:ascii="Arial" w:cs="Arial" w:eastAsia="Arial" w:hAnsi="Arial"/>
          <w:sz w:val="17"/>
          <w:szCs w:val="17"/>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80" w:firstLine="441"/>
        <w:spacing w:after="0" w:line="342" w:lineRule="auto"/>
        <w:rPr>
          <w:sz w:val="20"/>
          <w:szCs w:val="20"/>
          <w:color w:val="auto"/>
        </w:rPr>
      </w:pPr>
      <w:r>
        <w:rPr>
          <w:rFonts w:ascii="Arial" w:cs="Arial" w:eastAsia="Arial" w:hAnsi="Arial"/>
          <w:sz w:val="16"/>
          <w:szCs w:val="16"/>
          <w:color w:val="auto"/>
        </w:rPr>
        <w:t>Inventories are stated at the lower of cost or market, with cost determined on an average-cost basis. Inventory includes supplies of $2.7 million as of both January 2, 2016 and January 3, 2015. A reserve for estimated shortage is accrued throughout the year based on detailed historical averages.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Receivables consist primarily of amounts due to the Company in relation to tenant allowances, wholesale and corporate product sales, franchisee royalties and product sales, certain amounts due from taxing authorities and licensing revenue. The Company assesses the collectability of all receivables on an ongoing basis by considering its historical credit loss experience, current economic conditions, and other relevant factors. Based on this analysis, the Company has established an allowance for doubtful accounts of $3.0 million and $3.2 million as of January 2, 2016 and January 3, 2015, respectively.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Other intangible assets consist primarily of initial costs related to trademarks and other intellectual property. Trademarks and other intellectual property represent third-party costs that are capitalized and amortized over their estimated lives ranging from one to three years using the straight-line method.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Other assets consist primarily of the non-current portion of prepaid income taxes, deferred leasing fees and deferred costs related to franchise agreements. The prepaid income taxes will amortize through income tax expense over the life of the related asset. Deferred leasing fees are initial, direct costs related to the Company’s operating leases and are amortized over the term of the related leases. Deferred franchise costs are initial costs related to the Company’s franchise agreements that are deferred and amortized over the life of the respective franchise agreement. Amortization expense related to other assets was $0.1 million, $0.2 million and $0.2 million for 2015, 2014 and 2013, respectively.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 Company performs an annual assessment of the store assets in the direct–to-consumer segment, based on operating performance and forecasts of future performance. Impairment charges related to this assessment were immaterial in fiscal 2015, 2014 and 2013. See Note 4 – Property and Equipment for further discussion regarding the impairment of long-lived assets.</w:t>
      </w:r>
    </w:p>
    <w:p>
      <w:pPr>
        <w:spacing w:after="0" w:line="158"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Franchises</w:t>
      </w:r>
    </w:p>
    <w:p>
      <w:pPr>
        <w:spacing w:after="0" w:line="225"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The Company defers initial, one-time nonrefundable franchise fees and amortizes them over the initial term of the respective franchise agreements, which extend for periods up to 25 years. The Company’s obligations under the contract are ongoing and include operations and product development support and training, generally concentrated around new store openings. Continuing franchise fees are recognized as revenue as the fees are earned.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Retail Revenue Recognition</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Net retail sales are net of discounts, exclude sales tax, and are recognized at the time of sale. Shipping and handling costs billed to customers are included in net retail sales.</w:t>
      </w:r>
    </w:p>
    <w:p>
      <w:pPr>
        <w:spacing w:after="0" w:line="170"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Revenues from the sale of gift cards are recognized at the time of redemption. Unredeemed gift cards are included in gift cards and customer deposits on the consolidated balance sheets. For gift cards issued prior to the establishment of Build-A-Bear Card Services LLC in December 2015, the Company escheats a portion of unredeemed gift cards according to the escheatment regulations of the relevant authority that generally require remittance of the cost of merchandise portion of unredeemed gift cards over five years old. The difference between the value of gift cards and the amount escheated is recorded as income in the consolidated statement of operations. Beginning in December 2015, for gift cards issued through Build-A-Bear Card Services, gift card breakage revenue is recorded based on historical redemption patterns and represents the balance of gift cards for which the likelihood of redemption by a customer is considered remote. Breakage recorded in 2015 was $0.5 million.</w:t>
      </w:r>
    </w:p>
    <w:p>
      <w:pPr>
        <w:spacing w:after="0" w:line="17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The Company has a customer loyalty program, the Stuff Fur Stuff club, whereby guests enroll in the program and receive points based on the value of the transaction and receive awards for various discounts on future purchases after achieving defined point thresholds. Historical patterns for points converting into awards and ultimate award redemption are applied to actual points and awards outstanding at the respective balance sheet date to calculate the liability and corresponding adjustment to net retail sales. In 2014, the Company changed the program to eliminate certain discounts and reduced its liability by $0.5 million with a corresponding increase to net retail sales and a $0.4 million increase to net income.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6" w:name="page47"/>
    <w:bookmarkEnd w:id="46"/>
    <w:p>
      <w:pPr>
        <w:ind w:firstLine="441"/>
        <w:spacing w:after="0" w:line="257" w:lineRule="auto"/>
        <w:rPr>
          <w:sz w:val="20"/>
          <w:szCs w:val="20"/>
          <w:color w:val="auto"/>
        </w:rPr>
      </w:pPr>
      <w:r>
        <w:rPr>
          <w:rFonts w:ascii="Arial" w:cs="Arial" w:eastAsia="Arial" w:hAnsi="Arial"/>
          <w:sz w:val="18"/>
          <w:szCs w:val="18"/>
          <w:color w:val="auto"/>
        </w:rPr>
        <w:t>Management reviews these patterns and assesses the adequacy of the deferred revenue liability at the end of each fiscal quarter. Due to the estimates involved in these assessments, adjustments to the historical rates are generally made no more often than annually in order to allow time for more definite trends to emerge. Based on the assessment at the end of 2015, 2014 and 2013, the deferred revenue liability was adjusted downward by $0.1 million, $1.3 million and $0.1 million, respectively, with corresponding increases to net retail sales. Net income was increased by $0.1 million and $1.2 million in 2015 and 2014, respectively, and net loss was decreased by $0.1 million in 2013.</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Merchandise Sold</w:t>
      </w:r>
    </w:p>
    <w:p>
      <w:pPr>
        <w:spacing w:after="0" w:line="225" w:lineRule="exact"/>
        <w:rPr>
          <w:sz w:val="20"/>
          <w:szCs w:val="20"/>
          <w:color w:val="auto"/>
        </w:rPr>
      </w:pPr>
    </w:p>
    <w:p>
      <w:pPr>
        <w:ind w:right="200" w:firstLine="441"/>
        <w:spacing w:after="0" w:line="276" w:lineRule="auto"/>
        <w:rPr>
          <w:sz w:val="20"/>
          <w:szCs w:val="20"/>
          <w:color w:val="auto"/>
        </w:rPr>
      </w:pPr>
      <w:r>
        <w:rPr>
          <w:rFonts w:ascii="Arial" w:cs="Arial" w:eastAsia="Arial" w:hAnsi="Arial"/>
          <w:sz w:val="17"/>
          <w:szCs w:val="17"/>
          <w:color w:val="auto"/>
        </w:rPr>
        <w:t>Cost of merchandise sold - retail includes the cost of the merchandise, including royalties paid to licensors of third party branded merchandise; store occupancy cost, including store depreciation and store asset impairment charges; cost of warehousing and distribution; packaging; stuffing; damages and shortages; and shipping and handling costs incurred in shipment to customers. Cost of merchandise sold - commercial includes the cost of the merchandise, including royalties paid to licensors of third party branded merchandise; cost of warehousing and distribution; packaging; stuffing; damages and shortages; and shipping and handling costs incurred in shipment to customers.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Store Preopening Expenses</w:t>
      </w:r>
    </w:p>
    <w:p>
      <w:pPr>
        <w:spacing w:after="0" w:line="225"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Store preopening expenses consist of costs incurred prior to store openings, remodels and relocations including certain store set-up, labor and hiring costs, rental charges, payroll, marketing, travel and relocation costs. They are expensed as incurred and are included in selling, general and administrative expenses.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$25.3 million, $25.8 million and $23.7 million for fiscal years 2015, 2014 and 2013,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Income taxes are accounted for using a balance sheet approach known as the asset and liability method. The asset and liability method accounts for deferred income taxes by applying the statutory tax rates in effect at the date of the consolidated balance sheets to differences between the book basis and the tax basis of assets and liabilities. Deferred taxes are reported on a jurisdictional basis.</w:t>
      </w:r>
    </w:p>
    <w:p>
      <w:pPr>
        <w:spacing w:after="0" w:line="181"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71" w:lineRule="exact"/>
        <w:rPr>
          <w:sz w:val="20"/>
          <w:szCs w:val="20"/>
          <w:color w:val="auto"/>
        </w:rPr>
      </w:pPr>
    </w:p>
    <w:p>
      <w:pPr>
        <w:ind w:right="560" w:firstLine="441"/>
        <w:spacing w:after="0" w:line="342" w:lineRule="auto"/>
        <w:rPr>
          <w:sz w:val="20"/>
          <w:szCs w:val="20"/>
          <w:color w:val="auto"/>
        </w:rPr>
      </w:pPr>
      <w:r>
        <w:rPr>
          <w:rFonts w:ascii="Arial" w:cs="Arial" w:eastAsia="Arial" w:hAnsi="Arial"/>
          <w:sz w:val="16"/>
          <w:szCs w:val="16"/>
          <w:color w:val="auto"/>
        </w:rPr>
        <w:t>The Company accounts for its total liability for uncertain tax positions according to the provisions of ASC 740-10-25. The Company recognizes estimated interest and penalties related to uncertain tax positions in income tax expense. See Note 7—Income Taxes for further discussion.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(Loss) Per Share</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Under the two-class method, basic income (loss) per share is determined by dividing net income or loss allocated to common stockholders by the weighted average number of common shares outstanding during the period. In periods of net loss, no effect is given to the Company’s participating securities as they do not contractually participate in the losses of the Company. Diluted income or loss per share reflects the potential dilution that could occur if options to issue common stock were exercised. In periods in which the inclusion of such instruments is anti-dilutive, the effect of such securities is not given consideration.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The Company has share-based compensation plans covering the majority of its management groups and its Board of Directors. The Company accounts for share-based payments utilizing the fair value recognition provisions of ASC 718. The Company recognizes compensation cost for equity awards over the requisite service period for the entire award. See Note 11 – Stock Incentive Plans. For fiscal 2015, 2014 and 2013, selling, general and administrative expense includes $2.1 million, $2.1 million and $2.8 million, respectively, of stock-based compensation expense.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income (loss) is comprised of net income (loss) and foreign currency translation adjustments.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225"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The Company maintains a Deferred Compensation Plan for the benefit of certain management employees. The investment funds offered to the participant generally correspond to the funds offered in the Company’s 401(k)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1). As of January 2, 2016, the assets and related liabilities of the Deferred Compensation Plan of $0.6 million are all non-current and are presented in other assets, net and other liabilities in the accompanying consolidated balance sheets. As of January 3, 2015, the current portions of the assets and related liabilities of $0.3 million are presented in prepaid expenses and other current assets and accrued expenses in the accompanying consolidated balance sheets, and the non-current portions of the assets and the related liabilities of $0.5 million are presented in other assets, net and other liabilities in the accompanying consolidated balance sheets.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For purposes of financial reporting, management has determined that the fair value of financial instruments, including cash and cash equivalents, receivables, short term investments, accounts payable and accrued expenses, approximates book value at January 2, 2016 and January 3, 2015.</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w:t>
      </w:r>
    </w:p>
    <w:p>
      <w:pPr>
        <w:spacing w:after="0" w:line="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Significant items subject to such estimates and assumptions include the valuation of long-lived assets, including deferred income tax assets and the determination of deferred revenue under the Company’s customer loyalty program.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Tax Policy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Losses in fiscal 2015 and 2014 were $2.3 million and $1.6 million, respectively. Foreign exchange transactional gains and losses were immaterial in 2013.</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 Accounting Pronouncements – Adopted in the current year</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In November 2015, the Financial Accounting Standards Board (FASB) issued Accounting Standards Update No. 2015-17, Balance Sheet Classification of Deferred Taxes (ASU 2015-17), which requires that all deferred tax assets and liabilities be classified as noncurrent in a classified statement of financial position. The standard is effective for fiscal years beginning after December 15, 2016, including interim periods within that reporting period. Early adoption is permitted for any interim and annual financial statements that have not yet been issued. The Company early adopted ASU 2015-17 effective January 2, 2016, retrospectively. Adoption resulted in a $1.4 million decrease in total current assets, a $2.8 million increase in non-current deferred tax assets and a $1.4 million decrease in non-current other assets, net on the Consolidated Balance Sheet as of January 3, 2015 compared to the prior period presentation. The adoption had no impact on results of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b w:val="1"/>
          <w:bCs w:val="1"/>
          <w:i w:val="1"/>
          <w:iCs w:val="1"/>
          <w:color w:val="auto"/>
        </w:rPr>
        <w:t>Recent Accounting Pronouncements – Pending adoption</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In May 2014, the FASB issued Accounting Standards Update No. 2014-09, Revenue from Contracts with Customers (ASU 2014-09), which will replace most existing revenue recognition guidance in U.S. GAAP. The core principle of the ASU is that an entity should recognize revenue for the transfer of goods or services equal to the amount that it expects to be entitled to receive for those goods or services. ASU 2014-09 requires additional disclosure about the nature, amount, timing and uncertainty of revenue and cash flows arising from customer contracts, including significant judgments and changes in judgments. ASU 2014-09 will be effective for the Company beginning in fiscal 2018, and allows for both retrospective and modified retrospective methods of adoption. Early adoption beginning fiscal 2017 is permitted. The Company is in the process of determining the method and timing of adoption and assessing the impact of ASU 2014-09 on its consolidated financial statements.</w:t>
      </w:r>
    </w:p>
    <w:p>
      <w:pPr>
        <w:spacing w:after="0" w:line="178" w:lineRule="exact"/>
        <w:rPr>
          <w:sz w:val="20"/>
          <w:szCs w:val="20"/>
          <w:color w:val="auto"/>
        </w:rPr>
      </w:pPr>
    </w:p>
    <w:p>
      <w:pPr>
        <w:ind w:right="320" w:firstLine="441"/>
        <w:spacing w:after="0" w:line="302" w:lineRule="auto"/>
        <w:rPr>
          <w:sz w:val="20"/>
          <w:szCs w:val="20"/>
          <w:color w:val="auto"/>
        </w:rPr>
      </w:pPr>
      <w:r>
        <w:rPr>
          <w:rFonts w:ascii="Arial" w:cs="Arial" w:eastAsia="Arial" w:hAnsi="Arial"/>
          <w:sz w:val="16"/>
          <w:szCs w:val="16"/>
          <w:color w:val="auto"/>
        </w:rPr>
        <w:t>In August 2014, the FASB issued disclosure guidance that requires the Company to evaluate, at each annual and interim period, whether substantial doubt exists about its ability to continue as a going concern, and if applicable, to provide related disclosures. The new guidance will be effective for the Company for the year ending December 31, 2016. This guidance is not currently expected to have a material effect on our financial statement disclosures upon adoption, although the ultimate impact will be dependent on our financial condition and expected operating outlook at such time.</w:t>
      </w:r>
    </w:p>
    <w:p>
      <w:pPr>
        <w:spacing w:after="0" w:line="154"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In February 2016, the FASB issued Accounting Standards Update No. 2016-02, Leases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requires the modified retrospective method of adoption. Early adoption is permitted. The Company is in the process of determining the method and timing of adoption and assessing the impact of ASU 2016-02 on its consolidated financial statements.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(3)   Prepaid Expenses and Other Current Assets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1020" w:type="dxa"/>
            <w:vAlign w:val="bottom"/>
            <w:shd w:val="clear" w:color="auto" w:fill="CCEEFF"/>
          </w:tcPr>
          <w:p>
            <w:pPr>
              <w:jc w:val="right"/>
              <w:ind w:right="860"/>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1,458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60"/>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16,312</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15,611</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 net</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80" w:type="dxa"/>
            <w:vAlign w:val="bottom"/>
            <w:gridSpan w:val="2"/>
          </w:tcPr>
          <w:p>
            <w:pPr>
              <w:spacing w:after="0"/>
              <w:rPr>
                <w:sz w:val="20"/>
                <w:szCs w:val="20"/>
                <w:color w:val="auto"/>
              </w:rPr>
            </w:pPr>
            <w:r>
              <w:rPr>
                <w:rFonts w:ascii="Arial" w:cs="Arial" w:eastAsia="Arial" w:hAnsi="Arial"/>
                <w:sz w:val="18"/>
                <w:szCs w:val="18"/>
                <w:color w:val="auto"/>
              </w:rPr>
              <w:t>Property and equipment, net consist of the following (in thousands):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r>
      <w:tr>
        <w:trPr>
          <w:trHeight w:val="210"/>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40,322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39,391</w:t>
            </w: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26,277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22,720</w:t>
            </w: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Building</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14,970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14,970</w:t>
            </w: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113,981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119,894</w:t>
            </w: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Computer software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46,745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43,540</w:t>
            </w: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w:t>
            </w: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251,427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247,810</w:t>
            </w: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183,686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185,044</w:t>
            </w:r>
          </w:p>
        </w:tc>
      </w:tr>
      <w:tr>
        <w:trPr>
          <w:trHeight w:val="20"/>
        </w:trPr>
        <w:tc>
          <w:tcPr>
            <w:tcW w:w="8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Pr>
          <w:p>
            <w:pPr>
              <w:ind w:left="500"/>
              <w:spacing w:after="0"/>
              <w:rPr>
                <w:sz w:val="20"/>
                <w:szCs w:val="20"/>
                <w:color w:val="auto"/>
              </w:rPr>
            </w:pPr>
            <w:r>
              <w:rPr>
                <w:rFonts w:ascii="Arial" w:cs="Arial" w:eastAsia="Arial" w:hAnsi="Arial"/>
                <w:sz w:val="18"/>
                <w:szCs w:val="18"/>
                <w:color w:val="auto"/>
              </w:rPr>
              <w:t>Total, net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67,741</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62,766</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2015, 2014 and 2013, depreciation expense was $15.8 million, $17.6 million and $18.6 million, respectively.</w:t>
      </w:r>
    </w:p>
    <w:p>
      <w:pPr>
        <w:spacing w:after="0" w:line="225"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In 2012, the Company made the decision to close a number of stores. The Company considers a more likely than not assessment that an individual location will close as a triggering event to review the store asset group for recoverability. As a result of these reviews,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net present value of estimated future cash flows for each asset group, and asset impairment charges of $0.3 million, $0.4 million and $1.0 million were recorded in 2015, 2014 and 2013, respectively, which are included in selling, general and administrative expenses as a component of income (loss) before income taxes in the direct-to-consumer (DTC) segment. Any remaining net book value is depreciated over the shortened expected life. The inputs used to determine the fair value of the assets are Level 3 fair value inputs as defined by ASC 820-10.</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(5)   Other Intangible Assets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color w:val="auto"/>
              </w:rPr>
              <w:t>Other intangible assets consist of the following (in thousands):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other intellectual property</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14,429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12,517</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12,691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12,213</w:t>
            </w:r>
          </w:p>
        </w:tc>
      </w:tr>
      <w:tr>
        <w:trPr>
          <w:trHeight w:val="250"/>
        </w:trPr>
        <w:tc>
          <w:tcPr>
            <w:tcW w:w="58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net</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400" w:firstLine="441"/>
        <w:spacing w:after="0" w:line="286" w:lineRule="auto"/>
        <w:rPr>
          <w:sz w:val="20"/>
          <w:szCs w:val="20"/>
          <w:color w:val="auto"/>
        </w:rPr>
      </w:pPr>
      <w:r>
        <w:rPr>
          <w:rFonts w:ascii="Arial" w:cs="Arial" w:eastAsia="Arial" w:hAnsi="Arial"/>
          <w:sz w:val="17"/>
          <w:szCs w:val="17"/>
          <w:color w:val="auto"/>
        </w:rPr>
        <w:t>Trademarks and intellectual property are amortized over three years. Amortization expense related to trademarks and intellectual property was $0.5 million, $0.3 million and $0.4 million in 2015, 2014 and 2013, respectively. Estimated amortization expense related to other intangible assets in the subsequent five year period is: 2016 - $0.7 million; 2017 - $0.6 million; 2018 - $0.4 million; 2019 - $-0-; and 2020 - $-0-.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(6)</w:t>
            </w:r>
          </w:p>
        </w:tc>
        <w:tc>
          <w:tcPr>
            <w:tcW w:w="4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Accrued Expenses</w:t>
            </w: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ind w:right="835"/>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11,858</w:t>
            </w: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Sales tax payable</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6,374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7,694</w:t>
            </w: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w:t>
            </w: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1,141</w:t>
            </w:r>
          </w:p>
        </w:tc>
        <w:tc>
          <w:tcPr>
            <w:tcW w:w="620" w:type="dxa"/>
            <w:vAlign w:val="bottom"/>
          </w:tcPr>
          <w:p>
            <w:pPr>
              <w:spacing w:after="0"/>
              <w:rPr>
                <w:sz w:val="18"/>
                <w:szCs w:val="18"/>
                <w:color w:val="auto"/>
              </w:rPr>
            </w:pPr>
          </w:p>
        </w:tc>
      </w:tr>
      <w:tr>
        <w:trPr>
          <w:trHeight w:val="250"/>
        </w:trPr>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19,286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413"/>
        </w:trPr>
        <w:tc>
          <w:tcPr>
            <w:tcW w:w="320" w:type="dxa"/>
            <w:vAlign w:val="bottom"/>
          </w:tcPr>
          <w:p>
            <w:pPr>
              <w:spacing w:after="0"/>
              <w:rPr>
                <w:sz w:val="20"/>
                <w:szCs w:val="20"/>
                <w:color w:val="auto"/>
              </w:rPr>
            </w:pPr>
            <w:r>
              <w:rPr>
                <w:rFonts w:ascii="Arial" w:cs="Arial" w:eastAsia="Arial" w:hAnsi="Arial"/>
                <w:sz w:val="18"/>
                <w:szCs w:val="18"/>
                <w:b w:val="1"/>
                <w:bCs w:val="1"/>
                <w:color w:val="auto"/>
              </w:rPr>
              <w:t>(7)</w:t>
            </w:r>
          </w:p>
        </w:tc>
        <w:tc>
          <w:tcPr>
            <w:tcW w:w="4580" w:type="dxa"/>
            <w:vAlign w:val="bottom"/>
            <w:gridSpan w:val="2"/>
          </w:tcPr>
          <w:p>
            <w:pPr>
              <w:ind w:left="120"/>
              <w:spacing w:after="0"/>
              <w:rPr>
                <w:sz w:val="20"/>
                <w:szCs w:val="20"/>
                <w:color w:val="auto"/>
              </w:rPr>
            </w:pPr>
            <w:r>
              <w:rPr>
                <w:rFonts w:ascii="Arial" w:cs="Arial" w:eastAsia="Arial" w:hAnsi="Arial"/>
                <w:sz w:val="18"/>
                <w:szCs w:val="18"/>
                <w:b w:val="1"/>
                <w:bCs w:val="1"/>
                <w:color w:val="auto"/>
              </w:rPr>
              <w:t>Income Taxes</w:t>
            </w: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6740" w:type="dxa"/>
            <w:vAlign w:val="bottom"/>
            <w:gridSpan w:val="5"/>
          </w:tcPr>
          <w:p>
            <w:pPr>
              <w:spacing w:after="0"/>
              <w:rPr>
                <w:sz w:val="20"/>
                <w:szCs w:val="20"/>
                <w:color w:val="auto"/>
              </w:rPr>
            </w:pPr>
            <w:r>
              <w:rPr>
                <w:rFonts w:ascii="Arial" w:cs="Arial" w:eastAsia="Arial" w:hAnsi="Arial"/>
                <w:sz w:val="18"/>
                <w:szCs w:val="18"/>
                <w:color w:val="auto"/>
              </w:rPr>
              <w:t>The components of the provision for income taxes are as follows (in thousands):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Federal</w:t>
            </w:r>
          </w:p>
        </w:tc>
        <w:tc>
          <w:tcPr>
            <w:tcW w:w="184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Foreign</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1,189</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3,293</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Federal</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(9,697)</w:t>
            </w:r>
          </w:p>
        </w:tc>
        <w:tc>
          <w:tcPr>
            <w:tcW w:w="1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(1,308)</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Foreign</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(1,961)</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 expense (benefit)</w:t>
            </w:r>
          </w:p>
        </w:tc>
        <w:tc>
          <w:tcPr>
            <w:tcW w:w="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(9,447)</w:t>
            </w:r>
          </w:p>
        </w:tc>
        <w:tc>
          <w:tcPr>
            <w:tcW w:w="200" w:type="dxa"/>
            <w:vAlign w:val="bottom"/>
            <w:tcBorders>
              <w:right w:val="single" w:sz="8" w:color="CCEEFF"/>
            </w:tcBorders>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656"/>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40" w:type="dxa"/>
            <w:vAlign w:val="bottom"/>
            <w:gridSpan w:val="2"/>
          </w:tcPr>
          <w:p>
            <w:pPr>
              <w:jc w:val="right"/>
              <w:ind w:right="85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3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color w:val="auto"/>
        </w:rPr>
        <w:t>A reconciliation between the statutory federal income tax rate and the effective income tax rate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17,898</w:t>
            </w: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16,024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Statutory federal income tax rate</w:t>
            </w:r>
          </w:p>
        </w:tc>
        <w:tc>
          <w:tcPr>
            <w:tcW w:w="3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w:t>
            </w: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expense (benefit) at statutory federal rate</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6,085</w:t>
            </w: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310</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(15,572)</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Effect of lower foreign taxes</w:t>
            </w:r>
          </w:p>
        </w:tc>
        <w:tc>
          <w:tcPr>
            <w:tcW w:w="3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(622)</w:t>
            </w: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unrecognized tax positions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3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items,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(9,447)</w:t>
            </w:r>
          </w:p>
        </w:tc>
        <w:tc>
          <w:tcPr>
            <w:tcW w:w="3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(52.8)%</w:t>
            </w: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20" w:firstLine="486"/>
        <w:spacing w:after="0" w:line="244" w:lineRule="auto"/>
        <w:rPr>
          <w:sz w:val="20"/>
          <w:szCs w:val="20"/>
          <w:color w:val="auto"/>
        </w:rPr>
      </w:pPr>
      <w:r>
        <w:rPr>
          <w:rFonts w:ascii="Arial" w:cs="Arial" w:eastAsia="Arial" w:hAnsi="Arial"/>
          <w:sz w:val="21"/>
          <w:szCs w:val="21"/>
          <w:color w:val="auto"/>
        </w:rPr>
        <w:t xml:space="preserve">In 2011, the Company established a full valuation allowance on its deferred taxes in the U.S. due to significant losses and uncertainty about future earnings forecast. As of January 2, 2016, the Company recorded an income tax benefit of $9.4 million primarily due to the reduction in the valuation allowances in the U.S. The valuation allowance in the U.S. was reduced because the weight of evidence regarding the future realizability of the deferred tax assets had become predominately positive and realization of the deferred tax assets was more likely than not. The positive evidence considered in our assessment of the realizability of the deferred tax assets included the generation of significant positive cumulative income in the U.S. for the three-year period ending with fiscal 2015, the implementation of tax planning strategies, and projections of future taxable income. Based on its earnings performance trend, expected continued profitability and improvements in the Company’s financial condition; management determined it was more likely than not that all of our U.S. deferred tax assets would be realized. The negative evidence considered included historical losses in certain prior years; however, the positive evidence outweighed this negative evidence. </w:t>
      </w:r>
      <w:r>
        <w:rPr>
          <w:rFonts w:ascii="Arial" w:cs="Arial" w:eastAsia="Arial" w:hAnsi="Arial"/>
          <w:sz w:val="17"/>
          <w:szCs w:val="17"/>
          <w:color w:val="auto"/>
        </w:rPr>
        <w:t>In fiscal 2014, the</w:t>
      </w:r>
      <w:r>
        <w:rPr>
          <w:rFonts w:ascii="Arial" w:cs="Arial" w:eastAsia="Arial" w:hAnsi="Arial"/>
          <w:sz w:val="21"/>
          <w:szCs w:val="21"/>
          <w:color w:val="auto"/>
        </w:rPr>
        <w:t xml:space="preserve"> </w:t>
      </w:r>
      <w:r>
        <w:rPr>
          <w:rFonts w:ascii="Arial" w:cs="Arial" w:eastAsia="Arial" w:hAnsi="Arial"/>
          <w:sz w:val="17"/>
          <w:szCs w:val="17"/>
          <w:color w:val="auto"/>
        </w:rPr>
        <w:t>Company released approximately $4.4 million of U.S. related valuation allowance, consistent with the level of income generated. Additionally, in fiscal 2014, the Company recorded an income tax benefit of $1.1 million due to the release of the valuation allowances in foreign jurisdictions, primarily the UK and Canada.</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Temporary differences that gave rise to deferred tax assets and liabilities are as follows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5,129</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4,833</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rents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Deferred compensation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Carryforward of tax credits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4,250</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 write-offs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w:t>
            </w:r>
          </w:p>
        </w:tc>
      </w:tr>
      <w:tr>
        <w:trPr>
          <w:trHeight w:val="20"/>
        </w:trPr>
        <w:tc>
          <w:tcPr>
            <w:tcW w:w="68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17,262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22,375</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Valuation allowance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15,572</w:t>
            </w:r>
          </w:p>
        </w:tc>
      </w:tr>
      <w:tr>
        <w:trPr>
          <w:trHeight w:val="20"/>
        </w:trPr>
        <w:tc>
          <w:tcPr>
            <w:tcW w:w="68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ind w:left="64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17,262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6,803</w:t>
            </w:r>
          </w:p>
        </w:tc>
      </w:tr>
      <w:tr>
        <w:trPr>
          <w:trHeight w:val="210"/>
        </w:trPr>
        <w:tc>
          <w:tcPr>
            <w:tcW w:w="68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(3,494)</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(2,904)</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(2,975)</w:t>
            </w:r>
          </w:p>
        </w:tc>
      </w:tr>
      <w:tr>
        <w:trPr>
          <w:trHeight w:val="210"/>
        </w:trPr>
        <w:tc>
          <w:tcPr>
            <w:tcW w:w="68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(6,398)</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880" w:type="dxa"/>
            <w:vAlign w:val="bottom"/>
          </w:tcPr>
          <w:p>
            <w:pPr>
              <w:ind w:left="640"/>
              <w:spacing w:after="0"/>
              <w:rPr>
                <w:sz w:val="20"/>
                <w:szCs w:val="20"/>
                <w:color w:val="auto"/>
              </w:rPr>
            </w:pPr>
            <w:r>
              <w:rPr>
                <w:rFonts w:ascii="Arial" w:cs="Arial" w:eastAsia="Arial" w:hAnsi="Arial"/>
                <w:sz w:val="18"/>
                <w:szCs w:val="18"/>
                <w:color w:val="auto"/>
              </w:rPr>
              <w:t>Net deferred tax asset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10,864</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r>
      <w:tr>
        <w:trPr>
          <w:trHeight w:val="20"/>
        </w:trPr>
        <w:tc>
          <w:tcPr>
            <w:tcW w:w="6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Income taxes and remittance taxes have not been recorded on approximately $14.0 million of undistributed earnings of foreign operations of the Company, because the Company intends to reinvest those earnings indefinitely. It is not practicable to estimate the income tax liability that might be incurred if such earnings were remitted to the U.S.</w:t>
      </w:r>
    </w:p>
    <w:p>
      <w:pPr>
        <w:spacing w:after="0" w:line="18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As of January 2, 2016, the Company had total unrecognized tax benefits of $1.1 million compared to $1.0 million as of January 3, 2015. The Company reviews its uncertain tax positions periodically and accrues interest and penalties accordingly. Included in the unrecognized tax benefits are interest and penalties of $0.4 million and $0.3 million for 2015 and 2014,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1" w:name="page52"/>
    <w:bookmarkEnd w:id="51"/>
    <w:tbl>
      <w:tblPr>
        <w:tblLayout w:type="fixed"/>
        <w:tblInd w:w="50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w w:val="92"/>
              </w:rPr>
              <w:t>A reconciliation of the beginning and ending amount of unrecognized tax benefits is as follows (in thousands):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2013</w:t>
            </w:r>
          </w:p>
        </w:tc>
        <w:tc>
          <w:tcPr>
            <w:tcW w:w="78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Addition to reserve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Audit settlement release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3, 2015</w:t>
            </w: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b w:val="1"/>
                <w:bCs w:val="1"/>
                <w:color w:val="auto"/>
              </w:rPr>
              <w:t>Addition to reserve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Audit settlement release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b w:val="1"/>
                <w:bCs w:val="1"/>
                <w:color w:val="auto"/>
              </w:rPr>
              <w:t>Lapse of statute</w:t>
            </w: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2, 2016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As of January 2, 2016, approximately $0.7 million of the unrecognized tax benefits would impact the Company’s provision for income taxes and effective tax rate if recognized. Management does not anticipate that the total amount of unrecognized tax benefits will increase or decrease significantly in the next twelve months.</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Company’s income before income taxes from domestic and foreign operations (which include the United Kingdom, Canada, Ireland and Denmark), are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13,854</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12,973</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Foreign</w:t>
            </w:r>
          </w:p>
        </w:tc>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4,044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(984)</w:t>
            </w:r>
          </w:p>
        </w:tc>
      </w:tr>
      <w:tr>
        <w:trPr>
          <w:trHeight w:val="250"/>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17,898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16,024</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611" w:right="239" w:bottom="1440" w:gutter="0" w:footer="0" w:header="0"/>
        </w:sect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tax years remain open in the Company’s major taxing jurisdictions as of January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304165</wp:posOffset>
            </wp:positionV>
            <wp:extent cx="579755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United States (Federal)</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83185</wp:posOffset>
            </wp:positionV>
            <wp:extent cx="579755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Canada</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Ireland</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1"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1220"/>
        <w:spacing w:after="0"/>
        <w:rPr>
          <w:sz w:val="20"/>
          <w:szCs w:val="20"/>
          <w:color w:val="auto"/>
        </w:rPr>
      </w:pPr>
      <w:r>
        <w:rPr>
          <w:rFonts w:ascii="Arial" w:cs="Arial" w:eastAsia="Arial" w:hAnsi="Arial"/>
          <w:sz w:val="16"/>
          <w:szCs w:val="16"/>
          <w:color w:val="auto"/>
        </w:rPr>
        <w:t>2012 through</w:t>
      </w:r>
    </w:p>
    <w:p>
      <w:pPr>
        <w:spacing w:after="0" w:line="46"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jc w:val="right"/>
        <w:ind w:right="1220"/>
        <w:spacing w:after="0"/>
        <w:rPr>
          <w:sz w:val="20"/>
          <w:szCs w:val="20"/>
          <w:color w:val="auto"/>
        </w:rPr>
      </w:pPr>
      <w:r>
        <w:rPr>
          <w:rFonts w:ascii="Arial" w:cs="Arial" w:eastAsia="Arial" w:hAnsi="Arial"/>
          <w:sz w:val="16"/>
          <w:szCs w:val="16"/>
          <w:color w:val="auto"/>
        </w:rPr>
        <w:t>2009 through</w:t>
      </w:r>
    </w:p>
    <w:p>
      <w:pPr>
        <w:spacing w:after="0" w:line="32"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jc w:val="right"/>
        <w:ind w:right="1220"/>
        <w:spacing w:after="0"/>
        <w:rPr>
          <w:sz w:val="20"/>
          <w:szCs w:val="20"/>
          <w:color w:val="auto"/>
        </w:rPr>
      </w:pPr>
      <w:r>
        <w:rPr>
          <w:rFonts w:ascii="Arial" w:cs="Arial" w:eastAsia="Arial" w:hAnsi="Arial"/>
          <w:sz w:val="16"/>
          <w:szCs w:val="16"/>
          <w:color w:val="auto"/>
        </w:rPr>
        <w:t>2012 through</w:t>
      </w:r>
    </w:p>
    <w:p>
      <w:pPr>
        <w:spacing w:after="0" w:line="32"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jc w:val="right"/>
        <w:ind w:right="1220"/>
        <w:spacing w:after="0"/>
        <w:rPr>
          <w:sz w:val="20"/>
          <w:szCs w:val="20"/>
          <w:color w:val="auto"/>
        </w:rPr>
      </w:pPr>
      <w:r>
        <w:rPr>
          <w:rFonts w:ascii="Arial" w:cs="Arial" w:eastAsia="Arial" w:hAnsi="Arial"/>
          <w:sz w:val="16"/>
          <w:szCs w:val="16"/>
          <w:color w:val="auto"/>
        </w:rPr>
        <w:t>2007 through</w:t>
      </w:r>
    </w:p>
    <w:p>
      <w:pPr>
        <w:spacing w:after="0" w:line="32"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2015</w:t>
      </w:r>
    </w:p>
    <w:p>
      <w:pPr>
        <w:spacing w:after="0" w:line="613" w:lineRule="exact"/>
        <w:rPr>
          <w:sz w:val="20"/>
          <w:szCs w:val="20"/>
          <w:color w:val="auto"/>
        </w:rPr>
      </w:pPr>
    </w:p>
    <w:p>
      <w:pPr>
        <w:sectPr>
          <w:pgSz w:w="11900" w:h="16838" w:orient="portrait"/>
          <w:cols w:equalWidth="0" w:num="2">
            <w:col w:w="8520" w:space="720"/>
            <w:col w:w="2180"/>
          </w:cols>
          <w:pgMar w:left="240" w:top="611" w:right="239" w:bottom="1440" w:gutter="0" w:footer="0" w:header="0"/>
          <w:type w:val="continuous"/>
        </w:sectPr>
      </w:pPr>
    </w:p>
    <w:p>
      <w:pPr>
        <w:spacing w:after="0" w:line="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January 2, 2016, the Company has a bank line of credit that provides borrowing capacity of $35 million. Borrowings under the credit agreement are secured by our assets and a pledge of 65% of the Company’s ownership interest in foreign subsidiaries. The credit agreement expires on December 31, 2016 and contains various restrictions on indebtedness, liens, guarantees, redemptions, mergers, acquisitions or sale of assets, loans, transactions with affiliates, and investments. It prohibits the Company from declaring dividends without the bank’s prior consent, unless such payment of dividends would not violate any terms of the credit agreement. The Company is also prohibited from repurchasing shares of its common stock unless such purchase would not violate any terms of the credit agreement; the Company may not use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January 2, 2016: (i) the Company was in compliance with these covenants; (ii) there were no borrowings under the line of credit; and (iii) there was approximately $35.0 million available for borrowing under the line of credit.</w:t>
      </w:r>
    </w:p>
    <w:p>
      <w:pPr>
        <w:spacing w:after="0" w:line="174"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880" w:hanging="426"/>
        <w:spacing w:after="0"/>
        <w:tabs>
          <w:tab w:leader="none" w:pos="880" w:val="left"/>
        </w:tabs>
        <w:numPr>
          <w:ilvl w:val="1"/>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80" w:firstLine="441"/>
        <w:spacing w:after="0" w:line="312" w:lineRule="auto"/>
        <w:rPr>
          <w:sz w:val="20"/>
          <w:szCs w:val="20"/>
          <w:color w:val="auto"/>
        </w:rPr>
      </w:pPr>
      <w:r>
        <w:rPr>
          <w:rFonts w:ascii="Arial" w:cs="Arial" w:eastAsia="Arial" w:hAnsi="Arial"/>
          <w:sz w:val="16"/>
          <w:szCs w:val="16"/>
          <w:color w:val="auto"/>
        </w:rPr>
        <w:t>The Company leases its retail stores and corporate offices under agreements which expire at various dates through 2030. The majority of leases contain provisions for base rent plus contingent payments based on defined sales as well as scheduled escalations. Total office and retail store base rent expense was $45.3 million, $46.7 million and $46.5 million, and contingent rents were $1.2 million, $1.8 million and $1.3 million for 2015, 2014 and 2013,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52" w:name="page53"/>
    <w:bookmarkEnd w:id="52"/>
    <w:tbl>
      <w:tblPr>
        <w:tblLayout w:type="fixed"/>
        <w:tblInd w:w="44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Future minimum lease payments at January 2, 2016, were as follows (in thousands):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2017</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2019</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Subsequent to 2020</w:t>
            </w:r>
          </w:p>
        </w:tc>
        <w:tc>
          <w:tcPr>
            <w:tcW w:w="10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202,088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0" w:hanging="426"/>
        <w:spacing w:after="0"/>
        <w:tabs>
          <w:tab w:leader="none" w:pos="8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In the normal course of business, the Company is subject to certain claims or lawsuits. Except as noted below, management is not aware of any claims or lawsuits that may have a material adverse effect on the consolidated financial position or results of operations of the Company.</w:t>
      </w:r>
    </w:p>
    <w:p>
      <w:pPr>
        <w:spacing w:after="0" w:line="14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 periods. If one or more of these examinations has an unfavorable resolution, it is possible that the results of operations, liquidity or financial position of the Company could be materially affected in any particular period. The Company accrues a liability for this type of contingency when it believes that it is both probable that a liability has been incurred and that it can reasonably estimate the amount of the loss. Assessments made by the United Kingdom customs authority in 2012 have been appealed by the Company, which has paid $3.8 million in disputed duty, strictly under protest, pending the outcome of the continuing dispute, and this is included in receivables in the DTC segment. The United Kingdom customs authority is contesting the Company's appeal. In the 2015 fourth quarter, the Company further evaluated its position and, based on the latest facts available in the dispute, recorded its best estimate of probable loss as a provision against the related receivable.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Share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tcPr>
          <w:p>
            <w:pPr>
              <w:ind w:left="160"/>
              <w:spacing w:after="0" w:line="201" w:lineRule="exact"/>
              <w:rPr>
                <w:sz w:val="20"/>
                <w:szCs w:val="20"/>
                <w:color w:val="auto"/>
              </w:rPr>
            </w:pPr>
            <w:r>
              <w:rPr>
                <w:rFonts w:ascii="Arial" w:cs="Arial" w:eastAsia="Arial" w:hAnsi="Arial"/>
                <w:sz w:val="18"/>
                <w:szCs w:val="18"/>
                <w:color w:val="auto"/>
              </w:rPr>
              <w:t>Net income (loss) before allocation of earnings to participating</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27,345</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34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14,362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26,825</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13,923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Weighted average number of common shares outstanding - basic</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16,642,269</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16,908,001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16,465,138</w:t>
            </w:r>
          </w:p>
        </w:tc>
        <w:tc>
          <w:tcPr>
            <w:tcW w:w="0" w:type="dxa"/>
            <w:vAlign w:val="bottom"/>
          </w:tcPr>
          <w:p>
            <w:pPr>
              <w:spacing w:after="0"/>
              <w:rPr>
                <w:sz w:val="1"/>
                <w:szCs w:val="1"/>
                <w:color w:val="auto"/>
              </w:rPr>
            </w:pPr>
          </w:p>
        </w:tc>
      </w:tr>
      <w:tr>
        <w:trPr>
          <w:trHeight w:val="216"/>
        </w:trPr>
        <w:tc>
          <w:tcPr>
            <w:tcW w:w="514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225,087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225,810</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Weighted average number of common shares outstanding - dilutive</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16,867,356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17,133,811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16,465,138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140" w:type="dxa"/>
            <w:vAlign w:val="bottom"/>
          </w:tcPr>
          <w:p>
            <w:pPr>
              <w:spacing w:after="0" w:line="182" w:lineRule="exact"/>
              <w:rPr>
                <w:sz w:val="20"/>
                <w:szCs w:val="20"/>
                <w:color w:val="auto"/>
              </w:rPr>
            </w:pPr>
            <w:r>
              <w:rPr>
                <w:rFonts w:ascii="Arial" w:cs="Arial" w:eastAsia="Arial" w:hAnsi="Arial"/>
                <w:sz w:val="18"/>
                <w:szCs w:val="18"/>
                <w:color w:val="auto"/>
                <w:w w:val="96"/>
              </w:rPr>
              <w:t>Basic income (loss) per common share attributable to Build-A-Bear</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1.61</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0.82</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90"/>
        </w:trPr>
        <w:tc>
          <w:tcPr>
            <w:tcW w:w="5140" w:type="dxa"/>
            <w:vAlign w:val="bottom"/>
          </w:tcPr>
          <w:p>
            <w:pPr>
              <w:spacing w:after="0" w:line="190" w:lineRule="exact"/>
              <w:rPr>
                <w:sz w:val="20"/>
                <w:szCs w:val="20"/>
                <w:color w:val="auto"/>
              </w:rPr>
            </w:pPr>
            <w:r>
              <w:rPr>
                <w:rFonts w:ascii="Arial" w:cs="Arial" w:eastAsia="Arial" w:hAnsi="Arial"/>
                <w:sz w:val="18"/>
                <w:szCs w:val="18"/>
                <w:color w:val="auto"/>
              </w:rPr>
              <w:t>Workshop, Inc. stockholders</w:t>
            </w:r>
          </w:p>
        </w:tc>
        <w:tc>
          <w:tcPr>
            <w:tcW w:w="34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Diluted income (loss) per common share attributable to Build-A-Bear</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vMerge w:val="restart"/>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0.81</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Workshop, Inc. stockholders</w:t>
            </w:r>
          </w:p>
        </w:tc>
        <w:tc>
          <w:tcPr>
            <w:tcW w:w="3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In calculating diluted earnings per share for fiscal 2015, 2014 and 2013, options to purchase 65,040; 44,144; and 1,065,012 respectively, shares of common stock were outstanding at the end of the period, but were not included in the computation of diluted earnings per share due to their anti-dilutive effect under provisions of ASC 260-10.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53" w:name="page54"/>
    <w:bookmarkEnd w:id="53"/>
    <w:p>
      <w:pPr>
        <w:ind w:right="260" w:firstLine="441"/>
        <w:spacing w:after="0" w:line="277" w:lineRule="auto"/>
        <w:rPr>
          <w:sz w:val="20"/>
          <w:szCs w:val="20"/>
          <w:color w:val="auto"/>
        </w:rPr>
      </w:pPr>
      <w:r>
        <w:rPr>
          <w:rFonts w:ascii="Arial" w:cs="Arial" w:eastAsia="Arial" w:hAnsi="Arial"/>
          <w:sz w:val="18"/>
          <w:szCs w:val="18"/>
          <w:color w:val="auto"/>
        </w:rPr>
        <w:t>Due to the net loss in fiscal 2013, the denominator for diluted loss per common share is the same as the denominator for basic loss per common share for those periods because the inclusion of stock options would have been anti-dilutive.</w:t>
      </w:r>
    </w:p>
    <w:p>
      <w:pPr>
        <w:spacing w:after="0" w:line="16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Stock Incentive Plans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2003, the Company adopted the Build-A-Bear Workshop, Inc. 2002 Stock Incentive Plan (the 2002 Plan). In 2004, the Company adopted the Build-A-Bear Workshop, Inc. 2004 Stock Incentive Plan (the 2004 Plan) which the Company amended and restated in 2009 and 2014 (collectively, the Plans).</w:t>
      </w:r>
    </w:p>
    <w:p>
      <w:pPr>
        <w:spacing w:after="0" w:line="124"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Under the Plans, as amended, up to 1,475,000 shares of common stock, in addition to shares of stock subject to awards outstanding under the 2002 Plan and the 2004 Plan that may lapse, terminate, be forfeited or otherwise expire were reserved and may be granted to employees and nonemployees of the Company. The Plans allow for the grant of awards including incentive stock options, nonqualified stock options, stock appreciation rights, restricted stock and other stock-based and cash-based awards. Options granted under the Plans expire no later than 10 years from the date of the grant. The exercise price of all options, including each incentive stock option, shall not be less than 100% of the fair value of the stock subject to the option on the date the option is granted. The vesting provision of individual awards is at the discretion of the Compensation and Development Committee of the Company’s Board of Directors and generally ranges from one to four years.</w:t>
      </w:r>
    </w:p>
    <w:p>
      <w:pPr>
        <w:spacing w:after="0" w:line="178" w:lineRule="exact"/>
        <w:rPr>
          <w:sz w:val="20"/>
          <w:szCs w:val="20"/>
          <w:color w:val="auto"/>
        </w:rPr>
      </w:pPr>
    </w:p>
    <w:p>
      <w:pPr>
        <w:ind w:left="880" w:hanging="426"/>
        <w:spacing w:after="0"/>
        <w:tabs>
          <w:tab w:leader="none" w:pos="88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34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Exercise Price</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Contractual Term</w:t>
            </w: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29, 2012</w:t>
            </w:r>
          </w:p>
        </w:tc>
        <w:tc>
          <w:tcPr>
            <w:tcW w:w="1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1,155,239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195,512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6.56</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color w:val="auto"/>
              </w:rPr>
              <w:t>39,931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5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Outstanding, December 28, 2013</w:t>
            </w:r>
          </w:p>
        </w:tc>
        <w:tc>
          <w:tcPr>
            <w:tcW w:w="1520" w:type="dxa"/>
            <w:vAlign w:val="bottom"/>
          </w:tcPr>
          <w:p>
            <w:pPr>
              <w:jc w:val="right"/>
              <w:spacing w:after="0"/>
              <w:rPr>
                <w:sz w:val="20"/>
                <w:szCs w:val="20"/>
                <w:color w:val="auto"/>
              </w:rPr>
            </w:pPr>
            <w:r>
              <w:rPr>
                <w:rFonts w:ascii="Arial" w:cs="Arial" w:eastAsia="Arial" w:hAnsi="Arial"/>
                <w:sz w:val="18"/>
                <w:szCs w:val="18"/>
                <w:color w:val="auto"/>
              </w:rPr>
              <w:t>1,065,012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Exercised</w:t>
            </w:r>
          </w:p>
        </w:tc>
        <w:tc>
          <w:tcPr>
            <w:tcW w:w="1520" w:type="dxa"/>
            <w:vAlign w:val="bottom"/>
          </w:tcPr>
          <w:p>
            <w:pPr>
              <w:jc w:val="right"/>
              <w:spacing w:after="0"/>
              <w:rPr>
                <w:sz w:val="20"/>
                <w:szCs w:val="20"/>
                <w:color w:val="auto"/>
              </w:rPr>
            </w:pPr>
            <w:r>
              <w:rPr>
                <w:rFonts w:ascii="Arial" w:cs="Arial" w:eastAsia="Arial" w:hAnsi="Arial"/>
                <w:sz w:val="18"/>
                <w:szCs w:val="18"/>
                <w:color w:val="auto"/>
              </w:rPr>
              <w:t>351,856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6.64</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Canceled or expired</w:t>
            </w:r>
          </w:p>
        </w:tc>
        <w:tc>
          <w:tcPr>
            <w:tcW w:w="1520" w:type="dxa"/>
            <w:vAlign w:val="bottom"/>
          </w:tcPr>
          <w:p>
            <w:pPr>
              <w:jc w:val="right"/>
              <w:spacing w:after="0"/>
              <w:rPr>
                <w:sz w:val="20"/>
                <w:szCs w:val="20"/>
                <w:color w:val="auto"/>
              </w:rPr>
            </w:pPr>
            <w:r>
              <w:rPr>
                <w:rFonts w:ascii="Arial" w:cs="Arial" w:eastAsia="Arial" w:hAnsi="Arial"/>
                <w:sz w:val="18"/>
                <w:szCs w:val="18"/>
                <w:color w:val="auto"/>
              </w:rPr>
              <w:t>6,750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 2015</w:t>
            </w:r>
          </w:p>
        </w:tc>
        <w:tc>
          <w:tcPr>
            <w:tcW w:w="1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714,451</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71,517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20.58</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6.07</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19,003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12.15</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32.95</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5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Outstanding, January 2, 2016</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574,851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8.30</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2,826</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5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Options Exercisable As Of:</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56"/>
        </w:trPr>
        <w:tc>
          <w:tcPr>
            <w:tcW w:w="300" w:type="dxa"/>
            <w:vAlign w:val="bottom"/>
          </w:tcPr>
          <w:p>
            <w:pPr>
              <w:spacing w:after="0"/>
              <w:rPr>
                <w:sz w:val="22"/>
                <w:szCs w:val="22"/>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January 2, 2016</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365,596</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6.36</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2,151</w:t>
            </w:r>
          </w:p>
        </w:tc>
        <w:tc>
          <w:tcPr>
            <w:tcW w:w="340" w:type="dxa"/>
            <w:vAlign w:val="bottom"/>
          </w:tcPr>
          <w:p>
            <w:pPr>
              <w:spacing w:after="0"/>
              <w:rPr>
                <w:sz w:val="22"/>
                <w:szCs w:val="22"/>
                <w:color w:val="auto"/>
              </w:rPr>
            </w:pPr>
          </w:p>
        </w:tc>
      </w:tr>
      <w:tr>
        <w:trPr>
          <w:trHeight w:val="656"/>
        </w:trPr>
        <w:tc>
          <w:tcPr>
            <w:tcW w:w="300" w:type="dxa"/>
            <w:vAlign w:val="bottom"/>
          </w:tcPr>
          <w:p>
            <w:pPr>
              <w:spacing w:after="0"/>
              <w:rPr>
                <w:sz w:val="24"/>
                <w:szCs w:val="24"/>
                <w:color w:val="auto"/>
              </w:rPr>
            </w:pPr>
          </w:p>
        </w:tc>
        <w:tc>
          <w:tcPr>
            <w:tcW w:w="4020" w:type="dxa"/>
            <w:vAlign w:val="bottom"/>
            <w:tcBorders>
              <w:top w:val="single" w:sz="8" w:color="CCEEFF"/>
            </w:tcBorders>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00" w:type="dxa"/>
            <w:vAlign w:val="bottom"/>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c>
          <w:tcPr>
            <w:tcW w:w="152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54" w:name="page55"/>
    <w:bookmarkEnd w:id="54"/>
    <w:p>
      <w:pPr>
        <w:jc w:val="both"/>
        <w:ind w:right="160" w:firstLine="441"/>
        <w:spacing w:after="0" w:line="264" w:lineRule="auto"/>
        <w:rPr>
          <w:sz w:val="20"/>
          <w:szCs w:val="20"/>
          <w:color w:val="auto"/>
        </w:rPr>
      </w:pPr>
      <w:r>
        <w:rPr>
          <w:rFonts w:ascii="Arial" w:cs="Arial" w:eastAsia="Arial" w:hAnsi="Arial"/>
          <w:sz w:val="18"/>
          <w:szCs w:val="18"/>
          <w:color w:val="auto"/>
        </w:rPr>
        <w:t>The expense recorded related to options granted during fiscal 2015, 2014 and 2013 was determined using the Black-Scholes option pricing model and the provisions of Staff Accounting Bulletin (SAB) 107 and 110, which allow the use of a simplified method to estimate the expected term of “plain vanilla” options. The assumptions used in the option pricing model during fiscal 2015, 2014 and 2013 were:</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3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0 %</w:t>
            </w:r>
          </w:p>
        </w:tc>
        <w:tc>
          <w:tcPr>
            <w:tcW w:w="15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Historical volatility</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620" w:type="dxa"/>
            <w:vAlign w:val="bottom"/>
          </w:tcPr>
          <w:p>
            <w:pPr>
              <w:ind w:left="20"/>
              <w:spacing w:after="0"/>
              <w:rPr>
                <w:sz w:val="20"/>
                <w:szCs w:val="20"/>
                <w:color w:val="auto"/>
              </w:rPr>
            </w:pPr>
            <w:r>
              <w:rPr>
                <w:rFonts w:ascii="Arial" w:cs="Arial" w:eastAsia="Arial" w:hAnsi="Arial"/>
                <w:sz w:val="18"/>
                <w:szCs w:val="18"/>
                <w:b w:val="1"/>
                <w:bCs w:val="1"/>
                <w:color w:val="auto"/>
              </w:rPr>
              <w:t>-58%</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270"/>
              <w:spacing w:after="0"/>
              <w:rPr>
                <w:sz w:val="20"/>
                <w:szCs w:val="20"/>
                <w:color w:val="auto"/>
              </w:rPr>
            </w:pPr>
            <w:r>
              <w:rPr>
                <w:rFonts w:ascii="Arial" w:cs="Arial" w:eastAsia="Arial" w:hAnsi="Arial"/>
                <w:sz w:val="18"/>
                <w:szCs w:val="18"/>
                <w:color w:val="auto"/>
                <w:w w:val="88"/>
              </w:rPr>
              <w:t>65%</w:t>
            </w:r>
          </w:p>
        </w:tc>
        <w:tc>
          <w:tcPr>
            <w:tcW w:w="150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w:t>
            </w:r>
          </w:p>
        </w:tc>
        <w:tc>
          <w:tcPr>
            <w:tcW w:w="15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2"/>
              </w:rPr>
              <w:t>1.3%</w:t>
            </w:r>
          </w:p>
        </w:tc>
        <w:tc>
          <w:tcPr>
            <w:tcW w:w="100" w:type="dxa"/>
            <w:vAlign w:val="bottom"/>
            <w:shd w:val="clear" w:color="auto" w:fill="CCEEFF"/>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Arial" w:cs="Arial" w:eastAsia="Arial" w:hAnsi="Arial"/>
                <w:sz w:val="18"/>
                <w:szCs w:val="18"/>
                <w:color w:val="auto"/>
              </w:rPr>
              <w:t>Expected life (years)</w:t>
            </w:r>
          </w:p>
        </w:tc>
        <w:tc>
          <w:tcPr>
            <w:tcW w:w="600" w:type="dxa"/>
            <w:vAlign w:val="bottom"/>
          </w:tcPr>
          <w:p>
            <w:pPr>
              <w:spacing w:after="0"/>
              <w:rPr>
                <w:sz w:val="20"/>
                <w:szCs w:val="20"/>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0"/>
              <w:spacing w:after="0"/>
              <w:rPr>
                <w:sz w:val="20"/>
                <w:szCs w:val="20"/>
                <w:color w:val="auto"/>
              </w:rPr>
            </w:pPr>
            <w:r>
              <w:rPr>
                <w:rFonts w:ascii="Arial" w:cs="Arial" w:eastAsia="Arial" w:hAnsi="Arial"/>
                <w:sz w:val="18"/>
                <w:szCs w:val="18"/>
                <w:color w:val="auto"/>
              </w:rPr>
              <w:t>6.25</w:t>
            </w:r>
          </w:p>
        </w:tc>
        <w:tc>
          <w:tcPr>
            <w:tcW w:w="1500" w:type="dxa"/>
            <w:vAlign w:val="bottom"/>
            <w:gridSpan w:val="2"/>
          </w:tcPr>
          <w:p>
            <w:pPr>
              <w:jc w:val="center"/>
              <w:ind w:left="210"/>
              <w:spacing w:after="0"/>
              <w:rPr>
                <w:sz w:val="20"/>
                <w:szCs w:val="20"/>
                <w:color w:val="auto"/>
              </w:rPr>
            </w:pPr>
            <w:r>
              <w:rPr>
                <w:rFonts w:ascii="Arial" w:cs="Arial" w:eastAsia="Arial" w:hAnsi="Arial"/>
                <w:sz w:val="18"/>
                <w:szCs w:val="18"/>
                <w:color w:val="auto"/>
                <w:w w:val="91"/>
              </w:rPr>
              <w:t>6.25</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jc w:val="both"/>
        <w:ind w:right="480" w:firstLine="441"/>
        <w:spacing w:after="0" w:line="264" w:lineRule="auto"/>
        <w:rPr>
          <w:sz w:val="20"/>
          <w:szCs w:val="20"/>
          <w:color w:val="auto"/>
        </w:rPr>
      </w:pPr>
      <w:r>
        <w:rPr>
          <w:rFonts w:ascii="Arial" w:cs="Arial" w:eastAsia="Arial" w:hAnsi="Arial"/>
          <w:sz w:val="18"/>
          <w:szCs w:val="18"/>
          <w:color w:val="auto"/>
        </w:rPr>
        <w:t>The total grant date fair value of options exercised in fiscal 2015, 2014 and 2013 was approximately $0.6 million, $0.6 million and $0.7 million, respectively. The total intrinsic value of options exercised in fiscal 2015, 2014 and 2013 was approximately $2.1 million, $1.6 million and $0.4 million, respectively. The Company generally issues new shares to satisfy option exercises.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available for future option, non-vested stock and restricted stock grants were 1,271,884 and 1,323,925 at the end of 2015 and 2014, respectively.</w:t>
      </w:r>
    </w:p>
    <w:p>
      <w:pPr>
        <w:spacing w:after="0" w:line="248" w:lineRule="exact"/>
        <w:rPr>
          <w:sz w:val="20"/>
          <w:szCs w:val="20"/>
          <w:color w:val="auto"/>
        </w:rPr>
      </w:pPr>
    </w:p>
    <w:p>
      <w:pPr>
        <w:ind w:left="880" w:hanging="426"/>
        <w:spacing w:after="0"/>
        <w:tabs>
          <w:tab w:leader="none" w:pos="88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Recipients of time-based restricted stock awards have the right to vote and receive dividends as to all unvested shares. The following table is a summary of the balance and activity for the Plans related to unvested time-based restricted stock granted as compensation to employees and directors for the periods presented:</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88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88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29, 2012</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860,325</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79"/>
              </w:rPr>
              <w:t>5.78</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321,664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6.00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5.39</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62,386</w:t>
            </w:r>
          </w:p>
        </w:tc>
        <w:tc>
          <w:tcPr>
            <w:tcW w:w="20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5.78</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28, 2013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720,198</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79"/>
              </w:rPr>
              <w:t>5.91</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202,274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left="730"/>
              <w:spacing w:after="0"/>
              <w:rPr>
                <w:sz w:val="20"/>
                <w:szCs w:val="20"/>
                <w:color w:val="auto"/>
              </w:rPr>
            </w:pPr>
            <w:r>
              <w:rPr>
                <w:rFonts w:ascii="Arial" w:cs="Arial" w:eastAsia="Arial" w:hAnsi="Arial"/>
                <w:sz w:val="18"/>
                <w:szCs w:val="18"/>
                <w:color w:val="auto"/>
                <w:w w:val="88"/>
              </w:rPr>
              <w:t>10.31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6.25</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157,221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6.21</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 2015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419,674</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w w:val="79"/>
              </w:rPr>
              <w:t>7.64</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107,004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88"/>
              </w:rPr>
              <w:t>19.59</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205,137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rPr>
              <w:t>7.84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44,988</w:t>
            </w:r>
          </w:p>
        </w:tc>
        <w:tc>
          <w:tcPr>
            <w:tcW w:w="200" w:type="dxa"/>
            <w:vAlign w:val="bottom"/>
          </w:tcPr>
          <w:p>
            <w:pPr>
              <w:spacing w:after="0"/>
              <w:rPr>
                <w:sz w:val="18"/>
                <w:szCs w:val="18"/>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b w:val="1"/>
                <w:bCs w:val="1"/>
                <w:color w:val="auto"/>
              </w:rPr>
              <w:t>8.89</w:t>
            </w: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2, 2016</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276,553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b w:val="1"/>
                <w:bCs w:val="1"/>
                <w:color w:val="auto"/>
                <w:w w:val="84"/>
              </w:rPr>
              <w:t>11.93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In 2015, the Company also awarded performance-based restricted stock subject to the achievement of pre-established pre-tax income objectives for fiscal 2015. These shares of performance-based restricted stock had a payout opportunity ranging from 50% to 200% of the target number of shares. The target number of shares awarded was 36,222 with a weighted average grant date fair value of $20.58 per share. Based on the Company’s pre-tax income results for fiscal 2015, the number of shares earned was 22,458. Additionally, the Company awarded three-year performance-based restricted stock subject to the achievement of pre-established cumulative pre-tax income goals for fiscal 2015, 2016 and 2017. These shares of three-year performance-based restricted stock also had a payout opportunity ranging from 50% to 200% of the target number of shares. The target number of shares awarded was 50,000 with a weighted average grant date fair value of $20.80 per share. The Company is currently unable to estimate the number of these shares expected to be earned.</w:t>
      </w:r>
    </w:p>
    <w:p>
      <w:pPr>
        <w:spacing w:after="0" w:line="2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vesting date fair value of shares that vested in fiscal 2015, 2014 and 2013 was $4.0 million, $3.7 million and $2.2 million, respectively. The aggregate unearned compensation expense related to options and restricted stock was $3.5 million as of January 2, 2016 and is expected to be recognized over a weighted average period of 1.4 years.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(12)  Stockholders’ Equity</w:t>
            </w: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w w:val="93"/>
              </w:rPr>
              <w:t>The following table summarizes the changes in outstanding shares of common stock for fiscal 2013, 2014 and 2015:</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Common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Stock</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Shares as of December 29, 2012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17,068,182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540" w:type="dxa"/>
            <w:vAlign w:val="bottom"/>
          </w:tcPr>
          <w:p>
            <w:pPr>
              <w:jc w:val="right"/>
              <w:spacing w:after="0"/>
              <w:rPr>
                <w:sz w:val="20"/>
                <w:szCs w:val="20"/>
                <w:color w:val="auto"/>
              </w:rPr>
            </w:pPr>
            <w:r>
              <w:rPr>
                <w:rFonts w:ascii="Arial" w:cs="Arial" w:eastAsia="Arial" w:hAnsi="Arial"/>
                <w:sz w:val="18"/>
                <w:szCs w:val="18"/>
                <w:color w:val="auto"/>
              </w:rPr>
              <w:t>346,271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Shares as of December 28, 2013</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17,386,920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(326,990)</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Shares as of January 3, 2015</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17,360,635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141,827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(1,706,571)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tcPr>
          <w:p>
            <w:pPr>
              <w:ind w:left="1140"/>
              <w:spacing w:after="0"/>
              <w:rPr>
                <w:sz w:val="20"/>
                <w:szCs w:val="20"/>
                <w:color w:val="auto"/>
              </w:rPr>
            </w:pPr>
            <w:r>
              <w:rPr>
                <w:rFonts w:ascii="Arial" w:cs="Arial" w:eastAsia="Arial" w:hAnsi="Arial"/>
                <w:sz w:val="18"/>
                <w:szCs w:val="18"/>
                <w:color w:val="auto"/>
              </w:rPr>
              <w:t>Shares as of January 2, 2016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15,795,891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bought fixtures for new stores and furniture for the corporate offices from a related party. The total payments to this related party for fixtures and furniture amounted to $0.9 million, $0.7 million and $1.3 million, in fiscal 2015, 2014 and 2013, respectively. The total amount due to this related party as of January 2, 2016 and January 3, 2015 was immaterial.</w:t>
      </w:r>
    </w:p>
    <w:p>
      <w:pPr>
        <w:spacing w:after="0" w:line="18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 Company collected $0.5 million, $1.2 million and $2.1 million in 2015, 2014 and 2013, respectively, from its guests on behalf of charitable foundations controlled by a member of the Company’s board of directors and certain executive officers of the Company. Substantially all of the contributions are collected from guests at the point of sale via pin pad prompts or as a portion of the proceeds of specifically identified products. The foundations support a variety of children’s causes, domestic animal shelters, disaster relief and other concerns. The foundations distribute grants to qualifying charitable organizations based upon decisions of their respective contribution committees most of whose members are employees of the Company. The total due to the charitable foundations as of January 2, 2016 was immaterial and was $0.4 million as of January 3,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Major Vendors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Four vendors, each of whose primary manufacturing facilities are located in Asia, accounted for approximately 85% of inventory purchases in fiscal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Three such vendors accounted for approximately 75% and 79% of inventory purchases in 2014 and 2013,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operations are conducted through three operating segments consisting of DTC, formerly retail, international franchising, and commercial. The DTC segment includes the operating activities of company-owned stores in the United States, Canada, the United Kingdom, Ireland and Denmark and other retail delivery operations, including the Company’s e-commerce sites and temporary stores. The international franchising segment includes the licensing activities of the Company’s franchise agreements with store locations in Europe, Asia, Australia, Africa, the Middle East and Mexico. The commercial segment has been established to market the naming and branding rights of the Company’s intellectual properties for third party use.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separate reportable segment. The reportable segments follow the same accounting policies used for the Company’s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Following is a summary of the financial information for the Company’s reporting segments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Direct-to</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International</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Consumer</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Franchising</w:t>
            </w:r>
          </w:p>
        </w:tc>
        <w:tc>
          <w:tcPr>
            <w:tcW w:w="80" w:type="dxa"/>
            <w:vAlign w:val="bottom"/>
          </w:tcPr>
          <w:p>
            <w:pPr>
              <w:spacing w:after="0"/>
              <w:rPr>
                <w:sz w:val="20"/>
                <w:szCs w:val="20"/>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Commercial</w:t>
            </w:r>
          </w:p>
        </w:tc>
        <w:tc>
          <w:tcPr>
            <w:tcW w:w="22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January 2, 2016</w:t>
            </w:r>
          </w:p>
        </w:tc>
        <w:tc>
          <w:tcPr>
            <w:tcW w:w="1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Net sales to external customers</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372,715</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2,196</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2,783</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before income taxes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24,307</w:t>
            </w: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16,284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Fifty-three weeks ended January 3, 2015</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sales to external customers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387,725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2,531</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Net income (loss) before income taxes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15,791</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17,981</w:t>
            </w: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December 28, 2013</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Net sales to external customers</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373,173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3,564</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2,332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before income taxes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19,178</w:t>
            </w:r>
          </w:p>
        </w:tc>
        <w:tc>
          <w:tcPr>
            <w:tcW w:w="3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January 2, 2016</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206,878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1,696</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4,760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3, 2015</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204,758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2,312</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212,054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420" w:firstLine="441"/>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8"/>
        </w:trPr>
        <w:tc>
          <w:tcPr>
            <w:tcW w:w="4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320"/>
              <w:spacing w:after="0" w:line="258" w:lineRule="exact"/>
              <w:rPr>
                <w:sz w:val="20"/>
                <w:szCs w:val="20"/>
                <w:color w:val="auto"/>
              </w:rPr>
            </w:pPr>
            <w:r>
              <w:rPr>
                <w:rFonts w:ascii="Arial" w:cs="Arial" w:eastAsia="Arial" w:hAnsi="Arial"/>
                <w:sz w:val="18"/>
                <w:szCs w:val="18"/>
                <w:b w:val="1"/>
                <w:bCs w:val="1"/>
                <w:color w:val="auto"/>
                <w:w w:val="86"/>
              </w:rPr>
              <w:t xml:space="preserve">America </w:t>
            </w:r>
            <w:r>
              <w:rPr>
                <w:rFonts w:ascii="Arial" w:cs="Arial" w:eastAsia="Arial" w:hAnsi="Arial"/>
                <w:sz w:val="29"/>
                <w:szCs w:val="29"/>
                <w:b w:val="1"/>
                <w:bCs w:val="1"/>
                <w:color w:val="auto"/>
                <w:w w:val="86"/>
                <w:vertAlign w:val="superscript"/>
              </w:rPr>
              <w:t>(1)</w:t>
            </w:r>
          </w:p>
        </w:tc>
        <w:tc>
          <w:tcPr>
            <w:tcW w:w="120" w:type="dxa"/>
            <w:vAlign w:val="bottom"/>
          </w:tcPr>
          <w:p>
            <w:pPr>
              <w:spacing w:after="0"/>
              <w:rPr>
                <w:sz w:val="22"/>
                <w:szCs w:val="22"/>
                <w:color w:val="auto"/>
              </w:rPr>
            </w:pPr>
          </w:p>
        </w:tc>
        <w:tc>
          <w:tcPr>
            <w:tcW w:w="1080" w:type="dxa"/>
            <w:vAlign w:val="bottom"/>
            <w:gridSpan w:val="2"/>
          </w:tcPr>
          <w:p>
            <w:pPr>
              <w:jc w:val="right"/>
              <w:ind w:right="260"/>
              <w:spacing w:after="0" w:line="258" w:lineRule="exact"/>
              <w:rPr>
                <w:sz w:val="20"/>
                <w:szCs w:val="20"/>
                <w:color w:val="auto"/>
              </w:rPr>
            </w:pPr>
            <w:r>
              <w:rPr>
                <w:rFonts w:ascii="Arial" w:cs="Arial" w:eastAsia="Arial" w:hAnsi="Arial"/>
                <w:sz w:val="18"/>
                <w:szCs w:val="18"/>
                <w:b w:val="1"/>
                <w:bCs w:val="1"/>
                <w:color w:val="auto"/>
                <w:w w:val="88"/>
              </w:rPr>
              <w:t xml:space="preserve">Europe </w:t>
            </w:r>
            <w:r>
              <w:rPr>
                <w:rFonts w:ascii="Arial" w:cs="Arial" w:eastAsia="Arial" w:hAnsi="Arial"/>
                <w:sz w:val="29"/>
                <w:szCs w:val="29"/>
                <w:b w:val="1"/>
                <w:bCs w:val="1"/>
                <w:color w:val="auto"/>
                <w:w w:val="88"/>
                <w:vertAlign w:val="superscript"/>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420"/>
              <w:spacing w:after="0" w:line="258" w:lineRule="exact"/>
              <w:rPr>
                <w:sz w:val="20"/>
                <w:szCs w:val="20"/>
                <w:color w:val="auto"/>
              </w:rPr>
            </w:pPr>
            <w:r>
              <w:rPr>
                <w:rFonts w:ascii="Arial" w:cs="Arial" w:eastAsia="Arial" w:hAnsi="Arial"/>
                <w:sz w:val="18"/>
                <w:szCs w:val="18"/>
                <w:b w:val="1"/>
                <w:bCs w:val="1"/>
                <w:color w:val="auto"/>
                <w:w w:val="93"/>
              </w:rPr>
              <w:t xml:space="preserve">Other </w:t>
            </w:r>
            <w:r>
              <w:rPr>
                <w:rFonts w:ascii="Arial" w:cs="Arial" w:eastAsia="Arial" w:hAnsi="Arial"/>
                <w:sz w:val="29"/>
                <w:szCs w:val="29"/>
                <w:b w:val="1"/>
                <w:bCs w:val="1"/>
                <w:color w:val="auto"/>
                <w:w w:val="93"/>
                <w:vertAlign w:val="superscript"/>
              </w:rPr>
              <w:t>(3)</w:t>
            </w:r>
          </w:p>
        </w:tc>
        <w:tc>
          <w:tcPr>
            <w:tcW w:w="220" w:type="dxa"/>
            <w:vAlign w:val="bottom"/>
          </w:tcPr>
          <w:p>
            <w:pPr>
              <w:spacing w:after="0"/>
              <w:rPr>
                <w:sz w:val="22"/>
                <w:szCs w:val="22"/>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January 2, 2016</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297,554</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78,788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1,352</w:t>
            </w:r>
          </w:p>
        </w:tc>
        <w:tc>
          <w:tcPr>
            <w:tcW w:w="220" w:type="dxa"/>
            <w:vAlign w:val="bottom"/>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377,694</w:t>
            </w: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61,211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67,741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Fifty-three weeks ended January 3, 2015</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308,939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392,354</w:t>
            </w: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56,400</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62,766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Fifty-two weeks ended December 28, 2013</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302,216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75,133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1,720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379,069</w:t>
            </w:r>
          </w:p>
        </w:tc>
      </w:tr>
      <w:tr>
        <w:trPr>
          <w:trHeight w:val="216"/>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62,152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600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franchise businesses in Europe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2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In the period after January 2, 2016, the Company repurchased approximately 132,500 shares for an aggregate of $1.5 million under share repurchase programs it adopted in 2015. As of March 11, 2016, there was approximately $7.6 million of availability under the programs.</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w w:val="96"/>
              </w:rPr>
              <w:t>Schedule II – Valuation and Qualifying Accounts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35"/>
        </w:trPr>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Beginning</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Charged to cost</w:t>
            </w:r>
          </w:p>
        </w:tc>
        <w:tc>
          <w:tcPr>
            <w:tcW w:w="180" w:type="dxa"/>
            <w:vAlign w:val="bottom"/>
          </w:tcPr>
          <w:p>
            <w:pPr>
              <w:spacing w:after="0"/>
              <w:rPr>
                <w:sz w:val="24"/>
                <w:szCs w:val="24"/>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 xml:space="preserve">Deductions </w:t>
            </w:r>
            <w:r>
              <w:rPr>
                <w:rFonts w:ascii="Arial" w:cs="Arial" w:eastAsia="Arial" w:hAnsi="Arial"/>
                <w:sz w:val="30"/>
                <w:szCs w:val="30"/>
                <w:b w:val="1"/>
                <w:bCs w:val="1"/>
                <w:color w:val="auto"/>
                <w:w w:val="84"/>
                <w:vertAlign w:val="superscript"/>
              </w:rPr>
              <w:t>(1)</w:t>
            </w:r>
          </w:p>
        </w:tc>
        <w:tc>
          <w:tcPr>
            <w:tcW w:w="260" w:type="dxa"/>
            <w:vAlign w:val="bottom"/>
          </w:tcPr>
          <w:p>
            <w:pPr>
              <w:spacing w:after="0"/>
              <w:rPr>
                <w:sz w:val="24"/>
                <w:szCs w:val="24"/>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Ending</w:t>
            </w:r>
          </w:p>
        </w:tc>
      </w:tr>
      <w:tr>
        <w:trPr>
          <w:trHeight w:val="230"/>
        </w:trPr>
        <w:tc>
          <w:tcPr>
            <w:tcW w:w="7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w w:val="85"/>
              </w:rPr>
              <w:t>and expenses</w:t>
            </w:r>
          </w:p>
        </w:tc>
        <w:tc>
          <w:tcPr>
            <w:tcW w:w="180" w:type="dxa"/>
            <w:vAlign w:val="bottom"/>
          </w:tcPr>
          <w:p>
            <w:pPr>
              <w:spacing w:after="0"/>
              <w:rPr>
                <w:sz w:val="19"/>
                <w:szCs w:val="19"/>
                <w:color w:val="auto"/>
              </w:rPr>
            </w:pPr>
          </w:p>
        </w:tc>
        <w:tc>
          <w:tcPr>
            <w:tcW w:w="1300" w:type="dxa"/>
            <w:vAlign w:val="bottom"/>
          </w:tcPr>
          <w:p>
            <w:pPr>
              <w:jc w:val="right"/>
              <w:ind w:right="572"/>
              <w:spacing w:after="0"/>
              <w:rPr>
                <w:sz w:val="20"/>
                <w:szCs w:val="20"/>
                <w:color w:val="auto"/>
              </w:rPr>
            </w:pPr>
            <w:r>
              <w:rPr>
                <w:rFonts w:ascii="Arial" w:cs="Arial" w:eastAsia="Arial" w:hAnsi="Arial"/>
                <w:sz w:val="15"/>
                <w:szCs w:val="15"/>
                <w:b w:val="1"/>
                <w:bCs w:val="1"/>
                <w:color w:val="auto"/>
              </w:rPr>
              <w:t>(2)</w:t>
            </w:r>
          </w:p>
        </w:tc>
        <w:tc>
          <w:tcPr>
            <w:tcW w:w="260" w:type="dxa"/>
            <w:vAlign w:val="bottom"/>
          </w:tcPr>
          <w:p>
            <w:pPr>
              <w:spacing w:after="0"/>
              <w:rPr>
                <w:sz w:val="19"/>
                <w:szCs w:val="19"/>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Balance</w:t>
            </w:r>
          </w:p>
        </w:tc>
      </w:tr>
      <w:tr>
        <w:trPr>
          <w:trHeight w:val="216"/>
        </w:trPr>
        <w:tc>
          <w:tcPr>
            <w:tcW w:w="720" w:type="dxa"/>
            <w:vAlign w:val="bottom"/>
          </w:tcPr>
          <w:p>
            <w:pPr>
              <w:spacing w:after="0"/>
              <w:rPr>
                <w:sz w:val="18"/>
                <w:szCs w:val="18"/>
                <w:color w:val="auto"/>
              </w:rPr>
            </w:pPr>
          </w:p>
        </w:tc>
        <w:tc>
          <w:tcPr>
            <w:tcW w:w="32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2"/>
              </w:rPr>
              <w:t>Deferred Tax Asset Valuation Allowance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15,572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(15,940)</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720" w:type="dxa"/>
            <w:vAlign w:val="bottom"/>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20,987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15,572</w:t>
            </w:r>
          </w:p>
        </w:tc>
      </w:tr>
      <w:tr>
        <w:trPr>
          <w:trHeight w:val="216"/>
        </w:trPr>
        <w:tc>
          <w:tcPr>
            <w:tcW w:w="72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20,865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20,987</w:t>
            </w:r>
          </w:p>
        </w:tc>
      </w:tr>
      <w:tr>
        <w:trPr>
          <w:trHeight w:val="216"/>
        </w:trPr>
        <w:tc>
          <w:tcPr>
            <w:tcW w:w="7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8"/>
        </w:trPr>
        <w:tc>
          <w:tcPr>
            <w:tcW w:w="720" w:type="dxa"/>
            <w:vAlign w:val="bottom"/>
          </w:tcPr>
          <w:p>
            <w:pPr>
              <w:spacing w:after="0"/>
              <w:rPr>
                <w:sz w:val="17"/>
                <w:szCs w:val="17"/>
                <w:color w:val="auto"/>
              </w:rPr>
            </w:pPr>
          </w:p>
        </w:tc>
        <w:tc>
          <w:tcPr>
            <w:tcW w:w="328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Receivables Allowance for Doubtful</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720" w:type="dxa"/>
            <w:vAlign w:val="bottom"/>
          </w:tcPr>
          <w:p>
            <w:pPr>
              <w:spacing w:after="0"/>
              <w:rPr>
                <w:sz w:val="20"/>
                <w:szCs w:val="20"/>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Accounts</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72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3,248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3,044</w:t>
            </w:r>
          </w:p>
        </w:tc>
      </w:tr>
      <w:tr>
        <w:trPr>
          <w:trHeight w:val="216"/>
        </w:trPr>
        <w:tc>
          <w:tcPr>
            <w:tcW w:w="720" w:type="dxa"/>
            <w:vAlign w:val="bottom"/>
          </w:tcPr>
          <w:p>
            <w:pPr>
              <w:spacing w:after="0"/>
              <w:rPr>
                <w:sz w:val="18"/>
                <w:szCs w:val="18"/>
                <w:color w:val="auto"/>
              </w:rPr>
            </w:pP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r>
      <w:tr>
        <w:trPr>
          <w:trHeight w:val="234"/>
        </w:trPr>
        <w:tc>
          <w:tcPr>
            <w:tcW w:w="72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1,889</w:t>
            </w:r>
          </w:p>
        </w:tc>
      </w:tr>
    </w:tbl>
    <w:p>
      <w:pPr>
        <w:spacing w:after="0" w:line="237" w:lineRule="exact"/>
        <w:rPr>
          <w:sz w:val="20"/>
          <w:szCs w:val="20"/>
          <w:color w:val="auto"/>
        </w:rPr>
      </w:pPr>
    </w:p>
    <w:p>
      <w:pPr>
        <w:ind w:left="580" w:right="3380" w:firstLine="4"/>
        <w:spacing w:after="0" w:line="258" w:lineRule="auto"/>
        <w:tabs>
          <w:tab w:leader="none" w:pos="8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Deductions from deferred tax asset valuation allowance represent reversals of previously established allowances</w:t>
      </w:r>
    </w:p>
    <w:p>
      <w:pPr>
        <w:spacing w:after="0" w:line="1" w:lineRule="exact"/>
        <w:rPr>
          <w:rFonts w:ascii="Arial" w:cs="Arial" w:eastAsia="Arial" w:hAnsi="Arial"/>
          <w:sz w:val="18"/>
          <w:szCs w:val="18"/>
          <w:color w:val="auto"/>
        </w:rPr>
      </w:pPr>
    </w:p>
    <w:p>
      <w:pPr>
        <w:ind w:left="580" w:right="3580" w:firstLine="4"/>
        <w:spacing w:after="0" w:line="261" w:lineRule="auto"/>
        <w:tabs>
          <w:tab w:leader="none" w:pos="8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Deductions from the receivables allowance for doubtful accounts represent uncollectible accounts written off and recoveries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exhibits filed as a part of the Annual Report on Form 10-K: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Agreement and Plan of Merger dated April 3, 2000 between Build-A-Bear Workshop, L.L.C. and the Registrant (incorporated by reference</w:t>
            </w:r>
          </w:p>
        </w:tc>
        <w:tc>
          <w:tcPr>
            <w:tcW w:w="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Third Amended and Restated Certificate of Incorporation (incorporated by reference from Exhibit 3.1 of our Current Report on Form 8-K,</w:t>
            </w:r>
          </w:p>
        </w:tc>
        <w:tc>
          <w:tcPr>
            <w:tcW w:w="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November 8, 2004)</w:t>
            </w:r>
          </w:p>
        </w:tc>
        <w:tc>
          <w:tcPr>
            <w:tcW w:w="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and Restated Bylaws, as amended through February 23,2016 (incorporated by reference from Exhibit 3.1 to our Current Report on</w:t>
            </w:r>
          </w:p>
        </w:tc>
        <w:tc>
          <w:tcPr>
            <w:tcW w:w="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filed on February 24, 2016)</w:t>
            </w:r>
          </w:p>
        </w:tc>
        <w:tc>
          <w:tcPr>
            <w:tcW w:w="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Specimen Stock Certificate (incorporated by reference from Exhibit 4.1 to Amendment No. 3 to our Registration Statement on Form S-1, filed</w:t>
            </w:r>
          </w:p>
        </w:tc>
        <w:tc>
          <w:tcPr>
            <w:tcW w:w="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October 1, 2004, Registration No. 333-118142)</w:t>
            </w:r>
          </w:p>
        </w:tc>
        <w:tc>
          <w:tcPr>
            <w:tcW w:w="40" w:type="dxa"/>
            <w:vAlign w:val="bottom"/>
          </w:tcPr>
          <w:p>
            <w:pPr>
              <w:spacing w:after="0"/>
              <w:rPr>
                <w:sz w:val="20"/>
                <w:szCs w:val="20"/>
                <w:color w:val="auto"/>
              </w:rPr>
            </w:pPr>
          </w:p>
        </w:tc>
      </w:tr>
      <w:tr>
        <w:trPr>
          <w:trHeight w:val="729"/>
        </w:trPr>
        <w:tc>
          <w:tcPr>
            <w:tcW w:w="920" w:type="dxa"/>
            <w:vAlign w:val="bottom"/>
          </w:tcPr>
          <w:p>
            <w:pPr>
              <w:spacing w:after="0"/>
              <w:rPr>
                <w:sz w:val="24"/>
                <w:szCs w:val="24"/>
                <w:color w:val="auto"/>
              </w:rPr>
            </w:pPr>
          </w:p>
        </w:tc>
        <w:tc>
          <w:tcPr>
            <w:tcW w:w="10500" w:type="dxa"/>
            <w:vAlign w:val="bottom"/>
            <w:gridSpan w:val="2"/>
          </w:tcPr>
          <w:p>
            <w:pPr>
              <w:jc w:val="right"/>
              <w:ind w:right="553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4"/>
                <w:szCs w:val="24"/>
                <w:color w:val="auto"/>
              </w:rPr>
            </w:pPr>
          </w:p>
        </w:tc>
      </w:tr>
      <w:tr>
        <w:trPr>
          <w:trHeight w:val="105"/>
        </w:trPr>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9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Build-A-Bear Workshop, Inc. 2004 Stock Incentive Plan (incorporated by reference from Exhibit 10.3 to Pre-Effective Amendment No. 3 to</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our Registration Statement on Form S-1, filed on October 1, 2004, Registration No. 333-118142)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Form of Incentive Stock Option Agreement under the Build-A-Bear Workshop, Inc. 2004 Stock Incentive Plan (incorporated by reference</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from Exhibit 10.3.1 to Pre-Effective Amendment No. 3 to our Registration Statement on Form S-1, filed on October 1, 2004, Registration No.</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333-118142)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Model Incentive Stock Option Agreement Under the Registrant’s 2004 Stock Incentive Plan (incorporated by reference from Exhibit 10.3.3 to</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7"/>
              </w:rPr>
              <w:t>Pre-Effective Amendment No. 5 to our Registration Statement on Form S-1, filed on October 12, 2004, Registration No. 333-118142)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10560" w:type="dxa"/>
            <w:vAlign w:val="bottom"/>
          </w:tcPr>
          <w:p>
            <w:pPr>
              <w:ind w:left="260"/>
              <w:spacing w:after="0"/>
              <w:rPr>
                <w:sz w:val="20"/>
                <w:szCs w:val="20"/>
                <w:color w:val="auto"/>
              </w:rPr>
            </w:pPr>
            <w:r>
              <w:rPr>
                <w:rFonts w:ascii="Arial" w:cs="Arial" w:eastAsia="Arial" w:hAnsi="Arial"/>
                <w:sz w:val="18"/>
                <w:szCs w:val="18"/>
                <w:color w:val="auto"/>
                <w:w w:val="95"/>
              </w:rPr>
              <w:t>Form of Employee Nonqualified Stock Option Under the Registrant’s 2004 Stock Incentive Plan (incorporated by reference from Exhibit</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6"/>
              </w:rPr>
              <w:t>10.3.4 to Pre-Effective Amendment No. 5 to our Registration Statement on Form S-1, filed on October 12, 2004, Registration No. 333-</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118142)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Form of Restricted Stock Grant Agreement under the Company’s 2004 Stock Incentive Plan (incorporated by reference from Exhibit 10.1 to</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our Current Report on Form 8-K, filed on August 1,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Form of Restricted Stock Grant Agreement under the Company’s 2004 Stock Incentive Plan (incorporated by reference from Exhibit 10.1 to</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our Quarterly Report on Form 10-Q, filed on May 8,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Second Amended and Restated Build-A-Bear Workshop, Inc. 2004 Stock Incentive Plan (incorporated by reference from Exhibit 99.1 on our</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Registration Statement on Form S-8, filed on May 18,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10.2.7*</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Form of the Restricted Stock and Non-Qualified Stock Option Agreement under the Registrant’s Second Amended and Restated 2004 Stock</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Incentive Plan (incorporated by reference from Exhibit 10.1 on our Quarterly Report on Form 10-Q, filed on May 14,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10.2.8*</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Form of the Restricted Stock Agreement under the Registrant’s Second Amended and Restated 2004 Stock Incentive Plan (incorporated by</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reference from Exhibit 10.3 on our Current Report on Form 8-K, filed on May 20,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10.2.9*</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Form of the Restricted Stock and Non-Qualified Stock Option Agreement under the Registrant’s Second Amended and Restated 2004 Stock</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Incentive Plan (incorporated by reference from Exhibit 10.2 on our Current Report on Form 8-K, filed on March 28, 2011)</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10.2.10*</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Third Amended and Restated Build-A-Bear Workshop, Inc. 2004 Stock Incentive Plan (incorporated by reference from Exhibit 10.1 on our</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Current Report on Form 8-K, filed on May 12,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10.2.11*</w:t>
            </w: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Form of the Restricted Stock and Non-Qualified Stock Option Agreement under the Registrant’s Third Amended and Restated 2004 Stock</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Incentive Plan (incorporated by reference from Exhibit 10.2 on our Current Report on Form 8-K, filed on May 12,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10.2.12*</w:t>
            </w: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Form of the Restricted Stock and Non-Qualified Stock Option Agreement under the Registrant’s Third Amended and Restated 2004 Stock</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Incentive Plan (incorporated by reference from Exhibit 10.2 on our Current Report on Form 8-K, filed on May 12,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10.2.13*</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2016 Performance Objectives for Chiefs (incorporated by reference from Exhibit 10.6 on our Current Report on Form 8-K, filed on March 11,</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10.2.14*</w:t>
            </w:r>
          </w:p>
        </w:tc>
        <w:tc>
          <w:tcPr>
            <w:tcW w:w="10560" w:type="dxa"/>
            <w:vAlign w:val="bottom"/>
          </w:tcPr>
          <w:p>
            <w:pPr>
              <w:ind w:left="260"/>
              <w:spacing w:after="0"/>
              <w:rPr>
                <w:sz w:val="20"/>
                <w:szCs w:val="20"/>
                <w:color w:val="auto"/>
              </w:rPr>
            </w:pPr>
            <w:r>
              <w:rPr>
                <w:rFonts w:ascii="Arial" w:cs="Arial" w:eastAsia="Arial" w:hAnsi="Arial"/>
                <w:sz w:val="18"/>
                <w:szCs w:val="18"/>
                <w:color w:val="auto"/>
                <w:w w:val="96"/>
              </w:rPr>
              <w:t>Form of Restricted Stock and Non-Qualified Stock Option Agreement under the Registrant’s Third Amended and Restated 2004 Stock</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Incentive Plan (incorporated by reference from Exhibit 10.7 on our Current Report on Form 8-K, filed on March 11, 2016)</w:t>
            </w:r>
          </w:p>
        </w:tc>
      </w:tr>
      <w:tr>
        <w:trPr>
          <w:trHeight w:val="729"/>
        </w:trPr>
        <w:tc>
          <w:tcPr>
            <w:tcW w:w="900" w:type="dxa"/>
            <w:vAlign w:val="bottom"/>
          </w:tcPr>
          <w:p>
            <w:pPr>
              <w:spacing w:after="0"/>
              <w:rPr>
                <w:sz w:val="24"/>
                <w:szCs w:val="24"/>
                <w:color w:val="auto"/>
              </w:rPr>
            </w:pPr>
          </w:p>
        </w:tc>
        <w:tc>
          <w:tcPr>
            <w:tcW w:w="10560" w:type="dxa"/>
            <w:vAlign w:val="bottom"/>
          </w:tcPr>
          <w:p>
            <w:pPr>
              <w:ind w:left="4720"/>
              <w:spacing w:after="0"/>
              <w:rPr>
                <w:sz w:val="20"/>
                <w:szCs w:val="20"/>
                <w:color w:val="auto"/>
              </w:rPr>
            </w:pPr>
            <w:r>
              <w:rPr>
                <w:rFonts w:ascii="Arial" w:cs="Arial" w:eastAsia="Arial" w:hAnsi="Arial"/>
                <w:sz w:val="18"/>
                <w:szCs w:val="18"/>
                <w:color w:val="auto"/>
              </w:rPr>
              <w:t>57</w:t>
            </w:r>
          </w:p>
        </w:tc>
      </w:tr>
      <w:tr>
        <w:trPr>
          <w:trHeight w:val="105"/>
        </w:trPr>
        <w:tc>
          <w:tcPr>
            <w:tcW w:w="900" w:type="dxa"/>
            <w:vAlign w:val="bottom"/>
          </w:tcPr>
          <w:p>
            <w:pPr>
              <w:spacing w:after="0"/>
              <w:rPr>
                <w:sz w:val="9"/>
                <w:szCs w:val="9"/>
                <w:color w:val="auto"/>
              </w:rPr>
            </w:pPr>
          </w:p>
        </w:tc>
        <w:tc>
          <w:tcPr>
            <w:tcW w:w="10560" w:type="dxa"/>
            <w:vAlign w:val="bottom"/>
          </w:tcPr>
          <w:p>
            <w:pPr>
              <w:spacing w:after="0"/>
              <w:rPr>
                <w:sz w:val="9"/>
                <w:szCs w:val="9"/>
                <w:color w:val="auto"/>
              </w:rPr>
            </w:pPr>
          </w:p>
        </w:tc>
      </w:tr>
      <w:tr>
        <w:trPr>
          <w:trHeight w:val="61"/>
        </w:trPr>
        <w:tc>
          <w:tcPr>
            <w:tcW w:w="900" w:type="dxa"/>
            <w:vAlign w:val="bottom"/>
            <w:shd w:val="clear" w:color="auto" w:fill="808080"/>
          </w:tcPr>
          <w:p>
            <w:pPr>
              <w:spacing w:after="0"/>
              <w:rPr>
                <w:sz w:val="5"/>
                <w:szCs w:val="5"/>
                <w:color w:val="auto"/>
              </w:rPr>
            </w:pPr>
          </w:p>
        </w:tc>
        <w:tc>
          <w:tcPr>
            <w:tcW w:w="105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10.2.15*</w:t>
            </w:r>
          </w:p>
        </w:tc>
        <w:tc>
          <w:tcPr>
            <w:tcW w:w="10560" w:type="dxa"/>
            <w:vAlign w:val="bottom"/>
          </w:tcPr>
          <w:p>
            <w:pPr>
              <w:ind w:left="260"/>
              <w:spacing w:after="0"/>
              <w:rPr>
                <w:sz w:val="20"/>
                <w:szCs w:val="20"/>
                <w:color w:val="auto"/>
              </w:rPr>
            </w:pPr>
            <w:r>
              <w:rPr>
                <w:rFonts w:ascii="Arial" w:cs="Arial" w:eastAsia="Arial" w:hAnsi="Arial"/>
                <w:sz w:val="18"/>
                <w:szCs w:val="18"/>
                <w:color w:val="auto"/>
                <w:w w:val="96"/>
              </w:rPr>
              <w:t>Form of Restricted Stock Agreement under the Registrant’s Third Amended and Restated 2004 Stock Incentive Plan (incorporated by</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reference from Exhibit 10.7 on our Current Report on Form 8-K, filed on March 11,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Retirement, Separation Agreement and General Release by and between Maxine Clark and Build-A-Bear Workshop, Inc., dated January 28,</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2013 (incorporated by reference from Exhibit 10.1 to our Current Report on Form 8-K, filed on January 31,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Employment, Confidentiality and Noncompete Agreement dated March 7, 2004 between Tina Klocke and the Registrant (incorporated by</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5"/>
              </w:rPr>
              <w:t>reference from Exhibit 10.6 to Pre-Effective Amendment No. 2 to our Registration Statement on Form S-1, filed on September 20, 2004,</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Registration No. 333-118142)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10.4.1*</w:t>
            </w: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First Amendment dated February 22, 2006 to the Employment, Confidentiality and Noncompete Agreement dated March 7, 2004 between</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7"/>
              </w:rPr>
              <w:t>Tina Klocke and the Registrant (incorporated by reference from Exhibit 10.6.1 to our Annual Report on Form 10-K for the year ended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Separation Agreement and General Release by and between Tina Klocke and the Registrant dated September 15, 2014 (incorporated by</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reference from Exhibit 10.2 to our Current Report on Form 8-K, filed on September 15,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Amended and Restated Employment, Confidentiality and Noncompete Agreement dated April 14, 2015 between Eric Fencl and the Registrant</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10.3 to our Quarterly Report on Form 10-Q, filed on May 14, 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10.5.1*</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Amended and Restated Employment, Confidentiality and Noncompete Agreement, dated March 7, 2016, by and between Eric Fencl and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5"/>
              </w:rPr>
              <w:t>Build-A-Bear Workshop, Inc. (incorporated by reference from Exhibit 10.7 on our Current Report on Form 8-K, filed on March 11,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560" w:type="dxa"/>
            <w:vAlign w:val="bottom"/>
          </w:tcPr>
          <w:p>
            <w:pPr>
              <w:ind w:left="260"/>
              <w:spacing w:after="0"/>
              <w:rPr>
                <w:sz w:val="20"/>
                <w:szCs w:val="20"/>
                <w:color w:val="auto"/>
              </w:rPr>
            </w:pPr>
            <w:r>
              <w:rPr>
                <w:rFonts w:ascii="Arial" w:cs="Arial" w:eastAsia="Arial" w:hAnsi="Arial"/>
                <w:sz w:val="18"/>
                <w:szCs w:val="18"/>
                <w:color w:val="auto"/>
                <w:w w:val="98"/>
              </w:rPr>
              <w:t>Employment, Confidentiality and Noncompete Agreement dated December 3, 2012 between Sharon Price John and the Registrant</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10.1 to our Quarterly Report on Form 10-Q, filed on August 8,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10.6.1*</w:t>
            </w: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Amended and Restated Employment, Confidentiality and Noncompete Agreement, dated March 7, 2016, by and between Sharon Price John</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and Build-A-Bear Workshop, Inc. (incorporated by reference from Exhibit 10.7 on our Current Report on Form 8-K, filed on March 11,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Employment, Confidentiality and Noncompete Agreement dated January 20, 2014 between Gina Collins and the Registrant(incorporated by</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reference from Exhibit 10.10 to our Annual Report on Form 10-K for the year ended December 28,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10.7.1*</w:t>
            </w: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Amended and Restated Employment, Confidentiality and Noncompete Agreement, dated March 7, 2016, by and between Gina Collins and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Build-A-Bear Workshop, Inc.</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tcPr>
          <w:p>
            <w:pPr>
              <w:ind w:left="260"/>
              <w:spacing w:after="0"/>
              <w:rPr>
                <w:sz w:val="20"/>
                <w:szCs w:val="20"/>
                <w:color w:val="auto"/>
              </w:rPr>
            </w:pPr>
            <w:r>
              <w:rPr>
                <w:rFonts w:ascii="Arial" w:cs="Arial" w:eastAsia="Arial" w:hAnsi="Arial"/>
                <w:sz w:val="18"/>
                <w:szCs w:val="18"/>
                <w:color w:val="auto"/>
                <w:w w:val="99"/>
              </w:rPr>
              <w:t>Employment, Confidentiality and Noncompete Agreement dated September 15, 2014 between Vojin Todorovic and the Registrant</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10.1 to our Current Report on Form 8-K, filed on September 15,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10.8.1*</w:t>
            </w: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Amended and Restated Employment, Confidentiality and Noncompete Agreement, dated March 7, 2016, by and between Vojin Todorovic and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5"/>
              </w:rPr>
              <w:t>Build-A-Bear Workshop, Inc. (incorporated by reference from Exhibit 10.7 on our Current Report on Form 8-K, filed on March 11,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300"/>
              <w:spacing w:after="0"/>
              <w:rPr>
                <w:sz w:val="20"/>
                <w:szCs w:val="20"/>
                <w:color w:val="auto"/>
              </w:rPr>
            </w:pPr>
            <w:r>
              <w:rPr>
                <w:rFonts w:ascii="Arial" w:cs="Arial" w:eastAsia="Arial" w:hAnsi="Arial"/>
                <w:sz w:val="18"/>
                <w:szCs w:val="18"/>
                <w:color w:val="auto"/>
                <w:w w:val="99"/>
              </w:rPr>
              <w:t>Employment, Confidentiality and Noncompete Agreement dated August 12, 2014 between Jennifer Kretchmar and the Registrant</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10.1 to our Quarterly Report on Form 10-Q, filed on November 6, 2014)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10.9.1*</w:t>
            </w: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Amended and Restated Employment, Confidentiality and Noncompete Agreement, dated March 7, 2016, by and between Jennifer Kretchmar</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and Build-A-Bear Workshop, Inc. (incorporated by reference from Exhibit 10.7 on our Current Report on Form 8-K, filed on March 11,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Employment, Confidentiality and Noncompete Agreement dated April 15, 2015 between J. Christopher Hurt and the Registrant (incorporated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by reference from Exhibit 10.4 to our Quarterly Report on Form 10-Q, filed on May 14, 2015)</w:t>
            </w:r>
          </w:p>
        </w:tc>
      </w:tr>
      <w:tr>
        <w:trPr>
          <w:trHeight w:val="729"/>
        </w:trPr>
        <w:tc>
          <w:tcPr>
            <w:tcW w:w="900" w:type="dxa"/>
            <w:vAlign w:val="bottom"/>
          </w:tcPr>
          <w:p>
            <w:pPr>
              <w:spacing w:after="0"/>
              <w:rPr>
                <w:sz w:val="24"/>
                <w:szCs w:val="24"/>
                <w:color w:val="auto"/>
              </w:rPr>
            </w:pPr>
          </w:p>
        </w:tc>
        <w:tc>
          <w:tcPr>
            <w:tcW w:w="10560" w:type="dxa"/>
            <w:vAlign w:val="bottom"/>
          </w:tcPr>
          <w:p>
            <w:pPr>
              <w:ind w:left="4720"/>
              <w:spacing w:after="0"/>
              <w:rPr>
                <w:sz w:val="20"/>
                <w:szCs w:val="20"/>
                <w:color w:val="auto"/>
              </w:rPr>
            </w:pPr>
            <w:r>
              <w:rPr>
                <w:rFonts w:ascii="Arial" w:cs="Arial" w:eastAsia="Arial" w:hAnsi="Arial"/>
                <w:sz w:val="18"/>
                <w:szCs w:val="18"/>
                <w:color w:val="auto"/>
              </w:rPr>
              <w:t>58</w:t>
            </w:r>
          </w:p>
        </w:tc>
      </w:tr>
      <w:tr>
        <w:trPr>
          <w:trHeight w:val="105"/>
        </w:trPr>
        <w:tc>
          <w:tcPr>
            <w:tcW w:w="900" w:type="dxa"/>
            <w:vAlign w:val="bottom"/>
          </w:tcPr>
          <w:p>
            <w:pPr>
              <w:spacing w:after="0"/>
              <w:rPr>
                <w:sz w:val="9"/>
                <w:szCs w:val="9"/>
                <w:color w:val="auto"/>
              </w:rPr>
            </w:pPr>
          </w:p>
        </w:tc>
        <w:tc>
          <w:tcPr>
            <w:tcW w:w="10560" w:type="dxa"/>
            <w:vAlign w:val="bottom"/>
          </w:tcPr>
          <w:p>
            <w:pPr>
              <w:spacing w:after="0"/>
              <w:rPr>
                <w:sz w:val="9"/>
                <w:szCs w:val="9"/>
                <w:color w:val="auto"/>
              </w:rPr>
            </w:pPr>
          </w:p>
        </w:tc>
      </w:tr>
      <w:tr>
        <w:trPr>
          <w:trHeight w:val="61"/>
        </w:trPr>
        <w:tc>
          <w:tcPr>
            <w:tcW w:w="900" w:type="dxa"/>
            <w:vAlign w:val="bottom"/>
            <w:shd w:val="clear" w:color="auto" w:fill="808080"/>
          </w:tcPr>
          <w:p>
            <w:pPr>
              <w:spacing w:after="0"/>
              <w:rPr>
                <w:sz w:val="5"/>
                <w:szCs w:val="5"/>
                <w:color w:val="auto"/>
              </w:rPr>
            </w:pPr>
          </w:p>
        </w:tc>
        <w:tc>
          <w:tcPr>
            <w:tcW w:w="105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10.10.1*</w:t>
            </w: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Amended and Restated Employment, Confidentiality and Noncompete Agreement, dated March 7, 2016, by and between J. Christopher Hurt</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and Build-A-Bear Workshop, Inc. (incorporated by reference from Exhibit 10.7 on our Current Report on Form 8-K, filed on March 11, 2016)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260"/>
              <w:spacing w:after="0"/>
              <w:rPr>
                <w:sz w:val="20"/>
                <w:szCs w:val="20"/>
                <w:color w:val="auto"/>
              </w:rPr>
            </w:pPr>
            <w:r>
              <w:rPr>
                <w:rFonts w:ascii="Arial" w:cs="Arial" w:eastAsia="Arial" w:hAnsi="Arial"/>
                <w:sz w:val="18"/>
                <w:szCs w:val="18"/>
                <w:color w:val="auto"/>
                <w:w w:val="93"/>
              </w:rPr>
              <w:t>Form of Indemnification Agreement between the Registrant and its directors and executive officers (incorporated by reference from Exhibit</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10.11 to our Registration Statement on Form S-1, filed on August 12, 2004, Registration No. 333-118142)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260"/>
              <w:spacing w:after="0"/>
              <w:rPr>
                <w:sz w:val="20"/>
                <w:szCs w:val="20"/>
                <w:color w:val="auto"/>
              </w:rPr>
            </w:pPr>
            <w:r>
              <w:rPr>
                <w:rFonts w:ascii="Arial" w:cs="Arial" w:eastAsia="Arial" w:hAnsi="Arial"/>
                <w:sz w:val="18"/>
                <w:szCs w:val="18"/>
                <w:color w:val="auto"/>
                <w:w w:val="96"/>
              </w:rPr>
              <w:t>Third Amendment to Loan Documents among the Registrant, Shirts Illustrated, LLC, Build-A-Bear Workshop Franchise Holdings, Inc.,</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3"/>
              </w:rPr>
              <w:t>Build-A-Bear Entertainment, LLC, Build-A-Bear Retail Management, LLC (incorporated by reference from Exhibit 10.12 to our Registration</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Statement on Form S-1, filed on August 12, 2004, Registration No. 333-118142)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10.12.1</w:t>
            </w:r>
          </w:p>
        </w:tc>
        <w:tc>
          <w:tcPr>
            <w:tcW w:w="10500" w:type="dxa"/>
            <w:vAlign w:val="bottom"/>
          </w:tcPr>
          <w:p>
            <w:pPr>
              <w:ind w:left="260"/>
              <w:spacing w:after="0"/>
              <w:rPr>
                <w:sz w:val="20"/>
                <w:szCs w:val="20"/>
                <w:color w:val="auto"/>
              </w:rPr>
            </w:pPr>
            <w:r>
              <w:rPr>
                <w:rFonts w:ascii="Arial" w:cs="Arial" w:eastAsia="Arial" w:hAnsi="Arial"/>
                <w:sz w:val="18"/>
                <w:szCs w:val="18"/>
                <w:color w:val="auto"/>
                <w:w w:val="96"/>
              </w:rPr>
              <w:t>Fifth Amendment to Loan Documents among the Registrant, Shirts Illustrated, LLC, Build-A-Bear Workshop Franchise Holdings, Inc.,</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7"/>
              </w:rPr>
              <w:t>Build-A-Bear Entertainment, LLC, Build-A-Bear Retail Management, LLC (incorporated by reference from Exhibit 10.1 of our Current</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Report on Form 8-K, filed on July 10,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10.12.2</w:t>
            </w:r>
          </w:p>
        </w:tc>
        <w:tc>
          <w:tcPr>
            <w:tcW w:w="10500" w:type="dxa"/>
            <w:vAlign w:val="bottom"/>
          </w:tcPr>
          <w:p>
            <w:pPr>
              <w:ind w:left="260"/>
              <w:spacing w:after="0"/>
              <w:rPr>
                <w:sz w:val="20"/>
                <w:szCs w:val="20"/>
                <w:color w:val="auto"/>
              </w:rPr>
            </w:pPr>
            <w:r>
              <w:rPr>
                <w:rFonts w:ascii="Arial" w:cs="Arial" w:eastAsia="Arial" w:hAnsi="Arial"/>
                <w:sz w:val="18"/>
                <w:szCs w:val="18"/>
                <w:color w:val="auto"/>
                <w:w w:val="95"/>
              </w:rPr>
              <w:t>Sixth Amendment to Loan Documents between Build-A-Bear Workshop, Inc., Build-A-Bear Workshop Franchise Holdings, Inc. Build-A-</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5"/>
              </w:rPr>
              <w:t>Bear Entertainment, LLC, Build-A-Bear Retail Management, Inc., and Build-A-Bear Workshop UK Holdings Ltd., as borrowers, Build-A-</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0"/>
              </w:rPr>
              <w:t>Bear Workshop Canada, Ltd. and US Bank National Association, as lender entered into on and effective as of on June 19, 2007 (incorporated</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by reference from Exhibit 10.1 to our Current Report on Form 8-K filed on June 20,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10.12.3</w:t>
            </w: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Seventh Amendment to Loan Documents between Build-A-Bear Workshop, Inc., Build-A-Bear Workshop Franchise Holdings, Inc. Build-A-</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3"/>
              </w:rPr>
              <w:t>Bear Entertainment, LLC, and Build-A-Bear Retail Management, Inc., as borrowers, and US Bank National Association, as lender entered</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3"/>
              </w:rPr>
              <w:t>into as of on October 28, 2009 (incorporated by reference from Exhibit 10.1 to our Current Report on Form 8-K filed on October 29, 2009)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10.12.4</w:t>
            </w:r>
          </w:p>
        </w:tc>
        <w:tc>
          <w:tcPr>
            <w:tcW w:w="10500" w:type="dxa"/>
            <w:vAlign w:val="bottom"/>
          </w:tcPr>
          <w:p>
            <w:pPr>
              <w:ind w:left="260"/>
              <w:spacing w:after="0"/>
              <w:rPr>
                <w:sz w:val="20"/>
                <w:szCs w:val="20"/>
                <w:color w:val="auto"/>
              </w:rPr>
            </w:pPr>
            <w:r>
              <w:rPr>
                <w:rFonts w:ascii="Arial" w:cs="Arial" w:eastAsia="Arial" w:hAnsi="Arial"/>
                <w:sz w:val="18"/>
                <w:szCs w:val="18"/>
                <w:color w:val="auto"/>
                <w:w w:val="93"/>
              </w:rPr>
              <w:t>Eighth Amendment to Loan Documents between Build-A-Bear Workshop, Inc., Build-A-Bear Workshop Franchise Holdings, Inc., Build-A-</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Bear Entertainment, LLC, Build-A-Bear Retail Management, Inc., as Borrowers, and U.S. Bank National Association, as Lender, entered into</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3"/>
              </w:rPr>
              <w:t>effective as of December 31, 2010 (incorporated by reference to Exhibit 10.1 to our Current Report on Form 8-K filed on January 4, 2011)</w:t>
            </w:r>
          </w:p>
        </w:tc>
      </w:tr>
      <w:tr>
        <w:trPr>
          <w:trHeight w:val="472"/>
        </w:trPr>
        <w:tc>
          <w:tcPr>
            <w:tcW w:w="900" w:type="dxa"/>
            <w:vAlign w:val="bottom"/>
          </w:tcPr>
          <w:p>
            <w:pPr>
              <w:spacing w:after="0"/>
              <w:rPr>
                <w:sz w:val="20"/>
                <w:szCs w:val="20"/>
                <w:color w:val="auto"/>
              </w:rPr>
            </w:pPr>
            <w:r>
              <w:rPr>
                <w:rFonts w:ascii="Arial" w:cs="Arial" w:eastAsia="Arial" w:hAnsi="Arial"/>
                <w:sz w:val="18"/>
                <w:szCs w:val="18"/>
                <w:color w:val="auto"/>
              </w:rPr>
              <w:t>10.12.5</w:t>
            </w:r>
          </w:p>
        </w:tc>
        <w:tc>
          <w:tcPr>
            <w:tcW w:w="10500" w:type="dxa"/>
            <w:vAlign w:val="bottom"/>
          </w:tcPr>
          <w:p>
            <w:pPr>
              <w:ind w:left="260"/>
              <w:spacing w:after="0"/>
              <w:rPr>
                <w:sz w:val="20"/>
                <w:szCs w:val="20"/>
                <w:color w:val="auto"/>
              </w:rPr>
            </w:pPr>
            <w:r>
              <w:rPr>
                <w:rFonts w:ascii="Arial" w:cs="Arial" w:eastAsia="Arial" w:hAnsi="Arial"/>
                <w:sz w:val="18"/>
                <w:szCs w:val="18"/>
                <w:color w:val="auto"/>
                <w:w w:val="94"/>
              </w:rPr>
              <w:t>Ninth Amendment to Loan Documents between Build-A-Bear Workshop, Inc., Build-A-Bear Workshop Franchise Holdings, Inc., Build-A-</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Bear Entertainment, LLC, Build-A-Bear Retail Management, Inc., as Borrowers, and U.S. Bank National Association, as Lender, entered into</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effective as of December 30, 2011 (incorporated by reference from Exhibit 10.1 to our Current Report on Form 8-K, filed on January 4,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10.12.6</w:t>
            </w:r>
          </w:p>
        </w:tc>
        <w:tc>
          <w:tcPr>
            <w:tcW w:w="10500" w:type="dxa"/>
            <w:vAlign w:val="bottom"/>
          </w:tcPr>
          <w:p>
            <w:pPr>
              <w:ind w:left="260"/>
              <w:spacing w:after="0"/>
              <w:rPr>
                <w:sz w:val="20"/>
                <w:szCs w:val="20"/>
                <w:color w:val="auto"/>
              </w:rPr>
            </w:pPr>
            <w:r>
              <w:rPr>
                <w:rFonts w:ascii="Arial" w:cs="Arial" w:eastAsia="Arial" w:hAnsi="Arial"/>
                <w:sz w:val="18"/>
                <w:szCs w:val="18"/>
                <w:color w:val="auto"/>
                <w:w w:val="94"/>
              </w:rPr>
              <w:t>Tenth Amendment to Loan Documents between Build-A-Bear Workshop, Inc., Build-A-Bear Workshop Franchise Holdings, Inc., Build-A-</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Bear Entertainment, LLC, Build-A-Bear Retail Management, Inc., as Borrowers, and U.S. Bank National Association, as Lender, entered into</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7"/>
              </w:rPr>
              <w:t>effective as of June 30, 2012 (incorporated by reference from Exhibit 10.1 to our Current Report on Form 8-K, filed on July 26,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10.12.7</w:t>
            </w:r>
          </w:p>
        </w:tc>
        <w:tc>
          <w:tcPr>
            <w:tcW w:w="10500" w:type="dxa"/>
            <w:vAlign w:val="bottom"/>
          </w:tcPr>
          <w:p>
            <w:pPr>
              <w:ind w:left="260"/>
              <w:spacing w:after="0"/>
              <w:rPr>
                <w:sz w:val="20"/>
                <w:szCs w:val="20"/>
                <w:color w:val="auto"/>
              </w:rPr>
            </w:pPr>
            <w:r>
              <w:rPr>
                <w:rFonts w:ascii="Arial" w:cs="Arial" w:eastAsia="Arial" w:hAnsi="Arial"/>
                <w:sz w:val="18"/>
                <w:szCs w:val="18"/>
                <w:color w:val="auto"/>
                <w:w w:val="93"/>
              </w:rPr>
              <w:t>Eleventh Amendment to Loan Documents between Build-A-Bear Workshop, Inc., Build-A-Bear Workshop Franchise Holdings, Inc., Build-</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A-Bear Entertainment, LLC, Build-A-Bear Retail Management, Inc., as Borrowers, and U.S. Bank National Association, as Lender, entered</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into effective as of December 21, 2012 (incorporated by reference from Exhibit 10.1 to our Current Report on Form 8-K, filed on December</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21, 2012)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10.12.8</w:t>
            </w:r>
          </w:p>
        </w:tc>
        <w:tc>
          <w:tcPr>
            <w:tcW w:w="10500" w:type="dxa"/>
            <w:vAlign w:val="bottom"/>
          </w:tcPr>
          <w:p>
            <w:pPr>
              <w:ind w:left="260"/>
              <w:spacing w:after="0"/>
              <w:rPr>
                <w:sz w:val="20"/>
                <w:szCs w:val="20"/>
                <w:color w:val="auto"/>
              </w:rPr>
            </w:pPr>
            <w:r>
              <w:rPr>
                <w:rFonts w:ascii="Arial" w:cs="Arial" w:eastAsia="Arial" w:hAnsi="Arial"/>
                <w:sz w:val="18"/>
                <w:szCs w:val="18"/>
                <w:color w:val="auto"/>
                <w:w w:val="93"/>
              </w:rPr>
              <w:t>Twelfth Amendment to Loan Documents between Build-A-Bear Workshop, Inc., Build-A-Bear Workshop Franchise Holdings, Inc., Build-A-</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1"/>
              </w:rPr>
              <w:t>Bear Entertainment, LLC, Build-A-Bear Retail Management, Inc., as Borrowers, and U.S. Bank National Association, as Lender, entered into</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5"/>
              </w:rPr>
              <w:t>effective as of February 13, 2013 (incorporated by reference from Exhibit 10.1 to our Current Report on Form 8-K, filed on February 14,</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rPr>
              <w:t>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10.12.9</w:t>
            </w: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Thirteenth Amendment to Loan Documents between Build-A-Bear Workshop, Inc., Build-A-Bear Workshop Franchise Holdings, Inc., Build-</w:t>
            </w:r>
          </w:p>
        </w:tc>
      </w:tr>
      <w:tr>
        <w:trPr>
          <w:trHeight w:val="216"/>
        </w:trPr>
        <w:tc>
          <w:tcPr>
            <w:tcW w:w="900" w:type="dxa"/>
            <w:vAlign w:val="bottom"/>
          </w:tcPr>
          <w:p>
            <w:pPr>
              <w:spacing w:after="0"/>
              <w:rPr>
                <w:sz w:val="18"/>
                <w:szCs w:val="18"/>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A-Bear Entertainment, LLC, Build-A-Bear Retail Management, Inc., as Borrowers, and U.S. Bank National Association, as Lender, entered</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5"/>
              </w:rPr>
              <w:t>into effective as of April 30, 2013 (incorporated by reference from Exhibit 10.1 to our Current Report on Form 8-K, filed on May 2,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10.12.10</w:t>
            </w: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Fourteenth Amendment to Loan Documents between Build-A-Bear Workshop, Inc., Build-A-Bear Workshop Franchise Holdings, Inc., Build-</w:t>
            </w:r>
          </w:p>
        </w:tc>
      </w:tr>
      <w:tr>
        <w:trPr>
          <w:trHeight w:val="230"/>
        </w:trPr>
        <w:tc>
          <w:tcPr>
            <w:tcW w:w="9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color w:val="auto"/>
                <w:w w:val="92"/>
              </w:rPr>
              <w:t>A-Bear Entertainment, LLC, Build-A-Bear Retail Management, Inc., as Borrowers, and U.S. Bank National Association, as Lender, entered</w:t>
            </w:r>
          </w:p>
        </w:tc>
      </w:tr>
    </w:tbl>
    <w:p>
      <w:pPr>
        <w:ind w:left="1160" w:right="240"/>
        <w:spacing w:after="0" w:line="261" w:lineRule="auto"/>
        <w:rPr>
          <w:sz w:val="20"/>
          <w:szCs w:val="20"/>
          <w:color w:val="auto"/>
        </w:rPr>
      </w:pPr>
      <w:r>
        <w:rPr>
          <w:rFonts w:ascii="Arial" w:cs="Arial" w:eastAsia="Arial" w:hAnsi="Arial"/>
          <w:sz w:val="18"/>
          <w:szCs w:val="18"/>
          <w:color w:val="auto"/>
        </w:rPr>
        <w:t>into effective as of January 22, 2014 (incorporated by reference from Exhibit 10.1 to our Current Report on Form 8-K, filed on January 23, 2014)</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10.12.11</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Fifteenth Amendment to Loan Documents between Build-A-Bear Workshop, Inc., Build-A-Bear Workshop Franchise Holdings, Inc., Build-</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A-Bear Entertainment, LLC, Build-A-Bear Retail Management, Inc., as Borrowers, and U.S. Bank National Association, as Lender, entered</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5"/>
              </w:rPr>
              <w:t>into effective as of January 2, 2015 (incorporated by reference from Exhibit 10.1 to our Current Report on Form 8-K, filed on January 7,</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2015)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10.12.12</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Third Amended and Restated Loan Agreement between the Registrant, Shirts Illustrated, LLC, Build-A-Bear Workshop Franchise Holdings,</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Inc., Build-A-Bear Entertainment, LLC, and Build-A-Bear Retail Management, Inc., as borrowers, and U.S. Bank National Association, as</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6"/>
              </w:rPr>
              <w:t>Lender, entered into on September 27, 2005 with an effective date of May 31, 2005 (incorporated by reference from Exhibit 10.1 to our</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Current Report on Form 8-K, filed on October 3,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10.12.13</w:t>
            </w: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Second Amended and Restated Revolving Credit Note dated May 31, 2005 by the Registrant, Shirts Illustrated, LLC, Build-A-Bear Workshop</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Franchise Holdings, Inc., Build-A-Bear Entertainment, LLC, and Build-A-Bear Retail Management, Inc., as Borrowers, in favor of U.S. Bank</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National Association (incorporated by reference from Exhibit 10.2 to our Current Report on Form 8-K, filed on October 3,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10.12.14</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Fourth Amended and Restated Loan Agreement between the Registrant, Build-A-Bear Workshop Franchise Holdings, Inc., Build-A-Bear</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Entertainment, LLC, Build-A-Bear Retail Management, Inc., as borrowers, and U.S. Bank National Association, as lender, dated as of August</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11, 2008 (incorporated by reference from Exhibit 10.1 to our Current Report on Form 8-K, filed on August 13, 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10.12.15</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Fourth Amended And Restated Revolving Credit Note dated as of October 28, 2009 by the Registrant, Franchise Holdings, Inc., Build-A-</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5"/>
              </w:rPr>
              <w:t>Bear Entertainment, LLC (“BABE”), and Build-A-Bear Retail Management, Inc., as borrowers, in favor of U.S. Bank National Association</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10.2 to our Current Report on Form 8-K, filed on August 13, 2008)</w:t>
            </w:r>
          </w:p>
        </w:tc>
      </w:tr>
      <w:tr>
        <w:trPr>
          <w:trHeight w:val="472"/>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Standard Form Industrial Building Lease dated August 28, 2004 between First Industrial, L.P. and the Registrant (incorporated by reference</w:t>
            </w:r>
          </w:p>
        </w:tc>
      </w:tr>
      <w:tr>
        <w:trPr>
          <w:trHeight w:val="216"/>
        </w:trPr>
        <w:tc>
          <w:tcPr>
            <w:tcW w:w="90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from Exhibit 10.35 to Pre-Effective Amendment No. 4 to our Registration Statement on Form S-1, filed on October 5, 2004, Registration No.</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333-118142)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10.13.1</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Third Amendment to Lease between First Industrial, L.P. and Registrant, dated as of November 21, 2007 (incorporated by reference from</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Exhibit 10.19.1 to our Annual Report on Form 10-K, filed on March 15, 2012)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10.13.2</w:t>
            </w:r>
          </w:p>
        </w:tc>
        <w:tc>
          <w:tcPr>
            <w:tcW w:w="10560" w:type="dxa"/>
            <w:vAlign w:val="bottom"/>
          </w:tcPr>
          <w:p>
            <w:pPr>
              <w:ind w:left="260"/>
              <w:spacing w:after="0"/>
              <w:rPr>
                <w:sz w:val="20"/>
                <w:szCs w:val="20"/>
                <w:color w:val="auto"/>
              </w:rPr>
            </w:pPr>
            <w:r>
              <w:rPr>
                <w:rFonts w:ascii="Arial" w:cs="Arial" w:eastAsia="Arial" w:hAnsi="Arial"/>
                <w:sz w:val="18"/>
                <w:szCs w:val="18"/>
                <w:color w:val="auto"/>
                <w:w w:val="93"/>
              </w:rPr>
              <w:t>Fourth Amendment to Lease between First Industrial, L.P. and Registrant, dated as of November 21, 2007 (incorporated by reference from</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Exhibit 10.19.2 to our Annual Report on Form 10-K, filed on March 15, 2012)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10.13.3</w:t>
            </w:r>
          </w:p>
        </w:tc>
        <w:tc>
          <w:tcPr>
            <w:tcW w:w="10560" w:type="dxa"/>
            <w:vAlign w:val="bottom"/>
          </w:tcPr>
          <w:p>
            <w:pPr>
              <w:ind w:left="260"/>
              <w:spacing w:after="0"/>
              <w:rPr>
                <w:sz w:val="20"/>
                <w:szCs w:val="20"/>
                <w:color w:val="auto"/>
              </w:rPr>
            </w:pPr>
            <w:r>
              <w:rPr>
                <w:rFonts w:ascii="Arial" w:cs="Arial" w:eastAsia="Arial" w:hAnsi="Arial"/>
                <w:sz w:val="18"/>
                <w:szCs w:val="18"/>
                <w:color w:val="auto"/>
              </w:rPr>
              <w:t>Fifth Amendment to Lease between First Industrial, L.P. and Registrant, dated as of October 3, 2013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Facility Construction Agreement dated December 22, 2005 between the Registrant and Duke Construction Limited Partnership (incorporated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by reference from Exhibit 10.35 to our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Real Estate Purchase Agreement dated December 19, 2005 between Duke Realty Ohio and the Registrant (incorporated by reference from</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Exhibit 10.36 to our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Nonqualified Deferred Compensation Plan (incorporated by reference from Exhibit 10.42 to our Annual Report on Form 10-K, for the year</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ended December 30,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11.1</w:t>
            </w: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Statement regarding computation of earnings per share (incorporated by reference from Note 10 of the Registrant’s audited consolidated</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financial statements included herein)</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0560" w:type="dxa"/>
            <w:vAlign w:val="bottom"/>
          </w:tcPr>
          <w:p>
            <w:pPr>
              <w:ind w:left="260"/>
              <w:spacing w:after="0"/>
              <w:rPr>
                <w:sz w:val="20"/>
                <w:szCs w:val="20"/>
                <w:color w:val="auto"/>
              </w:rPr>
            </w:pPr>
            <w:r>
              <w:rPr>
                <w:rFonts w:ascii="Arial" w:cs="Arial" w:eastAsia="Arial" w:hAnsi="Arial"/>
                <w:sz w:val="18"/>
                <w:szCs w:val="18"/>
                <w:color w:val="auto"/>
              </w:rPr>
              <w:t>List of Subsidiaries of the Registrant</w:t>
            </w:r>
          </w:p>
        </w:tc>
      </w:tr>
      <w:tr>
        <w:trPr>
          <w:trHeight w:val="729"/>
        </w:trPr>
        <w:tc>
          <w:tcPr>
            <w:tcW w:w="900" w:type="dxa"/>
            <w:vAlign w:val="bottom"/>
          </w:tcPr>
          <w:p>
            <w:pPr>
              <w:spacing w:after="0"/>
              <w:rPr>
                <w:sz w:val="24"/>
                <w:szCs w:val="24"/>
                <w:color w:val="auto"/>
              </w:rPr>
            </w:pPr>
          </w:p>
        </w:tc>
        <w:tc>
          <w:tcPr>
            <w:tcW w:w="10560" w:type="dxa"/>
            <w:vAlign w:val="bottom"/>
          </w:tcPr>
          <w:p>
            <w:pPr>
              <w:ind w:left="4720"/>
              <w:spacing w:after="0"/>
              <w:rPr>
                <w:sz w:val="20"/>
                <w:szCs w:val="20"/>
                <w:color w:val="auto"/>
              </w:rPr>
            </w:pPr>
            <w:r>
              <w:rPr>
                <w:rFonts w:ascii="Arial" w:cs="Arial" w:eastAsia="Arial" w:hAnsi="Arial"/>
                <w:sz w:val="18"/>
                <w:szCs w:val="18"/>
                <w:color w:val="auto"/>
              </w:rPr>
              <w:t>60</w:t>
            </w:r>
          </w:p>
        </w:tc>
      </w:tr>
      <w:tr>
        <w:trPr>
          <w:trHeight w:val="105"/>
        </w:trPr>
        <w:tc>
          <w:tcPr>
            <w:tcW w:w="900" w:type="dxa"/>
            <w:vAlign w:val="bottom"/>
          </w:tcPr>
          <w:p>
            <w:pPr>
              <w:spacing w:after="0"/>
              <w:rPr>
                <w:sz w:val="9"/>
                <w:szCs w:val="9"/>
                <w:color w:val="auto"/>
              </w:rPr>
            </w:pPr>
          </w:p>
        </w:tc>
        <w:tc>
          <w:tcPr>
            <w:tcW w:w="10560" w:type="dxa"/>
            <w:vAlign w:val="bottom"/>
          </w:tcPr>
          <w:p>
            <w:pPr>
              <w:spacing w:after="0"/>
              <w:rPr>
                <w:sz w:val="9"/>
                <w:szCs w:val="9"/>
                <w:color w:val="auto"/>
              </w:rPr>
            </w:pPr>
          </w:p>
        </w:tc>
      </w:tr>
      <w:tr>
        <w:trPr>
          <w:trHeight w:val="61"/>
        </w:trPr>
        <w:tc>
          <w:tcPr>
            <w:tcW w:w="900" w:type="dxa"/>
            <w:vAlign w:val="bottom"/>
            <w:shd w:val="clear" w:color="auto" w:fill="808080"/>
          </w:tcPr>
          <w:p>
            <w:pPr>
              <w:spacing w:after="0"/>
              <w:rPr>
                <w:sz w:val="5"/>
                <w:szCs w:val="5"/>
                <w:color w:val="auto"/>
              </w:rPr>
            </w:pPr>
          </w:p>
        </w:tc>
        <w:tc>
          <w:tcPr>
            <w:tcW w:w="105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Executive Officer</w:t>
            </w:r>
          </w:p>
        </w:tc>
      </w:tr>
      <w:tr>
        <w:trPr>
          <w:trHeight w:val="230"/>
        </w:trPr>
        <w:tc>
          <w:tcPr>
            <w:tcW w:w="9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and Chief President Bear)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Financial Officer)</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tcPr>
          <w:p>
            <w:pPr>
              <w:ind w:left="240"/>
              <w:spacing w:after="0"/>
              <w:rPr>
                <w:sz w:val="20"/>
                <w:szCs w:val="20"/>
                <w:color w:val="auto"/>
              </w:rPr>
            </w:pPr>
            <w:r>
              <w:rPr>
                <w:rFonts w:ascii="Arial" w:cs="Arial" w:eastAsia="Arial" w:hAnsi="Arial"/>
                <w:sz w:val="18"/>
                <w:szCs w:val="18"/>
                <w:color w:val="auto"/>
                <w:w w:val="92"/>
              </w:rPr>
              <w:t>Section 1350 Certification (pursuant to Section 906 of the Sarbanes-Oxley Act of 2002, executed by the Chief Executive Officer and Chief</w:t>
            </w:r>
          </w:p>
        </w:tc>
      </w:tr>
      <w:tr>
        <w:trPr>
          <w:trHeight w:val="230"/>
        </w:trPr>
        <w:tc>
          <w:tcPr>
            <w:tcW w:w="9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President Bear)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360" w:type="dxa"/>
            <w:vAlign w:val="bottom"/>
          </w:tcPr>
          <w:p>
            <w:pPr>
              <w:ind w:left="240"/>
              <w:spacing w:after="0"/>
              <w:rPr>
                <w:sz w:val="20"/>
                <w:szCs w:val="20"/>
                <w:color w:val="auto"/>
              </w:rPr>
            </w:pPr>
            <w:r>
              <w:rPr>
                <w:rFonts w:ascii="Arial" w:cs="Arial" w:eastAsia="Arial" w:hAnsi="Arial"/>
                <w:sz w:val="18"/>
                <w:szCs w:val="18"/>
                <w:color w:val="auto"/>
                <w:w w:val="99"/>
              </w:rPr>
              <w:t>Section 1350 Certification (pursuant to Section 906 of the Sarbanes-Oxley Act of 2002, executed by the Chief Financial Officer)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Instance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Extension Schema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Extension Calculation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Extension Definition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Extension Label</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Extension Presentation</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BUILD-A-BEAR WORKSHOP, INC.</w:t>
            </w:r>
          </w:p>
        </w:tc>
      </w:tr>
      <w:tr>
        <w:trPr>
          <w:trHeight w:val="230"/>
        </w:trPr>
        <w:tc>
          <w:tcPr>
            <w:tcW w:w="3740" w:type="dxa"/>
            <w:vAlign w:val="bottom"/>
          </w:tcPr>
          <w:p>
            <w:pPr>
              <w:spacing w:after="0"/>
              <w:rPr>
                <w:sz w:val="20"/>
                <w:szCs w:val="20"/>
                <w:color w:val="auto"/>
              </w:rPr>
            </w:pP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(Registrant)</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March 17, 2016</w:t>
            </w:r>
          </w:p>
        </w:tc>
        <w:tc>
          <w:tcPr>
            <w:tcW w:w="2560" w:type="dxa"/>
            <w:vAlign w:val="bottom"/>
          </w:tcPr>
          <w:p>
            <w:pPr>
              <w:ind w:left="21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John</w:t>
            </w:r>
          </w:p>
        </w:tc>
      </w:tr>
      <w:tr>
        <w:trPr>
          <w:trHeight w:val="195"/>
        </w:trPr>
        <w:tc>
          <w:tcPr>
            <w:tcW w:w="3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Sharon John</w:t>
            </w:r>
          </w:p>
        </w:tc>
      </w:tr>
      <w:tr>
        <w:trPr>
          <w:trHeight w:val="230"/>
        </w:trPr>
        <w:tc>
          <w:tcPr>
            <w:tcW w:w="3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Executive Officer and Chief President Bear</w:t>
            </w:r>
          </w:p>
        </w:tc>
      </w:tr>
      <w:tr>
        <w:trPr>
          <w:trHeight w:val="432"/>
        </w:trPr>
        <w:tc>
          <w:tcPr>
            <w:tcW w:w="3740" w:type="dxa"/>
            <w:vAlign w:val="bottom"/>
          </w:tcPr>
          <w:p>
            <w:pPr>
              <w:spacing w:after="0"/>
              <w:rPr>
                <w:sz w:val="24"/>
                <w:szCs w:val="24"/>
                <w:color w:val="auto"/>
              </w:rPr>
            </w:pPr>
          </w:p>
        </w:tc>
        <w:tc>
          <w:tcPr>
            <w:tcW w:w="2560" w:type="dxa"/>
            <w:vAlign w:val="bottom"/>
          </w:tcPr>
          <w:p>
            <w:pPr>
              <w:ind w:left="21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Voin Todorovic</w:t>
            </w:r>
          </w:p>
        </w:tc>
      </w:tr>
      <w:tr>
        <w:trPr>
          <w:trHeight w:val="195"/>
        </w:trPr>
        <w:tc>
          <w:tcPr>
            <w:tcW w:w="3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Voin Todorovic</w:t>
            </w:r>
          </w:p>
        </w:tc>
      </w:tr>
      <w:tr>
        <w:trPr>
          <w:trHeight w:val="230"/>
        </w:trPr>
        <w:tc>
          <w:tcPr>
            <w:tcW w:w="3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January 3, 2015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Signatures</w:t>
            </w:r>
          </w:p>
        </w:tc>
        <w:tc>
          <w:tcPr>
            <w:tcW w:w="4580" w:type="dxa"/>
            <w:vAlign w:val="bottom"/>
          </w:tcPr>
          <w:p>
            <w:pPr>
              <w:ind w:left="212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18"/>
                <w:szCs w:val="18"/>
                <w:color w:val="auto"/>
              </w:rPr>
            </w:pPr>
          </w:p>
        </w:tc>
        <w:tc>
          <w:tcPr>
            <w:tcW w:w="1700" w:type="dxa"/>
            <w:vAlign w:val="bottom"/>
          </w:tcPr>
          <w:p>
            <w:pPr>
              <w:ind w:left="660"/>
              <w:spacing w:after="0"/>
              <w:rPr>
                <w:sz w:val="20"/>
                <w:szCs w:val="20"/>
                <w:color w:val="auto"/>
              </w:rPr>
            </w:pPr>
            <w:r>
              <w:rPr>
                <w:rFonts w:ascii="Arial" w:cs="Arial" w:eastAsia="Arial" w:hAnsi="Arial"/>
                <w:sz w:val="18"/>
                <w:szCs w:val="18"/>
                <w:b w:val="1"/>
                <w:bCs w:val="1"/>
                <w:color w:val="auto"/>
              </w:rPr>
              <w:t>Date</w:t>
            </w: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413"/>
        </w:trPr>
        <w:tc>
          <w:tcPr>
            <w:tcW w:w="4920" w:type="dxa"/>
            <w:vAlign w:val="bottom"/>
            <w:gridSpan w:val="3"/>
          </w:tcPr>
          <w:p>
            <w:pPr>
              <w:spacing w:after="0"/>
              <w:rPr>
                <w:sz w:val="20"/>
                <w:szCs w:val="20"/>
                <w:color w:val="auto"/>
              </w:rPr>
            </w:pPr>
            <w:r>
              <w:rPr>
                <w:rFonts w:ascii="Arial" w:cs="Arial" w:eastAsia="Arial" w:hAnsi="Arial"/>
                <w:sz w:val="18"/>
                <w:szCs w:val="18"/>
                <w:color w:val="auto"/>
              </w:rPr>
              <w:t>/s/ Mary Lou Fiala</w:t>
            </w:r>
          </w:p>
        </w:tc>
        <w:tc>
          <w:tcPr>
            <w:tcW w:w="4580" w:type="dxa"/>
            <w:vAlign w:val="bottom"/>
          </w:tcPr>
          <w:p>
            <w:pPr>
              <w:spacing w:after="0"/>
              <w:rPr>
                <w:sz w:val="20"/>
                <w:szCs w:val="20"/>
                <w:color w:val="auto"/>
              </w:rPr>
            </w:pPr>
            <w:r>
              <w:rPr>
                <w:rFonts w:ascii="Arial" w:cs="Arial" w:eastAsia="Arial" w:hAnsi="Arial"/>
                <w:sz w:val="18"/>
                <w:szCs w:val="18"/>
                <w:color w:val="auto"/>
              </w:rPr>
              <w:t>Non-Executive Chairman</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Mary Lou Fiala</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920" w:type="dxa"/>
            <w:vAlign w:val="bottom"/>
            <w:gridSpan w:val="3"/>
          </w:tcPr>
          <w:p>
            <w:pPr>
              <w:spacing w:after="0"/>
              <w:rPr>
                <w:sz w:val="20"/>
                <w:szCs w:val="20"/>
                <w:color w:val="auto"/>
              </w:rPr>
            </w:pPr>
            <w:r>
              <w:rPr>
                <w:rFonts w:ascii="Arial" w:cs="Arial" w:eastAsia="Arial" w:hAnsi="Arial"/>
                <w:sz w:val="18"/>
                <w:szCs w:val="18"/>
                <w:color w:val="auto"/>
              </w:rPr>
              <w:t>/s/ Maxine Clark</w:t>
            </w: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Maxine Clark</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920" w:type="dxa"/>
            <w:vAlign w:val="bottom"/>
            <w:gridSpan w:val="3"/>
          </w:tcPr>
          <w:p>
            <w:pPr>
              <w:spacing w:after="0"/>
              <w:rPr>
                <w:sz w:val="20"/>
                <w:szCs w:val="20"/>
                <w:color w:val="auto"/>
              </w:rPr>
            </w:pPr>
            <w:r>
              <w:rPr>
                <w:rFonts w:ascii="Arial" w:cs="Arial" w:eastAsia="Arial" w:hAnsi="Arial"/>
                <w:sz w:val="18"/>
                <w:szCs w:val="18"/>
                <w:color w:val="auto"/>
              </w:rPr>
              <w:t>/s/ James M. Gould</w:t>
            </w: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M. Gould</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920" w:type="dxa"/>
            <w:vAlign w:val="bottom"/>
            <w:gridSpan w:val="3"/>
          </w:tcPr>
          <w:p>
            <w:pPr>
              <w:spacing w:after="0"/>
              <w:rPr>
                <w:sz w:val="20"/>
                <w:szCs w:val="20"/>
                <w:color w:val="auto"/>
              </w:rPr>
            </w:pPr>
            <w:r>
              <w:rPr>
                <w:rFonts w:ascii="Arial" w:cs="Arial" w:eastAsia="Arial" w:hAnsi="Arial"/>
                <w:sz w:val="18"/>
                <w:szCs w:val="18"/>
                <w:color w:val="auto"/>
              </w:rPr>
              <w:t>/s/ Timothy Kilpin</w:t>
            </w: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Timothy Kilpin</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920" w:type="dxa"/>
            <w:vAlign w:val="bottom"/>
            <w:gridSpan w:val="3"/>
          </w:tcPr>
          <w:p>
            <w:pPr>
              <w:spacing w:after="0"/>
              <w:rPr>
                <w:sz w:val="20"/>
                <w:szCs w:val="20"/>
                <w:color w:val="auto"/>
              </w:rPr>
            </w:pPr>
            <w:r>
              <w:rPr>
                <w:rFonts w:ascii="Arial" w:cs="Arial" w:eastAsia="Arial" w:hAnsi="Arial"/>
                <w:sz w:val="18"/>
                <w:szCs w:val="18"/>
                <w:color w:val="auto"/>
              </w:rPr>
              <w:t>/s/ Braden Leonard</w:t>
            </w: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Braden Leonard</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920" w:type="dxa"/>
            <w:vAlign w:val="bottom"/>
            <w:gridSpan w:val="3"/>
          </w:tcPr>
          <w:p>
            <w:pPr>
              <w:spacing w:after="0"/>
              <w:rPr>
                <w:sz w:val="20"/>
                <w:szCs w:val="20"/>
                <w:color w:val="auto"/>
              </w:rPr>
            </w:pPr>
            <w:r>
              <w:rPr>
                <w:rFonts w:ascii="Arial" w:cs="Arial" w:eastAsia="Arial" w:hAnsi="Arial"/>
                <w:sz w:val="18"/>
                <w:szCs w:val="18"/>
                <w:color w:val="auto"/>
              </w:rPr>
              <w:t>/s/ Sarah Personette</w:t>
            </w: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Sarah Personette</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920" w:type="dxa"/>
            <w:vAlign w:val="bottom"/>
            <w:gridSpan w:val="3"/>
          </w:tcPr>
          <w:p>
            <w:pPr>
              <w:spacing w:after="0"/>
              <w:rPr>
                <w:sz w:val="20"/>
                <w:szCs w:val="20"/>
                <w:color w:val="auto"/>
              </w:rPr>
            </w:pPr>
            <w:r>
              <w:rPr>
                <w:rFonts w:ascii="Arial" w:cs="Arial" w:eastAsia="Arial" w:hAnsi="Arial"/>
                <w:sz w:val="18"/>
                <w:szCs w:val="18"/>
                <w:color w:val="auto"/>
              </w:rPr>
              <w:t>/s/ Coleman Peterson</w:t>
            </w: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Coleman Peterson</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920" w:type="dxa"/>
            <w:vAlign w:val="bottom"/>
            <w:gridSpan w:val="3"/>
          </w:tcPr>
          <w:p>
            <w:pPr>
              <w:spacing w:after="0"/>
              <w:rPr>
                <w:sz w:val="20"/>
                <w:szCs w:val="20"/>
                <w:color w:val="auto"/>
              </w:rPr>
            </w:pPr>
            <w:r>
              <w:rPr>
                <w:rFonts w:ascii="Arial" w:cs="Arial" w:eastAsia="Arial" w:hAnsi="Arial"/>
                <w:sz w:val="18"/>
                <w:szCs w:val="18"/>
                <w:color w:val="auto"/>
              </w:rPr>
              <w:t>/s/ Michael Shaffer</w:t>
            </w: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Shaffer</w:t>
            </w: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920" w:type="dxa"/>
            <w:vAlign w:val="bottom"/>
            <w:gridSpan w:val="3"/>
          </w:tcPr>
          <w:p>
            <w:pPr>
              <w:spacing w:after="0"/>
              <w:rPr>
                <w:sz w:val="20"/>
                <w:szCs w:val="20"/>
                <w:color w:val="auto"/>
              </w:rPr>
            </w:pPr>
            <w:r>
              <w:rPr>
                <w:rFonts w:ascii="Arial" w:cs="Arial" w:eastAsia="Arial" w:hAnsi="Arial"/>
                <w:sz w:val="18"/>
                <w:szCs w:val="18"/>
                <w:color w:val="auto"/>
              </w:rPr>
              <w:t>/s/ Sharon John</w:t>
            </w:r>
          </w:p>
        </w:tc>
        <w:tc>
          <w:tcPr>
            <w:tcW w:w="4580" w:type="dxa"/>
            <w:vAlign w:val="bottom"/>
          </w:tcPr>
          <w:p>
            <w:pPr>
              <w:spacing w:after="0"/>
              <w:rPr>
                <w:sz w:val="20"/>
                <w:szCs w:val="20"/>
                <w:color w:val="auto"/>
              </w:rPr>
            </w:pPr>
            <w:r>
              <w:rPr>
                <w:rFonts w:ascii="Arial" w:cs="Arial" w:eastAsia="Arial" w:hAnsi="Arial"/>
                <w:sz w:val="18"/>
                <w:szCs w:val="18"/>
                <w:color w:val="auto"/>
                <w:w w:val="92"/>
              </w:rPr>
              <w:t>Director and Chief Executive Officer and Chief President Bear</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Sharon John</w:t>
            </w:r>
          </w:p>
        </w:tc>
        <w:tc>
          <w:tcPr>
            <w:tcW w:w="2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8"/>
        </w:trPr>
        <w:tc>
          <w:tcPr>
            <w:tcW w:w="4920" w:type="dxa"/>
            <w:vAlign w:val="bottom"/>
            <w:gridSpan w:val="3"/>
          </w:tcPr>
          <w:p>
            <w:pPr>
              <w:spacing w:after="0"/>
              <w:rPr>
                <w:sz w:val="20"/>
                <w:szCs w:val="20"/>
                <w:color w:val="auto"/>
              </w:rPr>
            </w:pPr>
            <w:r>
              <w:rPr>
                <w:rFonts w:ascii="Arial" w:cs="Arial" w:eastAsia="Arial" w:hAnsi="Arial"/>
                <w:sz w:val="18"/>
                <w:szCs w:val="18"/>
                <w:color w:val="auto"/>
              </w:rPr>
              <w:t>/s/ Voin Todorovic</w:t>
            </w: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March 17, 2016</w:t>
            </w:r>
          </w:p>
        </w:tc>
      </w:tr>
      <w:tr>
        <w:trPr>
          <w:trHeight w:val="224"/>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Voin Todorovic</w:t>
            </w:r>
          </w:p>
        </w:tc>
        <w:tc>
          <w:tcPr>
            <w:tcW w:w="2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Build-A-Bear Workshop, Inc., a Delaware corporation (“Company”), and Gina Collins (“Employee”) entered into an Employment, Confidentiality and Noncompete Agreement effective as of January 20, 2014 (“Prior Agreement”). This Amended and Restated Employment, Confidentiality and Noncompete Agreement (“Agreement”) is entered into effective as of March 7, 2016 (“Effective Date”) by and between the Company and Employee and completely amends and supersedes the Prior Agreement.</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desires to continue to employ and Employee desires to be employed as the Chief Marketing Officer and Brand Bear of Company from and after the Effective Date.</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Company has pioneered the retail concept of “make your own” stuffed plush toys, including animals and dolls, and is engaged in, among other things, the business of production, marketing, promotion and distribution of plush stuffed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Company is headquartered and its principal place of business is located in, and this Agreement is being signed in, St. Louis, Missouri.</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conducts business in selected locations throughout the United States and internationally directly and through franchise arrangements.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success of Company depends to a substantial extent upon the protection of its Confidential Information and goodwill by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its employees.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ind w:left="1640" w:hanging="355"/>
        <w:spacing w:after="0"/>
        <w:tabs>
          <w:tab w:leader="none" w:pos="1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Employment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2034"/>
        <w:spacing w:after="0" w:line="259" w:lineRule="auto"/>
        <w:tabs>
          <w:tab w:leader="none" w:pos="2511" w:val="left"/>
        </w:tabs>
        <w:numPr>
          <w:ilvl w:val="2"/>
          <w:numId w:val="34"/>
        </w:numPr>
        <w:rPr>
          <w:rFonts w:ascii="Arial" w:cs="Arial" w:eastAsia="Arial" w:hAnsi="Arial"/>
          <w:sz w:val="18"/>
          <w:szCs w:val="18"/>
          <w:color w:val="auto"/>
        </w:rPr>
      </w:pPr>
      <w:r>
        <w:rPr>
          <w:rFonts w:ascii="Arial" w:cs="Arial" w:eastAsia="Arial" w:hAnsi="Arial"/>
          <w:sz w:val="18"/>
          <w:szCs w:val="18"/>
          <w:color w:val="auto"/>
        </w:rPr>
        <w:t>As of the Effective Date, Employee shall continue to be employed by Company, and Employee accepts such continued employment, upon the terms and conditions hereinafter set forth. Employee shall serve as Chief Marketing Officer and Brand Bear throughout the Employment Period, and agrees to do so on a full-time basis. Employee shall carry out such duties as are assigned to her by Company’s Chief Executive Officer.</w:t>
      </w:r>
    </w:p>
    <w:p>
      <w:pPr>
        <w:spacing w:after="0" w:line="186" w:lineRule="exact"/>
        <w:rPr>
          <w:rFonts w:ascii="Arial" w:cs="Arial" w:eastAsia="Arial" w:hAnsi="Arial"/>
          <w:sz w:val="18"/>
          <w:szCs w:val="18"/>
          <w:color w:val="auto"/>
        </w:rPr>
      </w:pPr>
    </w:p>
    <w:p>
      <w:pPr>
        <w:jc w:val="both"/>
        <w:ind w:left="-20" w:firstLine="2034"/>
        <w:spacing w:after="0" w:line="279" w:lineRule="auto"/>
        <w:tabs>
          <w:tab w:leader="none" w:pos="2441" w:val="left"/>
        </w:tabs>
        <w:numPr>
          <w:ilvl w:val="2"/>
          <w:numId w:val="34"/>
        </w:numPr>
        <w:rPr>
          <w:rFonts w:ascii="Arial" w:cs="Arial" w:eastAsia="Arial" w:hAnsi="Arial"/>
          <w:sz w:val="17"/>
          <w:szCs w:val="17"/>
          <w:color w:val="auto"/>
        </w:rPr>
      </w:pPr>
      <w:r>
        <w:rPr>
          <w:rFonts w:ascii="Arial" w:cs="Arial" w:eastAsia="Arial" w:hAnsi="Arial"/>
          <w:sz w:val="17"/>
          <w:szCs w:val="17"/>
          <w:color w:val="auto"/>
        </w:rPr>
        <w:t>Employee agrees that throughout Employee’s employment with Company, Employee will (i) faithfully render such services as may be delegated reasonably to Employee by Company, (ii) devote substantially all of Employee’s entire business time, good faith, best efforts, ability, skill and attention to Company’s business, and (iii) follow and act in accordance with all of the rules, policies and procedures of Company which are applicable to its senior executives, including but not limited to working hours, sales and promotion policies, and specific Company rules.</w:t>
      </w:r>
    </w:p>
    <w:p>
      <w:pPr>
        <w:spacing w:after="0" w:line="171" w:lineRule="exact"/>
        <w:rPr>
          <w:rFonts w:ascii="Arial" w:cs="Arial" w:eastAsia="Arial" w:hAnsi="Arial"/>
          <w:sz w:val="17"/>
          <w:szCs w:val="17"/>
          <w:color w:val="auto"/>
        </w:rPr>
      </w:pPr>
    </w:p>
    <w:p>
      <w:pPr>
        <w:jc w:val="both"/>
        <w:ind w:left="-20" w:right="20" w:firstLine="2034"/>
        <w:spacing w:after="0" w:line="264" w:lineRule="auto"/>
        <w:tabs>
          <w:tab w:leader="none" w:pos="2457"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“Company” means Build-A-Bear Workshop, Inc. or one of its Subsidiaries. The term “Subsidiary” means any corporation, joint venture or other business organization in which Build-A-Bear Workshop, Inc. now or hereafter, directly or indirectly, owns or controls more than fifty percent (50%) interest.</w:t>
      </w:r>
    </w:p>
    <w:p>
      <w:pPr>
        <w:spacing w:after="0" w:line="181" w:lineRule="exact"/>
        <w:rPr>
          <w:rFonts w:ascii="Arial" w:cs="Arial" w:eastAsia="Arial" w:hAnsi="Arial"/>
          <w:sz w:val="18"/>
          <w:szCs w:val="18"/>
          <w:color w:val="auto"/>
        </w:rPr>
      </w:pPr>
    </w:p>
    <w:p>
      <w:pPr>
        <w:jc w:val="both"/>
        <w:ind w:left="-20" w:firstLine="1305"/>
        <w:spacing w:after="0" w:line="255" w:lineRule="auto"/>
        <w:tabs>
          <w:tab w:leader="none" w:pos="169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The term of this Agreement shall commence on the Effective Date first set forth above, and shall end on the third anniversary of the Effective Date, unless sooner terminated as provided in Section 4 hereof (the “Renewal Term”). Following the Renewal Term, this Agreement shall renew for successive one-year periods (each a “Renewal Period”; collectively, the Renewal Term and each Renewal Period, the “Employment Period”), unless either party notifies the other party of its decision not to renew the Agreement at least sixty (60) days prior to the third anniversary of the Effective Date or the expiration of any Renewal Period, or unless the Agreement is sooner terminated as provided in Section 4 hereof. For the avoidance of doubt, if either party provides notice of non-renewal of the Agreement at least sixty (60) days prior to the end of the Renewal Term or the end of any Renewal Period, then the Agreement shall expire.</w:t>
      </w:r>
    </w:p>
    <w:p>
      <w:pPr>
        <w:spacing w:after="0" w:line="189" w:lineRule="exact"/>
        <w:rPr>
          <w:rFonts w:ascii="Arial" w:cs="Arial" w:eastAsia="Arial" w:hAnsi="Arial"/>
          <w:sz w:val="18"/>
          <w:szCs w:val="18"/>
          <w:color w:val="auto"/>
        </w:rPr>
      </w:pPr>
    </w:p>
    <w:p>
      <w:pPr>
        <w:ind w:left="1680" w:hanging="395"/>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97" w:lineRule="auto"/>
        <w:tabs>
          <w:tab w:leader="none" w:pos="2363"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Throughout the Employment Period, Company shall pay Employee as compensation for her services an annual base salary of not less than Three Hundred Twenty Four Thousand Five Hundred Dollars ($324,500), payable in accordance with Company’s usual practices. Employee’s annual base salary rate shall be reviewed by the Compensation Committee of the Board of Directors (the “Compensation Committee”) at least annually and may be subject to adjustment following each fiscal year so that Employee’s salary will be commensurate with similarly situated executives with firms similarly situated to Company. However, Employee’s annual base salary rate shall not be subject to decrease at any time during the Employment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584" w:right="239" w:bottom="1440" w:gutter="0" w:footer="0" w:header="0"/>
        </w:sectPr>
      </w:pPr>
    </w:p>
    <w:bookmarkStart w:id="66" w:name="page67"/>
    <w:bookmarkEnd w:id="66"/>
    <w:p>
      <w:pPr>
        <w:jc w:val="both"/>
        <w:ind w:left="80" w:firstLine="1954"/>
        <w:spacing w:after="0" w:line="275" w:lineRule="auto"/>
        <w:tabs>
          <w:tab w:leader="none" w:pos="246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Should Company meet or exceed the sales, profits and other objectives established by the Compensation Committee for any fiscal year, Employee shall be eligible to receive a bonus for such fiscal year in the amount as determined by the Compensation Committee; provided however, the target bonus opportunity established for Employee in any given fiscal year will be set by the Compensation Committee at not less than fifty percent (50%) of Employee’s earned annual base pay for such fiscal year. Any bonus payable to Employee will be payable in cash, stock or stock options, or combination thereof, all as determined by the Board of Directors or any duly authorized committee thereof, and unless (to the extent consistent with Section 409A of the Code) a different payout schedule is applicable for all executive employees of Company, any such bonus payment will be payable in a single, lump sum payment in the calendar year that contains the April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immediately following such fiscal year, but no later than April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such year. In the event of termination of this Agreement because of Employee’s death or disability (as defined by Section 4.1(b)), termination by Company without Cause pursuant to Section 4.1(c), or pursuant to Employee’s right to terminate this Agreement for Good Reason under Section 4.1(d), (1) any bonus for the fiscal year preceding the fiscal year in which such termination occurs shall be paid at the time and in the form such bonus would have been paid had Employee’s employment continued until the payment date, and (2) the bonus for the fiscal year in which such termination occurs shall be pro-rated based on the number of full calendar weeks during the applicable fiscal year during which Employee was employed hereunder, based on the bonus amount that Employee would have earned based on actual performance for the fiscal year had Employee’s employment not terminated, and shall be paid at the time and in the form such bonus would have been paid had Employee’s employment continued; provided, however, in the event of termination of this Agreement because of Employee’s termination by Company without Cause pursuant to Section 4.1(c) or pursuant to Employee’s right to terminate this Agreement for Good Reason under Section 4.1(d) and such termination is on the date of a Change in Control or during a period of twenty-four (24) months after a Change in Control, Employee’s target bonus for the fiscal year in which such termination occurs shall be prorated based on the number of full calendar weeks during the applicable fiscal year during which Employee was employed hereunder and shall be paid within thirty (30) days of such termination (subject to any delay in payout required under Section 4.2(b)). Notwithstanding anything herein to the contrary, no bonus shall be payable hereunder in the event that Employee’s employment terminates for any other reason prior to the date on which any bonus is actually paid.</w:t>
      </w:r>
    </w:p>
    <w:p>
      <w:pPr>
        <w:spacing w:after="0" w:line="190"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in the calendar year that contains the April 30 immediately following such fiscal year, but no later than April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such year.</w:t>
      </w:r>
    </w:p>
    <w:p>
      <w:pPr>
        <w:spacing w:after="0" w:line="52" w:lineRule="exact"/>
        <w:rPr>
          <w:sz w:val="20"/>
          <w:szCs w:val="20"/>
          <w:color w:val="auto"/>
        </w:rPr>
      </w:pPr>
    </w:p>
    <w:p>
      <w:pPr>
        <w:jc w:val="both"/>
        <w:ind w:firstLine="1953"/>
        <w:spacing w:after="0" w:line="276" w:lineRule="auto"/>
        <w:tabs>
          <w:tab w:leader="none" w:pos="246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Employee may have been granted in the past, and/or may in the future be granted, a certain number of restricted shares and/or stock options to purchase shares of Company’s common stock (the “Common Stock”) and/or other awards, pursuant to the terms set forth more particularly in the stock option and/or restricted stock and/or other award agreements (“Stock Agreement”) used in connection with the Build-A-Bear Workshop, Inc. 2004 Stock Incentive Plan (or any successor plan) (the “Plan”). The Plan and applicable Stock Agreement(s) shall govern any grants of restricted shares and/or stock options to purchase shares of Company’s Common Stock and/or such other awards.</w:t>
      </w:r>
    </w:p>
    <w:p>
      <w:pPr>
        <w:spacing w:after="0" w:line="172" w:lineRule="exact"/>
        <w:rPr>
          <w:rFonts w:ascii="Arial" w:cs="Arial" w:eastAsia="Arial" w:hAnsi="Arial"/>
          <w:sz w:val="17"/>
          <w:szCs w:val="17"/>
          <w:color w:val="auto"/>
        </w:rPr>
      </w:pPr>
    </w:p>
    <w:p>
      <w:pPr>
        <w:ind w:left="2420" w:hanging="467"/>
        <w:spacing w:after="0"/>
        <w:tabs>
          <w:tab w:leader="none" w:pos="242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Discounts</w:t>
      </w:r>
      <w:r>
        <w:rPr>
          <w:rFonts w:ascii="Arial" w:cs="Arial" w:eastAsia="Arial" w:hAnsi="Arial"/>
          <w:sz w:val="16"/>
          <w:szCs w:val="16"/>
          <w:color w:val="auto"/>
        </w:rPr>
        <w:t>. Employee and her immediate family will be entitled to a minimum 20% discount for all merchandise purchased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Company’s stores.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7" w:name="page68"/>
    <w:bookmarkEnd w:id="67"/>
    <w:p>
      <w:pPr>
        <w:jc w:val="both"/>
        <w:ind w:firstLine="1953"/>
        <w:spacing w:after="0" w:line="297" w:lineRule="auto"/>
        <w:tabs>
          <w:tab w:leader="none" w:pos="2396"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Employee shall be entitled to paid vacation and paid sick leave on the same basis as may from time to time apply to other Company executive employees generally. Vacations will be scheduled with the approval of Company’s Chief Executive Officer. One-third of one year’s vacation (or any part of it) may be carried over to the next year; provided that such carry over is used in the first calendar quarter of the next year. Unless otherwise approved by Company’s Chief Executive Officer, all unused vacation shall be forfeited. No more than two weeks of vacation can be taken at one time. Employee shall also be entitled to one (1) additional day per calendar year of paid vacation to be taken in the month of her birthday.</w:t>
      </w:r>
    </w:p>
    <w:p>
      <w:pPr>
        <w:spacing w:after="0" w:line="158" w:lineRule="exact"/>
        <w:rPr>
          <w:rFonts w:ascii="Arial" w:cs="Arial" w:eastAsia="Arial" w:hAnsi="Arial"/>
          <w:sz w:val="16"/>
          <w:szCs w:val="16"/>
          <w:color w:val="auto"/>
        </w:rPr>
      </w:pPr>
    </w:p>
    <w:p>
      <w:pPr>
        <w:jc w:val="both"/>
        <w:ind w:firstLine="1953"/>
        <w:spacing w:after="0" w:line="276" w:lineRule="auto"/>
        <w:tabs>
          <w:tab w:leader="none" w:pos="2363"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Employee shall be eligible for such other perquisites as may from time to time be awarded to Employee by Company payable at such times and in such amounts as Company, in its sole discretion, may determine. All compensation under this Agreement shall be subject to customary withholding taxes and other employment taxes as required with respect thereto. Throughout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her then current location of employment.</w:t>
      </w:r>
    </w:p>
    <w:p>
      <w:pPr>
        <w:spacing w:after="0" w:line="172" w:lineRule="exact"/>
        <w:rPr>
          <w:rFonts w:ascii="Arial" w:cs="Arial" w:eastAsia="Arial" w:hAnsi="Arial"/>
          <w:sz w:val="17"/>
          <w:szCs w:val="17"/>
          <w:color w:val="auto"/>
        </w:rPr>
      </w:pPr>
    </w:p>
    <w:p>
      <w:pPr>
        <w:ind w:left="1660" w:hanging="355"/>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Provisions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Prior to the expiration of the Employment Period, this Agreement and Employee’s employment may be terminated as follows:</w:t>
      </w:r>
    </w:p>
    <w:p>
      <w:pPr>
        <w:spacing w:after="0" w:line="170" w:lineRule="exact"/>
        <w:rPr>
          <w:sz w:val="20"/>
          <w:szCs w:val="20"/>
          <w:color w:val="auto"/>
        </w:rPr>
      </w:pPr>
    </w:p>
    <w:p>
      <w:pPr>
        <w:ind w:left="1720" w:hanging="415"/>
        <w:spacing w:after="0"/>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Employee’s death;</w:t>
      </w:r>
    </w:p>
    <w:p>
      <w:pPr>
        <w:spacing w:after="0" w:line="225" w:lineRule="exact"/>
        <w:rPr>
          <w:rFonts w:ascii="Arial" w:cs="Arial" w:eastAsia="Arial" w:hAnsi="Arial"/>
          <w:sz w:val="18"/>
          <w:szCs w:val="18"/>
          <w:color w:val="auto"/>
        </w:rPr>
      </w:pPr>
    </w:p>
    <w:p>
      <w:pPr>
        <w:jc w:val="both"/>
        <w:ind w:firstLine="1305"/>
        <w:spacing w:after="0" w:line="271" w:lineRule="auto"/>
        <w:tabs>
          <w:tab w:leader="none" w:pos="1812" w:val="left"/>
        </w:tabs>
        <w:numPr>
          <w:ilvl w:val="0"/>
          <w:numId w:val="39"/>
        </w:numPr>
        <w:rPr>
          <w:rFonts w:ascii="Arial" w:cs="Arial" w:eastAsia="Arial" w:hAnsi="Arial"/>
          <w:sz w:val="17"/>
          <w:szCs w:val="17"/>
          <w:color w:val="auto"/>
        </w:rPr>
      </w:pPr>
      <w:r>
        <w:rPr>
          <w:rFonts w:ascii="Arial" w:cs="Arial" w:eastAsia="Arial" w:hAnsi="Arial"/>
          <w:sz w:val="17"/>
          <w:szCs w:val="17"/>
          <w:color w:val="auto"/>
        </w:rPr>
        <w:t>By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following such time as Employee has been unable to perform the essential functions of her position, with or without reasonable accommodation, for the longer of: (i) six (6) consecutive months or (ii) the maximum health leave provided under Company’s Health Leave of Absence policy for Employee’s length of service with Company;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178" w:lineRule="exact"/>
        <w:rPr>
          <w:rFonts w:ascii="Arial" w:cs="Arial" w:eastAsia="Arial" w:hAnsi="Arial"/>
          <w:sz w:val="17"/>
          <w:szCs w:val="17"/>
          <w:color w:val="auto"/>
        </w:rPr>
      </w:pPr>
    </w:p>
    <w:p>
      <w:pPr>
        <w:jc w:val="both"/>
        <w:ind w:firstLine="1305"/>
        <w:spacing w:after="0" w:line="269" w:lineRule="auto"/>
        <w:tabs>
          <w:tab w:leader="none" w:pos="17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By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(iv) a material breach of a material provision of this Agreement by Employee, or (v) failure of Employee to follow a written directive of the Chief Executive Officer or the Board of Directors within thirty (30) days after receiving such notice, provided that such directive is reasonable in scope and is otherwise within the Chief Executive Officer’s or the Board’s reasonable business judgment, and is reasonably within Employee’s control; provided Employee does not cure said conduct or breach as set forth in (i)-(v)(to the extent curable) within thirty (30) days after the Chief Executive Officer or the Board of Directors provides Employee with reasonably-detailed written notice of said conduct or breach accompanied by a clear written statement of Company’s intent to terminate the Employee’s employment for Cause in the absence of a cure. Cause shall not exist unless and until the Employee (and her counsel if she wishes) has been afforded an opportunity prior to the actual date of termination to discuss the matter with the Board of Directors at a duly-called Board meeting at which the matter is timely placed on the agenda and the Board subsequently votes to terminate the relationship for Cause.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8" w:name="page69"/>
    <w:bookmarkEnd w:id="68"/>
    <w:p>
      <w:pPr>
        <w:jc w:val="both"/>
        <w:ind w:firstLine="1305"/>
        <w:spacing w:after="0" w:line="254" w:lineRule="auto"/>
        <w:tabs>
          <w:tab w:leader="none" w:pos="17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By the Employee with or without Good Reason. For purposes of this Agreement, “Good Reason” shall mean (i) a material breach of a material provision of this Agreement by Company, (ii) Company’s issuance of a notice of non-renewal of this Agreement under Section 2, (iii) a material diminution in Employee’s total annual compensation, including base salary, annual bonus opportunity and long-term incentives, (iv) a material diminution in Employee’s authority, duties or responsibilities, or (v) a change in the geographic location at which Employee must perform services hereunder of more than twenty-five (25) miles; provided, that, Employee provides the Board of Directors with written notice of Good Reason within thirty (30) days of the date on which Employee becomes aware of the condition alleged to give rise to Good Reason, Company does not cure such condition within thirty (30) days after such notice (to the extent curable), and Employee terminates her employment within ninety (90) days following the onset of one or more conditions giving rise to Good Reason.</w:t>
      </w:r>
    </w:p>
    <w:p>
      <w:pPr>
        <w:spacing w:after="0" w:line="192" w:lineRule="exact"/>
        <w:rPr>
          <w:sz w:val="20"/>
          <w:szCs w:val="20"/>
          <w:color w:val="auto"/>
        </w:rPr>
      </w:pPr>
    </w:p>
    <w:p>
      <w:pPr>
        <w:ind w:left="1620"/>
        <w:spacing w:after="0"/>
        <w:tabs>
          <w:tab w:leader="none" w:pos="2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Impact of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8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77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during the Employment Period (i) Company terminates Employee’s employment without Cause pursuant to Section 4.1(c) or (ii) the Employee terminates her employment for Good Reason pursuant to Section 4.1(d), subject to the execution and non-revocation of a release and waiver of all claims described below, Company shall continue her base salary in accordance with its regular payroll practices for a period of (A) twelve (12) months, commencing on the date that is thirty (30) days after the termination in the case of a termination of employment either prior to a Change in Control or following a period of twenty-four (24) months after a Change in Control or (B) eighteen (18) months, commencing on the date that is thirty (30) days after the termination in the case of a termination of employment during the twenty-four (24) month period immediately following a Change in Control. Notwithstanding anything herein to the contrary, receipt of any payment in connection with a termination of employment shall be conditioned on Employee signing a release and waiver of all claims against Company and its affiliates within thirty (30) days after her termination of employment, in such form and manner as Company shall reasonably prescribe, which release shall become effective and irrevocable within thirty (30) days after Employee’s termination of employment. Employee shall accept these payments in full discharge of all obligations of any kind which Company has to her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Company. Employee shall also be eligible to receive a bonus with respect to the year of termination to the extent provided in Section 3(b).</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9" w:name="page70"/>
    <w:bookmarkEnd w:id="69"/>
    <w:p>
      <w:pPr>
        <w:jc w:val="both"/>
        <w:ind w:firstLine="1297"/>
        <w:spacing w:after="0" w:line="288" w:lineRule="auto"/>
        <w:rPr>
          <w:sz w:val="20"/>
          <w:szCs w:val="20"/>
          <w:color w:val="auto"/>
        </w:rPr>
      </w:pPr>
      <w:r>
        <w:rPr>
          <w:rFonts w:ascii="Arial" w:cs="Arial" w:eastAsia="Arial" w:hAnsi="Arial"/>
          <w:sz w:val="16"/>
          <w:szCs w:val="16"/>
          <w:color w:val="auto"/>
        </w:rPr>
        <w:t>For purposes of these severance pay provisions and any other term of this Agreement which provides for a payment upon termination of employment, Employee shall be considered as having terminated employment only if such termination constitutes a “separation from service” within the meaning of Section 409A of the Code, and any proposed or final regulations and guidance promulgated thereunder. 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6-month period shall be made in a lump sum on the first payroll date which is more than six months following the date Employee separates from service with Company. Each payment under this Agreement shall be treated as a separate payment for purposes of Section 409A of the Code. In no event may Employee, directly or indirectly, designate the calendar year of any payment to be made under this Agreement. This Agreement shall be interpreted and administered in a manner consistent with Section 409A of the Code.</w:t>
      </w:r>
    </w:p>
    <w:p>
      <w:pPr>
        <w:spacing w:after="0" w:line="16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For purposes of this Agreement, “Change in Control” shall mean: (i) the purchase or other acquisition (other than from Company) by any person, entity or group of persons, within the meaning of Section 13(d) or 14(d) of the Securities Exchange Act of 1934, as amended (“Act”) (excluding, for this purpose, Company or its subsidiaries or any employee benefit plan of Company or its subsidiaries), of beneficial ownership (within the meaning of Rule 13d-3 promulgated under the Act) of 20% or more of either the then-outstanding shares of common stock of Company or the combined voting power of Company’s then-outstanding voting securities entitled to vote generally in the election of directors; (ii) individuals who, as of the date hereof, constitute Company’s Board of Directors (and, as of the date hereof, the “Incumbent Board”) cease for any reason to constitute at least a majority of Company’s Board of Directors, provided that any person who becomes a director subsequent to the date hereof whose election, or nomination for election by Company’s stockholders, was approved by a vote of at least a majority of the directors then comprising the Incumbent Board (other than an individual whose initial assumption of office is in connection with an actual or threatened election contest relating to the election of directors of Company, as such terms are used in Rule 14a-11 of Regulation 14A promulgated under the Act) shall be, for purposes of this Section, considered as though such person were a member of the Incumbent Board; (iii) a reorganization, merger or consolidation involving Company, in each case with respect to which persons who were the stockholders of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(iv) a liquidation or dissolution of Company, or the sale of all or substantially all of the assets of Company.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0" w:name="page71"/>
    <w:bookmarkEnd w:id="70"/>
    <w:p>
      <w:pPr>
        <w:jc w:val="both"/>
        <w:ind w:firstLine="1305"/>
        <w:spacing w:after="0" w:line="272" w:lineRule="auto"/>
        <w:tabs>
          <w:tab w:leader="none" w:pos="177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Termination due to Employee Non-Renewal of Term or Termination by Employee without Good Reason</w:t>
      </w:r>
      <w:r>
        <w:rPr>
          <w:rFonts w:ascii="Arial" w:cs="Arial" w:eastAsia="Arial" w:hAnsi="Arial"/>
          <w:sz w:val="17"/>
          <w:szCs w:val="17"/>
          <w:color w:val="auto"/>
        </w:rPr>
        <w:t>. If the Agreement expires either at the end of the Renewal Term or at the end of any Renewal Period, due to the issuance of notice of non-renewal by Employee under Section 2, then no severance under Section 4.2(b) shall be paid to the Employee and her employment shall terminate upon the anniversary date. If Employee terminates her employment without Good Reason, then no severance under Section 4.2(b) shall be paid to Employee and her employment shall terminate on the effective date of such termination. For the avoidance of doubt, if Company ends the employment relationship either at the end of the Renewal Term or at the end of any Renewal Period without Cause under Section 4.1(c), Company shall remit to Employee the severance specified in Section 4.2(b) provided Company has received the release and waiver referred to in Section 4.2(b).</w:t>
      </w:r>
    </w:p>
    <w:p>
      <w:pPr>
        <w:spacing w:after="0" w:line="177" w:lineRule="exact"/>
        <w:rPr>
          <w:rFonts w:ascii="Arial" w:cs="Arial" w:eastAsia="Arial" w:hAnsi="Arial"/>
          <w:sz w:val="17"/>
          <w:szCs w:val="17"/>
          <w:color w:val="auto"/>
        </w:rPr>
      </w:pPr>
    </w:p>
    <w:p>
      <w:pPr>
        <w:jc w:val="both"/>
        <w:ind w:firstLine="1305"/>
        <w:spacing w:after="0" w:line="257" w:lineRule="auto"/>
        <w:tabs>
          <w:tab w:leader="none" w:pos="178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Upon termination or expiration of this Agreement for any reason, Employee shall be provided with such Welfare Benefits continuation notices, rights and obligations as may be required under federal or state law (including COBRA). In the event that Employee becomes entitled to any severance under paragraph 4.2(b) above, the Company shall pay Employee, within thirty (30) days of her termination of employment, a single lump sum equal to eighteen multiplied by the monthly Company-paid portion of health, dental and vision plan coverage premiums for those benefits in which Employee and her dependents are enrolled on the date of termination of employment.</w:t>
      </w:r>
    </w:p>
    <w:p>
      <w:pPr>
        <w:spacing w:after="0" w:line="188" w:lineRule="exact"/>
        <w:rPr>
          <w:sz w:val="20"/>
          <w:szCs w:val="20"/>
          <w:color w:val="auto"/>
        </w:rPr>
      </w:pPr>
    </w:p>
    <w:p>
      <w:pPr>
        <w:ind w:left="1900" w:hanging="352"/>
        <w:spacing w:after="0"/>
        <w:tabs>
          <w:tab w:leader="none" w:pos="190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8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8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Employee acknowledges and confirms that certain data and other information (whether in human or machine readable form) that comes into her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186" w:lineRule="exact"/>
        <w:rPr>
          <w:rFonts w:ascii="Arial" w:cs="Arial" w:eastAsia="Arial" w:hAnsi="Arial"/>
          <w:sz w:val="18"/>
          <w:szCs w:val="18"/>
          <w:color w:val="auto"/>
        </w:rPr>
      </w:pPr>
    </w:p>
    <w:p>
      <w:pPr>
        <w:ind w:left="3040" w:hanging="439"/>
        <w:spacing w:after="0"/>
        <w:tabs>
          <w:tab w:leader="none" w:pos="3040" w:val="left"/>
        </w:tabs>
        <w:numPr>
          <w:ilvl w:val="2"/>
          <w:numId w:val="44"/>
        </w:numPr>
        <w:rPr>
          <w:rFonts w:ascii="Arial" w:cs="Arial" w:eastAsia="Arial" w:hAnsi="Arial"/>
          <w:sz w:val="18"/>
          <w:szCs w:val="18"/>
          <w:color w:val="auto"/>
        </w:rPr>
      </w:pPr>
      <w:r>
        <w:rPr>
          <w:rFonts w:ascii="Arial" w:cs="Arial" w:eastAsia="Arial" w:hAnsi="Arial"/>
          <w:sz w:val="18"/>
          <w:szCs w:val="18"/>
          <w:color w:val="auto"/>
        </w:rPr>
        <w:t>lists or other identification of customers or prospective customers of Company;</w:t>
      </w:r>
    </w:p>
    <w:p>
      <w:pPr>
        <w:spacing w:after="0" w:line="225" w:lineRule="exact"/>
        <w:rPr>
          <w:rFonts w:ascii="Arial" w:cs="Arial" w:eastAsia="Arial" w:hAnsi="Arial"/>
          <w:sz w:val="18"/>
          <w:szCs w:val="18"/>
          <w:color w:val="auto"/>
        </w:rPr>
      </w:pPr>
    </w:p>
    <w:p>
      <w:pPr>
        <w:jc w:val="both"/>
        <w:ind w:left="1300" w:firstLine="1301"/>
        <w:spacing w:after="0" w:line="264" w:lineRule="auto"/>
        <w:tabs>
          <w:tab w:leader="none" w:pos="3126" w:val="left"/>
        </w:tabs>
        <w:numPr>
          <w:ilvl w:val="2"/>
          <w:numId w:val="44"/>
        </w:numPr>
        <w:rPr>
          <w:rFonts w:ascii="Arial" w:cs="Arial" w:eastAsia="Arial" w:hAnsi="Arial"/>
          <w:sz w:val="18"/>
          <w:szCs w:val="18"/>
          <w:color w:val="auto"/>
        </w:rPr>
      </w:pPr>
      <w:r>
        <w:rPr>
          <w:rFonts w:ascii="Arial" w:cs="Arial" w:eastAsia="Arial" w:hAnsi="Arial"/>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181" w:lineRule="exact"/>
        <w:rPr>
          <w:rFonts w:ascii="Arial" w:cs="Arial" w:eastAsia="Arial" w:hAnsi="Arial"/>
          <w:sz w:val="18"/>
          <w:szCs w:val="18"/>
          <w:color w:val="auto"/>
        </w:rPr>
      </w:pPr>
    </w:p>
    <w:p>
      <w:pPr>
        <w:ind w:left="1300" w:firstLine="1301"/>
        <w:spacing w:after="0" w:line="308" w:lineRule="auto"/>
        <w:tabs>
          <w:tab w:leader="none" w:pos="3031" w:val="left"/>
        </w:tabs>
        <w:numPr>
          <w:ilvl w:val="2"/>
          <w:numId w:val="44"/>
        </w:numPr>
        <w:rPr>
          <w:rFonts w:ascii="Arial" w:cs="Arial" w:eastAsia="Arial" w:hAnsi="Arial"/>
          <w:sz w:val="17"/>
          <w:szCs w:val="17"/>
          <w:color w:val="auto"/>
        </w:rPr>
      </w:pPr>
      <w:r>
        <w:rPr>
          <w:rFonts w:ascii="Arial" w:cs="Arial" w:eastAsia="Arial" w:hAnsi="Arial"/>
          <w:sz w:val="17"/>
          <w:szCs w:val="17"/>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72" w:val="left"/>
        </w:tabs>
        <w:numPr>
          <w:ilvl w:val="2"/>
          <w:numId w:val="44"/>
        </w:numPr>
        <w:rPr>
          <w:rFonts w:ascii="Arial" w:cs="Arial" w:eastAsia="Arial" w:hAnsi="Arial"/>
          <w:sz w:val="18"/>
          <w:szCs w:val="18"/>
          <w:color w:val="auto"/>
        </w:rPr>
      </w:pPr>
      <w:r>
        <w:rPr>
          <w:rFonts w:ascii="Arial" w:cs="Arial" w:eastAsia="Arial" w:hAnsi="Arial"/>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ind w:left="1300" w:firstLine="1301"/>
        <w:spacing w:after="0" w:line="308" w:lineRule="auto"/>
        <w:tabs>
          <w:tab w:leader="none" w:pos="3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equipment, materials, designs, procedures, processes, and techniques used in, or related to, the development, manufacture, assembly, fabrication or other production and quality control of Company’s products, stores and services;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72"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181" w:lineRule="exact"/>
        <w:rPr>
          <w:rFonts w:ascii="Arial" w:cs="Arial" w:eastAsia="Arial" w:hAnsi="Arial"/>
          <w:sz w:val="18"/>
          <w:szCs w:val="18"/>
          <w:color w:val="auto"/>
        </w:rPr>
      </w:pPr>
    </w:p>
    <w:p>
      <w:pPr>
        <w:ind w:left="3040" w:hanging="439"/>
        <w:spacing w:after="0"/>
        <w:tabs>
          <w:tab w:leader="none" w:pos="3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Company’s relations with its employees (including, without limitation, salaries, job classifications and skill levels);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00" w:firstLine="1301"/>
        <w:spacing w:after="0" w:line="277" w:lineRule="auto"/>
        <w:tabs>
          <w:tab w:leader="none" w:pos="31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w:t>
      </w:r>
    </w:p>
    <w:p>
      <w:pPr>
        <w:spacing w:after="0" w:line="170" w:lineRule="exact"/>
        <w:rPr>
          <w:sz w:val="20"/>
          <w:szCs w:val="20"/>
          <w:color w:val="auto"/>
        </w:rPr>
      </w:pPr>
    </w:p>
    <w:p>
      <w:pPr>
        <w:jc w:val="both"/>
        <w:ind w:firstLine="1305"/>
        <w:spacing w:after="0" w:line="264" w:lineRule="auto"/>
        <w:tabs>
          <w:tab w:leader="none" w:pos="17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her duties on behalf of Company.</w:t>
      </w:r>
    </w:p>
    <w:p>
      <w:pPr>
        <w:spacing w:after="0" w:line="181" w:lineRule="exact"/>
        <w:rPr>
          <w:sz w:val="20"/>
          <w:szCs w:val="20"/>
          <w:color w:val="auto"/>
        </w:rPr>
      </w:pPr>
    </w:p>
    <w:p>
      <w:pPr>
        <w:jc w:val="both"/>
        <w:ind w:firstLine="1305"/>
        <w:spacing w:after="0" w:line="269" w:lineRule="auto"/>
        <w:tabs>
          <w:tab w:leader="none" w:pos="171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Post-Termination Restrictions</w:t>
      </w:r>
      <w:r>
        <w:rPr>
          <w:rFonts w:ascii="Arial" w:cs="Arial" w:eastAsia="Arial" w:hAnsi="Arial"/>
          <w:sz w:val="17"/>
          <w:szCs w:val="17"/>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 (iv) Company is hereby agreeing to employ and pay Employee based upon Employee’s assurances and promises not to divert goodwill of customers, landlords, suppliers or partners of Company, either individually or on a combined basis, or to put herself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Section 4.1(b), (c), or (d), or due to expiration of the Agreement due to non-renewal by either party, Employee will not, directly or indirectly (whether as owner, partner, consultant, employee or otherwise):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jc w:val="both"/>
        <w:ind w:firstLine="1305"/>
        <w:spacing w:after="0" w:line="288" w:lineRule="auto"/>
        <w:tabs>
          <w:tab w:leader="none" w:pos="1748"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Company has established a retail presence either directly or through a franchise arrangement;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termination of her employment, Employee shall be entitled to be an employee of an entity that engages in Restricted Activity so long as: (i) the sale of stuffed plush toys is not a material business of the entity; (ii) Employee has no direct or personal involvement in the sale of stuffed plush toys; and (iii) neither Employee, her relatives, nor any other entities with which she is affiliated own more than 1% of the entity. As used in this paragraph 6, “material business” shall mean that either (A) greater than 10% of annual revenues received by such entity were derived from the sale of stuffed plush toys and related products, or (B) or the entity otherwise annually derives or is projected to derive annual revenues in excess of $5 million from a retail concept that is similar in any material regard to Company; or</w:t>
      </w:r>
    </w:p>
    <w:p>
      <w:pPr>
        <w:spacing w:after="0" w:line="169" w:lineRule="exact"/>
        <w:rPr>
          <w:rFonts w:ascii="Arial" w:cs="Arial" w:eastAsia="Arial" w:hAnsi="Arial"/>
          <w:sz w:val="16"/>
          <w:szCs w:val="16"/>
          <w:color w:val="auto"/>
        </w:rPr>
      </w:pPr>
    </w:p>
    <w:p>
      <w:pPr>
        <w:ind w:firstLine="1305"/>
        <w:spacing w:after="0" w:line="277" w:lineRule="auto"/>
        <w:tabs>
          <w:tab w:leader="none" w:pos="17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one (1) year, induce or attempt to induce any employee, consultant, partner or advisor of Company to accept employment or an affiliation with any other entity.</w:t>
      </w:r>
    </w:p>
    <w:p>
      <w:pPr>
        <w:spacing w:after="0" w:line="170" w:lineRule="exact"/>
        <w:rPr>
          <w:sz w:val="20"/>
          <w:szCs w:val="20"/>
          <w:color w:val="auto"/>
        </w:rPr>
      </w:pPr>
    </w:p>
    <w:p>
      <w:pPr>
        <w:jc w:val="both"/>
        <w:ind w:firstLine="1305"/>
        <w:spacing w:after="0" w:line="286" w:lineRule="auto"/>
        <w:tabs>
          <w:tab w:leader="none" w:pos="1697"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Restrictions</w:t>
      </w:r>
      <w:r>
        <w:rPr>
          <w:rFonts w:ascii="Arial" w:cs="Arial" w:eastAsia="Arial" w:hAnsi="Arial"/>
          <w:sz w:val="17"/>
          <w:szCs w:val="17"/>
          <w:color w:val="auto"/>
        </w:rPr>
        <w:t>. Employee recognizes and agrees that the restraints contained in Section 6 (both separately and in total), including the geographic scope thereof in light of Company’s marketing efforts, are reasonable and enforceable in view of Company’s legitimate interests in protecting its Confidential Information and customer goodwill and the limited scope of the restrictions in Section 6.</w:t>
      </w:r>
    </w:p>
    <w:p>
      <w:pPr>
        <w:spacing w:after="0" w:line="165" w:lineRule="exact"/>
        <w:rPr>
          <w:rFonts w:ascii="Arial" w:cs="Arial" w:eastAsia="Arial" w:hAnsi="Arial"/>
          <w:sz w:val="17"/>
          <w:szCs w:val="17"/>
          <w:color w:val="auto"/>
        </w:rPr>
      </w:pPr>
    </w:p>
    <w:p>
      <w:pPr>
        <w:ind w:left="1700" w:hanging="395"/>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034"/>
        <w:spacing w:after="0" w:line="253" w:lineRule="auto"/>
        <w:tabs>
          <w:tab w:leader="none" w:pos="25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jc w:val="both"/>
        <w:ind w:firstLine="2034"/>
        <w:spacing w:after="0" w:line="286" w:lineRule="auto"/>
        <w:tabs>
          <w:tab w:leader="none" w:pos="2474" w:val="left"/>
        </w:tabs>
        <w:numPr>
          <w:ilvl w:val="0"/>
          <w:numId w:val="50"/>
        </w:numPr>
        <w:rPr>
          <w:rFonts w:ascii="Arial" w:cs="Arial" w:eastAsia="Arial" w:hAnsi="Arial"/>
          <w:sz w:val="16"/>
          <w:szCs w:val="16"/>
          <w:color w:val="auto"/>
        </w:rPr>
      </w:pPr>
      <w:r>
        <w:rPr>
          <w:rFonts w:ascii="Arial" w:cs="Arial" w:eastAsia="Arial" w:hAnsi="Arial"/>
          <w:sz w:val="16"/>
          <w:szCs w:val="16"/>
          <w:color w:val="auto"/>
        </w:rPr>
        <w:t>Employee acknowledges that as part of her work for Company she may be asked to create, or contribute to the creation of, computer programs, documentation and other copyrightable works. Employee hereby agrees that any and all computer programs, documentation and other copyrightable materials that she has prepared or worked on for Company, or is asked to prepare or work on by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 §§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she may have arising under 17 U.S.C. §§ 106A, rights that may arise under any federal, state, or foreign law that conveys rights that are similar in nature to those conveyed under 17 U.S.C. §§ 106A, and any other type of moral right or droit moral.</w:t>
      </w:r>
    </w:p>
    <w:p>
      <w:pPr>
        <w:spacing w:after="0" w:line="175" w:lineRule="exact"/>
        <w:rPr>
          <w:sz w:val="20"/>
          <w:szCs w:val="20"/>
          <w:color w:val="auto"/>
        </w:rPr>
      </w:pPr>
    </w:p>
    <w:p>
      <w:pPr>
        <w:jc w:val="both"/>
        <w:ind w:firstLine="2034"/>
        <w:spacing w:after="0" w:line="259" w:lineRule="auto"/>
        <w:tabs>
          <w:tab w:leader="none" w:pos="276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Employee acknowledges that any and all notes, records, sketches, computer diskettes, training materials and other documents relating to Company obtained by or provided to Employee, or otherwise made, produced or compiled during the Employment Period, regardless of the type of medium in which they are preserved, are the sole and exclusive property of Company and shall be surrendered to Company upon Employee’s termination of employment and on demand at any time by Company.</w:t>
      </w:r>
    </w:p>
    <w:p>
      <w:pPr>
        <w:spacing w:after="0" w:line="186" w:lineRule="exact"/>
        <w:rPr>
          <w:rFonts w:ascii="Arial" w:cs="Arial" w:eastAsia="Arial" w:hAnsi="Arial"/>
          <w:sz w:val="18"/>
          <w:szCs w:val="18"/>
          <w:color w:val="auto"/>
        </w:rPr>
      </w:pPr>
    </w:p>
    <w:p>
      <w:pPr>
        <w:jc w:val="both"/>
        <w:ind w:firstLine="2034"/>
        <w:spacing w:after="0" w:line="255" w:lineRule="auto"/>
        <w:tabs>
          <w:tab w:leader="none" w:pos="251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Employee agrees that she will not in any way disparage Company or its affiliated entities, officers, or directors; and the officers and directors shall not in any way disparage Employee. Further, Employee agrees that she will neither make nor solicit any comments, statements, or the like to the media or to third parties that may be considered to be derogatory or detrimental to the good name or business reputation of Company or any of its affiliated entities, officers or directors; and the officers and directors will neither make nor solicit any comments, statements, or the like to the media or to third parties that may be considered to be derogatory or detrimental to the good name or business reputation of Employee.</w:t>
      </w:r>
    </w:p>
    <w:p>
      <w:pPr>
        <w:spacing w:after="0" w:line="193" w:lineRule="exact"/>
        <w:rPr>
          <w:rFonts w:ascii="Arial" w:cs="Arial" w:eastAsia="Arial" w:hAnsi="Arial"/>
          <w:sz w:val="18"/>
          <w:szCs w:val="18"/>
          <w:color w:val="auto"/>
        </w:rPr>
      </w:pPr>
    </w:p>
    <w:p>
      <w:pPr>
        <w:jc w:val="both"/>
        <w:ind w:firstLine="2034"/>
        <w:spacing w:after="0" w:line="259" w:lineRule="auto"/>
        <w:tabs>
          <w:tab w:leader="none" w:pos="248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Non-Waiver of Rights</w:t>
      </w:r>
      <w:r>
        <w:rPr>
          <w:rFonts w:ascii="Arial" w:cs="Arial" w:eastAsia="Arial" w:hAnsi="Arial"/>
          <w:sz w:val="18"/>
          <w:szCs w:val="18"/>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186" w:lineRule="exact"/>
        <w:rPr>
          <w:rFonts w:ascii="Arial" w:cs="Arial" w:eastAsia="Arial" w:hAnsi="Arial"/>
          <w:sz w:val="18"/>
          <w:szCs w:val="18"/>
          <w:color w:val="auto"/>
        </w:rPr>
      </w:pPr>
    </w:p>
    <w:p>
      <w:pPr>
        <w:jc w:val="both"/>
        <w:ind w:firstLine="2034"/>
        <w:spacing w:after="0" w:line="297" w:lineRule="auto"/>
        <w:tabs>
          <w:tab w:leader="none" w:pos="2584"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Company’s Right to Injunctive Relief</w:t>
      </w:r>
      <w:r>
        <w:rPr>
          <w:rFonts w:ascii="Arial" w:cs="Arial" w:eastAsia="Arial" w:hAnsi="Arial"/>
          <w:sz w:val="16"/>
          <w:szCs w:val="16"/>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seek temporary, preliminary and permanent injunctive relief restraining such breach or threatened breach, without the necessity of posting any bond. Employee hereby expressly acknowledges that the harm which might result to Company’s business as a result of any noncompliance by Employee with any of the provisions of Sections 5, 6 or 8 would be largely irreparable.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jc w:val="both"/>
        <w:ind w:firstLine="2034"/>
        <w:spacing w:after="0" w:line="276" w:lineRule="auto"/>
        <w:tabs>
          <w:tab w:leader="none" w:pos="2476"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Judicial Enforcement</w:t>
      </w:r>
      <w:r>
        <w:rPr>
          <w:rFonts w:ascii="Arial" w:cs="Arial" w:eastAsia="Arial" w:hAnsi="Arial"/>
          <w:sz w:val="17"/>
          <w:szCs w:val="17"/>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 limited. The parties expressly acknowledge and agree that this Section is reasonable in view of the parties’ respective interests.</w:t>
      </w:r>
    </w:p>
    <w:p>
      <w:pPr>
        <w:spacing w:after="0" w:line="172" w:lineRule="exact"/>
        <w:rPr>
          <w:rFonts w:ascii="Arial" w:cs="Arial" w:eastAsia="Arial" w:hAnsi="Arial"/>
          <w:sz w:val="17"/>
          <w:szCs w:val="17"/>
          <w:color w:val="auto"/>
        </w:rPr>
      </w:pPr>
    </w:p>
    <w:p>
      <w:pPr>
        <w:jc w:val="both"/>
        <w:ind w:firstLine="2034"/>
        <w:spacing w:after="0" w:line="257" w:lineRule="auto"/>
        <w:tabs>
          <w:tab w:leader="none" w:pos="265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Employee Representations</w:t>
      </w:r>
      <w:r>
        <w:rPr>
          <w:rFonts w:ascii="Arial" w:cs="Arial" w:eastAsia="Arial" w:hAnsi="Arial"/>
          <w:sz w:val="18"/>
          <w:szCs w:val="18"/>
          <w:color w:val="auto"/>
        </w:rPr>
        <w:t>. Employee represents that the execution and delivery of the Agreement and Employee’s employment with Company do not violate any previous employment agreement or other contractual obligation of Employee. Employee further represents and agrees that she will not, during her employment with Company, improperly use or disclose any proprietary information or trade secrets of former employers and will not bring on to the premises of Company any unpublished documents or any property belonging to her former employers unless consented to in writing by such employers.</w:t>
      </w:r>
    </w:p>
    <w:p>
      <w:pPr>
        <w:spacing w:after="0" w:line="188" w:lineRule="exact"/>
        <w:rPr>
          <w:rFonts w:ascii="Arial" w:cs="Arial" w:eastAsia="Arial" w:hAnsi="Arial"/>
          <w:sz w:val="18"/>
          <w:szCs w:val="18"/>
          <w:color w:val="auto"/>
        </w:rPr>
      </w:pPr>
    </w:p>
    <w:p>
      <w:pPr>
        <w:jc w:val="both"/>
        <w:ind w:firstLine="2034"/>
        <w:spacing w:after="0" w:line="286" w:lineRule="auto"/>
        <w:tabs>
          <w:tab w:leader="none" w:pos="250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165" w:lineRule="exact"/>
        <w:rPr>
          <w:rFonts w:ascii="Arial" w:cs="Arial" w:eastAsia="Arial" w:hAnsi="Arial"/>
          <w:sz w:val="17"/>
          <w:szCs w:val="17"/>
          <w:color w:val="auto"/>
        </w:rPr>
      </w:pPr>
    </w:p>
    <w:p>
      <w:pPr>
        <w:jc w:val="both"/>
        <w:ind w:right="20" w:firstLine="2034"/>
        <w:spacing w:after="0" w:line="286" w:lineRule="auto"/>
        <w:tabs>
          <w:tab w:leader="none" w:pos="253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Assignments</w:t>
      </w:r>
      <w:r>
        <w:rPr>
          <w:rFonts w:ascii="Arial" w:cs="Arial" w:eastAsia="Arial" w:hAnsi="Arial"/>
          <w:sz w:val="17"/>
          <w:szCs w:val="17"/>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165" w:lineRule="exact"/>
        <w:rPr>
          <w:rFonts w:ascii="Arial" w:cs="Arial" w:eastAsia="Arial" w:hAnsi="Arial"/>
          <w:sz w:val="17"/>
          <w:szCs w:val="17"/>
          <w:color w:val="auto"/>
        </w:rPr>
      </w:pPr>
    </w:p>
    <w:p>
      <w:pPr>
        <w:jc w:val="both"/>
        <w:ind w:firstLine="2034"/>
        <w:spacing w:after="0" w:line="255" w:lineRule="auto"/>
        <w:tabs>
          <w:tab w:leader="none" w:pos="253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Choice of Forum and Governing Law</w:t>
      </w:r>
      <w:r>
        <w:rPr>
          <w:rFonts w:ascii="Arial" w:cs="Arial" w:eastAsia="Arial" w:hAnsi="Arial"/>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193" w:lineRule="exact"/>
        <w:rPr>
          <w:rFonts w:ascii="Arial" w:cs="Arial" w:eastAsia="Arial" w:hAnsi="Arial"/>
          <w:sz w:val="18"/>
          <w:szCs w:val="18"/>
          <w:color w:val="auto"/>
        </w:rPr>
      </w:pPr>
    </w:p>
    <w:p>
      <w:pPr>
        <w:ind w:right="20" w:firstLine="2034"/>
        <w:spacing w:after="0" w:line="342" w:lineRule="auto"/>
        <w:tabs>
          <w:tab w:leader="none" w:pos="251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ind w:left="3260" w:hanging="416"/>
        <w:spacing w:after="0"/>
        <w:tabs>
          <w:tab w:leader="none" w:pos="3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to Company:</w:t>
      </w:r>
    </w:p>
    <w:p>
      <w:pPr>
        <w:spacing w:after="0" w:line="225"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color w:val="auto"/>
        </w:rPr>
        <w:t>Sharon Price John</w:t>
      </w:r>
    </w:p>
    <w:p>
      <w:pPr>
        <w:spacing w:after="0" w:line="23" w:lineRule="exact"/>
        <w:rPr>
          <w:rFonts w:ascii="Arial" w:cs="Arial" w:eastAsia="Arial" w:hAnsi="Arial"/>
          <w:sz w:val="18"/>
          <w:szCs w:val="18"/>
          <w:color w:val="auto"/>
        </w:rPr>
      </w:pPr>
    </w:p>
    <w:p>
      <w:pPr>
        <w:ind w:left="3240" w:right="4600"/>
        <w:spacing w:after="0" w:line="250" w:lineRule="auto"/>
        <w:rPr>
          <w:rFonts w:ascii="Arial" w:cs="Arial" w:eastAsia="Arial" w:hAnsi="Arial"/>
          <w:sz w:val="18"/>
          <w:szCs w:val="18"/>
          <w:color w:val="auto"/>
        </w:rPr>
      </w:pPr>
      <w:r>
        <w:rPr>
          <w:rFonts w:ascii="Arial" w:cs="Arial" w:eastAsia="Arial" w:hAnsi="Arial"/>
          <w:sz w:val="18"/>
          <w:szCs w:val="18"/>
          <w:color w:val="auto"/>
        </w:rPr>
        <w:t>Chief Executive Officer and Chief President Bear 1954 Innerbelt Business Center</w:t>
      </w:r>
    </w:p>
    <w:p>
      <w:pPr>
        <w:ind w:left="3240" w:right="6660"/>
        <w:spacing w:after="0" w:line="521" w:lineRule="auto"/>
        <w:rPr>
          <w:rFonts w:ascii="Arial" w:cs="Arial" w:eastAsia="Arial" w:hAnsi="Arial"/>
          <w:sz w:val="18"/>
          <w:szCs w:val="18"/>
          <w:color w:val="auto"/>
        </w:rPr>
      </w:pPr>
      <w:r>
        <w:rPr>
          <w:rFonts w:ascii="Arial" w:cs="Arial" w:eastAsia="Arial" w:hAnsi="Arial"/>
          <w:sz w:val="17"/>
          <w:szCs w:val="17"/>
          <w:color w:val="auto"/>
        </w:rPr>
        <w:t>St. Louis, MO 63114 With copy to:</w:t>
      </w:r>
    </w:p>
    <w:p>
      <w:pPr>
        <w:spacing w:after="0" w:line="1"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color w:val="auto"/>
        </w:rPr>
        <w:t>Eric Fencl</w:t>
      </w:r>
    </w:p>
    <w:p>
      <w:pPr>
        <w:spacing w:after="0" w:line="23" w:lineRule="exact"/>
        <w:rPr>
          <w:rFonts w:ascii="Arial" w:cs="Arial" w:eastAsia="Arial" w:hAnsi="Arial"/>
          <w:sz w:val="18"/>
          <w:szCs w:val="18"/>
          <w:color w:val="auto"/>
        </w:rPr>
      </w:pPr>
    </w:p>
    <w:p>
      <w:pPr>
        <w:ind w:left="3240" w:right="4640"/>
        <w:spacing w:after="0" w:line="250" w:lineRule="auto"/>
        <w:rPr>
          <w:rFonts w:ascii="Arial" w:cs="Arial" w:eastAsia="Arial" w:hAnsi="Arial"/>
          <w:sz w:val="18"/>
          <w:szCs w:val="18"/>
          <w:color w:val="auto"/>
        </w:rPr>
      </w:pPr>
      <w:r>
        <w:rPr>
          <w:rFonts w:ascii="Arial" w:cs="Arial" w:eastAsia="Arial" w:hAnsi="Arial"/>
          <w:sz w:val="18"/>
          <w:szCs w:val="18"/>
          <w:color w:val="auto"/>
        </w:rPr>
        <w:t>Chief Administrative Officer &amp; General Counsel 1954 Innerbelt Business Center</w:t>
      </w:r>
    </w:p>
    <w:p>
      <w:pPr>
        <w:ind w:left="3240"/>
        <w:spacing w:after="0"/>
        <w:rPr>
          <w:rFonts w:ascii="Arial" w:cs="Arial" w:eastAsia="Arial" w:hAnsi="Arial"/>
          <w:sz w:val="18"/>
          <w:szCs w:val="18"/>
          <w:color w:val="auto"/>
        </w:rPr>
      </w:pPr>
      <w:r>
        <w:rPr>
          <w:rFonts w:ascii="Arial" w:cs="Arial" w:eastAsia="Arial" w:hAnsi="Arial"/>
          <w:sz w:val="18"/>
          <w:szCs w:val="18"/>
          <w:color w:val="auto"/>
        </w:rPr>
        <w:t>St. Louis, MO 63114</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3280" w:hanging="436"/>
        <w:spacing w:after="0"/>
        <w:tabs>
          <w:tab w:leader="none" w:pos="3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to Employee:</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Gina Collins</w:t>
      </w:r>
    </w:p>
    <w:p>
      <w:pPr>
        <w:spacing w:after="0" w:line="200" w:lineRule="exact"/>
        <w:rPr>
          <w:sz w:val="20"/>
          <w:szCs w:val="20"/>
          <w:color w:val="auto"/>
        </w:rPr>
      </w:pPr>
    </w:p>
    <w:p>
      <w:pPr>
        <w:spacing w:after="0" w:line="241" w:lineRule="exact"/>
        <w:rPr>
          <w:sz w:val="20"/>
          <w:szCs w:val="20"/>
          <w:color w:val="auto"/>
        </w:rPr>
      </w:pPr>
    </w:p>
    <w:p>
      <w:pPr>
        <w:jc w:val="both"/>
        <w:ind w:firstLine="1305"/>
        <w:spacing w:after="0" w:line="270" w:lineRule="auto"/>
        <w:tabs>
          <w:tab w:leader="none" w:pos="176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controversy or claim arising out of, or relating to this Agreement, the breach thereof, or Employee’s employment by Company, shall, at Company’s sole option, be settled by binding arbitration in the County of St. Louis in accordance with the employment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208" w:lineRule="exact"/>
        <w:rPr>
          <w:rFonts w:ascii="Arial" w:cs="Arial" w:eastAsia="Arial" w:hAnsi="Arial"/>
          <w:sz w:val="17"/>
          <w:szCs w:val="17"/>
          <w:color w:val="auto"/>
        </w:rPr>
      </w:pPr>
    </w:p>
    <w:p>
      <w:pPr>
        <w:jc w:val="both"/>
        <w:ind w:firstLine="1305"/>
        <w:spacing w:after="0" w:line="285" w:lineRule="auto"/>
        <w:tabs>
          <w:tab w:leader="none" w:pos="1841"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Excise Taxes</w:t>
      </w:r>
      <w:r>
        <w:rPr>
          <w:rFonts w:ascii="Arial" w:cs="Arial" w:eastAsia="Arial" w:hAnsi="Arial"/>
          <w:sz w:val="16"/>
          <w:szCs w:val="16"/>
          <w:color w:val="auto"/>
        </w:rPr>
        <w:t>. Anything in this Agreement to the contrary notwithstanding and except as set forth below, in the event it shall be determined that any payment, benefit, vesting or distribution to or for the benefit of Employee (whether paid or payable or distributed or distributable pursuant to the terms of this Agreement or otherwise) (a “Payment”) would but for this Section 20 be subject to the excise tax imposed by Section 4999 of the Internal Revenue Code of 1986, as amended (the “Code”), or any comparable successor provisions (the “Excise Tax”), then the Payments shall be either (i) provided to Employee in full, or (ii) provided to Employee as to such lesser extent which would result in no portion of such Payments being subject to the Excise Tax, whichever of the foregoing amounts, when taking into account applicable income and employment taxes, the Excise Tax, and any other applicable taxes, results in the receipt by Employee on an after-tax basis, of the greatest amount of Payments, notwithstanding that all or some portion of such Payments may be subject to the Excise Tax. Any determination required under this Section 20 shall be made in writing in good faith by the Company's independent certified public accountants, appointed prior to any change in ownership (as defined under Code Section 280G(b)(2), and/or tax counsel selected by such accountants (the “Accounting Firm”) in accordance with the principles of Section 280G of the Code. In the event of a reduction of Payments hereunder, the Payments shall be reduced as follows: (i) first from cash payments which are included in full as parachute payments, (ii) second from equity awards which are included in full as parachute payments, (iii) third from cash payments which are partially included as parachute payments, and (iv) fourth from equity awards that are partially included as parachute payments. In applying these principles, any reduction or elimination of the Payments shall be made in a manner consistent with the requirements of Code Section 409A and where two economically equivalent amounts are subject to reduction but payable at different times, such amounts shall be reduced on a pro rata basis but not below zero. For purposes of making the calculations required by this Section 20, the Accounting Firm may make reasonable assumptions and approximations concerning applicable taxes and may rely on reasonable, good faith interpretations concerning the application of the Code, and other applicable legal authority. The Company and Employee shall furnish to the Accounting Firm such information and documents as the Accounting Firm may reasonably request in order to make a determination under this Section 20. All fees and expenses of the Accounting Firm shall be borne solely by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17"/>
          <w:szCs w:val="17"/>
          <w:color w:val="auto"/>
        </w:rPr>
        <w:t>If, notwithstanding any reduction described in this Section 20, the Internal Revenue Service (the “IRS”) determines that Employee is liable for the Excise Tax as a result of the receipt of the Payments as described above, then Employee shall be obligated to pay back to the Company, within thirty (30) days after a final IRS determination or in the event that Employee challenges the final IRS determination, a final judicial determination, a portion of the Payments equal to the “Repayment Amount.” The Repayment Amount with respect to the Payments shall be the smallest such amount, if any, as shall be required to be paid to the Company so that Employee's net after-tax proceeds with respect to the Payments (after taking into account the payment of the Excise Tax and all other applicable taxes imposed on such payment) shall be maximized. The Repayment Amount with respect to the Payments shall be zero if a Repayment Amount of more than zero would not result in Employee’s net after-tax proceeds with respect to the Payments being maximized. If the Excise Tax is not eliminated pursuant to this paragraph, Employee shall pay the Excise Tax.</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other provision of this Section 20, if (i) there is a reduction in the Payments as described in this Section 20, (ii) the IRS later determines that Employee is liable for the Excise Tax, the payment of which would result in the maximization of Employee’s net after-tax proceeds (calculated as if Employee’s Payments had not previously been reduced), and (iii) Employee pays the Excise Tax, then the Company shall pay to Employee those Payments which were reduced pursuant to this subsection as soon as administratively possible after Employee pays the Excise Tax so that Employee’s net after-tax proceeds with respect to the Payments are maximized.</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avoidance of doubt, Employee acknowledges she is solely responsible for the payment of any Excise Tax and that the Company will not reimburse or otherwise indemnify her for such amount. Any reimbursements or repayments provided under this subsection shall be made strictly in accordance with Section 409A of the Code, including Treasury Regulation 1.409A-3(i)(1)(v).</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jc w:val="both"/>
        <w:spacing w:after="0" w:line="270" w:lineRule="auto"/>
        <w:rPr>
          <w:sz w:val="20"/>
          <w:szCs w:val="20"/>
          <w:color w:val="auto"/>
        </w:rPr>
      </w:pPr>
      <w:r>
        <w:rPr>
          <w:rFonts w:ascii="Arial" w:cs="Arial" w:eastAsia="Arial" w:hAnsi="Arial"/>
          <w:sz w:val="17"/>
          <w:szCs w:val="17"/>
          <w:color w:val="auto"/>
        </w:rPr>
        <w:t>Notwithstanding anything in this Agreement to the contrary, if any payments or benefits due to Employee hereunder would cause the application of an accelerated or additional tax under Section 409A of the Code (“Section 409A”), such payments or benefits shall be restructured in a manner which does not cause such an accelerated or additional tax.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six-month period immediately following Employee’s separation from service shall instead be paid on the first (1st) business day after the date that is six (6) months following Employee’s date of termination (or death, if earlier). In the event that Employee receives reduced payments and benefits as a result of the application of this paragraph, reduction shall be made from payments and benefits which are determined not to be nonqualified deferred compensation for purposes of Section 409A of the Code first, and then shall be made (to the extent necessary) out of payments and benefits which are subject to Section 409A of the Code and which are due at the latest future date, to the extent such reduction would not trigger adverse tax consequences under Section 409A of the Code.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ind w:left="1800" w:hanging="495"/>
        <w:spacing w:after="0"/>
        <w:tabs>
          <w:tab w:leader="none" w:pos="180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provided in this Agreement for convenience only and shall not be deemed to substantively alter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content of such sections.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PLEASE NOTE</w:t>
      </w:r>
      <w:r>
        <w:rPr>
          <w:rFonts w:ascii="Arial" w:cs="Arial" w:eastAsia="Arial" w:hAnsi="Arial"/>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EMPLOYEE’S RIGHTS AND OBLIGATIONS UNDER THE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hereto have caused this Agreement to be executed as of March 7, 2016.</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AGREEMENT CONTAINS A BINDING ARBITRATION PROVISION WHICH MAY BE ENFORCED BY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Gina Collins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Gina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4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Sharon Price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22294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Sharon Price John</w:t>
      </w:r>
    </w:p>
    <w:p>
      <w:pPr>
        <w:spacing w:after="0" w:line="225" w:lineRule="exact"/>
        <w:rPr>
          <w:sz w:val="20"/>
          <w:szCs w:val="20"/>
          <w:color w:val="auto"/>
        </w:rPr>
      </w:pPr>
    </w:p>
    <w:p>
      <w:pPr>
        <w:ind w:left="604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8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10.13.3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LEASE</w:t>
      </w:r>
    </w:p>
    <w:p>
      <w:pPr>
        <w:spacing w:after="0" w:line="200" w:lineRule="exact"/>
        <w:rPr>
          <w:sz w:val="20"/>
          <w:szCs w:val="20"/>
          <w:color w:val="auto"/>
        </w:rPr>
      </w:pPr>
    </w:p>
    <w:p>
      <w:pPr>
        <w:spacing w:after="0" w:line="241" w:lineRule="exact"/>
        <w:rPr>
          <w:sz w:val="20"/>
          <w:szCs w:val="20"/>
          <w:color w:val="auto"/>
        </w:rPr>
      </w:pPr>
    </w:p>
    <w:p>
      <w:pPr>
        <w:jc w:val="both"/>
        <w:ind w:right="20" w:firstLine="583"/>
        <w:spacing w:after="0" w:line="282" w:lineRule="auto"/>
        <w:rPr>
          <w:sz w:val="20"/>
          <w:szCs w:val="20"/>
          <w:color w:val="auto"/>
        </w:rPr>
      </w:pPr>
      <w:r>
        <w:rPr>
          <w:rFonts w:ascii="Arial" w:cs="Arial" w:eastAsia="Arial" w:hAnsi="Arial"/>
          <w:sz w:val="18"/>
          <w:szCs w:val="18"/>
          <w:color w:val="auto"/>
        </w:rPr>
        <w:t xml:space="preserve">This FIFTH AMENDMENT TO LEASE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made this 3rd day of October, 2013 by and between </w:t>
      </w:r>
      <w:r>
        <w:rPr>
          <w:rFonts w:ascii="Arial" w:cs="Arial" w:eastAsia="Arial" w:hAnsi="Arial"/>
          <w:sz w:val="18"/>
          <w:szCs w:val="18"/>
          <w:b w:val="1"/>
          <w:bCs w:val="1"/>
          <w:color w:val="auto"/>
        </w:rPr>
        <w:t>FR National Life,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Build-A-Bear Retail Management,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("Tenant").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583"/>
        <w:spacing w:after="0" w:line="24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Landlord and Tenant entered into that certain Industrial Building Lease dated as of August 28, 2004 (the</w:t>
      </w:r>
      <w:r>
        <w:rPr>
          <w:rFonts w:ascii="Arial" w:cs="Arial" w:eastAsia="Arial" w:hAnsi="Arial"/>
          <w:sz w:val="17"/>
          <w:szCs w:val="17"/>
          <w:b w:val="1"/>
          <w:bCs w:val="1"/>
          <w:color w:val="auto"/>
        </w:rPr>
        <w:t xml:space="preserve"> "Initial Lease"), </w:t>
      </w:r>
      <w:r>
        <w:rPr>
          <w:rFonts w:ascii="Arial" w:cs="Arial" w:eastAsia="Arial" w:hAnsi="Arial"/>
          <w:sz w:val="17"/>
          <w:szCs w:val="17"/>
          <w:color w:val="auto"/>
        </w:rPr>
        <w:t>amended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First Amendment to Lease dated as of October 31, 2006 (the </w:t>
      </w:r>
      <w:r>
        <w:rPr>
          <w:rFonts w:ascii="Arial" w:cs="Arial" w:eastAsia="Arial" w:hAnsi="Arial"/>
          <w:sz w:val="17"/>
          <w:szCs w:val="17"/>
          <w:b w:val="1"/>
          <w:bCs w:val="1"/>
          <w:color w:val="auto"/>
        </w:rPr>
        <w:t>"First Amendment"),</w:t>
      </w:r>
      <w:r>
        <w:rPr>
          <w:rFonts w:ascii="Arial" w:cs="Arial" w:eastAsia="Arial" w:hAnsi="Arial"/>
          <w:sz w:val="17"/>
          <w:szCs w:val="17"/>
          <w:color w:val="auto"/>
        </w:rPr>
        <w:t xml:space="preserve"> as further amended by the Second Amendment to Lease dated as of December 31, 2006 the (</w:t>
      </w:r>
      <w:r>
        <w:rPr>
          <w:rFonts w:ascii="Arial" w:cs="Arial" w:eastAsia="Arial" w:hAnsi="Arial"/>
          <w:sz w:val="17"/>
          <w:szCs w:val="17"/>
          <w:b w:val="1"/>
          <w:bCs w:val="1"/>
          <w:color w:val="auto"/>
        </w:rPr>
        <w:t>"Second Amendment")</w:t>
      </w:r>
      <w:r>
        <w:rPr>
          <w:rFonts w:ascii="Arial" w:cs="Arial" w:eastAsia="Arial" w:hAnsi="Arial"/>
          <w:sz w:val="17"/>
          <w:szCs w:val="17"/>
          <w:color w:val="auto"/>
        </w:rPr>
        <w:t xml:space="preserve">, as further amended by that certain Third Amendment to Lease dated as of November 21, 2007 (the </w:t>
      </w:r>
      <w:r>
        <w:rPr>
          <w:rFonts w:ascii="Arial" w:cs="Arial" w:eastAsia="Arial" w:hAnsi="Arial"/>
          <w:sz w:val="17"/>
          <w:szCs w:val="17"/>
          <w:b w:val="1"/>
          <w:b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and as further amended by that certain Fourth Amendment to Lease dated as of December 29, 2011 (the</w:t>
      </w:r>
      <w:r>
        <w:rPr>
          <w:rFonts w:ascii="Arial" w:cs="Arial" w:eastAsia="Arial" w:hAnsi="Arial"/>
          <w:sz w:val="17"/>
          <w:szCs w:val="17"/>
          <w:b w:val="1"/>
          <w:bCs w:val="1"/>
          <w:color w:val="auto"/>
        </w:rPr>
        <w:t xml:space="preserve"> "Fourth Amendment"</w:t>
      </w:r>
      <w:r>
        <w:rPr>
          <w:rFonts w:ascii="Arial" w:cs="Arial" w:eastAsia="Arial" w:hAnsi="Arial"/>
          <w:sz w:val="17"/>
          <w:szCs w:val="17"/>
          <w:color w:val="auto"/>
        </w:rPr>
        <w:t>), together</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Initial Lease, the First Amendment, the Second Amendment and the Third Amendment, the (</w:t>
      </w:r>
      <w:r>
        <w:rPr>
          <w:rFonts w:ascii="Arial" w:cs="Arial" w:eastAsia="Arial" w:hAnsi="Arial"/>
          <w:sz w:val="17"/>
          <w:szCs w:val="17"/>
          <w:b w:val="1"/>
          <w:bCs w:val="1"/>
          <w:color w:val="auto"/>
        </w:rPr>
        <w:t>"Original Lease"),</w:t>
      </w:r>
      <w:r>
        <w:rPr>
          <w:rFonts w:ascii="Arial" w:cs="Arial" w:eastAsia="Arial" w:hAnsi="Arial"/>
          <w:sz w:val="17"/>
          <w:szCs w:val="17"/>
          <w:color w:val="auto"/>
        </w:rPr>
        <w:t xml:space="preserve"> for certain space commonly known as Suite 1960 and Suites 1938 – 1954, Innerbelt Business Center Drive, St Louis, Missouri 63144 (the </w:t>
      </w:r>
      <w:r>
        <w:rPr>
          <w:rFonts w:ascii="Arial" w:cs="Arial" w:eastAsia="Arial" w:hAnsi="Arial"/>
          <w:sz w:val="17"/>
          <w:szCs w:val="17"/>
          <w:b w:val="1"/>
          <w:bCs w:val="1"/>
          <w:color w:val="auto"/>
        </w:rPr>
        <w:t>"Building</w:t>
      </w:r>
      <w:r>
        <w:rPr>
          <w:rFonts w:ascii="Arial" w:cs="Arial" w:eastAsia="Arial" w:hAnsi="Arial"/>
          <w:sz w:val="28"/>
          <w:szCs w:val="28"/>
          <w:color w:val="auto"/>
          <w:vertAlign w:val="superscript"/>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containing approximately 59,413 rentable square feet, as more particularly described in the Original Lease; and</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WHEREAS, Landlord and Tenant desire to further amend and modify the Original Lease on the terms and conditions hereinafter set forth.</w:t>
      </w:r>
    </w:p>
    <w:p>
      <w:pPr>
        <w:spacing w:after="0" w:line="233" w:lineRule="exact"/>
        <w:rPr>
          <w:sz w:val="20"/>
          <w:szCs w:val="20"/>
          <w:color w:val="auto"/>
        </w:rPr>
      </w:pPr>
    </w:p>
    <w:p>
      <w:pPr>
        <w:ind w:right="360" w:firstLine="583"/>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acknowledged hereby, Landlord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both"/>
        <w:ind w:right="80" w:firstLine="8"/>
        <w:spacing w:after="0" w:line="266" w:lineRule="auto"/>
        <w:tabs>
          <w:tab w:leader="none" w:pos="63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 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recitals are hereby incorporated into the body of this Amendment as if such recitals were more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set forth. Capitalized terms used herein and not otherwise defined shall have the meanings respectively ascribed to such terms in the Original Lease. The Original Lease, as modified by this Amendment, is referred to as the "Lease".</w:t>
      </w:r>
    </w:p>
    <w:p>
      <w:pPr>
        <w:spacing w:after="0" w:line="176" w:lineRule="exact"/>
        <w:rPr>
          <w:rFonts w:ascii="Arial" w:cs="Arial" w:eastAsia="Arial" w:hAnsi="Arial"/>
          <w:sz w:val="18"/>
          <w:szCs w:val="18"/>
          <w:b w:val="1"/>
          <w:bCs w:val="1"/>
          <w:color w:val="auto"/>
        </w:rPr>
      </w:pPr>
    </w:p>
    <w:p>
      <w:pPr>
        <w:jc w:val="both"/>
        <w:ind w:right="60" w:firstLine="8"/>
        <w:spacing w:after="0" w:line="289" w:lineRule="auto"/>
        <w:tabs>
          <w:tab w:leader="none" w:pos="724"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Extension Term.</w:t>
      </w:r>
      <w:r>
        <w:rPr>
          <w:rFonts w:ascii="Arial" w:cs="Arial" w:eastAsia="Arial" w:hAnsi="Arial"/>
          <w:sz w:val="17"/>
          <w:szCs w:val="17"/>
          <w:b w:val="1"/>
          <w:bCs w:val="1"/>
          <w:color w:val="auto"/>
        </w:rPr>
        <w:t xml:space="preserve"> </w:t>
      </w:r>
      <w:r>
        <w:rPr>
          <w:rFonts w:ascii="Arial" w:cs="Arial" w:eastAsia="Arial" w:hAnsi="Arial"/>
          <w:sz w:val="17"/>
          <w:szCs w:val="17"/>
          <w:color w:val="auto"/>
        </w:rPr>
        <w:t>As of Sanitary 1, 2014 (the</w:t>
      </w:r>
      <w:r>
        <w:rPr>
          <w:rFonts w:ascii="Arial" w:cs="Arial" w:eastAsia="Arial" w:hAnsi="Arial"/>
          <w:sz w:val="17"/>
          <w:szCs w:val="17"/>
          <w:b w:val="1"/>
          <w:bCs w:val="1"/>
          <w:color w:val="auto"/>
        </w:rPr>
        <w:t xml:space="preserve"> "Extension Term Commencement Date")</w:t>
      </w:r>
      <w:r>
        <w:rPr>
          <w:rFonts w:ascii="Arial" w:cs="Arial" w:eastAsia="Arial" w:hAnsi="Arial"/>
          <w:sz w:val="17"/>
          <w:szCs w:val="17"/>
          <w:color w:val="auto"/>
        </w:rPr>
        <w:t>, the Term shall be extended for an additional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sixty (60) full calendar months (the </w:t>
      </w:r>
      <w:r>
        <w:rPr>
          <w:rFonts w:ascii="Arial" w:cs="Arial" w:eastAsia="Arial" w:hAnsi="Arial"/>
          <w:sz w:val="17"/>
          <w:szCs w:val="17"/>
          <w:b w:val="1"/>
          <w:bCs w:val="1"/>
          <w:color w:val="auto"/>
        </w:rPr>
        <w:t>"Extension Term")</w:t>
      </w:r>
      <w:r>
        <w:rPr>
          <w:rFonts w:ascii="Arial" w:cs="Arial" w:eastAsia="Arial" w:hAnsi="Arial"/>
          <w:sz w:val="17"/>
          <w:szCs w:val="17"/>
          <w:color w:val="auto"/>
        </w:rPr>
        <w:t xml:space="preserve">, so that the expiration date of the Lease shall thereby be December 31, 2018 (the </w:t>
      </w:r>
      <w:r>
        <w:rPr>
          <w:rFonts w:ascii="Arial" w:cs="Arial" w:eastAsia="Arial" w:hAnsi="Arial"/>
          <w:sz w:val="17"/>
          <w:szCs w:val="17"/>
          <w:b w:val="1"/>
          <w:bCs w:val="1"/>
          <w:color w:val="auto"/>
        </w:rPr>
        <w:t>"Expiration</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Notwithstanding anything to the contrary in the Lease, Tenant shall no further rights to extend the Term of the Lease.</w:t>
      </w:r>
    </w:p>
    <w:p>
      <w:pPr>
        <w:spacing w:after="0" w:line="158" w:lineRule="exact"/>
        <w:rPr>
          <w:rFonts w:ascii="Arial" w:cs="Arial" w:eastAsia="Arial" w:hAnsi="Arial"/>
          <w:sz w:val="17"/>
          <w:szCs w:val="17"/>
          <w:b w:val="1"/>
          <w:bCs w:val="1"/>
          <w:color w:val="auto"/>
        </w:rPr>
      </w:pPr>
    </w:p>
    <w:p>
      <w:pPr>
        <w:ind w:right="80" w:firstLine="8"/>
        <w:spacing w:after="0" w:line="282" w:lineRule="auto"/>
        <w:tabs>
          <w:tab w:leader="none" w:pos="59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and after the Extension Term Commencement Date through the Expiration Date, the Base Rent in the amounts set forth below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payable. to Landlord in accordance with the provisions of the Lease,</w:t>
      </w:r>
    </w:p>
    <w:p>
      <w:pPr>
        <w:spacing w:after="0" w:line="149"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Period</w:t>
            </w:r>
          </w:p>
        </w:tc>
        <w:tc>
          <w:tcPr>
            <w:tcW w:w="5220" w:type="dxa"/>
            <w:vAlign w:val="bottom"/>
          </w:tcPr>
          <w:p>
            <w:pPr>
              <w:spacing w:after="0"/>
              <w:rPr>
                <w:sz w:val="18"/>
                <w:szCs w:val="18"/>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Monthly Base. Rent</w:t>
            </w:r>
          </w:p>
        </w:tc>
      </w:tr>
      <w:tr>
        <w:trPr>
          <w:trHeight w:val="453"/>
        </w:trPr>
        <w:tc>
          <w:tcPr>
            <w:tcW w:w="5700" w:type="dxa"/>
            <w:vAlign w:val="bottom"/>
            <w:gridSpan w:val="2"/>
          </w:tcPr>
          <w:p>
            <w:pPr>
              <w:spacing w:after="0"/>
              <w:rPr>
                <w:sz w:val="20"/>
                <w:szCs w:val="20"/>
                <w:color w:val="auto"/>
              </w:rPr>
            </w:pPr>
            <w:r>
              <w:rPr>
                <w:rFonts w:ascii="Arial" w:cs="Arial" w:eastAsia="Arial" w:hAnsi="Arial"/>
                <w:sz w:val="18"/>
                <w:szCs w:val="18"/>
                <w:color w:val="auto"/>
              </w:rPr>
              <w:t>1/1/14 – 12/31/18*</w:t>
            </w:r>
          </w:p>
        </w:tc>
        <w:tc>
          <w:tcPr>
            <w:tcW w:w="1440" w:type="dxa"/>
            <w:vAlign w:val="bottom"/>
          </w:tcPr>
          <w:p>
            <w:pPr>
              <w:spacing w:after="0"/>
              <w:rPr>
                <w:sz w:val="20"/>
                <w:szCs w:val="20"/>
                <w:color w:val="auto"/>
              </w:rPr>
            </w:pPr>
            <w:r>
              <w:rPr>
                <w:rFonts w:ascii="Arial" w:cs="Arial" w:eastAsia="Arial" w:hAnsi="Arial"/>
                <w:sz w:val="18"/>
                <w:szCs w:val="18"/>
                <w:color w:val="auto"/>
              </w:rPr>
              <w:t>$37,776.77</w:t>
            </w:r>
          </w:p>
        </w:tc>
      </w:tr>
    </w:tbl>
    <w:p>
      <w:pPr>
        <w:spacing w:after="0" w:line="256" w:lineRule="exact"/>
        <w:rPr>
          <w:sz w:val="20"/>
          <w:szCs w:val="20"/>
          <w:color w:val="auto"/>
        </w:rPr>
      </w:pPr>
    </w:p>
    <w:p>
      <w:pPr>
        <w:jc w:val="both"/>
        <w:ind w:right="60" w:firstLine="8"/>
        <w:spacing w:after="0" w:line="288" w:lineRule="auto"/>
        <w:tabs>
          <w:tab w:leader="none" w:pos="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Solely during the Free Rent Period (as hereinafter defined), Base Rent shall be conditionally abated in the amount of $20,447.98 per month so that Tenant shall pay $17,328.79 to Landlord per month for the periods of time: (i) commencing on January 1, 2014 and ending on March 31, 2014; (ii) commencing on January 1, 2015 and ending on February 28, 2015; (iii) commencing on January 1, 2016 and ending on February 29, 2016; (iv) commencing on January 1, 2017 and ending on February 28, 2017; and (v) commencing on January 1, 2018 and ending on February 28, 2018 (collectively, such eleven-month period, the (</w:t>
      </w:r>
      <w:r>
        <w:rPr>
          <w:rFonts w:ascii="Arial" w:cs="Arial" w:eastAsia="Arial" w:hAnsi="Arial"/>
          <w:sz w:val="16"/>
          <w:szCs w:val="16"/>
          <w:b w:val="1"/>
          <w:bCs w:val="1"/>
          <w:color w:val="auto"/>
        </w:rPr>
        <w:t>"Free Rent Period")</w:t>
      </w:r>
      <w:r>
        <w:rPr>
          <w:rFonts w:ascii="Arial" w:cs="Arial" w:eastAsia="Arial" w:hAnsi="Arial"/>
          <w:sz w:val="16"/>
          <w:szCs w:val="16"/>
          <w:color w:val="auto"/>
        </w:rPr>
        <w:t>. Notwithstanding such abatement of Base Rent during the Free Rent Period, all Additional Rent and all other amounts or charges due under the Lease shall be payable during the Free Rent Period (and throughout the remainder of the Extension Term) in accordance with the provisions of the Lease. The abatement of Base Rent during the Free Rent Period provided for in this Section 3 is conditioned upon Tenant's full and timely performance of all of its obligations under the Lease. If at any time during the Term, Tenant defaults or breaches any of its obligations under the Lease, then the abatement of Base Rent provided for in this provision shall immediately become void, and Tenant shall promptly pay to Landlord, in addition to all other amounts due to Landlord under the Lease, the full amount of all Base Rent herein abated.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both"/>
        <w:ind w:left="-8" w:right="20" w:firstLine="8"/>
        <w:spacing w:after="0" w:line="266" w:lineRule="auto"/>
        <w:tabs>
          <w:tab w:leader="none" w:pos="649"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Rent.</w:t>
      </w:r>
      <w:r>
        <w:rPr>
          <w:rFonts w:ascii="Arial" w:cs="Arial" w:eastAsia="Arial" w:hAnsi="Arial"/>
          <w:sz w:val="18"/>
          <w:szCs w:val="18"/>
          <w:b w:val="1"/>
          <w:bCs w:val="1"/>
          <w:color w:val="auto"/>
        </w:rPr>
        <w:t xml:space="preserve"> </w:t>
      </w:r>
      <w:r>
        <w:rPr>
          <w:rFonts w:ascii="Arial" w:cs="Arial" w:eastAsia="Arial" w:hAnsi="Arial"/>
          <w:sz w:val="18"/>
          <w:szCs w:val="18"/>
          <w:color w:val="auto"/>
        </w:rPr>
        <w:t>For calendar year 2013, Landlord estimates that (i) Real Estate Taxes shall be $113,478.83; (ii) insurance shall be $8,317.82;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(iii) Operating Expenses shall be $71,889.73. The estimates set forth in this </w:t>
      </w:r>
      <w:r>
        <w:rPr>
          <w:rFonts w:ascii="Arial" w:cs="Arial" w:eastAsia="Arial" w:hAnsi="Arial"/>
          <w:sz w:val="18"/>
          <w:szCs w:val="18"/>
          <w:b w:val="1"/>
          <w:bCs w:val="1"/>
          <w:color w:val="auto"/>
        </w:rPr>
        <w:t>Section 4</w:t>
      </w:r>
      <w:r>
        <w:rPr>
          <w:rFonts w:ascii="Arial" w:cs="Arial" w:eastAsia="Arial" w:hAnsi="Arial"/>
          <w:sz w:val="18"/>
          <w:szCs w:val="18"/>
          <w:color w:val="auto"/>
        </w:rPr>
        <w:t xml:space="preserve"> are estimates only, and are not intended to be relied upon for purposes of determining the final Real Estate Taxes, insurance or Operating Expenses.</w:t>
      </w:r>
    </w:p>
    <w:p>
      <w:pPr>
        <w:spacing w:after="0" w:line="176" w:lineRule="exact"/>
        <w:rPr>
          <w:rFonts w:ascii="Arial" w:cs="Arial" w:eastAsia="Arial" w:hAnsi="Arial"/>
          <w:sz w:val="18"/>
          <w:szCs w:val="18"/>
          <w:b w:val="1"/>
          <w:bCs w:val="1"/>
          <w:color w:val="auto"/>
        </w:rPr>
      </w:pPr>
    </w:p>
    <w:p>
      <w:pPr>
        <w:jc w:val="both"/>
        <w:ind w:left="-8" w:firstLine="8"/>
        <w:spacing w:after="0" w:line="281" w:lineRule="auto"/>
        <w:tabs>
          <w:tab w:leader="none" w:pos="577"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Condition of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agrees that Tenant is familiar with the condition of both the Premises and the Property, and Tenant hereby accepts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foregoing on an "AS-IS," "WHEREAS" basis, except as is otherwise expressly and specifically described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and incorporated herein by this reference </w:t>
      </w:r>
      <w:r>
        <w:rPr>
          <w:rFonts w:ascii="Arial" w:cs="Arial" w:eastAsia="Arial" w:hAnsi="Arial"/>
          <w:sz w:val="17"/>
          <w:szCs w:val="17"/>
          <w:b w:val="1"/>
          <w:bCs w:val="1"/>
          <w:color w:val="auto"/>
        </w:rPr>
        <w:t>("Landlord's Work"</w:t>
      </w:r>
      <w:r>
        <w:rPr>
          <w:rFonts w:ascii="Arial" w:cs="Arial" w:eastAsia="Arial" w:hAnsi="Arial"/>
          <w:sz w:val="17"/>
          <w:szCs w:val="17"/>
          <w:color w:val="auto"/>
        </w:rPr>
        <w:t>). Tenant acknowledges that neither Landlord nor Agent, nor any representative of Landlord, has made any representation as to the condition of the foregoing or the suitability of the foregoing for Tenant's intended use.</w:t>
      </w:r>
    </w:p>
    <w:p>
      <w:pPr>
        <w:spacing w:after="0" w:line="164" w:lineRule="exact"/>
        <w:rPr>
          <w:rFonts w:ascii="Arial" w:cs="Arial" w:eastAsia="Arial" w:hAnsi="Arial"/>
          <w:sz w:val="17"/>
          <w:szCs w:val="17"/>
          <w:b w:val="1"/>
          <w:bCs w:val="1"/>
          <w:color w:val="auto"/>
        </w:rPr>
      </w:pPr>
    </w:p>
    <w:p>
      <w:pPr>
        <w:jc w:val="both"/>
        <w:ind w:left="-8" w:firstLine="8"/>
        <w:spacing w:after="0" w:line="269" w:lineRule="auto"/>
        <w:tabs>
          <w:tab w:leader="none" w:pos="649"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Tenant is not in default, Landlord shall provide Tenant with a tenant improvement allowance in the amount of up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Thirty Thousand and No/l00 Dollars ($30,000.00) (the </w:t>
      </w:r>
      <w:r>
        <w:rPr>
          <w:rFonts w:ascii="Arial" w:cs="Arial" w:eastAsia="Arial" w:hAnsi="Arial"/>
          <w:sz w:val="17"/>
          <w:szCs w:val="17"/>
          <w:b w:val="1"/>
          <w:bCs w:val="1"/>
          <w:color w:val="auto"/>
        </w:rPr>
        <w:t>"Tenant Allowance")</w:t>
      </w:r>
      <w:r>
        <w:rPr>
          <w:rFonts w:ascii="Arial" w:cs="Arial" w:eastAsia="Arial" w:hAnsi="Arial"/>
          <w:sz w:val="17"/>
          <w:szCs w:val="17"/>
          <w:color w:val="auto"/>
        </w:rPr>
        <w:t xml:space="preserve"> to be applied towards all actual costs and expenses incurred by Tenant to convert any thermostats in the Premises to digital thermostats, if not already converted (collectively, </w:t>
      </w:r>
      <w:r>
        <w:rPr>
          <w:rFonts w:ascii="Arial" w:cs="Arial" w:eastAsia="Arial" w:hAnsi="Arial"/>
          <w:sz w:val="17"/>
          <w:szCs w:val="17"/>
          <w:b w:val="1"/>
          <w:bCs w:val="1"/>
          <w:color w:val="auto"/>
        </w:rPr>
        <w:t>"Tenant Improvements").</w:t>
      </w:r>
      <w:r>
        <w:rPr>
          <w:rFonts w:ascii="Arial" w:cs="Arial" w:eastAsia="Arial" w:hAnsi="Arial"/>
          <w:sz w:val="17"/>
          <w:szCs w:val="17"/>
          <w:color w:val="auto"/>
        </w:rPr>
        <w:t xml:space="preserve"> All Tenant Improvements performed by Tenant shall be performed in accordance with the terms of the Lease, including without limitation, Section 11 of the Initial Lease. Landlord shall disburse portions of the Tenant Allowance (or any portion thereof) to Tenant, within thirty (30) days following Landlord's receipt of (1) true and complete copies of invokes (collectively, "Invoices") evidencing the actual costs and expenses incurred by Tenant to perform the Tenant Improvements and (ii) executed, unconditional lien waivers for the Tenant improvements that are attributable to such Invoices (collectively, </w:t>
      </w:r>
      <w:r>
        <w:rPr>
          <w:rFonts w:ascii="Arial" w:cs="Arial" w:eastAsia="Arial" w:hAnsi="Arial"/>
          <w:sz w:val="17"/>
          <w:szCs w:val="17"/>
          <w:b w:val="1"/>
          <w:bCs w:val="1"/>
          <w:color w:val="auto"/>
        </w:rPr>
        <w:t>"Payment Submittals").</w:t>
      </w:r>
      <w:r>
        <w:rPr>
          <w:rFonts w:ascii="Arial" w:cs="Arial" w:eastAsia="Arial" w:hAnsi="Arial"/>
          <w:sz w:val="17"/>
          <w:szCs w:val="17"/>
          <w:color w:val="auto"/>
        </w:rPr>
        <w:t xml:space="preserve"> In no event shall Landlord be required to distribute any portion of the Tenant Allowance at any time during which a default by Tenant has occurred under the Lease. Moreover, in no event shall Landlord be required to distribute funds pursuant to a Payment Submittal, to the extent such amount, in the aggregate, exceeds the amount of the remaining Tenant Allowance. The cost of any Tenant improvements which exceed the Tenant Allowance shall be paid for solely by Tenant. To the extent that any portion of the Tenant Allowance has not been applied as of December 31, 2014 (the </w:t>
      </w:r>
      <w:r>
        <w:rPr>
          <w:rFonts w:ascii="Arial" w:cs="Arial" w:eastAsia="Arial" w:hAnsi="Arial"/>
          <w:sz w:val="17"/>
          <w:szCs w:val="17"/>
          <w:b w:val="1"/>
          <w:bCs w:val="1"/>
          <w:color w:val="auto"/>
        </w:rPr>
        <w:t>"Tenant Improvements Deadline"),</w:t>
      </w:r>
      <w:r>
        <w:rPr>
          <w:rFonts w:ascii="Arial" w:cs="Arial" w:eastAsia="Arial" w:hAnsi="Arial"/>
          <w:sz w:val="17"/>
          <w:szCs w:val="17"/>
          <w:color w:val="auto"/>
        </w:rPr>
        <w:t xml:space="preserve"> exclusive of any Payment Submittals submitted to Landlord prior to the Tenant Improvements Deadline, Tenant shall forfeit, and shall not be entitled to receive, any remaining portion of the Tenant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481965</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52"/>
          </w:cols>
          <w:pgMar w:left="248" w:top="580" w:right="299" w:bottom="1440" w:gutter="0" w:footer="0" w:header="0"/>
        </w:sectPr>
      </w:pPr>
    </w:p>
    <w:bookmarkStart w:id="81" w:name="page82"/>
    <w:bookmarkEnd w:id="81"/>
    <w:p>
      <w:pPr>
        <w:ind w:left="632" w:hanging="632"/>
        <w:spacing w:after="0"/>
        <w:tabs>
          <w:tab w:leader="none" w:pos="632"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Downsizing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have the right to terminate the Lease subject to the terms and limitations of</w:t>
      </w:r>
      <w:r>
        <w:rPr>
          <w:rFonts w:ascii="Arial" w:cs="Arial" w:eastAsia="Arial" w:hAnsi="Arial"/>
          <w:sz w:val="17"/>
          <w:szCs w:val="17"/>
          <w:b w:val="1"/>
          <w:bCs w:val="1"/>
          <w:color w:val="auto"/>
        </w:rPr>
        <w:t xml:space="preserve"> Addendum A </w:t>
      </w:r>
      <w:r>
        <w:rPr>
          <w:rFonts w:ascii="Arial" w:cs="Arial" w:eastAsia="Arial" w:hAnsi="Arial"/>
          <w:sz w:val="17"/>
          <w:szCs w:val="17"/>
          <w:color w:val="auto"/>
        </w:rPr>
        <w:t>attached hereto.</w:t>
      </w:r>
    </w:p>
    <w:p>
      <w:pPr>
        <w:spacing w:after="0" w:line="236" w:lineRule="exact"/>
        <w:rPr>
          <w:rFonts w:ascii="Arial" w:cs="Arial" w:eastAsia="Arial" w:hAnsi="Arial"/>
          <w:sz w:val="17"/>
          <w:szCs w:val="17"/>
          <w:b w:val="1"/>
          <w:bCs w:val="1"/>
          <w:color w:val="auto"/>
        </w:rPr>
      </w:pPr>
    </w:p>
    <w:p>
      <w:pPr>
        <w:jc w:val="both"/>
        <w:ind w:left="-8" w:right="60" w:firstLine="8"/>
        <w:spacing w:after="0" w:line="289" w:lineRule="auto"/>
        <w:tabs>
          <w:tab w:leader="none" w:pos="577"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7"/>
          <w:szCs w:val="17"/>
          <w:b w:val="1"/>
          <w:bCs w:val="1"/>
          <w:u w:val="single" w:color="auto"/>
          <w:color w:val="auto"/>
        </w:rPr>
        <w:t>ermination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Tenant has not exercised its Downsizing Option, Tenant shall have the right to terminate the Lease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terms and limitations of </w:t>
      </w:r>
      <w:r>
        <w:rPr>
          <w:rFonts w:ascii="Arial" w:cs="Arial" w:eastAsia="Arial" w:hAnsi="Arial"/>
          <w:sz w:val="17"/>
          <w:szCs w:val="17"/>
          <w:b w:val="1"/>
          <w:bCs w:val="1"/>
          <w:color w:val="auto"/>
        </w:rPr>
        <w:t>Addendum B,</w:t>
      </w:r>
      <w:r>
        <w:rPr>
          <w:rFonts w:ascii="Arial" w:cs="Arial" w:eastAsia="Arial" w:hAnsi="Arial"/>
          <w:sz w:val="17"/>
          <w:szCs w:val="17"/>
          <w:color w:val="auto"/>
        </w:rPr>
        <w:t xml:space="preserve"> attached hereto. If Tenant exercised the Downsizing Option, Tenant shall no longer have the right to terminate the Lease pursuant to </w:t>
      </w:r>
      <w:r>
        <w:rPr>
          <w:rFonts w:ascii="Arial" w:cs="Arial" w:eastAsia="Arial" w:hAnsi="Arial"/>
          <w:sz w:val="17"/>
          <w:szCs w:val="17"/>
          <w:b w:val="1"/>
          <w:bCs w:val="1"/>
          <w:color w:val="auto"/>
        </w:rPr>
        <w:t>Addendum B,</w:t>
      </w:r>
      <w:r>
        <w:rPr>
          <w:rFonts w:ascii="Arial" w:cs="Arial" w:eastAsia="Arial" w:hAnsi="Arial"/>
          <w:sz w:val="17"/>
          <w:szCs w:val="17"/>
          <w:color w:val="auto"/>
        </w:rPr>
        <w:t xml:space="preserve"> and this </w:t>
      </w:r>
      <w:r>
        <w:rPr>
          <w:rFonts w:ascii="Arial" w:cs="Arial" w:eastAsia="Arial" w:hAnsi="Arial"/>
          <w:sz w:val="17"/>
          <w:szCs w:val="17"/>
          <w:b w:val="1"/>
          <w:bCs w:val="1"/>
          <w:color w:val="auto"/>
        </w:rPr>
        <w:t>Section 8</w:t>
      </w:r>
      <w:r>
        <w:rPr>
          <w:rFonts w:ascii="Arial" w:cs="Arial" w:eastAsia="Arial" w:hAnsi="Arial"/>
          <w:sz w:val="17"/>
          <w:szCs w:val="17"/>
          <w:color w:val="auto"/>
        </w:rPr>
        <w:t xml:space="preserve"> and </w:t>
      </w:r>
      <w:r>
        <w:rPr>
          <w:rFonts w:ascii="Arial" w:cs="Arial" w:eastAsia="Arial" w:hAnsi="Arial"/>
          <w:sz w:val="17"/>
          <w:szCs w:val="17"/>
          <w:b w:val="1"/>
          <w:bCs w:val="1"/>
          <w:color w:val="auto"/>
        </w:rPr>
        <w:t>Addendum B</w:t>
      </w:r>
      <w:r>
        <w:rPr>
          <w:rFonts w:ascii="Arial" w:cs="Arial" w:eastAsia="Arial" w:hAnsi="Arial"/>
          <w:sz w:val="17"/>
          <w:szCs w:val="17"/>
          <w:color w:val="auto"/>
        </w:rPr>
        <w:t xml:space="preserve"> shall be null and void and of no further force and effect.</w:t>
      </w:r>
    </w:p>
    <w:p>
      <w:pPr>
        <w:spacing w:after="0" w:line="158" w:lineRule="exact"/>
        <w:rPr>
          <w:rFonts w:ascii="Arial" w:cs="Arial" w:eastAsia="Arial" w:hAnsi="Arial"/>
          <w:sz w:val="17"/>
          <w:szCs w:val="17"/>
          <w:b w:val="1"/>
          <w:bCs w:val="1"/>
          <w:color w:val="auto"/>
        </w:rPr>
      </w:pPr>
    </w:p>
    <w:p>
      <w:pPr>
        <w:jc w:val="both"/>
        <w:ind w:left="-8" w:firstLine="8"/>
        <w:spacing w:after="0" w:line="258" w:lineRule="auto"/>
        <w:tabs>
          <w:tab w:leader="none" w:pos="74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Joint and Several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two or more individuals, corporations, partnerships, or other business associations (or any combination of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thereof) shall sign this Amendment as Tenant, the liability of each such individual, corporation, partnership or other business association to pay rent and perform all other obligations hereunder shall be deemed to be joint and several. If Tenant named in this Amendment shall be a partnership or other business association, the members of which are, by virtue of statute or general law, subject to personal liability, the liability of each such member shall be joint and several.</w:t>
      </w:r>
    </w:p>
    <w:p>
      <w:pPr>
        <w:spacing w:after="0" w:line="183" w:lineRule="exact"/>
        <w:rPr>
          <w:rFonts w:ascii="Arial" w:cs="Arial" w:eastAsia="Arial" w:hAnsi="Arial"/>
          <w:sz w:val="18"/>
          <w:szCs w:val="18"/>
          <w:b w:val="1"/>
          <w:bCs w:val="1"/>
          <w:color w:val="auto"/>
        </w:rPr>
      </w:pPr>
    </w:p>
    <w:p>
      <w:pPr>
        <w:ind w:left="-8" w:firstLine="8"/>
        <w:spacing w:after="0" w:line="282" w:lineRule="auto"/>
        <w:tabs>
          <w:tab w:leader="none" w:pos="73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Absence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submission of this Amendment for examination does not constitute a reservation of or option for the Premises,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become effective only upon execution and delivery thereof by Landlord.</w:t>
      </w:r>
    </w:p>
    <w:p>
      <w:pPr>
        <w:spacing w:after="0" w:line="161" w:lineRule="exact"/>
        <w:rPr>
          <w:rFonts w:ascii="Arial" w:cs="Arial" w:eastAsia="Arial" w:hAnsi="Arial"/>
          <w:sz w:val="18"/>
          <w:szCs w:val="18"/>
          <w:b w:val="1"/>
          <w:bCs w:val="1"/>
          <w:color w:val="auto"/>
        </w:rPr>
      </w:pPr>
    </w:p>
    <w:p>
      <w:pPr>
        <w:jc w:val="both"/>
        <w:ind w:left="-8" w:firstLine="8"/>
        <w:spacing w:after="0" w:line="314" w:lineRule="auto"/>
        <w:tabs>
          <w:tab w:leader="none" w:pos="639"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Brokerage Commission.</w:t>
      </w:r>
      <w:r>
        <w:rPr>
          <w:rFonts w:ascii="Arial" w:cs="Arial" w:eastAsia="Arial" w:hAnsi="Arial"/>
          <w:sz w:val="16"/>
          <w:szCs w:val="16"/>
          <w:b w:val="1"/>
          <w:bCs w:val="1"/>
          <w:color w:val="auto"/>
        </w:rPr>
        <w:t xml:space="preserve"> </w:t>
      </w:r>
      <w:r>
        <w:rPr>
          <w:rFonts w:ascii="Arial" w:cs="Arial" w:eastAsia="Arial" w:hAnsi="Arial"/>
          <w:sz w:val="16"/>
          <w:szCs w:val="16"/>
          <w:color w:val="auto"/>
        </w:rPr>
        <w:t>Both Landlord and Tenant warrant that there are no claims for broker's commissions or finder's fees in connection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of this Amendment, and Tenant agrees to indemnify and save Landlord, its affiliates, successors, and assigns harmless from any liability that may arise from any such claim, including reasonable attorneys' fees. The foregoing indemnification shall survive the termination or expiration of the Lease.</w:t>
      </w:r>
    </w:p>
    <w:p>
      <w:pPr>
        <w:spacing w:after="0" w:line="142" w:lineRule="exact"/>
        <w:rPr>
          <w:rFonts w:ascii="Arial" w:cs="Arial" w:eastAsia="Arial" w:hAnsi="Arial"/>
          <w:sz w:val="16"/>
          <w:szCs w:val="16"/>
          <w:b w:val="1"/>
          <w:bCs w:val="1"/>
          <w:color w:val="auto"/>
        </w:rPr>
      </w:pPr>
    </w:p>
    <w:p>
      <w:pPr>
        <w:jc w:val="both"/>
        <w:ind w:left="-8" w:right="20" w:firstLine="8"/>
        <w:spacing w:after="0" w:line="289" w:lineRule="auto"/>
        <w:tabs>
          <w:tab w:leader="none" w:pos="649"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Ratification.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modified by this Amendment, the Lease shall remain otherwise unmodified and in full force and effect and the parties ratify</w:t>
      </w:r>
      <w:r>
        <w:rPr>
          <w:rFonts w:ascii="Arial" w:cs="Arial" w:eastAsia="Arial" w:hAnsi="Arial"/>
          <w:sz w:val="17"/>
          <w:szCs w:val="17"/>
          <w:b w:val="1"/>
          <w:bCs w:val="1"/>
          <w:color w:val="auto"/>
        </w:rPr>
        <w:t xml:space="preserve"> </w:t>
      </w:r>
      <w:r>
        <w:rPr>
          <w:rFonts w:ascii="Arial" w:cs="Arial" w:eastAsia="Arial" w:hAnsi="Arial"/>
          <w:sz w:val="17"/>
          <w:szCs w:val="17"/>
          <w:color w:val="auto"/>
        </w:rPr>
        <w:t>and confirm the terms of the lease as modified by this Amendment. The Lease (as amended hereby) contains the entire agreement between Landlord and Tenant as to the Premises, and there are no. other agreements, oral or written, between Landlord and Tenant relating to the Premises.</w:t>
      </w:r>
    </w:p>
    <w:p>
      <w:pPr>
        <w:spacing w:after="0" w:line="158" w:lineRule="exact"/>
        <w:rPr>
          <w:rFonts w:ascii="Arial" w:cs="Arial" w:eastAsia="Arial" w:hAnsi="Arial"/>
          <w:sz w:val="17"/>
          <w:szCs w:val="17"/>
          <w:b w:val="1"/>
          <w:bCs w:val="1"/>
          <w:color w:val="auto"/>
        </w:rPr>
      </w:pPr>
    </w:p>
    <w:p>
      <w:pPr>
        <w:ind w:left="-8" w:firstLine="8"/>
        <w:spacing w:after="0" w:line="282" w:lineRule="auto"/>
        <w:tabs>
          <w:tab w:leader="none" w:pos="73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amended hereby, the Lease shall be and remain in full force and effect. In the event of any conflict between the terms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and the terms of this Amendment, the terms of this Amendment shall control.</w:t>
      </w:r>
    </w:p>
    <w:p>
      <w:pPr>
        <w:spacing w:after="0" w:line="161" w:lineRule="exact"/>
        <w:rPr>
          <w:rFonts w:ascii="Arial" w:cs="Arial" w:eastAsia="Arial" w:hAnsi="Arial"/>
          <w:sz w:val="18"/>
          <w:szCs w:val="18"/>
          <w:b w:val="1"/>
          <w:bCs w:val="1"/>
          <w:color w:val="auto"/>
        </w:rPr>
      </w:pPr>
    </w:p>
    <w:p>
      <w:pPr>
        <w:ind w:left="-8" w:firstLine="8"/>
        <w:spacing w:after="0" w:line="282" w:lineRule="auto"/>
        <w:tabs>
          <w:tab w:leader="none" w:pos="577"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all of the covenants, terms and conditions hereof-shall inure to the benefit of and be binding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heirs; executors, administrators, successors and assigns of Landlord and Tenant,</w:t>
      </w:r>
    </w:p>
    <w:p>
      <w:pPr>
        <w:spacing w:after="0" w:line="161" w:lineRule="exact"/>
        <w:rPr>
          <w:rFonts w:ascii="Arial" w:cs="Arial" w:eastAsia="Arial" w:hAnsi="Arial"/>
          <w:sz w:val="18"/>
          <w:szCs w:val="18"/>
          <w:b w:val="1"/>
          <w:bCs w:val="1"/>
          <w:color w:val="auto"/>
        </w:rPr>
      </w:pPr>
    </w:p>
    <w:p>
      <w:pPr>
        <w:jc w:val="both"/>
        <w:ind w:left="-8" w:firstLine="8"/>
        <w:spacing w:after="0" w:line="261" w:lineRule="auto"/>
        <w:tabs>
          <w:tab w:leader="none" w:pos="66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Authority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and the person(s) executing this Amendment on behalf of Tenant hereby represent, warrant, and covenant with and to</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as follows: the individual(s) acting as signatory on behalf of Tenant is (are) duly authorized to execute this. Amendment; Tenant has procured (whether from its members, partners or board of directors, as the case may be), the requisite authority to enter into this Amendment; and the Lease (as amended hereby) is and shall be fully and completely binding upon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483870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82" w:name="page83"/>
    <w:bookmarkEnd w:id="82"/>
    <w:p>
      <w:pPr>
        <w:ind w:left="640" w:hanging="632"/>
        <w:spacing w:after="0"/>
        <w:tabs>
          <w:tab w:leader="none" w:pos="6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governed by and construed in accordance with the laws of Missouri.</w:t>
      </w:r>
    </w:p>
    <w:p>
      <w:pPr>
        <w:spacing w:after="0" w:line="225" w:lineRule="exact"/>
        <w:rPr>
          <w:rFonts w:ascii="Arial" w:cs="Arial" w:eastAsia="Arial" w:hAnsi="Arial"/>
          <w:sz w:val="18"/>
          <w:szCs w:val="18"/>
          <w:b w:val="1"/>
          <w:bCs w:val="1"/>
          <w:color w:val="auto"/>
        </w:rPr>
      </w:pPr>
    </w:p>
    <w:p>
      <w:pPr>
        <w:ind w:firstLine="8"/>
        <w:spacing w:after="0" w:line="282" w:lineRule="auto"/>
        <w:tabs>
          <w:tab w:leader="none" w:pos="8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Partial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Amendment shall be deemed independent and severable, and the invalidity or partial invalidity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one provision shall not affect the validity of enforceability of any other provision hereof.</w:t>
      </w:r>
    </w:p>
    <w:p>
      <w:pPr>
        <w:spacing w:after="0" w:line="161" w:lineRule="exact"/>
        <w:rPr>
          <w:rFonts w:ascii="Arial" w:cs="Arial" w:eastAsia="Arial" w:hAnsi="Arial"/>
          <w:sz w:val="18"/>
          <w:szCs w:val="18"/>
          <w:b w:val="1"/>
          <w:bCs w:val="1"/>
          <w:color w:val="auto"/>
        </w:rPr>
      </w:pPr>
    </w:p>
    <w:p>
      <w:pPr>
        <w:ind w:right="500" w:firstLine="8"/>
        <w:spacing w:after="0" w:line="282" w:lineRule="auto"/>
        <w:tabs>
          <w:tab w:leader="none" w:pos="63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Facsimile.</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may be executed in any number of identical counterparts, all of which, when taken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same instrument.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IN WITNESS WHEREOF, Landlord and Tenant have entered into this Amendment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3777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777615"/>
                    </a:xfrm>
                    <a:prstGeom prst="rect">
                      <a:avLst/>
                    </a:prstGeom>
                    <a:noFill/>
                  </pic:spPr>
                </pic:pic>
              </a:graphicData>
            </a:graphic>
          </wp:anchor>
        </w:drawing>
      </w:r>
    </w:p>
    <w:p>
      <w:pPr>
        <w:spacing w:after="0" w:line="21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LANDLORD:</w:t>
      </w:r>
    </w:p>
    <w:p>
      <w:pPr>
        <w:spacing w:after="0" w:line="2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 xml:space="preserve">FR National Life, </w:t>
      </w:r>
      <w:r>
        <w:rPr>
          <w:rFonts w:ascii="Arial" w:cs="Arial" w:eastAsia="Arial" w:hAnsi="Arial"/>
          <w:sz w:val="18"/>
          <w:szCs w:val="18"/>
          <w:color w:val="auto"/>
        </w:rPr>
        <w:t>LLC, a Delaware limited liability company</w:t>
      </w:r>
    </w:p>
    <w:p>
      <w:pPr>
        <w:spacing w:after="0" w:line="22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i w:val="1"/>
          <w:iCs w:val="1"/>
          <w:color w:val="auto"/>
        </w:rPr>
        <w:t>:</w:t>
      </w:r>
      <w:r>
        <w:rPr>
          <w:rFonts w:ascii="Arial" w:cs="Arial" w:eastAsia="Arial" w:hAnsi="Arial"/>
          <w:sz w:val="17"/>
          <w:szCs w:val="17"/>
          <w:color w:val="auto"/>
        </w:rPr>
        <w:t xml:space="preserve"> First Industrial, L.P., a Delaware limited partnership, its sole manager</w:t>
      </w:r>
    </w:p>
    <w:p>
      <w:pPr>
        <w:spacing w:after="0" w:line="237" w:lineRule="exact"/>
        <w:rPr>
          <w:sz w:val="20"/>
          <w:szCs w:val="20"/>
          <w:color w:val="auto"/>
        </w:rPr>
      </w:pPr>
    </w:p>
    <w:p>
      <w:pPr>
        <w:ind w:left="4160" w:right="220"/>
        <w:spacing w:after="0" w:line="277" w:lineRule="auto"/>
        <w:rPr>
          <w:sz w:val="20"/>
          <w:szCs w:val="20"/>
          <w:color w:val="auto"/>
        </w:rPr>
      </w:pPr>
      <w:r>
        <w:rPr>
          <w:rFonts w:ascii="Arial" w:cs="Arial" w:eastAsia="Arial" w:hAnsi="Arial"/>
          <w:sz w:val="18"/>
          <w:szCs w:val="18"/>
          <w:color w:val="auto"/>
        </w:rPr>
        <w:t>By: First Industrial Realty Trust, Inc., a Maryland corporation, its general partner</w:t>
      </w:r>
    </w:p>
    <w:p>
      <w:pPr>
        <w:spacing w:after="0" w:line="17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By: /s/</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Its: Executive Vice President</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Date: 10/3/2013</w:t>
      </w:r>
    </w:p>
    <w:p>
      <w:pPr>
        <w:spacing w:after="0" w:line="200" w:lineRule="exact"/>
        <w:rPr>
          <w:sz w:val="20"/>
          <w:szCs w:val="20"/>
          <w:color w:val="auto"/>
        </w:rPr>
      </w:pPr>
    </w:p>
    <w:p>
      <w:pPr>
        <w:spacing w:after="0" w:line="267"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TENANT:</w:t>
      </w:r>
    </w:p>
    <w:p>
      <w:pPr>
        <w:spacing w:after="0" w:line="221"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 xml:space="preserve">Build-A-Bear Retail Management, Inc., </w:t>
      </w:r>
      <w:r>
        <w:rPr>
          <w:rFonts w:ascii="Arial" w:cs="Arial" w:eastAsia="Arial" w:hAnsi="Arial"/>
          <w:sz w:val="16"/>
          <w:szCs w:val="16"/>
          <w:color w:val="auto"/>
        </w:rPr>
        <w:t>a Delaware</w:t>
      </w:r>
    </w:p>
    <w:p>
      <w:pPr>
        <w:spacing w:after="0" w:line="5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By: /s/ Tina Klocke</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Its: Chief Operations and Financial Bear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Date: 9/27/13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664845</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680"/>
          </w:cols>
          <w:pgMar w:left="960" w:top="584" w:right="1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Landlord's Work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at its sole cost and expense:</w:t>
      </w:r>
    </w:p>
    <w:p>
      <w:pPr>
        <w:spacing w:after="0" w:line="225" w:lineRule="exact"/>
        <w:rPr>
          <w:sz w:val="20"/>
          <w:szCs w:val="20"/>
          <w:color w:val="auto"/>
        </w:rPr>
      </w:pPr>
    </w:p>
    <w:p>
      <w:pPr>
        <w:ind w:left="580"/>
        <w:spacing w:after="0"/>
        <w:tabs>
          <w:tab w:leader="none" w:pos="880" w:val="left"/>
        </w:tabs>
        <w:rPr>
          <w:sz w:val="20"/>
          <w:szCs w:val="20"/>
          <w:color w:val="auto"/>
        </w:rPr>
      </w:pPr>
      <w:r>
        <w:rPr>
          <w:rFonts w:ascii="Arial" w:cs="Arial" w:eastAsia="Arial" w:hAnsi="Arial"/>
          <w:sz w:val="18"/>
          <w:szCs w:val="18"/>
          <w:color w:val="auto"/>
        </w:rPr>
        <w:t>1,</w:t>
        <w:tab/>
        <w:t>Replace four (4) sets of metal steps at rear of the building, three single and one double set, each painted to match existing;</w:t>
      </w:r>
    </w:p>
    <w:p>
      <w:pPr>
        <w:spacing w:after="0" w:line="225"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Replace one (1) canvas awning above metal steps;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Repair small holes in rear block wall;</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Spot tuck point at corner of rear block wall;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Inspect windows in Premises and caulk any that Landlord determines, in its reasonable discretion, would improve insulation.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Subject to force majeure and any delays caused by weather, Landlord shall use reasonable efforts to complete Landlord's Work on or prior to six (6) months following the Extension Term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u w:val="single" w:color="auto"/>
          <w:color w:val="auto"/>
        </w:rPr>
        <w:t>Addendum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Downsizing Option</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Notwithstanding anything to the contrary contained herein, Tenant shall have the option to downsize the Premises (the </w:t>
      </w:r>
      <w:r>
        <w:rPr>
          <w:rFonts w:ascii="Arial" w:cs="Arial" w:eastAsia="Arial" w:hAnsi="Arial"/>
          <w:sz w:val="18"/>
          <w:szCs w:val="18"/>
          <w:b w:val="1"/>
          <w:bCs w:val="1"/>
          <w:color w:val="auto"/>
        </w:rPr>
        <w:t>"Downsizing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 all in accordance with the following terms and conditions:</w:t>
      </w:r>
    </w:p>
    <w:p>
      <w:pPr>
        <w:spacing w:after="0" w:line="207" w:lineRule="exact"/>
        <w:rPr>
          <w:sz w:val="20"/>
          <w:szCs w:val="20"/>
          <w:color w:val="auto"/>
        </w:rPr>
      </w:pPr>
    </w:p>
    <w:p>
      <w:pPr>
        <w:jc w:val="both"/>
        <w:ind w:left="580" w:hanging="572"/>
        <w:spacing w:after="0" w:line="270" w:lineRule="auto"/>
        <w:tabs>
          <w:tab w:leader="none" w:pos="58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 Gives Notice.</w:t>
      </w:r>
      <w:r>
        <w:rPr>
          <w:rFonts w:ascii="Arial" w:cs="Arial" w:eastAsia="Arial" w:hAnsi="Arial"/>
          <w:sz w:val="17"/>
          <w:szCs w:val="17"/>
          <w:b w:val="1"/>
          <w:bCs w:val="1"/>
          <w:color w:val="auto"/>
        </w:rPr>
        <w:t xml:space="preserve"> </w:t>
      </w:r>
      <w:r>
        <w:rPr>
          <w:rFonts w:ascii="Arial" w:cs="Arial" w:eastAsia="Arial" w:hAnsi="Arial"/>
          <w:sz w:val="17"/>
          <w:szCs w:val="17"/>
          <w:color w:val="auto"/>
        </w:rPr>
        <w:t>If Tenant desires to exercise the Downsizing Option, Tenant shall give Landlord irrevocable written notice</w:t>
      </w:r>
      <w:r>
        <w:rPr>
          <w:rFonts w:ascii="Arial" w:cs="Arial" w:eastAsia="Arial" w:hAnsi="Arial"/>
          <w:sz w:val="17"/>
          <w:szCs w:val="17"/>
          <w:b w:val="1"/>
          <w:bCs w:val="1"/>
          <w:color w:val="auto"/>
        </w:rPr>
        <w:t xml:space="preserve"> ("Downsizing Notice") </w:t>
      </w:r>
      <w:r>
        <w:rPr>
          <w:rFonts w:ascii="Arial" w:cs="Arial" w:eastAsia="Arial" w:hAnsi="Arial"/>
          <w:sz w:val="17"/>
          <w:szCs w:val="17"/>
          <w:color w:val="auto"/>
        </w:rPr>
        <w:t>of Tenant's exercise of this Downsizing Option, which shall be delivered on or prior to December 31, 2016. Time is of the essence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to Landlord's receipt of the Termination Notice and all other deadlines in this </w:t>
      </w:r>
      <w:r>
        <w:rPr>
          <w:rFonts w:ascii="Arial" w:cs="Arial" w:eastAsia="Arial" w:hAnsi="Arial"/>
          <w:sz w:val="17"/>
          <w:szCs w:val="17"/>
          <w:b w:val="1"/>
          <w:bCs w:val="1"/>
          <w:color w:val="auto"/>
        </w:rPr>
        <w:t>Addendum A.</w:t>
      </w:r>
      <w:r>
        <w:rPr>
          <w:rFonts w:ascii="Arial" w:cs="Arial" w:eastAsia="Arial" w:hAnsi="Arial"/>
          <w:sz w:val="17"/>
          <w:szCs w:val="17"/>
          <w:color w:val="auto"/>
        </w:rPr>
        <w:t xml:space="preserve"> The Downsizing Notice shall include which portion of the Premises Tenant would prefer to surrender to Landlord, either: (i) the portion of the Premises that is approximately 14,303 square feet and labeled as "west" on </w:t>
      </w:r>
      <w:r>
        <w:rPr>
          <w:rFonts w:ascii="Arial" w:cs="Arial" w:eastAsia="Arial" w:hAnsi="Arial"/>
          <w:sz w:val="17"/>
          <w:szCs w:val="17"/>
          <w:b w:val="1"/>
          <w:bCs w:val="1"/>
          <w:color w:val="auto"/>
        </w:rPr>
        <w:t>Addendum A-1,</w:t>
      </w:r>
      <w:r>
        <w:rPr>
          <w:rFonts w:ascii="Arial" w:cs="Arial" w:eastAsia="Arial" w:hAnsi="Arial"/>
          <w:sz w:val="17"/>
          <w:szCs w:val="17"/>
          <w:color w:val="auto"/>
        </w:rPr>
        <w:t xml:space="preserve"> attached hereto (the "West Premises"); or (ii) the portion of the Premises that is approximately 13,771 square feet and labeled as "east" on </w:t>
      </w:r>
      <w:r>
        <w:rPr>
          <w:rFonts w:ascii="Arial" w:cs="Arial" w:eastAsia="Arial" w:hAnsi="Arial"/>
          <w:sz w:val="17"/>
          <w:szCs w:val="17"/>
          <w:b w:val="1"/>
          <w:bCs w:val="1"/>
          <w:color w:val="auto"/>
        </w:rPr>
        <w:t>Addendum A-1,</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"East Premises").</w:t>
      </w:r>
      <w:r>
        <w:rPr>
          <w:rFonts w:ascii="Arial" w:cs="Arial" w:eastAsia="Arial" w:hAnsi="Arial"/>
          <w:sz w:val="17"/>
          <w:szCs w:val="17"/>
          <w:color w:val="auto"/>
        </w:rPr>
        <w:t xml:space="preserve"> Notwithstanding Tenant's preference for the West Premises or the East Premises, Landlord, in its sole discretion may elect whether Tenant shall be required to surrender the East Premises or the West Premises pursuant to this </w:t>
      </w:r>
      <w:r>
        <w:rPr>
          <w:rFonts w:ascii="Arial" w:cs="Arial" w:eastAsia="Arial" w:hAnsi="Arial"/>
          <w:sz w:val="17"/>
          <w:szCs w:val="17"/>
          <w:b w:val="1"/>
          <w:bCs w:val="1"/>
          <w:color w:val="auto"/>
        </w:rPr>
        <w:t>Addendum A.</w:t>
      </w:r>
      <w:r>
        <w:rPr>
          <w:rFonts w:ascii="Arial" w:cs="Arial" w:eastAsia="Arial" w:hAnsi="Arial"/>
          <w:sz w:val="17"/>
          <w:szCs w:val="17"/>
          <w:color w:val="auto"/>
        </w:rPr>
        <w:t xml:space="preserve"> if Landlord elects a portion of the Premises other than the one chosen by Tenant, Landlord shall give Tenant irrevocable notice not later than one (1) month prior to the Downsize Date of such election. Following Landlord's receipt of the Downsizing Notice, Landlord shall notify Tenant of whether Tenant shall surrender the East Premises or the West Premises, which such premises selected by Landlord shall be the </w:t>
      </w:r>
      <w:r>
        <w:rPr>
          <w:rFonts w:ascii="Arial" w:cs="Arial" w:eastAsia="Arial" w:hAnsi="Arial"/>
          <w:sz w:val="17"/>
          <w:szCs w:val="17"/>
          <w:b w:val="1"/>
          <w:bCs w:val="1"/>
          <w:color w:val="auto"/>
        </w:rPr>
        <w:t>"Downsized Space".</w:t>
      </w:r>
    </w:p>
    <w:p>
      <w:pPr>
        <w:spacing w:after="0" w:line="174" w:lineRule="exact"/>
        <w:rPr>
          <w:rFonts w:ascii="Arial" w:cs="Arial" w:eastAsia="Arial" w:hAnsi="Arial"/>
          <w:sz w:val="17"/>
          <w:szCs w:val="17"/>
          <w:b w:val="1"/>
          <w:bCs w:val="1"/>
          <w:color w:val="auto"/>
        </w:rPr>
      </w:pPr>
    </w:p>
    <w:p>
      <w:pPr>
        <w:jc w:val="both"/>
        <w:ind w:left="580" w:hanging="572"/>
        <w:spacing w:after="0" w:line="314" w:lineRule="auto"/>
        <w:tabs>
          <w:tab w:leader="none" w:pos="58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Downsize Date.</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gives the Termination Notice and complies with all the provisions in this</w:t>
      </w:r>
      <w:r>
        <w:rPr>
          <w:rFonts w:ascii="Arial" w:cs="Arial" w:eastAsia="Arial" w:hAnsi="Arial"/>
          <w:sz w:val="16"/>
          <w:szCs w:val="16"/>
          <w:b w:val="1"/>
          <w:bCs w:val="1"/>
          <w:color w:val="auto"/>
        </w:rPr>
        <w:t xml:space="preserve"> Addendum A, </w:t>
      </w:r>
      <w:r>
        <w:rPr>
          <w:rFonts w:ascii="Arial" w:cs="Arial" w:eastAsia="Arial" w:hAnsi="Arial"/>
          <w:sz w:val="16"/>
          <w:szCs w:val="16"/>
          <w:color w:val="auto"/>
        </w:rPr>
        <w:t>the Lease shall terminate at 11:59</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p.m. on September 30, 2017 (the </w:t>
      </w:r>
      <w:r>
        <w:rPr>
          <w:rFonts w:ascii="Arial" w:cs="Arial" w:eastAsia="Arial" w:hAnsi="Arial"/>
          <w:sz w:val="16"/>
          <w:szCs w:val="16"/>
          <w:b w:val="1"/>
          <w:bCs w:val="1"/>
          <w:color w:val="auto"/>
        </w:rPr>
        <w:t>"Downsize Date"),</w:t>
      </w:r>
      <w:r>
        <w:rPr>
          <w:rFonts w:ascii="Arial" w:cs="Arial" w:eastAsia="Arial" w:hAnsi="Arial"/>
          <w:sz w:val="16"/>
          <w:szCs w:val="16"/>
          <w:color w:val="auto"/>
        </w:rPr>
        <w:t xml:space="preserve"> the Premises shall be reduced by the Downsized Space, the Premises shall consist solely of the Premises as reduced by the Downsized Space and Tenant shall lease the Premises as downsized pursuant to the terms and conditions of the Lease.</w:t>
      </w:r>
    </w:p>
    <w:p>
      <w:pPr>
        <w:spacing w:after="0" w:line="142" w:lineRule="exact"/>
        <w:rPr>
          <w:rFonts w:ascii="Arial" w:cs="Arial" w:eastAsia="Arial" w:hAnsi="Arial"/>
          <w:sz w:val="16"/>
          <w:szCs w:val="16"/>
          <w:b w:val="1"/>
          <w:bCs w:val="1"/>
          <w:color w:val="auto"/>
        </w:rPr>
      </w:pPr>
    </w:p>
    <w:p>
      <w:pPr>
        <w:jc w:val="both"/>
        <w:ind w:left="580" w:hanging="572"/>
        <w:spacing w:after="0" w:line="261" w:lineRule="auto"/>
        <w:tabs>
          <w:tab w:leader="none" w:pos="5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Downsized Fee Must Accompany Notice.</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for -such Downsizing Notice to be effective, it must be accompanied by the downsizing fee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(i) $44.303.54 10 the extent that the Premises is downsized by the West Premises; (ii) $42,655.67 to the extent that the Premises is downsized by the East: Premises:, which represents the amount of Base Rent abated pursuant to Section 4 of the Fifth Amendment, and which shall be payable only in cash or certified funds.</w:t>
      </w:r>
    </w:p>
    <w:p>
      <w:pPr>
        <w:spacing w:after="0" w:line="180" w:lineRule="exact"/>
        <w:rPr>
          <w:rFonts w:ascii="Arial" w:cs="Arial" w:eastAsia="Arial" w:hAnsi="Arial"/>
          <w:sz w:val="18"/>
          <w:szCs w:val="18"/>
          <w:b w:val="1"/>
          <w:bCs w:val="1"/>
          <w:color w:val="auto"/>
        </w:rPr>
      </w:pPr>
    </w:p>
    <w:p>
      <w:pPr>
        <w:jc w:val="both"/>
        <w:ind w:left="580" w:hanging="572"/>
        <w:spacing w:after="0" w:line="314" w:lineRule="auto"/>
        <w:tabs>
          <w:tab w:leader="none" w:pos="58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Tenant's Obligation Survives Downsize;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in any way limiting Tenant's obligations under the Lease with respect to the Premises as</w:t>
      </w:r>
      <w:r>
        <w:rPr>
          <w:rFonts w:ascii="Arial" w:cs="Arial" w:eastAsia="Arial" w:hAnsi="Arial"/>
          <w:sz w:val="16"/>
          <w:szCs w:val="16"/>
          <w:b w:val="1"/>
          <w:bCs w:val="1"/>
          <w:color w:val="auto"/>
        </w:rPr>
        <w:t xml:space="preserve"> </w:t>
      </w:r>
      <w:r>
        <w:rPr>
          <w:rFonts w:ascii="Arial" w:cs="Arial" w:eastAsia="Arial" w:hAnsi="Arial"/>
          <w:sz w:val="16"/>
          <w:szCs w:val="16"/>
          <w:color w:val="auto"/>
        </w:rPr>
        <w:t>downsized, Tenant's obligations to pay Base Rent, Additional Rent, and any other costs or charges under the Lease, and to perform all other Lease obligations for the period up to and including the Downsize Date with respect to the Downsized. Space, shall survive the downsize of this Lease.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p>
      <w:pPr>
        <w:jc w:val="both"/>
        <w:ind w:left="580" w:hanging="572"/>
        <w:spacing w:after="0" w:line="271" w:lineRule="auto"/>
        <w:tabs>
          <w:tab w:leader="none" w:pos="58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Not later than ten (10) business days prior to the .Downsize Date, Landlord and Tenant shall execute and enter into an amendment to</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pursuant to which amendment Tenant shall lease the Premises, as reduced by the Downsized Space, on all of the terms, conditions and limitations set forth in this Lease, except that (i) the annual Base Rent for the Premises shall be the product of (x) $7.63 and (y) the number of rentable square feet comprising the Premises after the Downsize Date; (ii) Tenant's Proportionate Share shall be decreased to account for the reduction in square footage comprising the Premises; (iii) the definition of the Premises shall be amended to remove the Downsized Space. (v) Landlord shall demise the Premises from the Downsized Space and shall separately meter the electrical and gas meters; and (vi) Tenant shall be responsible for an alterations to the interior of the Premises in connection with the downsizing (subject to the terms and limitations of the Lease). Tenant acknowledges and agrees that Landlord shall not be liable to Tenant for any inconveniences Tenant may experience during the performance, construction or installation of the demising wall.</w:t>
      </w:r>
    </w:p>
    <w:p>
      <w:pPr>
        <w:spacing w:after="0" w:line="174" w:lineRule="exact"/>
        <w:rPr>
          <w:rFonts w:ascii="Arial" w:cs="Arial" w:eastAsia="Arial" w:hAnsi="Arial"/>
          <w:sz w:val="17"/>
          <w:szCs w:val="17"/>
          <w:b w:val="1"/>
          <w:bCs w:val="1"/>
          <w:color w:val="auto"/>
        </w:rPr>
      </w:pPr>
    </w:p>
    <w:p>
      <w:pPr>
        <w:jc w:val="both"/>
        <w:ind w:left="580" w:hanging="572"/>
        <w:spacing w:after="0" w:line="256" w:lineRule="auto"/>
        <w:tabs>
          <w:tab w:leader="none" w:pos="5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 May Cancel and Void Downsize if Tenant in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if at any time during the period On or after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Tenant shall exercise its Downsizing Option up to and including the Downsize Date, Tenant shall be in default of the Lease, then Landlord may elect, but is not obligated, to cancel and declare null and void Tenant's exercise of the Downsizing Option and the Lease shall continue in -alit force and effect for the full Lease Term unaffected by Tenant's exercise of the Downsizing Option. If Landlord does not cancel Tenant's exercise of the Downsizing Option after Tenant's default, Tenant shall cure any default within the period of time specified in the Lease and this obligation shall survive the Downsize Date.</w:t>
      </w:r>
    </w:p>
    <w:p>
      <w:pPr>
        <w:spacing w:after="0" w:line="187" w:lineRule="exact"/>
        <w:rPr>
          <w:rFonts w:ascii="Arial" w:cs="Arial" w:eastAsia="Arial" w:hAnsi="Arial"/>
          <w:sz w:val="18"/>
          <w:szCs w:val="18"/>
          <w:b w:val="1"/>
          <w:bCs w:val="1"/>
          <w:color w:val="auto"/>
        </w:rPr>
      </w:pPr>
    </w:p>
    <w:p>
      <w:pPr>
        <w:jc w:val="both"/>
        <w:ind w:left="580" w:hanging="572"/>
        <w:spacing w:after="0" w:line="274" w:lineRule="auto"/>
        <w:tabs>
          <w:tab w:leader="none" w:pos="58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Tenant Shall Surrender Space by Downsize. Date,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Tenant exercises the Downsizing Option, Tenant covenants and agrees to surrender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fall and complete possession of the Downsized Space to Landlord on or before the Downsize Date vacant, broom-clean, in .good Order and condition, and, in accordance with the provisions of this Lease, and thereafter the Downsized Space shall be free and clear of all leases; tenancies, and rights of-occupancy of any entity Claiming by or through Tenant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”Downsized Premises Obligations")</w:t>
      </w:r>
      <w:r>
        <w:rPr>
          <w:rFonts w:ascii="Arial" w:cs="Arial" w:eastAsia="Arial" w:hAnsi="Arial"/>
          <w:sz w:val="17"/>
          <w:szCs w:val="17"/>
          <w:color w:val="auto"/>
        </w:rPr>
        <w:t xml:space="preserve">. Landlord shall be permitted to inspect the Downsized '.Premises in –order to verify compliance with this </w:t>
      </w:r>
      <w:r>
        <w:rPr>
          <w:rFonts w:ascii="Arial" w:cs="Arial" w:eastAsia="Arial" w:hAnsi="Arial"/>
          <w:sz w:val="17"/>
          <w:szCs w:val="17"/>
          <w:b w:val="1"/>
          <w:bCs w:val="1"/>
          <w:color w:val="auto"/>
        </w:rPr>
        <w:t>Section 7</w:t>
      </w:r>
      <w:r>
        <w:rPr>
          <w:rFonts w:ascii="Arial" w:cs="Arial" w:eastAsia="Arial" w:hAnsi="Arial"/>
          <w:sz w:val="17"/>
          <w:szCs w:val="17"/>
          <w:color w:val="auto"/>
        </w:rPr>
        <w:t xml:space="preserve"> and the Lease as of-the Downsize- Date, The obligations imposed under this </w:t>
      </w:r>
      <w:r>
        <w:rPr>
          <w:rFonts w:ascii="Arial" w:cs="Arial" w:eastAsia="Arial" w:hAnsi="Arial"/>
          <w:sz w:val="17"/>
          <w:szCs w:val="17"/>
          <w:b w:val="1"/>
          <w:bCs w:val="1"/>
          <w:color w:val="auto"/>
        </w:rPr>
        <w:t xml:space="preserve">Section 7 </w:t>
      </w:r>
      <w:r>
        <w:rPr>
          <w:rFonts w:ascii="Arial" w:cs="Arial" w:eastAsia="Arial" w:hAnsi="Arial"/>
          <w:sz w:val="17"/>
          <w:szCs w:val="17"/>
          <w:color w:val="auto"/>
        </w:rPr>
        <w:t>shall survive the termination or expiration of the Lease.</w:t>
      </w:r>
    </w:p>
    <w:p>
      <w:pPr>
        <w:spacing w:after="0" w:line="173" w:lineRule="exact"/>
        <w:rPr>
          <w:rFonts w:ascii="Arial" w:cs="Arial" w:eastAsia="Arial" w:hAnsi="Arial"/>
          <w:sz w:val="17"/>
          <w:szCs w:val="17"/>
          <w:b w:val="1"/>
          <w:bCs w:val="1"/>
          <w:color w:val="auto"/>
        </w:rPr>
      </w:pPr>
    </w:p>
    <w:p>
      <w:pPr>
        <w:jc w:val="both"/>
        <w:ind w:left="580" w:hanging="572"/>
        <w:spacing w:after="0" w:line="255" w:lineRule="auto"/>
        <w:tabs>
          <w:tab w:leader="none" w:pos="5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Failure to Surrender Makes Tenant a Holdover.</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in the Lease, in the event Tenant holds over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Downsized Premises past the Downsize Date: (i) Tenant shall be responsible for all of the Downsized Premises Obligations through (and including) the date Tenant vacates the Downsized Premises in accordance with the terms of this Amendment; (ii) the definitions of "Premises" and "Tenant's Proportionate Share" shall not change as described in this Amendment until the date immediately following such date that Tenant vacates the Downsized Premises; and (iii) Tenant shall be deemed to be holding over with respect to the Surrendered Premises, the terms of Section 20 of the Initial Lease shall apply to such holding over and Landlord shall be entitled to exercise or pursue any or all of its rights under the Lease, at law or in equity with respect to such holding over.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7" w:name="page88"/>
    <w:bookmarkEnd w:id="87"/>
    <w:p>
      <w:pPr>
        <w:jc w:val="both"/>
        <w:ind w:left="572" w:hanging="572"/>
        <w:spacing w:after="0" w:line="266" w:lineRule="auto"/>
        <w:tabs>
          <w:tab w:leader="none" w:pos="57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Option After Sublet or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If this Lease has been assigned or all or a portion of the Premises has been sublet, this Downsizing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null and void and neither Tenant nor any assignee or subtenant shall have the right to exercise such option during the term of such assignment or sublease.</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Addendum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u w:val="single" w:color="auto"/>
          <w:color w:val="auto"/>
        </w:rPr>
        <w:t>Addendum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Downsized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715645</wp:posOffset>
            </wp:positionV>
            <wp:extent cx="3293110" cy="40220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93110"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u w:val="single" w:color="auto"/>
          <w:color w:val="auto"/>
        </w:rPr>
        <w:t>Addendum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Option</w:t>
      </w:r>
    </w:p>
    <w:p>
      <w:pPr>
        <w:spacing w:after="0" w:line="225"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 xml:space="preserve">Notwithstanding anything to the contrary contained herein, provided that Tenant has not exercised its Downsizing Option, Tenant shall have a one-time option to terminate this Lease </w:t>
      </w:r>
      <w:r>
        <w:rPr>
          <w:rFonts w:ascii="Arial" w:cs="Arial" w:eastAsia="Arial" w:hAnsi="Arial"/>
          <w:sz w:val="18"/>
          <w:szCs w:val="18"/>
          <w:b w:val="1"/>
          <w:bCs w:val="1"/>
          <w:color w:val="auto"/>
        </w:rPr>
        <w:t>("Termination Option")</w:t>
      </w:r>
      <w:r>
        <w:rPr>
          <w:rFonts w:ascii="Arial" w:cs="Arial" w:eastAsia="Arial" w:hAnsi="Arial"/>
          <w:sz w:val="18"/>
          <w:szCs w:val="18"/>
          <w:color w:val="auto"/>
        </w:rPr>
        <w:t xml:space="preserve"> in accordance with the following terms and conditions:</w:t>
      </w:r>
    </w:p>
    <w:p>
      <w:pPr>
        <w:spacing w:after="0" w:line="166" w:lineRule="exact"/>
        <w:rPr>
          <w:sz w:val="20"/>
          <w:szCs w:val="20"/>
          <w:color w:val="auto"/>
        </w:rPr>
      </w:pPr>
    </w:p>
    <w:p>
      <w:pPr>
        <w:jc w:val="both"/>
        <w:ind w:left="580" w:hanging="572"/>
        <w:spacing w:after="0" w:line="266" w:lineRule="auto"/>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 Gives Notice:</w:t>
      </w:r>
      <w:r>
        <w:rPr>
          <w:rFonts w:ascii="Arial" w:cs="Arial" w:eastAsia="Arial" w:hAnsi="Arial"/>
          <w:sz w:val="18"/>
          <w:szCs w:val="18"/>
          <w:b w:val="1"/>
          <w:bCs w:val="1"/>
          <w:color w:val="auto"/>
        </w:rPr>
        <w:t xml:space="preserve"> </w:t>
      </w:r>
      <w:r>
        <w:rPr>
          <w:rFonts w:ascii="Arial" w:cs="Arial" w:eastAsia="Arial" w:hAnsi="Arial"/>
          <w:sz w:val="18"/>
          <w:szCs w:val="18"/>
          <w:color w:val="auto"/>
        </w:rPr>
        <w:t>If Tenant desires to exercise the Termination Option, Tenant shall give Landlord irrevocable written notice</w:t>
      </w:r>
      <w:r>
        <w:rPr>
          <w:rFonts w:ascii="Arial" w:cs="Arial" w:eastAsia="Arial" w:hAnsi="Arial"/>
          <w:sz w:val="18"/>
          <w:szCs w:val="18"/>
          <w:b w:val="1"/>
          <w:bCs w:val="1"/>
          <w:color w:val="auto"/>
        </w:rPr>
        <w:t xml:space="preserve"> ("Termination Notice") </w:t>
      </w:r>
      <w:r>
        <w:rPr>
          <w:rFonts w:ascii="Arial" w:cs="Arial" w:eastAsia="Arial" w:hAnsi="Arial"/>
          <w:sz w:val="18"/>
          <w:szCs w:val="18"/>
          <w:color w:val="auto"/>
        </w:rPr>
        <w:t>of Tenant's exercise of this Termination Option, which shall be delivered on or prior to December 31, 2016. Time is of the essence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Landlord's receipt of the Termination Notice and all other deadlines in this </w:t>
      </w:r>
      <w:r>
        <w:rPr>
          <w:rFonts w:ascii="Arial" w:cs="Arial" w:eastAsia="Arial" w:hAnsi="Arial"/>
          <w:sz w:val="18"/>
          <w:szCs w:val="18"/>
          <w:b w:val="1"/>
          <w:bCs w:val="1"/>
          <w:color w:val="auto"/>
        </w:rPr>
        <w:t>Addendum B.</w:t>
      </w:r>
    </w:p>
    <w:p>
      <w:pPr>
        <w:spacing w:after="0" w:line="176" w:lineRule="exact"/>
        <w:rPr>
          <w:rFonts w:ascii="Arial" w:cs="Arial" w:eastAsia="Arial" w:hAnsi="Arial"/>
          <w:sz w:val="18"/>
          <w:szCs w:val="18"/>
          <w:b w:val="1"/>
          <w:bCs w:val="1"/>
          <w:color w:val="auto"/>
        </w:rPr>
      </w:pPr>
    </w:p>
    <w:p>
      <w:pPr>
        <w:ind w:left="580" w:hanging="572"/>
        <w:spacing w:after="0" w:line="282" w:lineRule="auto"/>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If Tenant gives the Termination Notice and complies with all the provisions in this</w:t>
      </w:r>
      <w:r>
        <w:rPr>
          <w:rFonts w:ascii="Arial" w:cs="Arial" w:eastAsia="Arial" w:hAnsi="Arial"/>
          <w:sz w:val="18"/>
          <w:szCs w:val="18"/>
          <w:b w:val="1"/>
          <w:bCs w:val="1"/>
          <w:color w:val="auto"/>
        </w:rPr>
        <w:t xml:space="preserve"> Addendum B, </w:t>
      </w:r>
      <w:r>
        <w:rPr>
          <w:rFonts w:ascii="Arial" w:cs="Arial" w:eastAsia="Arial" w:hAnsi="Arial"/>
          <w:sz w:val="18"/>
          <w:szCs w:val="18"/>
          <w:color w:val="auto"/>
        </w:rPr>
        <w:t>the Lease shall terminate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11:59 p.m. on September 30, 2017 (the </w:t>
      </w:r>
      <w:r>
        <w:rPr>
          <w:rFonts w:ascii="Arial" w:cs="Arial" w:eastAsia="Arial" w:hAnsi="Arial"/>
          <w:sz w:val="18"/>
          <w:szCs w:val="18"/>
          <w:b w:val="1"/>
          <w:bCs w:val="1"/>
          <w:color w:val="auto"/>
        </w:rPr>
        <w:t>"Termination Date).</w:t>
      </w:r>
    </w:p>
    <w:p>
      <w:pPr>
        <w:spacing w:after="0" w:line="161" w:lineRule="exact"/>
        <w:rPr>
          <w:rFonts w:ascii="Arial" w:cs="Arial" w:eastAsia="Arial" w:hAnsi="Arial"/>
          <w:sz w:val="18"/>
          <w:szCs w:val="18"/>
          <w:b w:val="1"/>
          <w:bCs w:val="1"/>
          <w:color w:val="auto"/>
        </w:rPr>
      </w:pPr>
    </w:p>
    <w:p>
      <w:pPr>
        <w:jc w:val="both"/>
        <w:ind w:left="580" w:hanging="572"/>
        <w:spacing w:after="0" w:line="266" w:lineRule="auto"/>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Fee Must Accompany Notice.</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for such Termination Notice to be effective, it must be accompanied by the termination fee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of $184,031.82, which represents the amount of Base Rent abated pursuant to. Section 3 of the Fifth Amendment, and which shall be payable only in cash or certified funds.</w:t>
      </w:r>
    </w:p>
    <w:p>
      <w:pPr>
        <w:spacing w:after="0" w:line="176" w:lineRule="exact"/>
        <w:rPr>
          <w:rFonts w:ascii="Arial" w:cs="Arial" w:eastAsia="Arial" w:hAnsi="Arial"/>
          <w:sz w:val="18"/>
          <w:szCs w:val="18"/>
          <w:b w:val="1"/>
          <w:bCs w:val="1"/>
          <w:color w:val="auto"/>
        </w:rPr>
      </w:pPr>
    </w:p>
    <w:p>
      <w:pPr>
        <w:ind w:left="580" w:hanging="572"/>
        <w:spacing w:after="0" w:line="347" w:lineRule="auto"/>
        <w:tabs>
          <w:tab w:leader="none" w:pos="58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Tenant's Obligation Survives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obligations to pay Rent, Additional Rent, and any other costs or charges under this Lease,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to perform all other Lease obligations for the period up to and including the Termination Date, shall survive the termination of this Lease.</w:t>
      </w:r>
    </w:p>
    <w:p>
      <w:pPr>
        <w:spacing w:after="0" w:line="116" w:lineRule="exact"/>
        <w:rPr>
          <w:rFonts w:ascii="Arial" w:cs="Arial" w:eastAsia="Arial" w:hAnsi="Arial"/>
          <w:sz w:val="16"/>
          <w:szCs w:val="16"/>
          <w:b w:val="1"/>
          <w:bCs w:val="1"/>
          <w:color w:val="auto"/>
        </w:rPr>
      </w:pPr>
    </w:p>
    <w:p>
      <w:pPr>
        <w:jc w:val="both"/>
        <w:ind w:left="580" w:hanging="572"/>
        <w:spacing w:after="0" w:line="274" w:lineRule="auto"/>
        <w:tabs>
          <w:tab w:leader="none" w:pos="58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Owner May Cancel and Void Termination if Tenant in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foregoing, if at any time during the period on or after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on which Tenant shall exercise its Termination Option (in accordance with Paragraph 1 hereof) up to and including the Termination Date Tenant shall be in default of this Lease, then Landlord may elect, but is not obligated, to cancel and declare null and void Tenant's exercise of the Termination Option and this Lease shall continue in full force and effect for the full Lease Term hereof unaffected by Tenant's exercise of the Termination Option. If Landlord does not cancel Tenant's exercise of the Termination Option after Tenant's default, Tenant shall cure any default within the period of time specified in this Lease and this obligation shall survive the Termination Date.</w:t>
      </w:r>
    </w:p>
    <w:p>
      <w:pPr>
        <w:spacing w:after="0" w:line="154" w:lineRule="exact"/>
        <w:rPr>
          <w:rFonts w:ascii="Arial" w:cs="Arial" w:eastAsia="Arial" w:hAnsi="Arial"/>
          <w:sz w:val="17"/>
          <w:szCs w:val="17"/>
          <w:b w:val="1"/>
          <w:bCs w:val="1"/>
          <w:color w:val="auto"/>
        </w:rPr>
      </w:pPr>
    </w:p>
    <w:p>
      <w:pPr>
        <w:jc w:val="both"/>
        <w:ind w:left="580" w:hanging="572"/>
        <w:spacing w:after="0" w:line="232" w:lineRule="auto"/>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 Shall Surrender Space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by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Tenant exercises the</w:t>
      </w:r>
      <w:r>
        <w:rPr>
          <w:rFonts w:ascii="Arial" w:cs="Arial" w:eastAsia="Arial" w:hAnsi="Arial"/>
          <w:sz w:val="30"/>
          <w:szCs w:val="30"/>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Option, Tenant covenants. and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surrender full and complete possession of the Premises to Landlord on or before the Termination Date vacant, broom-clean, </w:t>
      </w:r>
      <w:r>
        <w:rPr>
          <w:rFonts w:ascii="Arial" w:cs="Arial" w:eastAsia="Arial" w:hAnsi="Arial"/>
          <w:sz w:val="18"/>
          <w:szCs w:val="18"/>
          <w:i w:val="1"/>
          <w:iCs w:val="1"/>
          <w:color w:val="auto"/>
        </w:rPr>
        <w:t>in</w:t>
      </w:r>
      <w:r>
        <w:rPr>
          <w:rFonts w:ascii="Arial" w:cs="Arial" w:eastAsia="Arial" w:hAnsi="Arial"/>
          <w:sz w:val="18"/>
          <w:szCs w:val="18"/>
          <w:color w:val="auto"/>
        </w:rPr>
        <w:t xml:space="preserve"> good order and condition, and, in accordance with the provisions of this Lease, and thereafter the Premises shall be free and clear of all- leases, tenancies, and rights of occupancy of any entity claiming by or through Tenant </w:t>
      </w:r>
      <w:r>
        <w:rPr>
          <w:rFonts w:ascii="Arial" w:cs="Arial" w:eastAsia="Arial" w:hAnsi="Arial"/>
          <w:sz w:val="18"/>
          <w:szCs w:val="18"/>
          <w:b w:val="1"/>
          <w:bCs w:val="1"/>
          <w:color w:val="auto"/>
        </w:rPr>
        <w:t>(`'Termination Premises Obligations").</w:t>
      </w:r>
      <w:r>
        <w:rPr>
          <w:rFonts w:ascii="Arial" w:cs="Arial" w:eastAsia="Arial" w:hAnsi="Arial"/>
          <w:sz w:val="18"/>
          <w:szCs w:val="18"/>
          <w:color w:val="auto"/>
        </w:rPr>
        <w:t xml:space="preserve"> .Landlord shall be permitted to inspect the Premises in Order to verify compliance with this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and the Lease as of the Termination Date. The obligations imposed under this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shall survive the termination or expiration of the Lease.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0" w:name="page91"/>
    <w:bookmarkEnd w:id="90"/>
    <w:p>
      <w:pPr>
        <w:ind w:left="580" w:right="140" w:hanging="572"/>
        <w:spacing w:after="0" w:line="303" w:lineRule="auto"/>
        <w:tabs>
          <w:tab w:leader="none" w:pos="58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Failure to Surrender Makes Tenant a Holdover</w:t>
      </w:r>
      <w:r>
        <w:rPr>
          <w:rFonts w:ascii="Arial" w:cs="Arial" w:eastAsia="Arial" w:hAnsi="Arial"/>
          <w:sz w:val="16"/>
          <w:szCs w:val="16"/>
          <w:b w:val="1"/>
          <w:bCs w:val="1"/>
          <w:color w:val="auto"/>
        </w:rPr>
        <w:t xml:space="preserve">. </w:t>
      </w:r>
      <w:r>
        <w:rPr>
          <w:rFonts w:ascii="Arial" w:cs="Arial" w:eastAsia="Arial" w:hAnsi="Arial"/>
          <w:sz w:val="16"/>
          <w:szCs w:val="16"/>
          <w:color w:val="auto"/>
        </w:rPr>
        <w:t>If Tenant shall fail to deliver possession of the Premises on or before the Termination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terms hereof, Tenant, shall be deemed to be a holdover tenant from and after the Termination Date, and in such event, Tenant shall be deemed to be holding over with respect to the Surrendered Premises, the terms of Section 20 of the Initial Lease shall apply to such holding over and Landlord shall be entitled to exercise or pursue any or all of its rights under the Lease, at law or in equity with respect to such holding over.</w:t>
      </w:r>
    </w:p>
    <w:p>
      <w:pPr>
        <w:spacing w:after="0" w:line="151" w:lineRule="exact"/>
        <w:rPr>
          <w:rFonts w:ascii="Arial" w:cs="Arial" w:eastAsia="Arial" w:hAnsi="Arial"/>
          <w:sz w:val="16"/>
          <w:szCs w:val="16"/>
          <w:b w:val="1"/>
          <w:bCs w:val="1"/>
          <w:color w:val="auto"/>
        </w:rPr>
      </w:pPr>
    </w:p>
    <w:p>
      <w:pPr>
        <w:jc w:val="both"/>
        <w:ind w:left="580" w:hanging="572"/>
        <w:spacing w:after="0" w:line="289" w:lineRule="auto"/>
        <w:tabs>
          <w:tab w:leader="none" w:pos="58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Lease Ceases after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Tenant properly and timely exercises the Termination Option and properly and timely satisfies all other monetary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non-monetary obligations under this Lease, the Lease shall cease and expire on the Termination Date with the same force and effect as </w:t>
      </w:r>
      <w:r>
        <w:rPr>
          <w:rFonts w:ascii="Arial" w:cs="Arial" w:eastAsia="Arial" w:hAnsi="Arial"/>
          <w:sz w:val="17"/>
          <w:szCs w:val="17"/>
          <w:i w:val="1"/>
          <w:iCs w:val="1"/>
          <w:color w:val="auto"/>
        </w:rPr>
        <w:t>if</w:t>
      </w:r>
      <w:r>
        <w:rPr>
          <w:rFonts w:ascii="Arial" w:cs="Arial" w:eastAsia="Arial" w:hAnsi="Arial"/>
          <w:sz w:val="17"/>
          <w:szCs w:val="17"/>
          <w:color w:val="auto"/>
        </w:rPr>
        <w:t xml:space="preserve"> said Termination Date were the date originally provided in this Lease as the expiration date of the Term hereof.</w:t>
      </w:r>
    </w:p>
    <w:p>
      <w:pPr>
        <w:spacing w:after="0" w:line="158" w:lineRule="exact"/>
        <w:rPr>
          <w:rFonts w:ascii="Arial" w:cs="Arial" w:eastAsia="Arial" w:hAnsi="Arial"/>
          <w:sz w:val="17"/>
          <w:szCs w:val="17"/>
          <w:b w:val="1"/>
          <w:bCs w:val="1"/>
          <w:color w:val="auto"/>
        </w:rPr>
      </w:pPr>
    </w:p>
    <w:p>
      <w:pPr>
        <w:jc w:val="both"/>
        <w:ind w:left="580" w:hanging="572"/>
        <w:spacing w:after="0" w:line="266" w:lineRule="auto"/>
        <w:tabs>
          <w:tab w:leader="none" w:pos="5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Option after Sublet or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If this Lease has been assigned or all or a portion of the Premises has been sublet, this Termination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null and void and neither Tenant nor any assignee or subtenant shall have the right to exercise such option during the term of such assignment or sublease.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Addendum B-</w:t>
      </w:r>
    </w:p>
    <w:p>
      <w:pPr>
        <w:sectPr>
          <w:pgSz w:w="11900" w:h="16838" w:orient="portrait"/>
          <w:cols w:equalWidth="0" w:num="1">
            <w:col w:w="11420"/>
          </w:cols>
          <w:pgMar w:left="240" w:top="607"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100" w:type="dxa"/>
            <w:vAlign w:val="bottom"/>
          </w:tcPr>
          <w:p>
            <w:pPr>
              <w:ind w:left="3020"/>
              <w:spacing w:after="0"/>
              <w:rPr>
                <w:sz w:val="20"/>
                <w:szCs w:val="20"/>
                <w:color w:val="auto"/>
              </w:rPr>
            </w:pPr>
            <w:r>
              <w:rPr>
                <w:rFonts w:ascii="Arial" w:cs="Arial" w:eastAsia="Arial" w:hAnsi="Arial"/>
                <w:sz w:val="18"/>
                <w:szCs w:val="18"/>
                <w:color w:val="auto"/>
                <w:w w:val="96"/>
              </w:rPr>
              <w:t>EXHIBIT 21.1</w:t>
            </w:r>
          </w:p>
        </w:tc>
      </w:tr>
      <w:tr>
        <w:trPr>
          <w:trHeight w:val="392"/>
        </w:trPr>
        <w:tc>
          <w:tcPr>
            <w:tcW w:w="3820" w:type="dxa"/>
            <w:vAlign w:val="bottom"/>
          </w:tcPr>
          <w:p>
            <w:pPr>
              <w:spacing w:after="0"/>
              <w:rPr>
                <w:sz w:val="24"/>
                <w:szCs w:val="24"/>
                <w:color w:val="auto"/>
              </w:rPr>
            </w:pPr>
          </w:p>
        </w:tc>
        <w:tc>
          <w:tcPr>
            <w:tcW w:w="7600" w:type="dxa"/>
            <w:vAlign w:val="bottom"/>
            <w:gridSpan w:val="3"/>
          </w:tcPr>
          <w:p>
            <w:pPr>
              <w:ind w:left="240"/>
              <w:spacing w:after="0"/>
              <w:rPr>
                <w:sz w:val="20"/>
                <w:szCs w:val="20"/>
                <w:color w:val="auto"/>
              </w:rPr>
            </w:pPr>
            <w:r>
              <w:rPr>
                <w:rFonts w:ascii="Arial" w:cs="Arial" w:eastAsia="Arial" w:hAnsi="Arial"/>
                <w:sz w:val="18"/>
                <w:szCs w:val="18"/>
                <w:color w:val="auto"/>
              </w:rPr>
              <w:t>Subsidiaries of Build-A-Bear Workshop, Inc.</w:t>
            </w:r>
          </w:p>
        </w:tc>
      </w:tr>
      <w:tr>
        <w:trPr>
          <w:trHeight w:val="507"/>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Subsidiary:</w:t>
            </w:r>
          </w:p>
        </w:tc>
        <w:tc>
          <w:tcPr>
            <w:tcW w:w="240" w:type="dxa"/>
            <w:vAlign w:val="bottom"/>
            <w:tcBorders>
              <w:bottom w:val="single" w:sz="8" w:color="auto"/>
            </w:tcBorders>
          </w:tcPr>
          <w:p>
            <w:pPr>
              <w:spacing w:after="0"/>
              <w:rPr>
                <w:sz w:val="24"/>
                <w:szCs w:val="24"/>
                <w:color w:val="auto"/>
              </w:rPr>
            </w:pPr>
          </w:p>
        </w:tc>
        <w:tc>
          <w:tcPr>
            <w:tcW w:w="3260" w:type="dxa"/>
            <w:vAlign w:val="bottom"/>
            <w:tcBorders>
              <w:top w:val="single" w:sz="8" w:color="auto"/>
              <w:bottom w:val="single" w:sz="8" w:color="auto"/>
            </w:tcBorders>
          </w:tcPr>
          <w:p>
            <w:pPr>
              <w:spacing w:after="0"/>
              <w:rPr>
                <w:sz w:val="24"/>
                <w:szCs w:val="24"/>
                <w:color w:val="auto"/>
              </w:rPr>
            </w:pPr>
          </w:p>
        </w:tc>
        <w:tc>
          <w:tcPr>
            <w:tcW w:w="41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Jurisdiction of Incorporation/Organization:</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Build-A-Bear Entertainment, LLC</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Missouri</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w w:val="98"/>
              </w:rPr>
              <w:t>Build-A-Bear Workshop Franchise Holdings, Inc.</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Delaware</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Build-A-Bear Workshop Canada Ltd.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New Brunswick</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Build-A-Bear Retail Management, Inc.</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Delaware</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Build-A-Bear Workshop UK Holdings Limited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United Kingdom</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The Bear Factory Limited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United Kingdom</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Amsbra Limited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United Kingdom</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Build-A-Bear Workshop Ireland Limited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Ireland</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Build-A-Bear Workshop Denmark ApS</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Denmark</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Build-A-Bear Trading (Shanghai) Co., Ltd.</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China</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Build-A-Bear Card Services, LLC</w:t>
            </w: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Virginia</w:t>
            </w:r>
          </w:p>
        </w:tc>
      </w:tr>
    </w:tbl>
    <w:p>
      <w:pPr>
        <w:sectPr>
          <w:pgSz w:w="11900" w:h="16838" w:orient="portrait"/>
          <w:cols w:equalWidth="0" w:num="1">
            <w:col w:w="11420"/>
          </w:cols>
          <w:pgMar w:left="240" w:top="368"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5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333-120012) pertaining to the Build-A-Bear Workshop, Inc. 2000 Stock Option Plan, 2002 Stock Incentive Plan, 2004 Stock Incentive Plan and 2004 Associate Stock Purchase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333-159313) pertaining to the Build-A-Bear Workshop, Inc. Second Amended and Restated 2004 Stock Incentive Plan; and</w:t>
      </w:r>
    </w:p>
    <w:p>
      <w:pPr>
        <w:ind w:left="660" w:right="20" w:hanging="328"/>
        <w:spacing w:after="0" w:line="26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333-195925) pertaining to the Build-A-Bear Workshop, Inc. Third Amended and Restated 2004 Stock Incentive Plan;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March 17, 2016, with respect to the consolidated financial statements and schedule of Build-A-Bear Workshop, Inc. and Subsidiaries, and the effectiveness of internal control over financial reporting of Build-A-Bear Workshop, Inc. and Subsidiaries, included in this Annual Report (Form 10-K) of Build-A-Bear Workshop, Inc. and Subsidiaries for the year-ended January 2, 2016.</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2016</w:t>
      </w:r>
    </w:p>
    <w:p>
      <w:pPr>
        <w:sectPr>
          <w:pgSz w:w="11900" w:h="16838" w:orient="portrait"/>
          <w:cols w:equalWidth="0" w:num="1">
            <w:col w:w="11420"/>
          </w:cols>
          <w:pgMar w:left="240" w:top="36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spacing w:after="0" w:line="264" w:lineRule="auto"/>
        <w:tabs>
          <w:tab w:leader="none" w:pos="1685"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60"/>
        <w:spacing w:after="0" w:line="264" w:lineRule="auto"/>
        <w:tabs>
          <w:tab w:leader="none" w:pos="1695"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40" w:right="40"/>
        <w:spacing w:after="0" w:line="342" w:lineRule="auto"/>
        <w:tabs>
          <w:tab w:leader="none" w:pos="1685"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380"/>
        <w:spacing w:after="0" w:line="264" w:lineRule="auto"/>
        <w:tabs>
          <w:tab w:leader="none" w:pos="1695"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240"/>
        <w:spacing w:after="0" w:line="308" w:lineRule="auto"/>
        <w:tabs>
          <w:tab w:leader="none" w:pos="1685"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520"/>
        <w:spacing w:after="0" w:line="277" w:lineRule="auto"/>
        <w:tabs>
          <w:tab w:leader="none" w:pos="1695"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March 17, 2016</w:t>
            </w:r>
          </w:p>
        </w:tc>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Sharon John</w:t>
            </w:r>
          </w:p>
        </w:tc>
      </w:tr>
      <w:tr>
        <w:trPr>
          <w:trHeight w:val="195"/>
        </w:trPr>
        <w:tc>
          <w:tcPr>
            <w:tcW w:w="5980" w:type="dxa"/>
            <w:vAlign w:val="bottom"/>
          </w:tcPr>
          <w:p>
            <w:pPr>
              <w:spacing w:after="0"/>
              <w:rPr>
                <w:sz w:val="16"/>
                <w:szCs w:val="16"/>
                <w:color w:val="auto"/>
              </w:rPr>
            </w:pPr>
          </w:p>
        </w:tc>
        <w:tc>
          <w:tcPr>
            <w:tcW w:w="5440" w:type="dxa"/>
            <w:vAlign w:val="bottom"/>
          </w:tcPr>
          <w:p>
            <w:pPr>
              <w:ind w:left="8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Chief Executive Officer and Chief President Bear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spacing w:after="0" w:line="264" w:lineRule="auto"/>
        <w:tabs>
          <w:tab w:leader="none" w:pos="168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60"/>
        <w:spacing w:after="0" w:line="264" w:lineRule="auto"/>
        <w:tabs>
          <w:tab w:leader="none" w:pos="169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40" w:right="40"/>
        <w:spacing w:after="0" w:line="342" w:lineRule="auto"/>
        <w:tabs>
          <w:tab w:leader="none" w:pos="1685"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380"/>
        <w:spacing w:after="0" w:line="264" w:lineRule="auto"/>
        <w:tabs>
          <w:tab w:leader="none" w:pos="1695"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240"/>
        <w:spacing w:after="0" w:line="308" w:lineRule="auto"/>
        <w:tabs>
          <w:tab w:leader="none" w:pos="1685"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520"/>
        <w:spacing w:after="0" w:line="277" w:lineRule="auto"/>
        <w:tabs>
          <w:tab w:leader="none" w:pos="1695"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March 17, 2016</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Voin Todorovic</w:t>
            </w:r>
          </w:p>
        </w:tc>
      </w:tr>
      <w:tr>
        <w:trPr>
          <w:trHeight w:val="195"/>
        </w:trPr>
        <w:tc>
          <w:tcPr>
            <w:tcW w:w="5980" w:type="dxa"/>
            <w:vAlign w:val="bottom"/>
          </w:tcPr>
          <w:p>
            <w:pPr>
              <w:spacing w:after="0"/>
              <w:rPr>
                <w:sz w:val="16"/>
                <w:szCs w:val="16"/>
                <w:color w:val="auto"/>
              </w:rPr>
            </w:pPr>
          </w:p>
        </w:tc>
        <w:tc>
          <w:tcPr>
            <w:tcW w:w="5440" w:type="dxa"/>
            <w:vAlign w:val="bottom"/>
          </w:tcPr>
          <w:p>
            <w:pPr>
              <w:ind w:left="6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2, 2016 as filed with the Securities and Exchange Commission on the date hereof (the “Report”), I, Sharon John, Chief Executive Officer and Chief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March 17, 2016</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Sharon John</w:t>
            </w:r>
          </w:p>
        </w:tc>
      </w:tr>
      <w:tr>
        <w:trPr>
          <w:trHeight w:val="195"/>
        </w:trPr>
        <w:tc>
          <w:tcPr>
            <w:tcW w:w="5980" w:type="dxa"/>
            <w:vAlign w:val="bottom"/>
          </w:tcPr>
          <w:p>
            <w:pPr>
              <w:spacing w:after="0"/>
              <w:rPr>
                <w:sz w:val="16"/>
                <w:szCs w:val="16"/>
                <w:color w:val="auto"/>
              </w:rPr>
            </w:pPr>
          </w:p>
        </w:tc>
        <w:tc>
          <w:tcPr>
            <w:tcW w:w="5440" w:type="dxa"/>
            <w:vAlign w:val="bottom"/>
          </w:tcPr>
          <w:p>
            <w:pPr>
              <w:ind w:left="6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Chief Executive Officer and Chief President Bear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January 2, 2016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March 17, 2016</w:t>
            </w:r>
          </w:p>
        </w:tc>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Voin Todorovic</w:t>
            </w:r>
          </w:p>
        </w:tc>
      </w:tr>
      <w:tr>
        <w:trPr>
          <w:trHeight w:val="195"/>
        </w:trPr>
        <w:tc>
          <w:tcPr>
            <w:tcW w:w="5980" w:type="dxa"/>
            <w:vAlign w:val="bottom"/>
          </w:tcPr>
          <w:p>
            <w:pPr>
              <w:spacing w:after="0"/>
              <w:rPr>
                <w:sz w:val="16"/>
                <w:szCs w:val="16"/>
                <w:color w:val="auto"/>
              </w:rPr>
            </w:pPr>
          </w:p>
        </w:tc>
        <w:tc>
          <w:tcPr>
            <w:tcW w:w="5440" w:type="dxa"/>
            <w:vAlign w:val="bottom"/>
          </w:tcPr>
          <w:p>
            <w:pPr>
              <w:ind w:left="80"/>
              <w:spacing w:after="0" w:line="195" w:lineRule="exact"/>
              <w:rPr>
                <w:sz w:val="20"/>
                <w:szCs w:val="20"/>
                <w:color w:val="auto"/>
              </w:rPr>
            </w:pPr>
            <w:r>
              <w:rPr>
                <w:rFonts w:ascii="Arial" w:cs="Arial" w:eastAsia="Arial" w:hAnsi="Arial"/>
                <w:sz w:val="18"/>
                <w:szCs w:val="18"/>
                <w:color w:val="auto"/>
              </w:rPr>
              <w:t>Voin Todorovic</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2"/>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9"/>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3"/>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2"/>
    </w:lvl>
  </w:abstractNum>
  <w:abstractNum w:abstractNumId="26">
    <w:nsid w:val="684A481A"/>
    <w:multiLevelType w:val="hybridMultilevel"/>
    <w:lvl w:ilvl="0">
      <w:lvlJc w:val="left"/>
      <w:lvlText w:val="(%1)"/>
      <w:numFmt w:val="decimal"/>
      <w:start w:val="8"/>
    </w:lvl>
  </w:abstractNum>
  <w:abstractNum w:abstractNumId="27">
    <w:nsid w:val="579478FE"/>
    <w:multiLevelType w:val="hybridMultilevel"/>
    <w:lvl w:ilvl="0">
      <w:lvlJc w:val="left"/>
      <w:lvlText w:val="(%1)"/>
      <w:numFmt w:val="decimal"/>
      <w:start w:val="9"/>
    </w:lvl>
    <w:lvl w:ilvl="1">
      <w:lvlJc w:val="left"/>
      <w:lvlText w:val="(%2)"/>
      <w:numFmt w:val="lowerLetter"/>
      <w:start w:val="1"/>
    </w:lvl>
  </w:abstractNum>
  <w:abstractNum w:abstractNumId="28">
    <w:nsid w:val="749ABB43"/>
    <w:multiLevelType w:val="hybridMultilevel"/>
    <w:lvl w:ilvl="0">
      <w:lvlJc w:val="left"/>
      <w:lvlText w:val="(%1)"/>
      <w:numFmt w:val="lowerLetter"/>
      <w:start w:val="2"/>
    </w:lvl>
  </w:abstractNum>
  <w:abstractNum w:abstractNumId="29">
    <w:nsid w:val="3DC240FB"/>
    <w:multiLevelType w:val="hybridMultilevel"/>
    <w:lvl w:ilvl="0">
      <w:lvlJc w:val="left"/>
      <w:lvlText w:val="(%1)"/>
      <w:numFmt w:val="lowerLetter"/>
      <w:start w:val="1"/>
    </w:lvl>
  </w:abstractNum>
  <w:abstractNum w:abstractNumId="30">
    <w:nsid w:val="1BA026FA"/>
    <w:multiLevelType w:val="hybridMultilevel"/>
    <w:lvl w:ilvl="0">
      <w:lvlJc w:val="left"/>
      <w:lvlText w:val="(%1)"/>
      <w:numFmt w:val="lowerLetter"/>
      <w:start w:val="2"/>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1"/>
    </w:lvl>
  </w:abstractNum>
  <w:abstractNum w:abstractNumId="33">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70C6A529"/>
    <w:multiLevelType w:val="hybridMultilevel"/>
    <w:lvl w:ilvl="0">
      <w:lvlJc w:val="left"/>
      <w:lvlText w:val="(%1)"/>
      <w:numFmt w:val="lowerLetter"/>
      <w:start w:val="2"/>
    </w:lvl>
  </w:abstractNum>
  <w:abstractNum w:abstractNumId="35">
    <w:nsid w:val="520EEDD1"/>
    <w:multiLevelType w:val="hybridMultilevel"/>
    <w:lvl w:ilvl="0">
      <w:lvlJc w:val="left"/>
      <w:lvlText w:val="(%1)"/>
      <w:numFmt w:val="lowerLetter"/>
      <w:start w:val="3"/>
    </w:lvl>
  </w:abstractNum>
  <w:abstractNum w:abstractNumId="36">
    <w:nsid w:val="374A3FE6"/>
    <w:multiLevelType w:val="hybridMultilevel"/>
    <w:lvl w:ilvl="0">
      <w:lvlJc w:val="left"/>
      <w:lvlText w:val="%1"/>
      <w:numFmt w:val="decimal"/>
      <w:start w:val="1"/>
    </w:lvl>
    <w:lvl w:ilvl="1">
      <w:lvlJc w:val="left"/>
      <w:lvlText w:val="(%2)"/>
      <w:numFmt w:val="lowerLetter"/>
      <w:start w:val="5"/>
    </w:lvl>
  </w:abstractNum>
  <w:abstractNum w:abstractNumId="37">
    <w:nsid w:val="4F4EF005"/>
    <w:multiLevelType w:val="hybridMultilevel"/>
    <w:lvl w:ilvl="0">
      <w:lvlJc w:val="left"/>
      <w:lvlText w:val="%1."/>
      <w:numFmt w:val="decimal"/>
      <w:start w:val="4"/>
    </w:lvl>
    <w:lvl w:ilvl="1">
      <w:lvlJc w:val="left"/>
      <w:lvlText w:val="%2"/>
      <w:numFmt w:val="lowerLetter"/>
      <w:start w:val="1"/>
    </w:lvl>
  </w:abstractNum>
  <w:abstractNum w:abstractNumId="38">
    <w:nsid w:val="23F9C13C"/>
    <w:multiLevelType w:val="hybridMultilevel"/>
    <w:lvl w:ilvl="0">
      <w:lvlJc w:val="left"/>
      <w:lvlText w:val="(%1)"/>
      <w:numFmt w:val="lowerLetter"/>
      <w:start w:val="1"/>
    </w:lvl>
  </w:abstractNum>
  <w:abstractNum w:abstractNumId="39">
    <w:nsid w:val="649BB77C"/>
    <w:multiLevelType w:val="hybridMultilevel"/>
    <w:lvl w:ilvl="0">
      <w:lvlJc w:val="left"/>
      <w:lvlText w:val="(%1)"/>
      <w:numFmt w:val="lowerLetter"/>
      <w:start w:val="4"/>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1)"/>
      <w:numFmt w:val="lowerLetter"/>
      <w:start w:val="3"/>
    </w:lvl>
  </w:abstractNum>
  <w:abstractNum w:abstractNumId="42">
    <w:nsid w:val="1CF10FD8"/>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43">
    <w:nsid w:val="180115B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44">
    <w:nsid w:val="235BA861"/>
    <w:multiLevelType w:val="hybridMultilevel"/>
    <w:lvl w:ilvl="0">
      <w:lvlJc w:val="left"/>
      <w:lvlText w:val="(%1)"/>
      <w:numFmt w:val="decimal"/>
      <w:start w:val="5"/>
    </w:lvl>
  </w:abstractNum>
  <w:abstractNum w:abstractNumId="45">
    <w:nsid w:val="47398C89"/>
    <w:multiLevelType w:val="hybridMultilevel"/>
    <w:lvl w:ilvl="0">
      <w:lvlJc w:val="left"/>
      <w:lvlText w:val="(%1)"/>
      <w:numFmt w:val="lowerLetter"/>
      <w:start w:val="3"/>
    </w:lvl>
  </w:abstractNum>
  <w:abstractNum w:abstractNumId="46">
    <w:nsid w:val="354FE9F9"/>
    <w:multiLevelType w:val="hybridMultilevel"/>
    <w:lvl w:ilvl="0">
      <w:lvlJc w:val="left"/>
      <w:lvlText w:val="%1."/>
      <w:numFmt w:val="decimal"/>
      <w:start w:val="6"/>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1."/>
      <w:numFmt w:val="decimal"/>
      <w:start w:val="7"/>
    </w:lvl>
    <w:lvl w:ilvl="1">
      <w:lvlJc w:val="left"/>
      <w:lvlText w:val="(%2)"/>
      <w:numFmt w:val="lowerLetter"/>
      <w:start w:val="1"/>
    </w:lvl>
  </w:abstractNum>
  <w:abstractNum w:abstractNumId="49">
    <w:nsid w:val="D34B6A8"/>
    <w:multiLevelType w:val="hybridMultilevel"/>
    <w:lvl w:ilvl="0">
      <w:lvlJc w:val="left"/>
      <w:lvlText w:val="(%1)"/>
      <w:numFmt w:val="lowerLetter"/>
      <w:start w:val="2"/>
    </w:lvl>
  </w:abstractNum>
  <w:abstractNum w:abstractNumId="50">
    <w:nsid w:val="10233C99"/>
    <w:multiLevelType w:val="hybridMultilevel"/>
    <w:lvl w:ilvl="0">
      <w:lvlJc w:val="left"/>
      <w:lvlText w:val="%1."/>
      <w:numFmt w:val="decimal"/>
      <w:start w:val="9"/>
    </w:lvl>
  </w:abstractNum>
  <w:abstractNum w:abstractNumId="51">
    <w:nsid w:val="3F6AB60F"/>
    <w:multiLevelType w:val="hybridMultilevel"/>
    <w:lvl w:ilvl="0">
      <w:lvlJc w:val="left"/>
      <w:lvlText w:val="%1."/>
      <w:numFmt w:val="decimal"/>
      <w:start w:val="13"/>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1."/>
      <w:numFmt w:val="decimal"/>
      <w:start w:val="19"/>
    </w:lvl>
  </w:abstractNum>
  <w:abstractNum w:abstractNumId="54">
    <w:nsid w:val="77AE35EB"/>
    <w:multiLevelType w:val="hybridMultilevel"/>
    <w:lvl w:ilvl="0">
      <w:lvlJc w:val="left"/>
      <w:lvlText w:val="%1."/>
      <w:numFmt w:val="decimal"/>
      <w:start w:val="2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decimal"/>
      <w:start w:val="4"/>
    </w:lvl>
  </w:abstractNum>
  <w:abstractNum w:abstractNumId="58">
    <w:nsid w:val="2F305DEF"/>
    <w:multiLevelType w:val="hybridMultilevel"/>
    <w:lvl w:ilvl="0">
      <w:lvlJc w:val="left"/>
      <w:lvlText w:val="%1."/>
      <w:numFmt w:val="decimal"/>
      <w:start w:val="7"/>
    </w:lvl>
  </w:abstractNum>
  <w:abstractNum w:abstractNumId="59">
    <w:nsid w:val="25A70BF7"/>
    <w:multiLevelType w:val="hybridMultilevel"/>
    <w:lvl w:ilvl="0">
      <w:lvlJc w:val="left"/>
      <w:lvlText w:val="%1."/>
      <w:numFmt w:val="decimal"/>
      <w:start w:val="16"/>
    </w:lvl>
  </w:abstractNum>
  <w:abstractNum w:abstractNumId="60">
    <w:nsid w:val="1DBABF00"/>
    <w:multiLevelType w:val="hybridMultilevel"/>
    <w:lvl w:ilvl="0">
      <w:lvlJc w:val="left"/>
      <w:lvlText w:val="%1."/>
      <w:numFmt w:val="decimal"/>
      <w:start w:val="2"/>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5"/>
    </w:lvl>
  </w:abstractNum>
  <w:abstractNum w:abstractNumId="63">
    <w:nsid w:val="1381823A"/>
    <w:multiLevelType w:val="hybridMultilevel"/>
    <w:lvl w:ilvl="0">
      <w:lvlJc w:val="left"/>
      <w:lvlText w:val="%1."/>
      <w:numFmt w:val="decimal"/>
      <w:start w:val="9"/>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7"/>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2019-12-07T08:21:56Z</dcterms:created>
  <dcterms:modified xsi:type="dcterms:W3CDTF">2019-12-07T08:21:56Z</dcterms:modified>
</cp:coreProperties>
</file>