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5, 2022, there were 14,952,150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July 30,</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32,845</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87,722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47,342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15,337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12,910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8,841</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115,967</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76,560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93,087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46,689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48,161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263,435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266,324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264,275</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21,849</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16,028</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22,873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25,244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28,019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17,969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18,096</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99,588</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85,838</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68,291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89,883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July 30, 2022, January 29, 2022 and July 31, 2021</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15,032,708, 16,146,332, and 16,033,134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69,409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73,397</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(12,385)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(12,579)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36,690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24,157</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93,864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85,135</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263,435</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264,275</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320" w:type="dxa"/>
            <w:vAlign w:val="bottom"/>
            <w:gridSpan w:val="6"/>
          </w:tcPr>
          <w:p>
            <w:pPr>
              <w:jc w:val="center"/>
              <w:ind w:left="22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95,882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180,501</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100,685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218,347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186,421</w:t>
            </w:r>
          </w:p>
        </w:tc>
      </w:tr>
      <w:tr>
        <w:trPr>
          <w:trHeight w:val="210"/>
        </w:trPr>
        <w:tc>
          <w:tcPr>
            <w:tcW w:w="12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101,987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84,770</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50,773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106,607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87,593</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49,912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111,740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98,828</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42,264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40,919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76,161</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22,654</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5,439</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17,215</w:t>
            </w:r>
          </w:p>
        </w:tc>
      </w:tr>
      <w:tr>
        <w:trPr>
          <w:trHeight w:val="197"/>
        </w:trPr>
        <w:tc>
          <w:tcPr>
            <w:tcW w:w="128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5,897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17,251</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0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15,274,770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15,398,406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15,375,250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15,230,215</w:t>
            </w: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15,536,308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16,111,587</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15,749,058</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15,958,520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July 30,</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20,020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(4,429)</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common stock for employee equity awards, net of tax</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 paid on vested participating securities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16,296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34,840</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51,136</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13,989</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1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29, 2022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29, 2022, which were included in the Company’s Annual Report on Form 10-K filed with the SEC on April 14, 2022.</w:t>
      </w:r>
    </w:p>
    <w:p>
      <w:pPr>
        <w:spacing w:after="0" w:line="192" w:lineRule="exact"/>
        <w:rPr>
          <w:sz w:val="20"/>
          <w:szCs w:val="20"/>
          <w:color w:val="auto"/>
        </w:rPr>
      </w:pPr>
    </w:p>
    <w:p>
      <w:pPr>
        <w:ind w:left="160" w:right="480" w:firstLine="486"/>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January 29,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Currently, 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95% of consolidated revenue for the second quarter of fiscal 2022.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the Company’s gift cards, revenue, including any related gift card discounts, is deferred for single transactions until redemption. Historically,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period using an estimated breakage rate based on historical experience. In regard to the consolidated balance sheet, contract liabilities for gift cards are classified as gift cards and customer deposits.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stores reopening following shutdowns caused by COVID, the Company has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in fiscal 2022 and 2021 reflects the pattern in the future and has adjusted the historical redemption data used to calculate the breakage rate. The Company utilizes historical redemption data to develop a model to analyze the amount of breakage expected for gift cards sold to customers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monthly for those loyalty program members who have earned 100 or more points in the previous month in North America and 50 points or more in the U.K. with certifications historically expiring in three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9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classifies these guaranteed minimum contract liabilities as deferred revenue on the consolidated balance sheet.</w:t>
      </w:r>
    </w:p>
    <w:p>
      <w:pPr>
        <w:spacing w:after="0" w:line="20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sooner if the agreement is terminated prior to the end of the term.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 These capitalized costs for the thirteen and twenty-six weeks ended July 30, 2022 are not material to the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twenty-six weeks ended July 30, 2022 and July 31, 2021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18"/>
                <w:szCs w:val="18"/>
                <w:color w:val="auto"/>
              </w:rPr>
            </w:pPr>
          </w:p>
        </w:tc>
        <w:tc>
          <w:tcPr>
            <w:tcW w:w="26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38"/>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July 31, 2021</w:t>
            </w: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July 30, 2022</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July 31, 2021</w:t>
            </w:r>
          </w:p>
        </w:tc>
      </w:tr>
      <w:tr>
        <w:trPr>
          <w:trHeight w:val="210"/>
        </w:trPr>
        <w:tc>
          <w:tcPr>
            <w:tcW w:w="3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17,312</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2,167</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19,509</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twenty-six weeks ended July 30, 2022 and July 31, 2021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7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200" w:type="dxa"/>
            <w:vAlign w:val="bottom"/>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9,534</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11,343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18,275</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22,472</w:t>
            </w:r>
          </w:p>
        </w:tc>
      </w:tr>
    </w:tbl>
    <w:p>
      <w:pPr>
        <w:spacing w:after="0" w:line="198" w:lineRule="exact"/>
        <w:rPr>
          <w:sz w:val="20"/>
          <w:szCs w:val="20"/>
          <w:color w:val="auto"/>
        </w:rPr>
      </w:pPr>
    </w:p>
    <w:p>
      <w:pPr>
        <w:jc w:val="both"/>
        <w:ind w:left="160" w:firstLine="486"/>
        <w:spacing w:after="0" w:line="266" w:lineRule="auto"/>
        <w:rPr>
          <w:sz w:val="20"/>
          <w:szCs w:val="20"/>
          <w:color w:val="auto"/>
        </w:rPr>
      </w:pPr>
      <w:r>
        <w:rPr>
          <w:rFonts w:ascii="Times New Roman" w:cs="Times New Roman" w:eastAsia="Times New Roman" w:hAnsi="Times New Roman"/>
          <w:sz w:val="18"/>
          <w:szCs w:val="18"/>
          <w:color w:val="auto"/>
        </w:rPr>
        <w:t>Operating cash flows for operating leases for the second quarter and year-to-date fiscal 2022 decreased from the operating cash flows for operating leases for the same periods in fiscal 2021, which is expected to continue for the remainder of fiscal 2022, as the Company made payments related to lease deferrals in fiscal 2021 that were negotiated in fiscal 2020 during the pandemic.</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July 30, 2022 and July 31, 2021, the weighted-average remaining operating lease term was 4.3 years and 4.6 years, respectively, and the weighted-average discount rate was 5.7% and 6.0%, respectively, for operating leases recognized on the Company's Condensed Consolidated Balance Sheets.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thirteen and twenty-six weeks ended July 30, 2022 and for the thirteen and twenty-six weeks ended July 31, 2021, the Company did not incur impairment charges against its right-of-use operating lease assets.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left="500" w:right="480" w:firstLine="162"/>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30,299</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22,592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15,618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105,854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93,535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(25,244)</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68,291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July 30, 2022, the Company had additional executed leases that had not yet commenced with operating lease liabilities of $2.4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the third quarter of fiscal 2022 with lease terms ranging from one to ten years.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38"/>
        </w:trPr>
        <w:tc>
          <w:tcPr>
            <w:tcW w:w="3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1,545</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5,383</w:t>
            </w:r>
          </w:p>
        </w:tc>
      </w:tr>
      <w:tr>
        <w:trPr>
          <w:trHeight w:val="20"/>
        </w:trPr>
        <w:tc>
          <w:tcPr>
            <w:tcW w:w="3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13,643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8,841</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IT maintenance contracts and software as a service.</w:t>
      </w:r>
    </w:p>
    <w:p>
      <w:pPr>
        <w:spacing w:after="0" w:line="200" w:lineRule="exact"/>
        <w:rPr>
          <w:sz w:val="20"/>
          <w:szCs w:val="20"/>
          <w:color w:val="auto"/>
        </w:rPr>
      </w:pP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4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38"/>
        </w:trPr>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Entertainment production asset</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5,312</w:t>
            </w:r>
          </w:p>
        </w:tc>
      </w:tr>
      <w:tr>
        <w:trPr>
          <w:trHeight w:val="216"/>
        </w:trPr>
        <w:tc>
          <w:tcPr>
            <w:tcW w:w="6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1,187</w:t>
            </w: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(1)</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66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2,184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7,060</w:t>
            </w: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29,</w:t>
            </w:r>
          </w:p>
        </w:tc>
        <w:tc>
          <w:tcPr>
            <w:tcW w:w="2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21,688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14,893</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2,146</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3,186</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w:t>
            </w:r>
          </w:p>
        </w:tc>
      </w:tr>
      <w:tr>
        <w:trPr>
          <w:trHeight w:val="229"/>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25,543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20,972</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accrued costs consists of a legal reserve accrual.</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granting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July 30, 2022 and July 31, 2021, selling, general and administrative expense included stock-based compensation expense of $0.6 million and $0.8 million, respectively. For the twenty-six weeks ended July 30, 2022 and July 31, 2021, selling, general, and administrative expense included stock-based compensation expense of $1.3 million and $1.5 million, respectively. As of July 30, 2022, there was $5.6 million of total unrecognized compensation expense related to unvested restricted stock and option awards which is expected to be recognized over a weighted-average period of 2.0 years.</w:t>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twenty-six weeks ended July 30, 2022:</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July 30, 2022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291,449</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13.39</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twenty-six weeks ended July 30, 2022:</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306,280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82,154</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84,579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(257,751)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(88,721)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July 30,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287,982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295,048</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twenty-six weeks ended July 30, 2022 and July 31, 2021 was $2.0 million and $1.8 million,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July 30, 2022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09"/>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- 2022 consolidated liquidity and strategic performance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89,168</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- 2022 consolidated earnings before interest and taxes (EBIT)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68,206</w:t>
            </w: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- 2023 consolidated, cumulative earnings before interest, taxes, depreciation and</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39,821</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- 2023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13,274</w:t>
            </w: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63,435</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21,145</w:t>
            </w:r>
          </w:p>
        </w:tc>
      </w:tr>
      <w:tr>
        <w:trPr>
          <w:trHeight w:val="209"/>
        </w:trPr>
        <w:tc>
          <w:tcPr>
            <w:tcW w:w="74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July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295,048</w:t>
            </w:r>
          </w:p>
        </w:tc>
        <w:tc>
          <w:tcPr>
            <w:tcW w:w="8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23.5% and 22.4% for the thirteen and twenty-six weeks ended July 30, 2022 compared to 27.9% and 24.0% for the thirteen and twenty-six weeks ended July 31, 2021. In the first half of fiscal 2022 and fiscal 2021, the effective tax rate differed from the statutory rate of 21% primarily due to state income tax expense partially offset by the tax impact of equity awards vesting. In addition, in the second quarter of fiscal 2022, the Company remains in a full valuation allowance in certain foreign jurisdictions, while in the second quarter of fiscal 2021, the Company was still in a full valuation allowance globally, and it recorded tax expense on the pretax income earned based on its projected current tax expense.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July 30, 2022 and July 31,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11"/>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 the thirteen weeks ended July 30, 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the thirteen weeks ended July 31,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APIC</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$ 71,962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(12,452)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38,872</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$ 98,540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$ 73,024</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(12,532)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17,322</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$ 77,977</w:t>
            </w:r>
          </w:p>
        </w:tc>
        <w:tc>
          <w:tcPr>
            <w:tcW w:w="0" w:type="dxa"/>
            <w:vAlign w:val="bottom"/>
          </w:tcPr>
          <w:p>
            <w:pPr>
              <w:spacing w:after="0"/>
              <w:rPr>
                <w:sz w:val="1"/>
                <w:szCs w:val="1"/>
                <w:color w:val="auto"/>
              </w:rPr>
            </w:pPr>
          </w:p>
        </w:tc>
      </w:tr>
      <w:tr>
        <w:trPr>
          <w:trHeight w:val="198"/>
        </w:trPr>
        <w:tc>
          <w:tcPr>
            <w:tcW w:w="2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plans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Repurchase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(8,030)</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5,829</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69,409</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 (12,385)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36,690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$ 93,864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73,397</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(12,579)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24,157</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85,135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twenty-six weeks ended July 30, 2022 and July 31,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1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twenty-six weeks ended July 30, 2022</w:t>
            </w:r>
          </w:p>
        </w:tc>
        <w:tc>
          <w:tcPr>
            <w:tcW w:w="120" w:type="dxa"/>
            <w:vAlign w:val="bottom"/>
          </w:tcPr>
          <w:p>
            <w:pPr>
              <w:spacing w:after="0"/>
              <w:rPr>
                <w:sz w:val="20"/>
                <w:szCs w:val="20"/>
                <w:color w:val="auto"/>
              </w:rPr>
            </w:pPr>
          </w:p>
        </w:tc>
        <w:tc>
          <w:tcPr>
            <w:tcW w:w="4600" w:type="dxa"/>
            <w:vAlign w:val="bottom"/>
            <w:gridSpan w:val="11"/>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twenty-six weeks ended July 31, 2021</w:t>
            </w:r>
          </w:p>
        </w:tc>
        <w:tc>
          <w:tcPr>
            <w:tcW w:w="0" w:type="dxa"/>
            <w:vAlign w:val="bottom"/>
          </w:tcPr>
          <w:p>
            <w:pPr>
              <w:spacing w:after="0"/>
              <w:rPr>
                <w:sz w:val="1"/>
                <w:szCs w:val="1"/>
                <w:color w:val="auto"/>
              </w:rPr>
            </w:pPr>
          </w:p>
        </w:tc>
      </w:tr>
      <w:tr>
        <w:trPr>
          <w:trHeight w:val="426"/>
        </w:trPr>
        <w:tc>
          <w:tcPr>
            <w:tcW w:w="228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AOCI</w:t>
            </w:r>
          </w:p>
        </w:tc>
        <w:tc>
          <w:tcPr>
            <w:tcW w:w="8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earnings/(deficit)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1"/>
              </w:rPr>
              <w:t>$ 75,490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(12,470)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93,683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1"/>
              </w:rPr>
              <w:t>$ 72,822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(12,615)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$ 67,308</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plans</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in lieu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withholdings</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(2,178)</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(922)</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Repurchase</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20,020</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20,020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17,215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right w:val="single" w:sz="8" w:color="CCEEFF"/>
            </w:tcBorders>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69,409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(12,385)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93,864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73,397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(12,579)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24,157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85,135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Subsequent to July 30, 2022 and through August 9, 2022, the Company has utilized $1.3 million in cash to repurchase 80,558 shares under our $25.0 million program that was authorized by its Board of Directors on November 30, 2021, which has resulted in the completion of the $25.0 million stock buyback program.</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August 31, 2022, the Company announced that its Board of Directors authorized a share repurchase program of up to $50.0 million. The primary source of funding for the share repurchase program is expected to be cash on hand. The timing and amount of share repurchases, if any, will depend on price, market conditions, applicable regulatory requirements, and other factors. The program, which authorizes the Company to repurchase shares through August 31, 2025, does not require the Company to repurchase any specific number of shares, and may be modified, suspended or terminated at any time without prior notice. Shares repurchased under the program will be subsequently retired.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income/(loss) per share (in thousands, except share and per share data):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Pr>
          <w:p>
            <w:pPr>
              <w:spacing w:after="0"/>
              <w:rPr>
                <w:sz w:val="20"/>
                <w:szCs w:val="20"/>
                <w:color w:val="auto"/>
              </w:rPr>
            </w:pPr>
          </w:p>
        </w:tc>
        <w:tc>
          <w:tcPr>
            <w:tcW w:w="25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basic</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15,274,770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15,398,406</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15,375,250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15,230,215</w:t>
            </w:r>
          </w:p>
        </w:tc>
        <w:tc>
          <w:tcPr>
            <w:tcW w:w="0" w:type="dxa"/>
            <w:vAlign w:val="bottom"/>
          </w:tcPr>
          <w:p>
            <w:pPr>
              <w:spacing w:after="0"/>
              <w:rPr>
                <w:sz w:val="1"/>
                <w:szCs w:val="1"/>
                <w:color w:val="auto"/>
              </w:rPr>
            </w:pPr>
          </w:p>
        </w:tc>
      </w:tr>
      <w:tr>
        <w:trPr>
          <w:trHeight w:val="216"/>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713,181</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373,808</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728,305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2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15,536,308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16,111,587</w:t>
            </w:r>
          </w:p>
        </w:tc>
        <w:tc>
          <w:tcPr>
            <w:tcW w:w="2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15,749,058</w:t>
            </w:r>
          </w:p>
        </w:tc>
        <w:tc>
          <w:tcPr>
            <w:tcW w:w="22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15,958,520</w:t>
            </w: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outstanding - dilutive</w:t>
            </w:r>
          </w:p>
        </w:tc>
        <w:tc>
          <w:tcPr>
            <w:tcW w:w="2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Basic income per common share attributable</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to Build-A-Bear Workshop, Inc. stockholders</w:t>
            </w: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tcBorders>
              <w:top w:val="single" w:sz="8" w:color="CCEEFF"/>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Diluted income per common share</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Build-A-Bear Workshop, Inc.</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8"/>
                <w:szCs w:val="18"/>
                <w:color w:val="auto"/>
              </w:rPr>
            </w:pP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4"/>
        </w:trPr>
        <w:tc>
          <w:tcPr>
            <w:tcW w:w="3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In calculating the diluted income per share for the thirteen and twenty-six weeks ended July 30, 2022, options to purchase 89,558 and 137,137 shares of common stock, respectively, that were outstanding at the end of the period were not included in the computation of diluted income per share due to their anti-dilutive effect. For the thirteen and twenty-six weeks ended July 31, 2021, options to purchase 63,877 and 246,534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 (Loss)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on July 30, 2022 and July 31, 2021 was comprised entirely of foreign currency translation. For the thirteen weeks ended July 30, 2022 and July 31, 2021, the Company had no reclassifications out of accumulated other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w:t>
      </w:r>
    </w:p>
    <w:p>
      <w:pPr>
        <w:ind w:right="20"/>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July 30, 2022</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100,685</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7,645</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3,026</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July 31, 2021</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91,289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94,728</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2,993</w:t>
            </w:r>
          </w:p>
        </w:tc>
      </w:tr>
      <w:tr>
        <w:trPr>
          <w:trHeight w:val="216"/>
        </w:trPr>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Twenty-six weeks ended July 30,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208,772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218,347</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21,403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25,834</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4,064</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6,276</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Twenty-six weeks ended July 31, 2021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180,501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186,421</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22,654</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6,120</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258,719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263,435</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29, 2022</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260,526</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266,324</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31, 2021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255,700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264,275</w:t>
            </w: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America (1)</w:t>
            </w:r>
          </w:p>
        </w:tc>
        <w:tc>
          <w:tcPr>
            <w:tcW w:w="1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July 30, 2022</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100,685</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July 31, 2021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12,095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94,728</w:t>
            </w: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Twenty-six weeks ended July 30, 2022</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24,903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218,347</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44,060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46,689</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Twenty-six weeks ended July 31, 2021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167,932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17,504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186,421</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48,161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Ireland.</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second quarter of fiscal 2022. The Company has applied for permission to appeal to the UK Supreme Court. The Company maintains a provision against the related receivable, based on a current evaluation of collectability, using the latest facts available in the dispute. As of July 30, 2022, the Company had a gross receivable balance of $4.3 million and a reserve of $3.3 million, leaving a net receivable of $1.0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In August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putative class action lawsuit was filed against Build-A-Bear Workshop, Inc. The plaintiff amended the complaint during the Company’s first quarter of fiscal 2022. As amended, the complaint asserts claims under the Telephone Consumer Protection Act (the "TCPA") alleging that the Company continued to send marketing text messages to mobile phone numbers after those numbers had allegedly opted-out of receiving them. Statutory damages under the TCPA are assessed at up to $500 per text message, and up to $1,500 per text message if the violation was knowing or willful. Following a mediation session on August 16, 2022, the Company is continuing preliminary discussions with the plaintiff and an insurance carrier about a possible settlement, which, if finalized, is not expected to result in a significant expense for the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29, 2022, as filed with the SEC, and include the following:</w:t>
      </w:r>
    </w:p>
    <w:p>
      <w:pPr>
        <w:spacing w:after="0" w:line="180" w:lineRule="exact"/>
        <w:rPr>
          <w:sz w:val="20"/>
          <w:szCs w:val="20"/>
          <w:color w:val="auto"/>
        </w:rPr>
      </w:pPr>
    </w:p>
    <w:p>
      <w:pPr>
        <w:ind w:left="480" w:right="540" w:hanging="175"/>
        <w:spacing w:after="0" w:line="261"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 pandemic has had and is expected to continue to have an adverse effect on our business and results of operations through periodic factory closures and other supply chain disruptions;</w:t>
      </w:r>
    </w:p>
    <w:p>
      <w:pPr>
        <w:ind w:left="480" w:right="44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corporately-managed stores and third-party retail locations are located to attract guests. Continued or further declines in retail consumer traffic could adversely affect our financial performance and profitability;</w:t>
      </w:r>
    </w:p>
    <w:p>
      <w:pPr>
        <w:ind w:left="480" w:right="22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continuing or sustained decline in general global economic conditions, caused by the pandemic, inflation, or otherwise,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20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right="80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inflationary pressures may increase supply chain costs, especially freight and fuel costs, and may reduce disposable income for consumers and demand for our products, therefore negatively impacting our sales and profitability;</w:t>
      </w:r>
    </w:p>
    <w:p>
      <w:pPr>
        <w:ind w:left="480" w:right="8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52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strategy and the cost of our investments in e-commerce and digital technology may materially adversely affect our financial condition and profitability;</w:t>
      </w: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right="34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right="32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20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profitability;</w:t>
      </w:r>
    </w:p>
    <w:p>
      <w:pPr>
        <w:spacing w:after="0" w:line="9" w:lineRule="exact"/>
        <w:rPr>
          <w:rFonts w:ascii="Times New Roman" w:cs="Times New Roman" w:eastAsia="Times New Roman" w:hAnsi="Times New Roman"/>
          <w:sz w:val="18"/>
          <w:szCs w:val="18"/>
          <w:color w:val="auto"/>
        </w:rPr>
      </w:pPr>
    </w:p>
    <w:p>
      <w:pPr>
        <w:ind w:left="480" w:right="380" w:hanging="175"/>
        <w:spacing w:after="0" w:line="25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merchandise, and significant price increases or disruption in their ability to deliver merchandise could harm our ability to source products and supply inventory in our stores;</w:t>
      </w:r>
    </w:p>
    <w:p>
      <w:pPr>
        <w:jc w:val="both"/>
        <w:ind w:left="480" w:right="260" w:hanging="175"/>
        <w:spacing w:after="0" w:line="255"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80" w:right="540" w:hanging="175"/>
        <w:spacing w:after="0" w:line="261"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franchises, attract new franchises or if the laws relating to our international franchises change, our growth and profitability could be adversely affected, and we could be exposed to additional liability;</w:t>
      </w:r>
    </w:p>
    <w:p>
      <w:pPr>
        <w:jc w:val="both"/>
        <w:ind w:left="48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such as the GDPR or the General Data Protection Regulation, the CCPA or the California Privacy Rights Act (as adopted), the TCPA or the Telephone Consumer Protection Act,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ind w:left="480" w:right="4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80" w:right="1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80" w:right="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80" w:right="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80" w:right="3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subject to volatility, which could attract the interest of activist shareholders;</w:t>
      </w:r>
    </w:p>
    <w:p>
      <w:pPr>
        <w:spacing w:after="0" w:line="9" w:lineRule="exact"/>
        <w:rPr>
          <w:rFonts w:ascii="Times New Roman" w:cs="Times New Roman" w:eastAsia="Times New Roman" w:hAnsi="Times New Roman"/>
          <w:sz w:val="18"/>
          <w:szCs w:val="18"/>
          <w:color w:val="auto"/>
        </w:rPr>
      </w:pPr>
    </w:p>
    <w:p>
      <w:pPr>
        <w:ind w:left="480" w:right="40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80" w:right="120" w:hanging="175"/>
        <w:spacing w:after="0" w:line="25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80" w:right="100" w:hanging="175"/>
        <w:spacing w:after="0" w:line="260"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where children and their families could create their own stuffed animals. Over the last nearly 25 years, Build-A-Bear has become a brand with high consumer awareness and positive affinity with over 200 million furry friends made by guests. We are leveraging this brand strength to strategically evolve our brick-and-mortar retail footprint beyond traditional malls with a versatile range of formats and locations including tourist destinations, expand into international markets primarily via a franchise model, and broaden the consumer base beyond children by adding teens and adults with entertainment/sports licensing, collectible and gifting offerings. Build-A-Bear's pop-culture and multi-generational appeal have also played a key role in our digital transformation which includes a meaningful e-commerce/omni-channel business that has delivered sustained growth, engaging consumer loyalty program and robust digital marketing and content capabilities with industry-leading partners. As of July 30, 2022, we had 346 corporately-managed stores globally and 6 seasonal locations, 65 locations operating through our "third-party retail" model in which we sell our products on a wholesale basis to other companies that then, in turn, execute our retail experience, and 62 international franchised stores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500" w:hanging="16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 Corporately-managed retail stores located in the U.S., Canada, the U.K., and Ireland and two e-commerce sites;</w:t>
      </w:r>
    </w:p>
    <w:p>
      <w:pPr>
        <w:spacing w:after="0" w:line="36" w:lineRule="exact"/>
        <w:rPr>
          <w:rFonts w:ascii="Times New Roman" w:cs="Times New Roman" w:eastAsia="Times New Roman" w:hAnsi="Times New Roman"/>
          <w:sz w:val="18"/>
          <w:szCs w:val="18"/>
          <w:color w:val="auto"/>
        </w:rPr>
      </w:pPr>
    </w:p>
    <w:p>
      <w:pPr>
        <w:ind w:left="500" w:right="100" w:hanging="162"/>
        <w:spacing w:after="0" w:line="234" w:lineRule="auto"/>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500" w:right="140" w:hanging="162"/>
        <w:spacing w:after="0" w:line="225" w:lineRule="auto"/>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development fees and the sales from products and fixtures from other international operations under franchise agreements.</w:t>
      </w:r>
    </w:p>
    <w:p>
      <w:pPr>
        <w:spacing w:after="0" w:line="198" w:lineRule="exact"/>
        <w:rPr>
          <w:sz w:val="20"/>
          <w:szCs w:val="20"/>
          <w:color w:val="auto"/>
        </w:rPr>
      </w:pPr>
    </w:p>
    <w:p>
      <w:pPr>
        <w:ind w:left="20" w:right="26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twenty-six weeks ended July 30, 2022 and July 31, 2021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firstLine="648"/>
        <w:spacing w:after="0" w:line="252"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fluffing,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nearly 25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right="160" w:firstLine="648"/>
        <w:spacing w:after="0" w:line="253" w:lineRule="auto"/>
        <w:rPr>
          <w:sz w:val="20"/>
          <w:szCs w:val="20"/>
          <w:color w:val="auto"/>
        </w:rPr>
      </w:pPr>
      <w:r>
        <w:rPr>
          <w:rFonts w:ascii="Times New Roman" w:cs="Times New Roman" w:eastAsia="Times New Roman" w:hAnsi="Times New Roman"/>
          <w:sz w:val="18"/>
          <w:szCs w:val="18"/>
          <w:color w:val="auto"/>
        </w:rPr>
        <w:t>We believe we have built the infrastructure to respond with greater agility to deal with ongoing and future potential uncertainty and we expect to deliver continued growth in total revenues and profit in fiscal 2022 compared to fiscal 2021. While we believe that we have seen benefits from pandemic-driven factors such as pent-up demand and stimulus packages, we believe that the initiatives and investments that were put in place prior to the pandemic, and in many cases accelerated during the pandemic, are driving improved results, which we expect to continue. We remain focused on our strategic priorities which are centered primarily on three key areas:</w:t>
      </w:r>
    </w:p>
    <w:p>
      <w:pPr>
        <w:spacing w:after="0" w:line="187" w:lineRule="exact"/>
        <w:rPr>
          <w:sz w:val="20"/>
          <w:szCs w:val="20"/>
          <w:color w:val="auto"/>
        </w:rPr>
      </w:pPr>
    </w:p>
    <w:p>
      <w:pPr>
        <w:ind w:left="480" w:right="20" w:hanging="155"/>
        <w:spacing w:after="0" w:line="253"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acceleration of a broad-reaching and comprehensive digital transformation including content and entertainment initiatives.</w:t>
      </w:r>
      <w:r>
        <w:rPr>
          <w:rFonts w:ascii="Times New Roman" w:cs="Times New Roman" w:eastAsia="Times New Roman" w:hAnsi="Times New Roman"/>
          <w:sz w:val="18"/>
          <w:szCs w:val="18"/>
          <w:color w:val="auto"/>
        </w:rPr>
        <w:t>We expect to more effectively use our expanded digital capabilities and platforms to inform and drive marketing and content campaigns and deliver personalized experiences and sales messaging. We also plan to expand our addressable market by reaching beyond the core kid base and continue to acquire new tween, teen, and adult consumers by offering unique affinity offerings and expanding purchase occasions. We are in the process of updating our website in the third quarter of fiscal 2022 with a reimagined online guest experience with a goal of driving additional digital demand. We expect to modernize the site, improve efficiency, and optimize organic traffic through leading SEO, or search engine optimization, practices, in order to improve interfaces across all areas of the site including gifting, affinity and the Bear Builder 3D Workshop as well as improve conversion at checkout. In addition, we plan to continue to utilize digital media, content and entertainment as marketing and brand-building tools to engage consumers and create value. Although our first half e-commerce sales were down from the first half of 2021, the results are up 180% compared to the first half of fiscal 2019, which was prior to the implementation of key digital initiatives. The year-over-year decrease in e-commerce sales were impacted by a heavier mix of e-commerce sales relative to brick-and-mortar store sales due to the ongoing impact of the pandemic in 2021 as well as the strong launch of a key licensed product collection in 2021.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00" w:right="60" w:hanging="244"/>
        <w:spacing w:after="0" w:line="236" w:lineRule="auto"/>
        <w:tabs>
          <w:tab w:leader="none" w:pos="9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Continuing to leverage our expanded omnichannel capabilities while further evolving retail experiences and purchase occasions.</w:t>
      </w:r>
      <w:r>
        <w:rPr>
          <w:rFonts w:ascii="Times New Roman" w:cs="Times New Roman" w:eastAsia="Times New Roman" w:hAnsi="Times New Roman"/>
          <w:sz w:val="18"/>
          <w:szCs w:val="18"/>
          <w:color w:val="auto"/>
        </w:rPr>
        <w:t xml:space="preserve"> As of September 1, 2022, 12 new Build-A-Bear Workshop retail locations have been opened demonstrating the progress we are making to reach our goal of opening approximately 20 new locations through a combination of corporately-managed and third-party retail this fiscal year. We expect to finish fiscal 2022 with a net increase in the number of stores in North America inclusive of third-party retail sites and to have fewer locations in Europe. Combined across geographies and business models, we plan to have more total locations at the end of this fiscal year compared to the end of 2021. We have made a concerted effort to shift to non-traditional locations including family-centric tourist sites and now have approximately 35% of total retail locations in non-traditional settings. As consumers have embraced a return to physical and in-person experiences and travel, in general, key metrics in our non-traditional locations have continued to outpace traditional retail locations. We also continue to develop innovative experiences to expand our brand reach. This includes Build-A-Bear vending machines, also known as ATMs or automatic teddy machines. We expect to have approximately 10 machines by the end of this year with more than half of them in airports through our relationship with Hudson Group, a leader in travel retail throughout North America. In addition, 2022 marks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since Build-A-Bear Workshop was founded and we plan to capitalize on the occasion to create interest, leverage nostalgia and drive incremental purchases.</w:t>
      </w:r>
    </w:p>
    <w:p>
      <w:pPr>
        <w:spacing w:after="0" w:line="208" w:lineRule="exact"/>
        <w:rPr>
          <w:rFonts w:ascii="Times New Roman" w:cs="Times New Roman" w:eastAsia="Times New Roman" w:hAnsi="Times New Roman"/>
          <w:sz w:val="22"/>
          <w:szCs w:val="22"/>
          <w:color w:val="auto"/>
        </w:rPr>
      </w:pPr>
    </w:p>
    <w:p>
      <w:pPr>
        <w:ind w:left="900" w:right="40" w:hanging="244"/>
        <w:spacing w:after="0" w:line="257" w:lineRule="auto"/>
        <w:tabs>
          <w:tab w:leader="none" w:pos="90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u w:val="single" w:color="auto"/>
          <w:color w:val="auto"/>
        </w:rPr>
        <w:t>Optimizing our solid financial position including a strong balance sheet to support our business and make strategic investments designed to drive further growth.</w:t>
      </w:r>
      <w:r>
        <w:rPr>
          <w:rFonts w:ascii="Times New Roman" w:cs="Times New Roman" w:eastAsia="Times New Roman" w:hAnsi="Times New Roman"/>
          <w:sz w:val="17"/>
          <w:szCs w:val="17"/>
          <w:color w:val="auto"/>
        </w:rPr>
        <w:t xml:space="preserve"> We plan to maintain disciplined expense management particularly in light of recent inflationary pressures, wage increases and supply chain challenges. We are also focused on ongoing lease 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w:t>
      </w:r>
    </w:p>
    <w:p>
      <w:pPr>
        <w:spacing w:after="0" w:line="2" w:lineRule="exact"/>
        <w:rPr>
          <w:rFonts w:ascii="Times New Roman" w:cs="Times New Roman" w:eastAsia="Times New Roman" w:hAnsi="Times New Roman"/>
          <w:sz w:val="21"/>
          <w:szCs w:val="21"/>
          <w:color w:val="auto"/>
        </w:rPr>
      </w:pPr>
    </w:p>
    <w:p>
      <w:pPr>
        <w:jc w:val="both"/>
        <w:ind w:left="900" w:right="240"/>
        <w:spacing w:after="0" w:line="290" w:lineRule="auto"/>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recent completion of our previous buyback program, and with plans to buyback additional shares through a newly-authorized repurchase program announced in August 2022, which demonstrates the confidence our Board of Directors continues to have in our strategy and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Europe and Asia for the periods presented:</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Twenty-six weeks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1880" w:type="dxa"/>
            <w:vAlign w:val="bottom"/>
          </w:tcPr>
          <w:p>
            <w:pPr>
              <w:spacing w:after="0"/>
              <w:rPr>
                <w:sz w:val="16"/>
                <w:szCs w:val="16"/>
                <w:color w:val="auto"/>
              </w:rPr>
            </w:pPr>
          </w:p>
        </w:tc>
        <w:tc>
          <w:tcPr>
            <w:tcW w:w="8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18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39</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39</w:t>
            </w:r>
          </w:p>
        </w:tc>
        <w:tc>
          <w:tcPr>
            <w:tcW w:w="5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1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July 30, 2022, 45%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July 30, 2022, we had six master franchise agreements, which typically grant franchise rights for a particular country or group of countries, covering an aggregate of 10 countries.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Twenty-six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July 30, 2022</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(14)</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420"/>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324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30,</w:t>
            </w:r>
          </w:p>
        </w:tc>
        <w:tc>
          <w:tcPr>
            <w:tcW w:w="120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26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July 30,</w:t>
            </w: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Pr>
          <w:p>
            <w:pPr>
              <w:spacing w:after="0"/>
              <w:rPr>
                <w:sz w:val="16"/>
                <w:szCs w:val="16"/>
                <w:color w:val="auto"/>
              </w:rPr>
            </w:pPr>
          </w:p>
        </w:tc>
      </w:tr>
      <w:tr>
        <w:trPr>
          <w:trHeight w:val="238"/>
        </w:trPr>
        <w:tc>
          <w:tcPr>
            <w:tcW w:w="32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60"/>
          </w:cols>
          <w:pgMar w:left="300" w:top="121" w:right="439" w:bottom="1440" w:gutter="0" w:footer="0" w:header="0"/>
        </w:sectPr>
      </w:pPr>
    </w:p>
    <w:p>
      <w:pPr>
        <w:ind w:left="116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20" w:right="420"/>
        <w:spacing w:after="0" w:line="200" w:lineRule="auto"/>
        <w:rPr>
          <w:sz w:val="20"/>
          <w:szCs w:val="20"/>
          <w:color w:val="auto"/>
        </w:rPr>
      </w:pPr>
      <w:r>
        <w:rPr>
          <w:rFonts w:ascii="Times New Roman" w:cs="Times New Roman" w:eastAsia="Times New Roman" w:hAnsi="Times New Roman"/>
          <w:sz w:val="17"/>
          <w:szCs w:val="17"/>
          <w:color w:val="auto"/>
        </w:rPr>
        <w:t xml:space="preserve">Cost of merchandise sold - retail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Cost of merchandise sold - commercial</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(1)</w:t>
      </w:r>
    </w:p>
    <w:p>
      <w:pPr>
        <w:spacing w:after="0" w:line="5" w:lineRule="exact"/>
        <w:rPr>
          <w:sz w:val="20"/>
          <w:szCs w:val="20"/>
          <w:color w:val="auto"/>
        </w:rPr>
      </w:pPr>
    </w:p>
    <w:p>
      <w:pPr>
        <w:ind w:left="1320" w:right="360"/>
        <w:spacing w:after="0" w:line="185" w:lineRule="auto"/>
        <w:rPr>
          <w:sz w:val="20"/>
          <w:szCs w:val="20"/>
          <w:color w:val="auto"/>
        </w:rPr>
      </w:pPr>
      <w:r>
        <w:rPr>
          <w:rFonts w:ascii="Times New Roman" w:cs="Times New Roman" w:eastAsia="Times New Roman" w:hAnsi="Times New Roman"/>
          <w:sz w:val="18"/>
          <w:szCs w:val="18"/>
          <w:color w:val="auto"/>
        </w:rPr>
        <w:t xml:space="preserve">Cost of merchandise sold - international franchising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50.5</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46.7</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48.9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392"/>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48.1</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43.7</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418"/>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58.3</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74.0</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58.7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-788035</wp:posOffset>
            </wp:positionV>
            <wp:extent cx="57003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-513715</wp:posOffset>
            </wp:positionV>
            <wp:extent cx="5700395"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248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60" w:space="720"/>
            <w:col w:w="5880"/>
          </w:cols>
          <w:pgMar w:left="300" w:top="121" w:right="4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24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cost of merchandise sold</w:t>
            </w: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50.4</w:t>
            </w: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46.8</w:t>
            </w:r>
          </w:p>
        </w:tc>
        <w:tc>
          <w:tcPr>
            <w:tcW w:w="144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48.8</w:t>
            </w:r>
          </w:p>
        </w:tc>
        <w:tc>
          <w:tcPr>
            <w:tcW w:w="13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47.0</w:t>
            </w:r>
          </w:p>
        </w:tc>
      </w:tr>
      <w:tr>
        <w:trPr>
          <w:trHeight w:val="20"/>
        </w:trPr>
        <w:tc>
          <w:tcPr>
            <w:tcW w:w="3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r>
      <w:tr>
        <w:trPr>
          <w:trHeight w:val="197"/>
        </w:trPr>
        <w:tc>
          <w:tcPr>
            <w:tcW w:w="324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2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bl>
    <w:p>
      <w:pPr>
        <w:spacing w:after="0" w:line="198" w:lineRule="exact"/>
        <w:rPr>
          <w:sz w:val="20"/>
          <w:szCs w:val="20"/>
          <w:color w:val="auto"/>
        </w:rPr>
      </w:pPr>
    </w:p>
    <w:p>
      <w:pPr>
        <w:ind w:left="400" w:right="40" w:hanging="372"/>
        <w:spacing w:after="0" w:line="261" w:lineRule="auto"/>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00" w:right="400" w:hanging="372"/>
        <w:spacing w:after="0" w:line="260" w:lineRule="auto"/>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121" w:right="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July 30, 2022 compared to thirteen weeks ended July 31, 2021</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6.3%, primarily driven by an 8.3% increase in North America and partially offset by a 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Europe. The overall revenue growth was primarily driven by increased retail transactions in North American brick and mortar stores which had a significant increase in consumer traffic, as well as increases in the commercial and international franchising segments' revenue.</w:t>
      </w:r>
    </w:p>
    <w:p>
      <w:pPr>
        <w:spacing w:after="0" w:line="17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July 30, 2022 were $95.9 million, compared to $91.3 million for the thirteen weeks ended July 31, 2021, an increase of $4.6 million, or 5.0%, compared to the prior year period. The components of this increase are as follows (dollars in millions):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demand for our product and in-person interactive experience (partially offset by a decrease in digital sales), select strategic price increases, and lower promotional activity. The negative foreign currency translation effect is due to the British Pound weakening against the US Dollar during the fiscal 2022 second quarter. This negative foreign currency effect has, in turn, decreased European revenue compared to the fiscal 2021 second quarter.</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Commercial revenue was $4.1 million for the thirteen weeks ended July 30, 2022 compared to $2.9 million for the thirteen weeks ended July 31, 2021. The $1.2 million increase is primarily the result of increased sales volume from our commercial accounts through our third-party retail model.</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$0.7 million for the thirteen weeks ended July 30, 2022 compared to $0.5 million for the thirteen weeks ended July 31, 2021. The $0.2 million increase is primarily due to having fewer temporary franchisee store closures in 2022 compared to the same period in 2021.</w:t>
      </w:r>
    </w:p>
    <w:p>
      <w:pPr>
        <w:spacing w:after="0" w:line="174" w:lineRule="exact"/>
        <w:rPr>
          <w:sz w:val="20"/>
          <w:szCs w:val="20"/>
          <w:color w:val="auto"/>
        </w:rPr>
      </w:pPr>
    </w:p>
    <w:p>
      <w:pPr>
        <w:ind w:right="10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Retail gross margin. </w:t>
      </w:r>
      <w:r>
        <w:rPr>
          <w:rFonts w:ascii="Times New Roman" w:cs="Times New Roman" w:eastAsia="Times New Roman" w:hAnsi="Times New Roman"/>
          <w:sz w:val="17"/>
          <w:szCs w:val="17"/>
          <w:color w:val="auto"/>
        </w:rPr>
        <w:t>Retail gross margin dollars decreased $1.1 million to $47.5 million from $48.6 million for the thirteen weeks ended July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The retail gross margin rate decreased 380 basis points compared to the prior year primarily driven by an increase in inflationary pressures mostly shown in significant freight increases, while being partially offset by increased leverage of fixed occupancy and distribution costs driven by higher sales.</w:t>
      </w:r>
    </w:p>
    <w:p>
      <w:pPr>
        <w:spacing w:after="0" w:line="15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("SG&amp;A") expenses were $42.3 million, or 42.0% of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thirteen weeks ended July 30, 2022, compared to $40.9 million, or 43.2% of consolidated revenue, for the thirteen weeks ended July 31, 2021. The increase in overall expense was driven by higher store labor costs to service the increased sales demand within the quarter. Additionally, the change reflects an increase in variable costs driven by sales growth initiatives inclusive of higher marketing spend.</w:t>
      </w:r>
    </w:p>
    <w:p>
      <w:pPr>
        <w:spacing w:after="0" w:line="180"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$3,000 for the thirteen weeks ended July 30, 2022 compared to interest expense of $8,000 for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July 31, 2021, resulting in an immaterial difference.</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$1.8 million with a tax rate of 23.5% for the thirteen weeks ended July 30, 2022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$2.6 million with a tax rate of 27.9% for the thirteen weeks ended July 31, 2021. In the second quarter of fiscal 2022 and fiscal 2021, the effective tax rate differed from the statutory rate of 21% primarily due to state income tax expense partially offset by the tax impact of equity awards vesting. In addition, in the second quarter of fiscal 2022, the Company remains in a full valuation allowance in certain foreign jurisdictions, while in the second quarter of fiscal 2021, the Company was still in a full valuation allowance globally, and it recorded tax expense on the pretax income earned based on its projected current tax expense.</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July 30, 2022 compared to twenty-six weeks ended July 31, 2021</w:t>
      </w:r>
    </w:p>
    <w:p>
      <w:pPr>
        <w:spacing w:after="0" w:line="2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17.1%, primarily driven by a 14.4% increase in North America and partially offset by</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 1.1% decrease in Europe. The overall revenue growth was primarily driven by increased retail transactions in brick and mortar stores which benefitted from higher consumer traffic, as well as an increase in the commercial and international franchising segments' revenue.</w:t>
      </w:r>
    </w:p>
    <w:p>
      <w:pPr>
        <w:spacing w:after="0" w:line="181"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retail sales for the twenty-six weeks ended July 30, 2022 were $208.8 million, compared to $180.5 million for the twenty-six weeks ended July 31, 2021, an increase of $28.3 million, or 15.7%, compared to the prior year period. The components of this increase are as follows (dollars in millions):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Twenty-six weeks</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July 30, 2022</w:t>
            </w:r>
          </w:p>
        </w:tc>
        <w:tc>
          <w:tcPr>
            <w:tcW w:w="0" w:type="dxa"/>
            <w:vAlign w:val="bottom"/>
          </w:tcPr>
          <w:p>
            <w:pPr>
              <w:spacing w:after="0"/>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demand for our product and in-person interactive experience (partially offset by a decrease in digital sales), select strategic price increases, and lower promotional activity. The negative foreign currency translation effect is due to the British Pound weakening against the US Dollar during the fiscal 2022 first half.</w:t>
      </w:r>
    </w:p>
    <w:p>
      <w:pPr>
        <w:spacing w:after="0" w:line="176"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Commercial revenue was $8.3 million for the twenty-six weeks ended July 30, 2022 compared to $5.1 million for the twenty-six weeks ended July 31, 2021. The $3.2 million increase is primarily the result of increased sales volume from our commercial accounts through our third-party retail model.</w:t>
      </w:r>
    </w:p>
    <w:p>
      <w:pPr>
        <w:spacing w:after="0" w:line="14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$1.2 million for the twenty-six weeks ended July 30, 2022 compared to $0.9 million for the twenty-six weeks ended July 31, 2021. The $0.3 million increase is primarily due to having fewer temporary store closures in 2022 compared to the same period in 2021.</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$11.1 million to $106.8 million from $95.7 million for the twenty-six weeks ended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 The retail gross margin rate decreased 190 basis points compared to the prior year primarily driven by an increase in inflationary pressures mostly shown in significant freight increases, while being partially offset by increased leverage of fixed occupancy and distribution costs driven by higher sales.</w:t>
      </w:r>
    </w:p>
    <w:p>
      <w:pPr>
        <w:spacing w:after="0" w:line="17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("SG&amp;A") expenses were $85.9 million, or 39.3% of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the twenty-six weeks ended July 30, 2022, compared to $76.2 million, or 40.9% of consolidated revenue, for the twenty-six weeks ended July 31, 2021. The increase in overall expense was driven by higher store labor costs to service the increased retail sales demand for the year to date. Additionally, the change reflects an increase in variable costs driven by sales growth initiatives inclusive of higher marketing spend.</w:t>
      </w:r>
    </w:p>
    <w:p>
      <w:pPr>
        <w:spacing w:after="0" w:line="180"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$22,000 for the twenty-six weeks ended July 30, 2022 compared to interest expense of $13,000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July 31, 2021, resulting in an immaterial difference.</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$5.8 million with a tax rate of 22.4% for the twenty-six weeks ended July 30,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$5.4 million with a tax rate of 24.0% for the twenty-six weeks ended July 31, 2021. In the first half of fiscal 2022 and fiscal 2021, the effective tax rate differed from the statutory rate of 21% primarily due to state income tax expense partially offset by the tax impact of equity awards vesting. In addition, in the first half of fiscal 2022, the Company remains in a full valuation allowance in certain foreign jurisdictions, while in the first half of fiscal 2021, the Company was still in a full valuation allowance globally, and it recorded tax expense on the pretax income earned based on its projected current tax expense.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5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July 30, 2022, we had a consolidated cash balance of $14.4 million, 48%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56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18,394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(4,064)</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5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(18,408)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16,296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decreased $11.7 million for the twenty-six weeks ended July 30, 2022,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twenty-six weeks ended July 31, 2021. This decrease in cash from operating activities was primarily driven by an increase in cash spent on inventory purchases, as we proactively and strategically accelerated the timing of our order placement to mitigate the continuing inflationary pressures that were experienced in the fiscal 2022 first half, offset by increased sales volume, resulting in higher net income.</w:t>
      </w:r>
    </w:p>
    <w:p>
      <w:pPr>
        <w:spacing w:after="0" w:line="180" w:lineRule="exact"/>
        <w:rPr>
          <w:sz w:val="20"/>
          <w:szCs w:val="20"/>
          <w:color w:val="auto"/>
        </w:rPr>
      </w:pPr>
    </w:p>
    <w:p>
      <w:pPr>
        <w:ind w:right="4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$2.5 million for the twenty-six weeks ended July 30,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July 31, 2021. This increase in cash used in investing activities was primarily driven by an increase in spending on capital expenditures related to IT projects and new store openings.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increased $20.9 million for the twenty-six weeks ended July 30, 2022,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July 31, 2021. This increase in cash used in financing activities was driven primarily by repurchases of our common stock for $19.4 million in the first half of fiscal 2022.</w:t>
      </w:r>
    </w:p>
    <w:p>
      <w:pPr>
        <w:spacing w:after="0" w:line="17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Borrowings under the agreement bear interest at (a) a base rate determined under the agreement, or (b) the borrower's option, at a rate based on LIBOR, plus in either case a margin based on average undrawn availability as determined in accordance with the agreement. As of July 30, 2022, our borrowing base was $25.0 million. As a result of a $500,000 letter of credit against the line of credit at the end of the fiscal 2021 second quarter, approximately $24.5 million was available for borrowing. We had no outstanding borrowings as of July 30, 2022.</w:t>
      </w:r>
    </w:p>
    <w:p>
      <w:pPr>
        <w:spacing w:after="0" w:line="184"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Most of our corporately-managed retail stores are located within shopping malls and all are operated under leases classified as operating leases. Our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upward to reflect the current market rates if they have increased. The leases typically provide the lessee with the first right for renewal at the end of the lease term. Real estate taxes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twenty-six weeks ended July 30, 2022 totaled $4.1 million for IT projects and new store openings, and we expect to spend approximately $10 to $15 million on capital expenditures in fiscal 2022.</w:t>
      </w:r>
    </w:p>
    <w:p>
      <w:pPr>
        <w:spacing w:after="0" w:line="162" w:lineRule="exact"/>
        <w:rPr>
          <w:sz w:val="20"/>
          <w:szCs w:val="20"/>
          <w:color w:val="auto"/>
        </w:rPr>
      </w:pPr>
    </w:p>
    <w:p>
      <w:pPr>
        <w:ind w:left="16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July 30, 2022, we had purchase obligations totaling approximately $94.6 million, of which $25.5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July 30, 2022, we have utilized $11.2 million in cash to repurchase 700,720 shares in the thirteen weeks ended July 30, 2022 and utilized $19.4 million in cash to repurchase 1,196,568 shares in the twenty-six weeks ended July 30, 2022. On August 9, 2022, we completed the $25.0 million stock buyback plan that was approved by the Board of Directors on November 30, 2021. Our execution of the buyback plan resulted in repurchasing nearly 10% of the shares outstanding at the end of the fiscal 2021 third quarter.</w:t>
      </w:r>
    </w:p>
    <w:p>
      <w:pPr>
        <w:spacing w:after="0" w:line="18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On August 31, 2022 we announced that our Board of Directors authorized a share repurchase program of up to $50.0 million. The primary source of funding for the share repurchase program is expected to be cash on hand. The timing and amount of share repurchases, if any, will depend on price, market conditions, applicable regulatory requirements, and other factors. The program authorizes us to repurchase shares through August 31, 2025,</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does not require us to repurchase any specific number of shares, and may be modified, suspended or terminated at any time without prior notice. Shares repurchased under the program will be subsequently retired. We believe that the multi-year, multi-million dollar share buy-back program is reflective of the strong confidence that the Board of Directors has in the future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of inflation on the Company's business operations was seen throughout fiscal 2021 and began to have an adverse impact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 the second quarter of fiscal 2022, mainly in freight and other supply chain related costs. Freight expenses have continued to negatively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our gross margin, with approximately $3.8 million in incremental freight expenses in the fiscal 2022 second quarter alone. However, we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mitigating actions, such as select strategic price increases on highly sought-after products, accelerated purchases of inventory, and leveraging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and distribution costs. We expect the inflationary pressures experienced in the second quarter of fiscal 2022 to continue into the rest of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We continue to monitor the impact of inflation on our business operations on an ongoing basis and may need to adjust our prices further to mitigate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impacts of changes to the rate of inflation during 2022 or in future years. Future volatility of general price inflation and the impact of inflation 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availability of materials, costs for shipping and warehousing and other operational overhead could adversely affect our financial results. Inflationary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pressures may be exacerbated by higher transportation costs due to war and other geopolitical conflicts, such as the current China-Taiwan conflict.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provide an estimate or range of impact that such inflations may have our future results of operations. However, if we are unable to recover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these costs through price increases to our guests, or if consumer spending decreases as a result of inflation, our business, results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cash flows may be adversely affected. In addition, ongoing inflation in product costs may result in lower gross margin rates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 to maintain higher inventory reserves.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29, 2022 as filed with the SEC on April 14, 2022, which includes audited consolidated financial statements for our 2021 and 2020 fiscal years. There have been no material changes to the critical accounting estimates disclosed in the 2021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January 29, 2022 as filed with the SEC on April 14,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January 29, 2022 as filed with the SEC on April 14,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July 30, 2022,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reasonably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January 29, 2022 as filed with the SEC on April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3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80" w:type="dxa"/>
            <w:vAlign w:val="bottom"/>
          </w:tcPr>
          <w:p>
            <w:pPr>
              <w:spacing w:after="0"/>
              <w:rPr>
                <w:sz w:val="20"/>
                <w:szCs w:val="20"/>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1, 2022 - May 28, 2022</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98,999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98,999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10,882,290</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29, 2022 - July 2,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10,882,290</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3, 2022 - July 30,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15.95</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601,721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1,287,745</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700,720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700,720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1,287,745</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80" w:hanging="349"/>
        <w:spacing w:after="0" w:line="261"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5"/>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198" w:lineRule="exact"/>
        <w:rPr>
          <w:sz w:val="20"/>
          <w:szCs w:val="20"/>
          <w:color w:val="auto"/>
        </w:rPr>
      </w:pPr>
    </w:p>
    <w:p>
      <w:pPr>
        <w:ind w:left="140" w:right="3680" w:hanging="132"/>
        <w:spacing w:after="0" w:line="500" w:lineRule="auto"/>
        <w:tabs>
          <w:tab w:leader="none" w:pos="10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2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July 30, 2022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July 30, 2022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lvl w:ilvl="1">
      <w:lvlJc w:val="left"/>
      <w:lvlText w:val="(%2)"/>
      <w:numFmt w:val="decimal"/>
      <w:start w:val="1"/>
    </w:lvl>
  </w:abstractNum>
  <w:abstractNum w:abstractNumId="4">
    <w:nsid w:val="109CF92E"/>
    <w:multiLevelType w:val="hybridMultilevel"/>
    <w:lvl w:ilvl="0">
      <w:lvlJc w:val="left"/>
      <w:lvlText w:val="%1."/>
      <w:numFmt w:val="decimal"/>
      <w:start w:val="5"/>
    </w:lvl>
    <w:lvl w:ilvl="1">
      <w:lvlJc w:val="left"/>
      <w:lvlText w:val="%2"/>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42" Type="http://schemas.openxmlformats.org/officeDocument/2006/relationships/hyperlink" Target="http://www.sec.gov/Archives/edgar/data/1113809/000095013704006634/c86750exv2w1.txt" TargetMode="External"/><Relationship Id="rId43" Type="http://schemas.openxmlformats.org/officeDocument/2006/relationships/hyperlink" Target="http://www.sec.gov/Archives/edgar/data/1113809/000095013804000748/exh3-1.htm" TargetMode="External"/><Relationship Id="rId44" Type="http://schemas.openxmlformats.org/officeDocument/2006/relationships/hyperlink" Target="http://www.sec.gov/Archives/edgar/data/1113809/000115752316004713/a51286063ex3_1.htm" TargetMode="External"/><Relationship Id="rId45"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2022-09-08T15:22:36Z</dcterms:created>
  <dcterms:modified xsi:type="dcterms:W3CDTF">2022-09-08T15:22:36Z</dcterms:modified>
</cp:coreProperties>
</file>