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bbw20240123_10k.htm"/>
      <w:bookmarkStart w:id="1" w:name="ksbbw20240123_10k"/>
      <w:bookmarkEnd w:id="0"/>
      <w:bookmarkEnd w:id="1"/>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b/>
          <w:sz w:val="40"/>
        </w:rPr>
      </w:pPr>
      <w:r>
        <w:rPr>
          <w:rFonts w:ascii="Times New Roman" w:hAnsi="Times New Roman"/>
          <w:b/>
          <w:sz w:val="40"/>
        </w:rPr>
        <w:t>UNITED STATES</w:t>
      </w:r>
    </w:p>
    <w:p>
      <w:pPr>
        <w:pStyle w:val="TextBody"/>
        <w:bidi w:val="0"/>
        <w:spacing w:before="0" w:after="0"/>
        <w:ind w:left="0" w:right="0" w:hanging="0"/>
        <w:jc w:val="center"/>
        <w:rPr>
          <w:rFonts w:ascii="Times New Roman" w:hAnsi="Times New Roman"/>
          <w:b/>
          <w:sz w:val="40"/>
        </w:rPr>
      </w:pPr>
      <w:r>
        <w:rPr>
          <w:rFonts w:ascii="Times New Roman" w:hAnsi="Times New Roman"/>
          <w:b/>
          <w:sz w:val="40"/>
        </w:rPr>
        <w:t>SECURITIES AND EXCHANGE COMMISSION</w:t>
      </w:r>
    </w:p>
    <w:p>
      <w:pPr>
        <w:pStyle w:val="TextBody"/>
        <w:bidi w:val="0"/>
        <w:spacing w:before="0" w:after="0"/>
        <w:ind w:left="0" w:right="0" w:hanging="0"/>
        <w:jc w:val="center"/>
        <w:rPr>
          <w:rFonts w:ascii="Times New Roman" w:hAnsi="Times New Roman"/>
          <w:b/>
          <w:sz w:val="28"/>
        </w:rPr>
      </w:pPr>
      <w:r>
        <w:rPr>
          <w:rFonts w:ascii="Times New Roman" w:hAnsi="Times New Roman"/>
          <w:b/>
          <w:sz w:val="28"/>
        </w:rPr>
        <w:t>WASHINGTON, DC 20549</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4277" w:right="4262" w:hanging="0"/>
        <w:jc w:val="center"/>
        <w:rPr/>
      </w:pPr>
      <w:r>
        <w:rPr/>
        <w:t> </w:t>
      </w:r>
    </w:p>
    <w:p>
      <w:pPr>
        <w:pStyle w:val="TextBody"/>
        <w:bidi w:val="0"/>
        <w:spacing w:before="0" w:after="0"/>
        <w:ind w:left="0" w:right="0" w:hanging="0"/>
        <w:jc w:val="center"/>
        <w:rPr>
          <w:rFonts w:ascii="Times New Roman" w:hAnsi="Times New Roman"/>
          <w:b/>
          <w:sz w:val="40"/>
        </w:rPr>
      </w:pPr>
      <w:r>
        <w:rPr>
          <w:rFonts w:ascii="Times New Roman" w:hAnsi="Times New Roman"/>
          <w:b/>
          <w:sz w:val="40"/>
        </w:rPr>
        <w:t>FORM 10-K</w:t>
      </w:r>
    </w:p>
    <w:p>
      <w:pPr>
        <w:pStyle w:val="TextBody"/>
        <w:bidi w:val="0"/>
        <w:spacing w:before="0" w:after="0"/>
        <w:ind w:left="4277" w:right="4262"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sz w:val="16"/>
        </w:rPr>
      </w:pPr>
      <w:r>
        <w:rPr>
          <w:rFonts w:ascii="Times New Roman" w:hAnsi="Times New Roman"/>
          <w:b/>
          <w:sz w:val="16"/>
        </w:rPr>
        <w:t xml:space="preserve">(Mark One) </w:t>
      </w:r>
    </w:p>
    <w:tbl>
      <w:tblPr>
        <w:tblW w:w="8875" w:type="dxa"/>
        <w:jc w:val="left"/>
        <w:tblInd w:w="0" w:type="dxa"/>
        <w:tblLayout w:type="fixed"/>
        <w:tblCellMar>
          <w:top w:w="0" w:type="dxa"/>
          <w:left w:w="0" w:type="dxa"/>
          <w:bottom w:w="0" w:type="dxa"/>
          <w:right w:w="0" w:type="dxa"/>
        </w:tblCellMar>
      </w:tblPr>
      <w:tblGrid>
        <w:gridCol w:w="230"/>
        <w:gridCol w:w="8645"/>
      </w:tblGrid>
      <w:tr>
        <w:trPr/>
        <w:tc>
          <w:tcPr>
            <w:tcW w:w="230" w:type="dxa"/>
            <w:tcBorders/>
            <w:vAlign w:val="center"/>
          </w:tcPr>
          <w:p>
            <w:pPr>
              <w:pStyle w:val="TableContents"/>
              <w:bidi w:val="0"/>
              <w:spacing w:before="0" w:after="0"/>
              <w:ind w:left="0" w:right="0" w:hanging="0"/>
              <w:jc w:val="left"/>
              <w:rPr/>
            </w:pPr>
            <w:r>
              <w:rPr/>
              <w:t>☒</w:t>
            </w:r>
          </w:p>
        </w:tc>
        <w:tc>
          <w:tcPr>
            <w:tcW w:w="8645" w:type="dxa"/>
            <w:tcBorders/>
            <w:vAlign w:val="center"/>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Annual report pursuant to Section 13 or 15(d) of the Securities Exchange Act of 1934</w:t>
            </w:r>
          </w:p>
        </w:tc>
      </w:tr>
    </w:tbl>
    <w:tbl>
      <w:tblPr>
        <w:tblW w:w="3200" w:type="dxa"/>
        <w:jc w:val="left"/>
        <w:tblInd w:w="0" w:type="dxa"/>
        <w:tblLayout w:type="fixed"/>
        <w:tblCellMar>
          <w:top w:w="0" w:type="dxa"/>
          <w:left w:w="0" w:type="dxa"/>
          <w:bottom w:w="0" w:type="dxa"/>
          <w:right w:w="0" w:type="dxa"/>
        </w:tblCellMar>
      </w:tblPr>
      <w:tblGrid>
        <w:gridCol w:w="60"/>
        <w:gridCol w:w="3140"/>
      </w:tblGrid>
      <w:tr>
        <w:trPr/>
        <w:tc>
          <w:tcPr>
            <w:tcW w:w="60" w:type="dxa"/>
            <w:tcBorders/>
            <w:vAlign w:val="center"/>
          </w:tcPr>
          <w:p>
            <w:pPr>
              <w:pStyle w:val="TableContents"/>
              <w:bidi w:val="0"/>
              <w:spacing w:before="0" w:after="283"/>
              <w:jc w:val="left"/>
              <w:rPr/>
            </w:pPr>
            <w:r>
              <w:rPr/>
              <w:t> </w:t>
            </w:r>
          </w:p>
        </w:tc>
        <w:tc>
          <w:tcPr>
            <w:tcW w:w="3140" w:type="dxa"/>
            <w:tcBorders/>
            <w:vAlign w:val="center"/>
          </w:tcPr>
          <w:p>
            <w:pPr>
              <w:pStyle w:val="TableContents"/>
              <w:bidi w:val="0"/>
              <w:spacing w:before="0" w:after="283"/>
              <w:jc w:val="left"/>
              <w:rPr>
                <w:rFonts w:ascii="Times New Roman" w:hAnsi="Times New Roman"/>
                <w:b/>
                <w:sz w:val="16"/>
              </w:rPr>
            </w:pPr>
            <w:r>
              <w:rPr>
                <w:rFonts w:ascii="Times New Roman" w:hAnsi="Times New Roman"/>
                <w:b/>
                <w:sz w:val="16"/>
              </w:rPr>
              <w:t>For the fiscal year ended February 3, 2024</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 xml:space="preserve">OR </w:t>
      </w:r>
    </w:p>
    <w:p>
      <w:pPr>
        <w:pStyle w:val="TextBody"/>
        <w:bidi w:val="0"/>
        <w:spacing w:before="0" w:after="0"/>
        <w:ind w:left="0" w:right="0" w:hanging="0"/>
        <w:jc w:val="left"/>
        <w:rPr/>
      </w:pPr>
      <w:r>
        <w:rPr/>
        <w:t> </w:t>
      </w:r>
    </w:p>
    <w:tbl>
      <w:tblPr>
        <w:tblW w:w="9235" w:type="dxa"/>
        <w:jc w:val="left"/>
        <w:tblInd w:w="0" w:type="dxa"/>
        <w:tblLayout w:type="fixed"/>
        <w:tblCellMar>
          <w:top w:w="0" w:type="dxa"/>
          <w:left w:w="0" w:type="dxa"/>
          <w:bottom w:w="0" w:type="dxa"/>
          <w:right w:w="0" w:type="dxa"/>
        </w:tblCellMar>
      </w:tblPr>
      <w:tblGrid>
        <w:gridCol w:w="230"/>
        <w:gridCol w:w="9005"/>
      </w:tblGrid>
      <w:tr>
        <w:trPr/>
        <w:tc>
          <w:tcPr>
            <w:tcW w:w="230" w:type="dxa"/>
            <w:tcBorders/>
            <w:vAlign w:val="center"/>
          </w:tcPr>
          <w:p>
            <w:pPr>
              <w:pStyle w:val="TableContents"/>
              <w:bidi w:val="0"/>
              <w:spacing w:before="0" w:after="0"/>
              <w:ind w:left="0" w:right="0" w:hanging="0"/>
              <w:jc w:val="left"/>
              <w:rPr/>
            </w:pPr>
            <w:r>
              <w:rPr/>
              <w:t>☐</w:t>
            </w:r>
          </w:p>
        </w:tc>
        <w:tc>
          <w:tcPr>
            <w:tcW w:w="9005" w:type="dxa"/>
            <w:tcBorders/>
            <w:vAlign w:val="center"/>
          </w:tcPr>
          <w:p>
            <w:pPr>
              <w:pStyle w:val="TableContents"/>
              <w:bidi w:val="0"/>
              <w:spacing w:before="0" w:after="0"/>
              <w:ind w:left="0" w:right="0" w:hanging="0"/>
              <w:jc w:val="left"/>
              <w:rPr>
                <w:rFonts w:ascii="Times New Roman" w:hAnsi="Times New Roman"/>
                <w:b/>
                <w:sz w:val="24"/>
              </w:rPr>
            </w:pPr>
            <w:r>
              <w:rPr>
                <w:rFonts w:ascii="Times New Roman" w:hAnsi="Times New Roman"/>
                <w:b/>
                <w:sz w:val="24"/>
              </w:rPr>
              <w:t xml:space="preserve">Transition report pursuant to Section 13 or 15(d) of the Securities Exchange Act of 1934 </w:t>
            </w:r>
          </w:p>
        </w:tc>
      </w:tr>
    </w:tbl>
    <w:tbl>
      <w:tblPr>
        <w:tblW w:w="3650" w:type="dxa"/>
        <w:jc w:val="left"/>
        <w:tblInd w:w="0" w:type="dxa"/>
        <w:tblLayout w:type="fixed"/>
        <w:tblCellMar>
          <w:top w:w="0" w:type="dxa"/>
          <w:left w:w="0" w:type="dxa"/>
          <w:bottom w:w="0" w:type="dxa"/>
          <w:right w:w="0" w:type="dxa"/>
        </w:tblCellMar>
      </w:tblPr>
      <w:tblGrid>
        <w:gridCol w:w="60"/>
        <w:gridCol w:w="3590"/>
      </w:tblGrid>
      <w:tr>
        <w:trPr/>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283"/>
              <w:jc w:val="left"/>
              <w:rPr>
                <w:rFonts w:ascii="Times New Roman" w:hAnsi="Times New Roman"/>
                <w:sz w:val="16"/>
              </w:rPr>
            </w:pPr>
            <w:r>
              <w:rPr>
                <w:rFonts w:ascii="Times New Roman" w:hAnsi="Times New Roman"/>
                <w:b/>
                <w:sz w:val="16"/>
              </w:rPr>
              <w:t xml:space="preserve">For the transition period from </w:t>
            </w:r>
            <w:r>
              <w:rPr>
                <w:rFonts w:ascii="Times New Roman" w:hAnsi="Times New Roman"/>
                <w:sz w:val="16"/>
                <w:u w:val="single"/>
              </w:rPr>
              <w:t>            </w:t>
            </w:r>
            <w:r>
              <w:rPr>
                <w:rFonts w:ascii="Times New Roman" w:hAnsi="Times New Roman"/>
                <w:sz w:val="16"/>
              </w:rPr>
              <w:t xml:space="preserve"> </w:t>
            </w:r>
            <w:r>
              <w:rPr>
                <w:rFonts w:ascii="Times New Roman" w:hAnsi="Times New Roman"/>
                <w:b/>
                <w:sz w:val="16"/>
              </w:rPr>
              <w:t xml:space="preserve">to </w:t>
            </w:r>
            <w:r>
              <w:rPr>
                <w:rFonts w:ascii="Times New Roman" w:hAnsi="Times New Roman"/>
                <w:sz w:val="16"/>
                <w:u w:val="single"/>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 xml:space="preserve">Commission file number: 001-32320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4277" w:right="4262" w:hanging="0"/>
        <w:jc w:val="center"/>
        <w:rPr/>
      </w:pPr>
      <w:r>
        <w:rPr/>
        <w:t> </w:t>
      </w:r>
    </w:p>
    <w:p>
      <w:pPr>
        <w:pStyle w:val="TextBody"/>
        <w:bidi w:val="0"/>
        <w:spacing w:before="0" w:after="0"/>
        <w:ind w:left="0" w:right="0" w:hanging="0"/>
        <w:jc w:val="center"/>
        <w:rPr>
          <w:rFonts w:ascii="Times New Roman" w:hAnsi="Times New Roman"/>
          <w:b/>
          <w:sz w:val="40"/>
        </w:rPr>
      </w:pPr>
      <w:r>
        <w:rPr>
          <w:rFonts w:ascii="Times New Roman" w:hAnsi="Times New Roman"/>
          <w:b/>
          <w:sz w:val="40"/>
        </w:rPr>
        <w:t>BUILD-A-BEAR WORKSHOP, INC.</w:t>
      </w:r>
    </w:p>
    <w:p>
      <w:pPr>
        <w:pStyle w:val="TextBody"/>
        <w:bidi w:val="0"/>
        <w:spacing w:before="0" w:after="0"/>
        <w:ind w:left="0" w:right="0" w:hanging="0"/>
        <w:jc w:val="center"/>
        <w:rPr>
          <w:rFonts w:ascii="Times New Roman" w:hAnsi="Times New Roman"/>
          <w:b/>
          <w:i/>
          <w:sz w:val="16"/>
        </w:rPr>
      </w:pPr>
      <w:r>
        <w:rPr>
          <w:rFonts w:ascii="Times New Roman" w:hAnsi="Times New Roman"/>
          <w:b/>
          <w:i/>
          <w:sz w:val="16"/>
        </w:rPr>
        <w:t xml:space="preserve">(Exact Name of Registrant as Specified in Its Charter)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3535" w:type="dxa"/>
        <w:jc w:val="left"/>
        <w:tblInd w:w="0" w:type="dxa"/>
        <w:tblLayout w:type="fixed"/>
        <w:tblCellMar>
          <w:top w:w="0" w:type="dxa"/>
          <w:left w:w="0" w:type="dxa"/>
          <w:bottom w:w="0" w:type="dxa"/>
          <w:right w:w="0" w:type="dxa"/>
        </w:tblCellMar>
      </w:tblPr>
      <w:tblGrid>
        <w:gridCol w:w="2210"/>
        <w:gridCol w:w="1325"/>
      </w:tblGrid>
      <w:tr>
        <w:trPr/>
        <w:tc>
          <w:tcPr>
            <w:tcW w:w="2210"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Delaware</w:t>
            </w:r>
          </w:p>
        </w:tc>
        <w:tc>
          <w:tcPr>
            <w:tcW w:w="1325"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43-1883836</w:t>
            </w:r>
          </w:p>
        </w:tc>
      </w:tr>
      <w:tr>
        <w:trPr/>
        <w:tc>
          <w:tcPr>
            <w:tcW w:w="2210" w:type="dxa"/>
            <w:tcBorders/>
            <w:vAlign w:val="center"/>
          </w:tcPr>
          <w:p>
            <w:pPr>
              <w:pStyle w:val="TableContents"/>
              <w:bidi w:val="0"/>
              <w:spacing w:before="0" w:after="0"/>
              <w:ind w:left="0" w:right="0" w:hanging="0"/>
              <w:jc w:val="center"/>
              <w:rPr>
                <w:rFonts w:ascii="Times New Roman" w:hAnsi="Times New Roman"/>
                <w:b/>
                <w:i/>
                <w:sz w:val="16"/>
              </w:rPr>
            </w:pPr>
            <w:r>
              <w:rPr>
                <w:rFonts w:ascii="Times New Roman" w:hAnsi="Times New Roman"/>
                <w:b/>
                <w:i/>
                <w:sz w:val="16"/>
              </w:rPr>
              <w:t>(State or Other Jurisdiction of</w:t>
            </w:r>
          </w:p>
          <w:p>
            <w:pPr>
              <w:pStyle w:val="TableContents"/>
              <w:bidi w:val="0"/>
              <w:spacing w:before="0" w:after="0"/>
              <w:ind w:left="0" w:right="0" w:hanging="0"/>
              <w:jc w:val="center"/>
              <w:rPr>
                <w:rFonts w:ascii="Times New Roman" w:hAnsi="Times New Roman"/>
                <w:b/>
                <w:i/>
                <w:sz w:val="16"/>
              </w:rPr>
            </w:pPr>
            <w:r>
              <w:rPr>
                <w:rFonts w:ascii="Times New Roman" w:hAnsi="Times New Roman"/>
                <w:b/>
                <w:i/>
                <w:sz w:val="16"/>
              </w:rPr>
              <w:t>Incorporation or Organization)</w:t>
            </w:r>
          </w:p>
        </w:tc>
        <w:tc>
          <w:tcPr>
            <w:tcW w:w="1325" w:type="dxa"/>
            <w:tcBorders/>
            <w:vAlign w:val="center"/>
          </w:tcPr>
          <w:p>
            <w:pPr>
              <w:pStyle w:val="TableContents"/>
              <w:bidi w:val="0"/>
              <w:spacing w:before="0" w:after="0"/>
              <w:ind w:left="0" w:right="0" w:hanging="0"/>
              <w:jc w:val="center"/>
              <w:rPr>
                <w:rFonts w:ascii="Times New Roman" w:hAnsi="Times New Roman"/>
                <w:b/>
                <w:i/>
                <w:sz w:val="16"/>
              </w:rPr>
            </w:pPr>
            <w:r>
              <w:rPr>
                <w:rFonts w:ascii="Times New Roman" w:hAnsi="Times New Roman"/>
                <w:b/>
                <w:i/>
                <w:sz w:val="16"/>
              </w:rPr>
              <w:t>(I.R.S. Employer</w:t>
            </w:r>
          </w:p>
          <w:p>
            <w:pPr>
              <w:pStyle w:val="TableContents"/>
              <w:bidi w:val="0"/>
              <w:spacing w:before="0" w:after="0"/>
              <w:ind w:left="0" w:right="0" w:hanging="0"/>
              <w:jc w:val="center"/>
              <w:rPr>
                <w:rFonts w:ascii="Times New Roman" w:hAnsi="Times New Roman"/>
                <w:b/>
                <w:i/>
                <w:sz w:val="16"/>
              </w:rPr>
            </w:pPr>
            <w:r>
              <w:rPr>
                <w:rFonts w:ascii="Times New Roman" w:hAnsi="Times New Roman"/>
                <w:b/>
                <w:i/>
                <w:sz w:val="16"/>
              </w:rPr>
              <w:t>Identification No.)</w:t>
            </w:r>
          </w:p>
        </w:tc>
      </w:tr>
    </w:tbl>
    <w:p>
      <w:pPr>
        <w:pStyle w:val="TextBody"/>
        <w:bidi w:val="0"/>
        <w:spacing w:before="0" w:after="0"/>
        <w:ind w:left="0" w:right="0" w:hanging="0"/>
        <w:jc w:val="left"/>
        <w:rPr/>
      </w:pPr>
      <w:r>
        <w:rPr/>
        <w:t> </w:t>
      </w:r>
    </w:p>
    <w:tbl>
      <w:tblPr>
        <w:tblW w:w="3610" w:type="dxa"/>
        <w:jc w:val="left"/>
        <w:tblInd w:w="0" w:type="dxa"/>
        <w:tblLayout w:type="fixed"/>
        <w:tblCellMar>
          <w:top w:w="0" w:type="dxa"/>
          <w:left w:w="0" w:type="dxa"/>
          <w:bottom w:w="0" w:type="dxa"/>
          <w:right w:w="0" w:type="dxa"/>
        </w:tblCellMar>
      </w:tblPr>
      <w:tblGrid>
        <w:gridCol w:w="2825"/>
        <w:gridCol w:w="785"/>
      </w:tblGrid>
      <w:tr>
        <w:trPr/>
        <w:tc>
          <w:tcPr>
            <w:tcW w:w="2825"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415 South 18th St.</w:t>
            </w:r>
          </w:p>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St. Louis, Missouri</w:t>
            </w:r>
          </w:p>
        </w:tc>
        <w:tc>
          <w:tcPr>
            <w:tcW w:w="785" w:type="dxa"/>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63103</w:t>
            </w:r>
          </w:p>
        </w:tc>
      </w:tr>
      <w:tr>
        <w:trPr/>
        <w:tc>
          <w:tcPr>
            <w:tcW w:w="2825" w:type="dxa"/>
            <w:tcBorders/>
            <w:vAlign w:val="center"/>
          </w:tcPr>
          <w:p>
            <w:pPr>
              <w:pStyle w:val="TableContents"/>
              <w:bidi w:val="0"/>
              <w:spacing w:before="0" w:after="0"/>
              <w:ind w:left="0" w:right="0" w:hanging="0"/>
              <w:jc w:val="center"/>
              <w:rPr>
                <w:rFonts w:ascii="Times New Roman" w:hAnsi="Times New Roman"/>
                <w:b/>
                <w:i/>
                <w:sz w:val="16"/>
              </w:rPr>
            </w:pPr>
            <w:r>
              <w:rPr>
                <w:rFonts w:ascii="Times New Roman" w:hAnsi="Times New Roman"/>
                <w:b/>
                <w:i/>
                <w:sz w:val="16"/>
              </w:rPr>
              <w:t>(Address of Principal Executive Offices)</w:t>
            </w:r>
          </w:p>
        </w:tc>
        <w:tc>
          <w:tcPr>
            <w:tcW w:w="785" w:type="dxa"/>
            <w:tcBorders/>
            <w:vAlign w:val="center"/>
          </w:tcPr>
          <w:p>
            <w:pPr>
              <w:pStyle w:val="TableContents"/>
              <w:bidi w:val="0"/>
              <w:spacing w:before="0" w:after="0"/>
              <w:ind w:left="0" w:right="0" w:hanging="0"/>
              <w:jc w:val="center"/>
              <w:rPr>
                <w:rFonts w:ascii="Times New Roman" w:hAnsi="Times New Roman"/>
                <w:b/>
                <w:i/>
                <w:sz w:val="16"/>
              </w:rPr>
            </w:pPr>
            <w:r>
              <w:rPr>
                <w:rFonts w:ascii="Times New Roman" w:hAnsi="Times New Roman"/>
                <w:b/>
                <w:i/>
                <w:sz w:val="16"/>
              </w:rPr>
              <w:t>(Zip Code)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 xml:space="preserve">(314) 423-8000 </w:t>
      </w:r>
    </w:p>
    <w:p>
      <w:pPr>
        <w:pStyle w:val="TextBody"/>
        <w:bidi w:val="0"/>
        <w:spacing w:before="0" w:after="0"/>
        <w:ind w:left="0" w:right="0" w:hanging="0"/>
        <w:jc w:val="center"/>
        <w:rPr>
          <w:rFonts w:ascii="Times New Roman" w:hAnsi="Times New Roman"/>
          <w:b/>
          <w:i/>
          <w:sz w:val="16"/>
        </w:rPr>
      </w:pPr>
      <w:r>
        <w:rPr>
          <w:rFonts w:ascii="Times New Roman" w:hAnsi="Times New Roman"/>
          <w:b/>
          <w:i/>
          <w:sz w:val="16"/>
        </w:rPr>
        <w:t xml:space="preserve">(Registrant’s Telephone Number, Including Area Code) </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4277" w:right="4262" w:hanging="0"/>
        <w:jc w:val="center"/>
        <w:rPr/>
      </w:pPr>
      <w:r>
        <w:rPr/>
        <w:t> </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 xml:space="preserve">Securities registered pursuant to Section 12(b) of the Act: </w:t>
      </w:r>
    </w:p>
    <w:p>
      <w:pPr>
        <w:pStyle w:val="TextBody"/>
        <w:bidi w:val="0"/>
        <w:spacing w:before="0" w:after="0"/>
        <w:ind w:left="0" w:right="0" w:hanging="0"/>
        <w:jc w:val="left"/>
        <w:rPr/>
      </w:pPr>
      <w:r>
        <w:rPr/>
        <w:t> </w:t>
      </w:r>
    </w:p>
    <w:tbl>
      <w:tblPr>
        <w:tblW w:w="7725" w:type="dxa"/>
        <w:jc w:val="left"/>
        <w:tblInd w:w="0" w:type="dxa"/>
        <w:tblLayout w:type="fixed"/>
        <w:tblCellMar>
          <w:top w:w="0" w:type="dxa"/>
          <w:left w:w="0" w:type="dxa"/>
          <w:bottom w:w="28" w:type="dxa"/>
          <w:right w:w="0" w:type="dxa"/>
        </w:tblCellMar>
      </w:tblPr>
      <w:tblGrid>
        <w:gridCol w:w="3080"/>
        <w:gridCol w:w="60"/>
        <w:gridCol w:w="1190"/>
        <w:gridCol w:w="60"/>
        <w:gridCol w:w="3335"/>
      </w:tblGrid>
      <w:tr>
        <w:trPr/>
        <w:tc>
          <w:tcPr>
            <w:tcW w:w="308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Title of Each Class</w:t>
            </w:r>
          </w:p>
        </w:tc>
        <w:tc>
          <w:tcPr>
            <w:tcW w:w="60" w:type="dxa"/>
            <w:tcBorders/>
            <w:tcMar>
              <w:bottom w:w="0" w:type="dxa"/>
            </w:tcMar>
            <w:vAlign w:val="center"/>
          </w:tcPr>
          <w:p>
            <w:pPr>
              <w:pStyle w:val="TableContents"/>
              <w:bidi w:val="0"/>
              <w:spacing w:before="0" w:after="283"/>
              <w:jc w:val="left"/>
              <w:rPr/>
            </w:pPr>
            <w:r>
              <w:rPr/>
              <w:t> </w:t>
            </w:r>
          </w:p>
        </w:tc>
        <w:tc>
          <w:tcPr>
            <w:tcW w:w="1190" w:type="dxa"/>
            <w:tcBorders>
              <w:bottom w:val="single" w:sz="2" w:space="0" w:color="000000"/>
            </w:tcBorders>
            <w:vAlign w:val="center"/>
          </w:tcPr>
          <w:p>
            <w:pPr>
              <w:pStyle w:val="TableContents"/>
              <w:bidi w:val="0"/>
              <w:spacing w:before="0" w:after="283"/>
              <w:jc w:val="center"/>
              <w:rPr>
                <w:rFonts w:ascii="Times New Roman" w:hAnsi="Times New Roman"/>
                <w:b/>
                <w:sz w:val="16"/>
              </w:rPr>
            </w:pPr>
            <w:r>
              <w:rPr>
                <w:rFonts w:ascii="Times New Roman" w:hAnsi="Times New Roman"/>
                <w:b/>
                <w:sz w:val="16"/>
              </w:rPr>
              <w:t>Trading Symbol</w:t>
            </w:r>
          </w:p>
        </w:tc>
        <w:tc>
          <w:tcPr>
            <w:tcW w:w="60" w:type="dxa"/>
            <w:tcBorders/>
            <w:tcMar>
              <w:bottom w:w="0" w:type="dxa"/>
            </w:tcMar>
            <w:vAlign w:val="center"/>
          </w:tcPr>
          <w:p>
            <w:pPr>
              <w:pStyle w:val="TableContents"/>
              <w:bidi w:val="0"/>
              <w:spacing w:before="0" w:after="283"/>
              <w:jc w:val="left"/>
              <w:rPr/>
            </w:pPr>
            <w:r>
              <w:rPr/>
              <w:t> </w:t>
            </w:r>
          </w:p>
        </w:tc>
        <w:tc>
          <w:tcPr>
            <w:tcW w:w="333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Name of Each Exchange on Which Registered</w:t>
            </w:r>
          </w:p>
        </w:tc>
      </w:tr>
      <w:tr>
        <w:trPr/>
        <w:tc>
          <w:tcPr>
            <w:tcW w:w="3080" w:type="dxa"/>
            <w:tcBorders/>
            <w:tcMar>
              <w:bottom w:w="0" w:type="dxa"/>
            </w:tcMar>
            <w:vAlign w:val="center"/>
          </w:tcPr>
          <w:p>
            <w:pPr>
              <w:pStyle w:val="TableContents"/>
              <w:bidi w:val="0"/>
              <w:spacing w:before="0" w:after="0"/>
              <w:ind w:left="0" w:right="0" w:hanging="0"/>
              <w:jc w:val="center"/>
              <w:rPr>
                <w:rFonts w:ascii="Times New Roman" w:hAnsi="Times New Roman"/>
                <w:b/>
                <w:sz w:val="16"/>
              </w:rPr>
            </w:pPr>
            <w:r>
              <w:rPr>
                <w:rFonts w:ascii="Times New Roman" w:hAnsi="Times New Roman"/>
                <w:b/>
                <w:sz w:val="16"/>
              </w:rPr>
              <w:t>Common Stock, par value $0.01 per share</w:t>
            </w:r>
          </w:p>
        </w:tc>
        <w:tc>
          <w:tcPr>
            <w:tcW w:w="60" w:type="dxa"/>
            <w:tcBorders/>
            <w:tcMar>
              <w:bottom w:w="0" w:type="dxa"/>
            </w:tcMar>
            <w:vAlign w:val="center"/>
          </w:tcPr>
          <w:p>
            <w:pPr>
              <w:pStyle w:val="TableContents"/>
              <w:bidi w:val="0"/>
              <w:spacing w:before="0" w:after="283"/>
              <w:jc w:val="left"/>
              <w:rPr/>
            </w:pPr>
            <w:r>
              <w:rPr/>
              <w:t> </w:t>
            </w:r>
          </w:p>
        </w:tc>
        <w:tc>
          <w:tcPr>
            <w:tcW w:w="1190" w:type="dxa"/>
            <w:tcBorders/>
            <w:tcMar>
              <w:bottom w:w="0" w:type="dxa"/>
            </w:tcMar>
            <w:vAlign w:val="center"/>
          </w:tcPr>
          <w:p>
            <w:pPr>
              <w:pStyle w:val="TableContents"/>
              <w:bidi w:val="0"/>
              <w:spacing w:before="0" w:after="283"/>
              <w:jc w:val="center"/>
              <w:rPr>
                <w:rFonts w:ascii="Times New Roman" w:hAnsi="Times New Roman"/>
                <w:b/>
                <w:sz w:val="16"/>
              </w:rPr>
            </w:pPr>
            <w:r>
              <w:rPr>
                <w:rFonts w:ascii="Times New Roman" w:hAnsi="Times New Roman"/>
                <w:b/>
                <w:sz w:val="16"/>
              </w:rPr>
              <w:t>BBW</w:t>
            </w:r>
          </w:p>
        </w:tc>
        <w:tc>
          <w:tcPr>
            <w:tcW w:w="60" w:type="dxa"/>
            <w:tcBorders/>
            <w:tcMar>
              <w:bottom w:w="0" w:type="dxa"/>
            </w:tcMar>
            <w:vAlign w:val="center"/>
          </w:tcPr>
          <w:p>
            <w:pPr>
              <w:pStyle w:val="TableContents"/>
              <w:bidi w:val="0"/>
              <w:spacing w:before="0" w:after="283"/>
              <w:jc w:val="left"/>
              <w:rPr/>
            </w:pPr>
            <w:r>
              <w:rPr/>
              <w:t> </w:t>
            </w:r>
          </w:p>
        </w:tc>
        <w:tc>
          <w:tcPr>
            <w:tcW w:w="3335" w:type="dxa"/>
            <w:tcBorders/>
            <w:tcMar>
              <w:bottom w:w="0" w:type="dxa"/>
            </w:tcMar>
            <w:vAlign w:val="center"/>
          </w:tcPr>
          <w:p>
            <w:pPr>
              <w:pStyle w:val="TableContents"/>
              <w:bidi w:val="0"/>
              <w:spacing w:before="0" w:after="0"/>
              <w:ind w:left="198" w:right="0" w:hanging="0"/>
              <w:jc w:val="center"/>
              <w:rPr>
                <w:rFonts w:ascii="Times New Roman" w:hAnsi="Times New Roman"/>
                <w:b/>
                <w:sz w:val="16"/>
              </w:rPr>
            </w:pPr>
            <w:r>
              <w:rPr>
                <w:rFonts w:ascii="Times New Roman" w:hAnsi="Times New Roman"/>
                <w:b/>
                <w:sz w:val="16"/>
              </w:rPr>
              <w:t>New York Stock Exchange</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16"/>
        </w:rPr>
      </w:pPr>
      <w:r>
        <w:rPr>
          <w:rFonts w:ascii="Times New Roman" w:hAnsi="Times New Roman"/>
          <w:b/>
          <w:sz w:val="16"/>
        </w:rPr>
        <w:t>Securities registered pursuant to Section 12(g) of the Act: None</w:t>
      </w:r>
    </w:p>
    <w:p>
      <w:pPr>
        <w:pStyle w:val="TextBody"/>
        <w:bidi w:val="0"/>
        <w:spacing w:before="0" w:after="0"/>
        <w:ind w:left="4277" w:right="4262" w:hanging="0"/>
        <w:jc w:val="center"/>
        <w:rPr/>
      </w:pPr>
      <w:r>
        <w:rPr/>
        <w:t> </w:t>
      </w:r>
    </w:p>
    <w:p>
      <w:pPr>
        <w:pStyle w:val="TextBody"/>
        <w:bidi w:val="0"/>
        <w:spacing w:before="0" w:after="0"/>
        <w:ind w:left="4277" w:right="4262" w:hanging="0"/>
        <w:jc w:val="center"/>
        <w:rPr/>
      </w:pPr>
      <w:r>
        <w:rPr/>
        <w:t> </w:t>
      </w:r>
    </w:p>
    <w:p>
      <w:pPr>
        <w:pStyle w:val="TextBody"/>
        <w:bidi w:val="0"/>
        <w:spacing w:before="0" w:after="0"/>
        <w:ind w:left="4277" w:right="4262"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4277" w:right="4262"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Indicate by check mark if the registrant is a well-known seasoned issuer, as defined in Rule 405 of the Securities Act.    ☐  Yes     ☒  No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Indicate by check mark if the registrant is not required to file reports pursuant to Section 13 or Section 15(d) of the Act.    ☐  Yes     ☒  No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pPr>
      <w:r>
        <w:rPr/>
        <w:t> </w:t>
      </w:r>
    </w:p>
    <w:tbl>
      <w:tblPr>
        <w:tblW w:w="9265" w:type="dxa"/>
        <w:jc w:val="left"/>
        <w:tblInd w:w="0" w:type="dxa"/>
        <w:tblLayout w:type="fixed"/>
        <w:tblCellMar>
          <w:top w:w="0" w:type="dxa"/>
          <w:left w:w="0" w:type="dxa"/>
          <w:bottom w:w="0" w:type="dxa"/>
          <w:right w:w="0" w:type="dxa"/>
        </w:tblCellMar>
      </w:tblPr>
      <w:tblGrid>
        <w:gridCol w:w="1805"/>
        <w:gridCol w:w="1400"/>
        <w:gridCol w:w="1715"/>
        <w:gridCol w:w="2165"/>
        <w:gridCol w:w="2180"/>
      </w:tblGrid>
      <w:tr>
        <w:trPr/>
        <w:tc>
          <w:tcPr>
            <w:tcW w:w="1805"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Large accelerated filer  ☐</w:t>
            </w:r>
          </w:p>
        </w:tc>
        <w:tc>
          <w:tcPr>
            <w:tcW w:w="1400"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Accelerated filer  ☒</w:t>
            </w:r>
          </w:p>
        </w:tc>
        <w:tc>
          <w:tcPr>
            <w:tcW w:w="1715"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Non-accelerated filer  ☐</w:t>
            </w:r>
          </w:p>
        </w:tc>
        <w:tc>
          <w:tcPr>
            <w:tcW w:w="2165"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Smaller reporting company  ☒</w:t>
            </w:r>
          </w:p>
        </w:tc>
        <w:tc>
          <w:tcPr>
            <w:tcW w:w="2180" w:type="dxa"/>
            <w:tcBorders/>
            <w:vAlign w:val="center"/>
          </w:tcPr>
          <w:p>
            <w:pPr>
              <w:pStyle w:val="TableContents"/>
              <w:bidi w:val="0"/>
              <w:spacing w:before="0" w:after="283"/>
              <w:jc w:val="left"/>
              <w:rPr>
                <w:rFonts w:ascii="Times New Roman" w:hAnsi="Times New Roman"/>
                <w:sz w:val="16"/>
              </w:rPr>
            </w:pPr>
            <w:r>
              <w:rPr>
                <w:rFonts w:ascii="Times New Roman" w:hAnsi="Times New Roman"/>
                <w:sz w:val="16"/>
              </w:rPr>
              <w:t>Emerging growth company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If an emerging growth company, indicate by check mark if the registrant has elected to not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Indicate by check mark whether the registrant has filed a report on and attestation to its management's assessment of the effectiveness of internal control over financial reporting under Section 404(b) of the Sarbanes-Oxley Act (15 U.S.C. 7262(b)) by the registered public accounting firm that prepared or issued its audit report.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16"/>
        </w:rPr>
      </w:pPr>
      <w:r>
        <w:rPr>
          <w:rFonts w:ascii="Times New Roman" w:hAnsi="Times New Roman"/>
          <w:caps w:val="false"/>
          <w:smallCaps w:val="false"/>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Indicate by check mark whether the registrant is a shell company (as defined in Rule 12b-2 of the Act).    ☐  Yes    ☒  No</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There is no non-voting common</w:t>
      </w:r>
      <w:r>
        <w:rPr>
          <w:rFonts w:ascii="Times New Roman" w:hAnsi="Times New Roman"/>
          <w:sz w:val="16"/>
          <w:shd w:fill="FFFFFF" w:val="clear"/>
        </w:rPr>
        <w:t xml:space="preserve"> equity. The aggregate market value of the common stock held by non-affiliates (based upon the closing price of $24.44 for the shares on the New York Stock Exchange on July 29, 2023) was $</w:t>
      </w:r>
      <w:r>
        <w:rPr>
          <w:rFonts w:ascii="Times New Roman" w:hAnsi="Times New Roman"/>
          <w:sz w:val="16"/>
        </w:rPr>
        <w:t>355.0</w:t>
      </w:r>
      <w:r>
        <w:rPr>
          <w:rFonts w:ascii="Times New Roman" w:hAnsi="Times New Roman"/>
          <w:sz w:val="16"/>
          <w:shd w:fill="FFFFFF" w:val="clear"/>
        </w:rPr>
        <w:t xml:space="preserve"> million as of July 29, 2023, the last business day of the registrant’s most recently completed second fiscal quarter.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shd w:fill="FFFFFF" w:val="clear"/>
        </w:rPr>
      </w:pPr>
      <w:r>
        <w:rPr>
          <w:rFonts w:ascii="Times New Roman" w:hAnsi="Times New Roman"/>
          <w:sz w:val="16"/>
          <w:shd w:fill="FFFFFF" w:val="clear"/>
        </w:rPr>
        <w:t>As of April 15, 2024, there were 13,980,206 issued and outstanding shares of the registrant’s common stock.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16"/>
        </w:rPr>
      </w:pPr>
      <w:r>
        <w:rPr>
          <w:rFonts w:ascii="Times New Roman" w:hAnsi="Times New Roman"/>
          <w:sz w:val="16"/>
        </w:rPr>
        <w:t>DOCUMENTS INCORPORATED BY REFERENCE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16"/>
        </w:rPr>
      </w:pPr>
      <w:r>
        <w:rPr>
          <w:rFonts w:ascii="Times New Roman" w:hAnsi="Times New Roman"/>
          <w:sz w:val="16"/>
        </w:rPr>
        <w:t>Portions of the registrant’s Proxy Statement for its</w:t>
      </w:r>
      <w:r>
        <w:rPr>
          <w:rFonts w:ascii="Times New Roman" w:hAnsi="Times New Roman"/>
          <w:sz w:val="16"/>
          <w:shd w:fill="FFFFFF" w:val="clear"/>
        </w:rPr>
        <w:t xml:space="preserve"> June 13</w:t>
      </w:r>
      <w:r>
        <w:rPr>
          <w:rFonts w:ascii="Times New Roman" w:hAnsi="Times New Roman"/>
          <w:sz w:val="16"/>
        </w:rPr>
        <w:t>, 2024 Annual Meeting of Stockholders are incorporated herein by reference.</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 w:name="toc"/>
      <w:bookmarkEnd w:id="2"/>
      <w:r>
        <w:rPr>
          <w:rFonts w:ascii="Times New Roman;Times;serif" w:hAnsi="Times New Roman;Times;serif"/>
          <w:b/>
          <w:sz w:val="20"/>
        </w:rPr>
        <w:t xml:space="preserve">BUILD-A-BEAR WORKSHOP, INC. </w:t>
      </w:r>
    </w:p>
    <w:p>
      <w:pPr>
        <w:pStyle w:val="TextBody"/>
        <w:bidi w:val="0"/>
        <w:spacing w:before="0" w:after="0"/>
        <w:ind w:left="0" w:right="0" w:hanging="0"/>
        <w:jc w:val="center"/>
        <w:rPr>
          <w:rFonts w:ascii="Times New Roman;Times;serif" w:hAnsi="Times New Roman;Times;serif"/>
          <w:b/>
          <w:caps/>
          <w:sz w:val="20"/>
        </w:rPr>
      </w:pPr>
      <w:r>
        <w:rPr>
          <w:rFonts w:ascii="Times New Roman;Times;serif" w:hAnsi="Times New Roman;Times;serif"/>
          <w:b/>
          <w:caps/>
          <w:sz w:val="20"/>
        </w:rPr>
        <w:t xml:space="preserve">INDEX TO FORM 10-K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42"/>
        <w:gridCol w:w="8922"/>
        <w:gridCol w:w="441"/>
      </w:tblGrid>
      <w:tr>
        <w:trPr/>
        <w:tc>
          <w:tcPr>
            <w:tcW w:w="842" w:type="dxa"/>
            <w:tcBorders/>
            <w:vAlign w:val="center"/>
          </w:tcPr>
          <w:p>
            <w:pPr>
              <w:pStyle w:val="TableContents"/>
              <w:bidi w:val="0"/>
              <w:spacing w:before="0" w:after="0"/>
              <w:ind w:left="0" w:right="0" w:hanging="0"/>
              <w:jc w:val="left"/>
              <w:rPr/>
            </w:pPr>
            <w:r>
              <w:rPr/>
              <w:t> </w:t>
            </w:r>
          </w:p>
        </w:tc>
        <w:tc>
          <w:tcPr>
            <w:tcW w:w="8922" w:type="dxa"/>
            <w:tcBorders/>
            <w:vAlign w:val="center"/>
          </w:tcPr>
          <w:p>
            <w:pPr>
              <w:pStyle w:val="TableContents"/>
              <w:bidi w:val="0"/>
              <w:spacing w:before="0" w:after="0"/>
              <w:ind w:left="0" w:right="0" w:hanging="0"/>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Page</w:t>
            </w:r>
          </w:p>
        </w:tc>
      </w:tr>
      <w:tr>
        <w:trPr/>
        <w:tc>
          <w:tcPr>
            <w:tcW w:w="842" w:type="dxa"/>
            <w:tcBorders/>
            <w:vAlign w:val="center"/>
          </w:tcPr>
          <w:p>
            <w:pPr>
              <w:pStyle w:val="TableContents"/>
              <w:bidi w:val="0"/>
              <w:spacing w:before="0" w:after="283"/>
              <w:jc w:val="left"/>
              <w:rPr/>
            </w:pPr>
            <w:r>
              <w:rPr/>
              <w:t> </w:t>
            </w:r>
          </w:p>
        </w:tc>
        <w:tc>
          <w:tcPr>
            <w:tcW w:w="8922" w:type="dxa"/>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9764" w:type="dxa"/>
            <w:gridSpan w:val="2"/>
            <w:tcBorders/>
            <w:vAlign w:val="center"/>
          </w:tcPr>
          <w:p>
            <w:pPr>
              <w:pStyle w:val="TableContents"/>
              <w:bidi w:val="0"/>
              <w:spacing w:before="0" w:after="0"/>
              <w:ind w:left="0" w:right="0" w:hanging="0"/>
              <w:jc w:val="left"/>
              <w:rPr/>
            </w:pPr>
            <w:hyperlink w:anchor="fls">
              <w:r>
                <w:rPr>
                  <w:rStyle w:val="InternetLink"/>
                  <w:rFonts w:ascii="Times New Roman;Times;serif" w:hAnsi="Times New Roman;Times;serif"/>
                  <w:sz w:val="20"/>
                </w:rPr>
                <w:t>Forward-Looking Statements</w:t>
              </w:r>
            </w:hyperlink>
          </w:p>
        </w:tc>
        <w:tc>
          <w:tcPr>
            <w:tcW w:w="441" w:type="dxa"/>
            <w:tcBorders/>
            <w:vAlign w:val="center"/>
          </w:tcPr>
          <w:p>
            <w:pPr>
              <w:pStyle w:val="TableContents"/>
              <w:bidi w:val="0"/>
              <w:spacing w:before="0" w:after="283"/>
              <w:jc w:val="center"/>
              <w:rPr/>
            </w:pPr>
            <w:hyperlink w:anchor="fls">
              <w:r>
                <w:rPr>
                  <w:rStyle w:val="InternetLink"/>
                </w:rPr>
                <w:t>4</w:t>
              </w:r>
            </w:hyperlink>
          </w:p>
        </w:tc>
      </w:tr>
      <w:tr>
        <w:trPr/>
        <w:tc>
          <w:tcPr>
            <w:tcW w:w="9764" w:type="dxa"/>
            <w:gridSpan w:val="2"/>
            <w:tcBorders/>
            <w:vAlign w:val="center"/>
          </w:tcPr>
          <w:p>
            <w:pPr>
              <w:pStyle w:val="TableContents"/>
              <w:bidi w:val="0"/>
              <w:spacing w:before="0" w:after="0"/>
              <w:ind w:left="0" w:right="0" w:hanging="0"/>
              <w:jc w:val="center"/>
              <w:rPr/>
            </w:pPr>
            <w:hyperlink w:anchor="p1">
              <w:r>
                <w:rPr>
                  <w:rStyle w:val="InternetLink"/>
                  <w:rFonts w:ascii="Times New Roman;Times;serif" w:hAnsi="Times New Roman;Times;serif"/>
                  <w:b/>
                  <w:sz w:val="20"/>
                </w:rPr>
                <w:t xml:space="preserve">Part I </w:t>
              </w:r>
            </w:hyperlink>
          </w:p>
        </w:tc>
        <w:tc>
          <w:tcPr>
            <w:tcW w:w="441" w:type="dxa"/>
            <w:tcBorders/>
            <w:vAlign w:val="center"/>
          </w:tcPr>
          <w:p>
            <w:pPr>
              <w:pStyle w:val="TableContents"/>
              <w:bidi w:val="0"/>
              <w:spacing w:before="0" w:after="283"/>
              <w:jc w:val="right"/>
              <w:rPr/>
            </w:pPr>
            <w:r>
              <w:rPr/>
              <w:t> </w:t>
            </w:r>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w:t>
            </w:r>
          </w:p>
        </w:tc>
        <w:tc>
          <w:tcPr>
            <w:tcW w:w="8922" w:type="dxa"/>
            <w:tcBorders/>
            <w:vAlign w:val="center"/>
          </w:tcPr>
          <w:p>
            <w:pPr>
              <w:pStyle w:val="TableContents"/>
              <w:bidi w:val="0"/>
              <w:spacing w:before="0" w:after="0"/>
              <w:ind w:left="0" w:right="0" w:hanging="0"/>
              <w:jc w:val="left"/>
              <w:rPr/>
            </w:pPr>
            <w:hyperlink w:anchor="i1">
              <w:r>
                <w:rPr>
                  <w:rStyle w:val="InternetLink"/>
                  <w:rFonts w:ascii="Times New Roman;Times;serif" w:hAnsi="Times New Roman;Times;serif"/>
                  <w:sz w:val="20"/>
                </w:rPr>
                <w:t>Business</w:t>
              </w:r>
            </w:hyperlink>
          </w:p>
        </w:tc>
        <w:tc>
          <w:tcPr>
            <w:tcW w:w="441" w:type="dxa"/>
            <w:tcBorders/>
            <w:vAlign w:val="center"/>
          </w:tcPr>
          <w:p>
            <w:pPr>
              <w:pStyle w:val="TableContents"/>
              <w:bidi w:val="0"/>
              <w:spacing w:before="0" w:after="283"/>
              <w:jc w:val="center"/>
              <w:rPr/>
            </w:pPr>
            <w:hyperlink w:anchor="i1">
              <w:r>
                <w:rPr>
                  <w:rStyle w:val="InternetLink"/>
                </w:rPr>
                <w:t>5</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1A.</w:t>
            </w:r>
          </w:p>
        </w:tc>
        <w:tc>
          <w:tcPr>
            <w:tcW w:w="8922" w:type="dxa"/>
            <w:tcBorders/>
            <w:vAlign w:val="center"/>
          </w:tcPr>
          <w:p>
            <w:pPr>
              <w:pStyle w:val="TableContents"/>
              <w:bidi w:val="0"/>
              <w:spacing w:before="0" w:after="0"/>
              <w:ind w:left="0" w:right="0" w:hanging="0"/>
              <w:jc w:val="left"/>
              <w:rPr/>
            </w:pPr>
            <w:hyperlink w:anchor="i1a">
              <w:r>
                <w:rPr>
                  <w:rStyle w:val="InternetLink"/>
                  <w:rFonts w:ascii="Times New Roman;Times;serif" w:hAnsi="Times New Roman;Times;serif"/>
                  <w:sz w:val="20"/>
                </w:rPr>
                <w:t>Risk Factors</w:t>
              </w:r>
            </w:hyperlink>
          </w:p>
        </w:tc>
        <w:tc>
          <w:tcPr>
            <w:tcW w:w="441" w:type="dxa"/>
            <w:tcBorders/>
            <w:vAlign w:val="center"/>
          </w:tcPr>
          <w:p>
            <w:pPr>
              <w:pStyle w:val="TableContents"/>
              <w:bidi w:val="0"/>
              <w:spacing w:before="0" w:after="283"/>
              <w:jc w:val="center"/>
              <w:rPr/>
            </w:pPr>
            <w:hyperlink w:anchor="i1a">
              <w:r>
                <w:rPr>
                  <w:rStyle w:val="InternetLink"/>
                </w:rPr>
                <w:t>9</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1B.</w:t>
            </w:r>
          </w:p>
        </w:tc>
        <w:tc>
          <w:tcPr>
            <w:tcW w:w="8922" w:type="dxa"/>
            <w:tcBorders/>
            <w:vAlign w:val="center"/>
          </w:tcPr>
          <w:p>
            <w:pPr>
              <w:pStyle w:val="TableContents"/>
              <w:bidi w:val="0"/>
              <w:spacing w:before="0" w:after="0"/>
              <w:ind w:left="0" w:right="0" w:hanging="0"/>
              <w:jc w:val="left"/>
              <w:rPr/>
            </w:pPr>
            <w:hyperlink w:anchor="i1b">
              <w:r>
                <w:rPr>
                  <w:rStyle w:val="InternetLink"/>
                  <w:rFonts w:ascii="Times New Roman;Times;serif" w:hAnsi="Times New Roman;Times;serif"/>
                  <w:sz w:val="20"/>
                </w:rPr>
                <w:t>Unresolved Staff Comments</w:t>
              </w:r>
            </w:hyperlink>
          </w:p>
        </w:tc>
        <w:tc>
          <w:tcPr>
            <w:tcW w:w="441" w:type="dxa"/>
            <w:tcBorders/>
            <w:vAlign w:val="center"/>
          </w:tcPr>
          <w:p>
            <w:pPr>
              <w:pStyle w:val="TableContents"/>
              <w:bidi w:val="0"/>
              <w:spacing w:before="0" w:after="283"/>
              <w:jc w:val="center"/>
              <w:rPr/>
            </w:pPr>
            <w:hyperlink w:anchor="i1b">
              <w:r>
                <w:rPr>
                  <w:rStyle w:val="InternetLink"/>
                </w:rPr>
                <w:t>21</w:t>
              </w:r>
            </w:hyperlink>
          </w:p>
        </w:tc>
      </w:tr>
      <w:tr>
        <w:trPr/>
        <w:tc>
          <w:tcPr>
            <w:tcW w:w="842" w:type="dxa"/>
            <w:tcBorders/>
            <w:vAlign w:val="center"/>
          </w:tcPr>
          <w:p>
            <w:pPr>
              <w:pStyle w:val="TableContents"/>
              <w:bidi w:val="0"/>
              <w:spacing w:before="0" w:after="283"/>
              <w:jc w:val="left"/>
              <w:rPr/>
            </w:pPr>
            <w:r>
              <w:rPr/>
              <w:t>Item 1C.</w:t>
            </w:r>
          </w:p>
        </w:tc>
        <w:tc>
          <w:tcPr>
            <w:tcW w:w="8922" w:type="dxa"/>
            <w:tcBorders/>
            <w:vAlign w:val="center"/>
          </w:tcPr>
          <w:p>
            <w:pPr>
              <w:pStyle w:val="TableContents"/>
              <w:bidi w:val="0"/>
              <w:spacing w:before="0" w:after="283"/>
              <w:jc w:val="left"/>
              <w:rPr/>
            </w:pPr>
            <w:hyperlink w:anchor="a1C_Cyber_Security">
              <w:r>
                <w:rPr>
                  <w:rStyle w:val="InternetLink"/>
                </w:rPr>
                <w:t>Cybersecurity</w:t>
              </w:r>
            </w:hyperlink>
          </w:p>
        </w:tc>
        <w:tc>
          <w:tcPr>
            <w:tcW w:w="441" w:type="dxa"/>
            <w:tcBorders/>
            <w:vAlign w:val="center"/>
          </w:tcPr>
          <w:p>
            <w:pPr>
              <w:pStyle w:val="TableContents"/>
              <w:bidi w:val="0"/>
              <w:spacing w:before="0" w:after="283"/>
              <w:jc w:val="center"/>
              <w:rPr/>
            </w:pPr>
            <w:hyperlink w:anchor="a1C_Cyber_Security">
              <w:r>
                <w:rPr>
                  <w:rStyle w:val="InternetLink"/>
                </w:rPr>
                <w:t>21</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2.</w:t>
            </w:r>
          </w:p>
        </w:tc>
        <w:tc>
          <w:tcPr>
            <w:tcW w:w="8922" w:type="dxa"/>
            <w:tcBorders/>
            <w:vAlign w:val="center"/>
          </w:tcPr>
          <w:p>
            <w:pPr>
              <w:pStyle w:val="TableContents"/>
              <w:bidi w:val="0"/>
              <w:spacing w:before="0" w:after="0"/>
              <w:ind w:left="0" w:right="0" w:hanging="0"/>
              <w:jc w:val="left"/>
              <w:rPr/>
            </w:pPr>
            <w:hyperlink w:anchor="i2">
              <w:r>
                <w:rPr>
                  <w:rStyle w:val="InternetLink"/>
                  <w:rFonts w:ascii="Times New Roman;Times;serif" w:hAnsi="Times New Roman;Times;serif"/>
                  <w:sz w:val="20"/>
                </w:rPr>
                <w:t>Properties</w:t>
              </w:r>
            </w:hyperlink>
          </w:p>
        </w:tc>
        <w:tc>
          <w:tcPr>
            <w:tcW w:w="441" w:type="dxa"/>
            <w:tcBorders/>
            <w:vAlign w:val="center"/>
          </w:tcPr>
          <w:p>
            <w:pPr>
              <w:pStyle w:val="TableContents"/>
              <w:bidi w:val="0"/>
              <w:spacing w:before="0" w:after="283"/>
              <w:jc w:val="center"/>
              <w:rPr/>
            </w:pPr>
            <w:hyperlink w:anchor="i2">
              <w:r>
                <w:rPr>
                  <w:rStyle w:val="InternetLink"/>
                </w:rPr>
                <w:t>23</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3.</w:t>
            </w:r>
          </w:p>
        </w:tc>
        <w:tc>
          <w:tcPr>
            <w:tcW w:w="8922" w:type="dxa"/>
            <w:tcBorders/>
            <w:vAlign w:val="center"/>
          </w:tcPr>
          <w:p>
            <w:pPr>
              <w:pStyle w:val="TableContents"/>
              <w:bidi w:val="0"/>
              <w:spacing w:before="0" w:after="0"/>
              <w:ind w:left="0" w:right="0" w:hanging="0"/>
              <w:jc w:val="left"/>
              <w:rPr/>
            </w:pPr>
            <w:hyperlink w:anchor="i3">
              <w:r>
                <w:rPr>
                  <w:rStyle w:val="InternetLink"/>
                  <w:rFonts w:ascii="Times New Roman;Times;serif" w:hAnsi="Times New Roman;Times;serif"/>
                  <w:sz w:val="20"/>
                </w:rPr>
                <w:t>Legal Proceedings</w:t>
              </w:r>
            </w:hyperlink>
          </w:p>
        </w:tc>
        <w:tc>
          <w:tcPr>
            <w:tcW w:w="441" w:type="dxa"/>
            <w:tcBorders/>
            <w:vAlign w:val="center"/>
          </w:tcPr>
          <w:p>
            <w:pPr>
              <w:pStyle w:val="TableContents"/>
              <w:bidi w:val="0"/>
              <w:spacing w:before="0" w:after="283"/>
              <w:jc w:val="center"/>
              <w:rPr/>
            </w:pPr>
            <w:hyperlink w:anchor="i3">
              <w:r>
                <w:rPr>
                  <w:rStyle w:val="InternetLink"/>
                </w:rPr>
                <w:t>23</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4.</w:t>
            </w:r>
          </w:p>
        </w:tc>
        <w:tc>
          <w:tcPr>
            <w:tcW w:w="8922" w:type="dxa"/>
            <w:tcBorders/>
            <w:vAlign w:val="center"/>
          </w:tcPr>
          <w:p>
            <w:pPr>
              <w:pStyle w:val="TableContents"/>
              <w:bidi w:val="0"/>
              <w:spacing w:before="0" w:after="0"/>
              <w:ind w:left="0" w:right="0" w:hanging="0"/>
              <w:jc w:val="left"/>
              <w:rPr/>
            </w:pPr>
            <w:hyperlink w:anchor="i4">
              <w:r>
                <w:rPr>
                  <w:rStyle w:val="InternetLink"/>
                  <w:rFonts w:ascii="Times New Roman;Times;serif" w:hAnsi="Times New Roman;Times;serif"/>
                  <w:sz w:val="20"/>
                </w:rPr>
                <w:t>Mine Safety Disclosure</w:t>
              </w:r>
            </w:hyperlink>
          </w:p>
        </w:tc>
        <w:tc>
          <w:tcPr>
            <w:tcW w:w="441" w:type="dxa"/>
            <w:tcBorders/>
            <w:vAlign w:val="center"/>
          </w:tcPr>
          <w:p>
            <w:pPr>
              <w:pStyle w:val="TableContents"/>
              <w:bidi w:val="0"/>
              <w:spacing w:before="0" w:after="283"/>
              <w:jc w:val="center"/>
              <w:rPr/>
            </w:pPr>
            <w:hyperlink w:anchor="i4">
              <w:r>
                <w:rPr>
                  <w:rStyle w:val="InternetLink"/>
                </w:rPr>
                <w:t>23</w:t>
              </w:r>
            </w:hyperlink>
          </w:p>
        </w:tc>
      </w:tr>
      <w:tr>
        <w:trPr/>
        <w:tc>
          <w:tcPr>
            <w:tcW w:w="9764" w:type="dxa"/>
            <w:gridSpan w:val="2"/>
            <w:tcBorders/>
            <w:vAlign w:val="center"/>
          </w:tcPr>
          <w:p>
            <w:pPr>
              <w:pStyle w:val="TableContents"/>
              <w:bidi w:val="0"/>
              <w:spacing w:before="0" w:after="0"/>
              <w:ind w:left="0" w:right="0" w:hanging="0"/>
              <w:jc w:val="center"/>
              <w:rPr/>
            </w:pPr>
            <w:hyperlink w:anchor="p2">
              <w:r>
                <w:rPr>
                  <w:rStyle w:val="InternetLink"/>
                  <w:rFonts w:ascii="Times New Roman;Times;serif" w:hAnsi="Times New Roman;Times;serif"/>
                  <w:b/>
                  <w:sz w:val="20"/>
                </w:rPr>
                <w:t xml:space="preserve">Part II </w:t>
              </w:r>
            </w:hyperlink>
          </w:p>
        </w:tc>
        <w:tc>
          <w:tcPr>
            <w:tcW w:w="441" w:type="dxa"/>
            <w:tcBorders/>
            <w:vAlign w:val="center"/>
          </w:tcPr>
          <w:p>
            <w:pPr>
              <w:pStyle w:val="TableContents"/>
              <w:bidi w:val="0"/>
              <w:spacing w:before="0" w:after="283"/>
              <w:jc w:val="right"/>
              <w:rPr/>
            </w:pPr>
            <w:r>
              <w:rPr/>
              <w:t> </w:t>
            </w:r>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5.</w:t>
            </w:r>
          </w:p>
        </w:tc>
        <w:tc>
          <w:tcPr>
            <w:tcW w:w="8922" w:type="dxa"/>
            <w:tcBorders/>
            <w:vAlign w:val="center"/>
          </w:tcPr>
          <w:p>
            <w:pPr>
              <w:pStyle w:val="TableContents"/>
              <w:bidi w:val="0"/>
              <w:spacing w:before="0" w:after="0"/>
              <w:ind w:left="0" w:right="0" w:hanging="0"/>
              <w:jc w:val="left"/>
              <w:rPr/>
            </w:pPr>
            <w:hyperlink w:anchor="i5">
              <w:r>
                <w:rPr>
                  <w:rStyle w:val="InternetLink"/>
                  <w:rFonts w:ascii="Times New Roman;Times;serif" w:hAnsi="Times New Roman;Times;serif"/>
                  <w:sz w:val="20"/>
                </w:rPr>
                <w:t>Market for Registrant’s Common Equity, Related Stockholder Matters and Issuer Purchases of Equity Securities</w:t>
              </w:r>
            </w:hyperlink>
          </w:p>
        </w:tc>
        <w:tc>
          <w:tcPr>
            <w:tcW w:w="441" w:type="dxa"/>
            <w:tcBorders/>
            <w:vAlign w:val="center"/>
          </w:tcPr>
          <w:p>
            <w:pPr>
              <w:pStyle w:val="TableContents"/>
              <w:bidi w:val="0"/>
              <w:spacing w:before="0" w:after="283"/>
              <w:jc w:val="center"/>
              <w:rPr/>
            </w:pPr>
            <w:hyperlink w:anchor="i5">
              <w:r>
                <w:rPr>
                  <w:rStyle w:val="InternetLink"/>
                </w:rPr>
                <w:t>23</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6.</w:t>
            </w:r>
          </w:p>
        </w:tc>
        <w:tc>
          <w:tcPr>
            <w:tcW w:w="8922" w:type="dxa"/>
            <w:tcBorders/>
            <w:vAlign w:val="center"/>
          </w:tcPr>
          <w:p>
            <w:pPr>
              <w:pStyle w:val="TableContents"/>
              <w:bidi w:val="0"/>
              <w:spacing w:before="0" w:after="0"/>
              <w:ind w:left="0" w:right="0" w:hanging="0"/>
              <w:jc w:val="left"/>
              <w:rPr/>
            </w:pPr>
            <w:hyperlink w:anchor="i6">
              <w:r>
                <w:rPr>
                  <w:rStyle w:val="InternetLink"/>
                  <w:rFonts w:ascii="Times New Roman;Times;serif" w:hAnsi="Times New Roman;Times;serif"/>
                  <w:sz w:val="20"/>
                </w:rPr>
                <w:t>[Reserved]</w:t>
              </w:r>
            </w:hyperlink>
          </w:p>
        </w:tc>
        <w:tc>
          <w:tcPr>
            <w:tcW w:w="441" w:type="dxa"/>
            <w:tcBorders/>
            <w:vAlign w:val="center"/>
          </w:tcPr>
          <w:p>
            <w:pPr>
              <w:pStyle w:val="TableContents"/>
              <w:bidi w:val="0"/>
              <w:spacing w:before="0" w:after="283"/>
              <w:jc w:val="center"/>
              <w:rPr/>
            </w:pPr>
            <w:hyperlink w:anchor="i6">
              <w:r>
                <w:rPr>
                  <w:rStyle w:val="InternetLink"/>
                </w:rPr>
                <w:t>24</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7.</w:t>
            </w:r>
          </w:p>
        </w:tc>
        <w:tc>
          <w:tcPr>
            <w:tcW w:w="8922" w:type="dxa"/>
            <w:tcBorders/>
            <w:vAlign w:val="center"/>
          </w:tcPr>
          <w:p>
            <w:pPr>
              <w:pStyle w:val="TableContents"/>
              <w:bidi w:val="0"/>
              <w:spacing w:before="0" w:after="0"/>
              <w:ind w:left="0" w:right="0" w:hanging="0"/>
              <w:jc w:val="left"/>
              <w:rPr/>
            </w:pPr>
            <w:hyperlink w:anchor="i7">
              <w:r>
                <w:rPr>
                  <w:rStyle w:val="InternetLink"/>
                  <w:rFonts w:ascii="Times New Roman;Times;serif" w:hAnsi="Times New Roman;Times;serif"/>
                  <w:sz w:val="20"/>
                </w:rPr>
                <w:t>Management’s Discussion and Analysis of Financial Condition and Results of Operations</w:t>
              </w:r>
            </w:hyperlink>
          </w:p>
        </w:tc>
        <w:tc>
          <w:tcPr>
            <w:tcW w:w="441" w:type="dxa"/>
            <w:tcBorders/>
            <w:vAlign w:val="center"/>
          </w:tcPr>
          <w:p>
            <w:pPr>
              <w:pStyle w:val="TableContents"/>
              <w:bidi w:val="0"/>
              <w:spacing w:before="0" w:after="283"/>
              <w:jc w:val="center"/>
              <w:rPr/>
            </w:pPr>
            <w:hyperlink w:anchor="i7">
              <w:r>
                <w:rPr>
                  <w:rStyle w:val="InternetLink"/>
                </w:rPr>
                <w:t>25</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7A.</w:t>
            </w:r>
          </w:p>
        </w:tc>
        <w:tc>
          <w:tcPr>
            <w:tcW w:w="8922" w:type="dxa"/>
            <w:tcBorders/>
            <w:vAlign w:val="center"/>
          </w:tcPr>
          <w:p>
            <w:pPr>
              <w:pStyle w:val="TableContents"/>
              <w:bidi w:val="0"/>
              <w:spacing w:before="0" w:after="0"/>
              <w:ind w:left="0" w:right="0" w:hanging="0"/>
              <w:jc w:val="left"/>
              <w:rPr/>
            </w:pPr>
            <w:hyperlink w:anchor="i7a">
              <w:r>
                <w:rPr>
                  <w:rStyle w:val="InternetLink"/>
                  <w:rFonts w:ascii="Times New Roman;Times;serif" w:hAnsi="Times New Roman;Times;serif"/>
                  <w:sz w:val="20"/>
                </w:rPr>
                <w:t>Quantitative and Qualitative Disclosures About Market Risk</w:t>
              </w:r>
            </w:hyperlink>
          </w:p>
        </w:tc>
        <w:tc>
          <w:tcPr>
            <w:tcW w:w="441" w:type="dxa"/>
            <w:tcBorders/>
            <w:vAlign w:val="center"/>
          </w:tcPr>
          <w:p>
            <w:pPr>
              <w:pStyle w:val="TableContents"/>
              <w:bidi w:val="0"/>
              <w:spacing w:before="0" w:after="283"/>
              <w:jc w:val="center"/>
              <w:rPr/>
            </w:pPr>
            <w:hyperlink w:anchor="i7a">
              <w:r>
                <w:rPr>
                  <w:rStyle w:val="InternetLink"/>
                </w:rPr>
                <w:t>35</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8.</w:t>
            </w:r>
          </w:p>
        </w:tc>
        <w:tc>
          <w:tcPr>
            <w:tcW w:w="8922" w:type="dxa"/>
            <w:tcBorders/>
            <w:vAlign w:val="center"/>
          </w:tcPr>
          <w:p>
            <w:pPr>
              <w:pStyle w:val="TableContents"/>
              <w:bidi w:val="0"/>
              <w:spacing w:before="0" w:after="0"/>
              <w:ind w:left="0" w:right="0" w:hanging="0"/>
              <w:jc w:val="left"/>
              <w:rPr/>
            </w:pPr>
            <w:hyperlink w:anchor="i8">
              <w:r>
                <w:rPr>
                  <w:rStyle w:val="InternetLink"/>
                  <w:rFonts w:ascii="Times New Roman;Times;serif" w:hAnsi="Times New Roman;Times;serif"/>
                  <w:sz w:val="20"/>
                </w:rPr>
                <w:t>Financial Statements and Supplementary Data</w:t>
              </w:r>
            </w:hyperlink>
          </w:p>
        </w:tc>
        <w:tc>
          <w:tcPr>
            <w:tcW w:w="441" w:type="dxa"/>
            <w:tcBorders/>
            <w:vAlign w:val="center"/>
          </w:tcPr>
          <w:p>
            <w:pPr>
              <w:pStyle w:val="TableContents"/>
              <w:bidi w:val="0"/>
              <w:spacing w:before="0" w:after="283"/>
              <w:jc w:val="center"/>
              <w:rPr/>
            </w:pPr>
            <w:hyperlink w:anchor="i8">
              <w:r>
                <w:rPr>
                  <w:rStyle w:val="InternetLink"/>
                </w:rPr>
                <w:t>35</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9.</w:t>
            </w:r>
          </w:p>
        </w:tc>
        <w:tc>
          <w:tcPr>
            <w:tcW w:w="8922" w:type="dxa"/>
            <w:tcBorders/>
            <w:vAlign w:val="center"/>
          </w:tcPr>
          <w:p>
            <w:pPr>
              <w:pStyle w:val="TableContents"/>
              <w:bidi w:val="0"/>
              <w:spacing w:before="0" w:after="0"/>
              <w:ind w:left="0" w:right="0" w:hanging="0"/>
              <w:jc w:val="left"/>
              <w:rPr/>
            </w:pPr>
            <w:hyperlink w:anchor="i9">
              <w:r>
                <w:rPr>
                  <w:rStyle w:val="InternetLink"/>
                  <w:rFonts w:ascii="Times New Roman;Times;serif" w:hAnsi="Times New Roman;Times;serif"/>
                  <w:sz w:val="20"/>
                </w:rPr>
                <w:t>Changes in and Disagreements with Accountants on Accounting and Financial Disclosure</w:t>
              </w:r>
            </w:hyperlink>
          </w:p>
        </w:tc>
        <w:tc>
          <w:tcPr>
            <w:tcW w:w="441" w:type="dxa"/>
            <w:tcBorders/>
            <w:vAlign w:val="center"/>
          </w:tcPr>
          <w:p>
            <w:pPr>
              <w:pStyle w:val="TableContents"/>
              <w:bidi w:val="0"/>
              <w:spacing w:before="0" w:after="283"/>
              <w:jc w:val="center"/>
              <w:rPr/>
            </w:pPr>
            <w:hyperlink w:anchor="i9">
              <w:r>
                <w:rPr>
                  <w:rStyle w:val="InternetLink"/>
                </w:rPr>
                <w:t>35</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9A.</w:t>
            </w:r>
          </w:p>
        </w:tc>
        <w:tc>
          <w:tcPr>
            <w:tcW w:w="8922" w:type="dxa"/>
            <w:tcBorders/>
            <w:vAlign w:val="center"/>
          </w:tcPr>
          <w:p>
            <w:pPr>
              <w:pStyle w:val="TableContents"/>
              <w:bidi w:val="0"/>
              <w:spacing w:before="0" w:after="0"/>
              <w:ind w:left="0" w:right="0" w:hanging="0"/>
              <w:jc w:val="left"/>
              <w:rPr/>
            </w:pPr>
            <w:hyperlink w:anchor="i9a">
              <w:r>
                <w:rPr>
                  <w:rStyle w:val="InternetLink"/>
                  <w:rFonts w:ascii="Times New Roman;Times;serif" w:hAnsi="Times New Roman;Times;serif"/>
                  <w:sz w:val="20"/>
                </w:rPr>
                <w:t>Controls and Procedures</w:t>
              </w:r>
            </w:hyperlink>
          </w:p>
        </w:tc>
        <w:tc>
          <w:tcPr>
            <w:tcW w:w="441" w:type="dxa"/>
            <w:tcBorders/>
            <w:vAlign w:val="center"/>
          </w:tcPr>
          <w:p>
            <w:pPr>
              <w:pStyle w:val="TableContents"/>
              <w:bidi w:val="0"/>
              <w:spacing w:before="0" w:after="283"/>
              <w:jc w:val="center"/>
              <w:rPr/>
            </w:pPr>
            <w:hyperlink w:anchor="i9a">
              <w:r>
                <w:rPr>
                  <w:rStyle w:val="InternetLink"/>
                </w:rPr>
                <w:t>36</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9B.</w:t>
            </w:r>
          </w:p>
        </w:tc>
        <w:tc>
          <w:tcPr>
            <w:tcW w:w="8922" w:type="dxa"/>
            <w:tcBorders/>
            <w:vAlign w:val="center"/>
          </w:tcPr>
          <w:p>
            <w:pPr>
              <w:pStyle w:val="TableContents"/>
              <w:bidi w:val="0"/>
              <w:spacing w:before="0" w:after="0"/>
              <w:ind w:left="0" w:right="0" w:hanging="0"/>
              <w:jc w:val="left"/>
              <w:rPr/>
            </w:pPr>
            <w:hyperlink w:anchor="i9b">
              <w:r>
                <w:rPr>
                  <w:rStyle w:val="InternetLink"/>
                  <w:rFonts w:ascii="Times New Roman;Times;serif" w:hAnsi="Times New Roman;Times;serif"/>
                  <w:sz w:val="20"/>
                </w:rPr>
                <w:t>Other Information</w:t>
              </w:r>
            </w:hyperlink>
          </w:p>
        </w:tc>
        <w:tc>
          <w:tcPr>
            <w:tcW w:w="441" w:type="dxa"/>
            <w:tcBorders/>
            <w:vAlign w:val="center"/>
          </w:tcPr>
          <w:p>
            <w:pPr>
              <w:pStyle w:val="TableContents"/>
              <w:bidi w:val="0"/>
              <w:spacing w:before="0" w:after="283"/>
              <w:jc w:val="center"/>
              <w:rPr/>
            </w:pPr>
            <w:hyperlink w:anchor="i9b">
              <w:r>
                <w:rPr>
                  <w:rStyle w:val="InternetLink"/>
                </w:rPr>
                <w:t>38</w:t>
              </w:r>
            </w:hyperlink>
          </w:p>
        </w:tc>
      </w:tr>
      <w:tr>
        <w:trPr/>
        <w:tc>
          <w:tcPr>
            <w:tcW w:w="842" w:type="dxa"/>
            <w:tcBorders/>
            <w:vAlign w:val="center"/>
          </w:tcPr>
          <w:p>
            <w:pPr>
              <w:pStyle w:val="TableContents"/>
              <w:bidi w:val="0"/>
              <w:spacing w:before="0" w:after="283"/>
              <w:jc w:val="left"/>
              <w:rPr/>
            </w:pPr>
            <w:r>
              <w:rPr/>
              <w:t>Item 9C.</w:t>
            </w:r>
          </w:p>
        </w:tc>
        <w:tc>
          <w:tcPr>
            <w:tcW w:w="8922" w:type="dxa"/>
            <w:tcBorders/>
            <w:vAlign w:val="center"/>
          </w:tcPr>
          <w:p>
            <w:pPr>
              <w:pStyle w:val="TableContents"/>
              <w:bidi w:val="0"/>
              <w:spacing w:before="0" w:after="283"/>
              <w:jc w:val="left"/>
              <w:rPr/>
            </w:pPr>
            <w:hyperlink w:anchor="i9c">
              <w:r>
                <w:rPr>
                  <w:rStyle w:val="InternetLink"/>
                </w:rPr>
                <w:t>Disclosure Regarding Foreign Jurisdictions that Prevent Inspections</w:t>
              </w:r>
            </w:hyperlink>
          </w:p>
        </w:tc>
        <w:tc>
          <w:tcPr>
            <w:tcW w:w="441" w:type="dxa"/>
            <w:tcBorders/>
            <w:vAlign w:val="center"/>
          </w:tcPr>
          <w:p>
            <w:pPr>
              <w:pStyle w:val="TableContents"/>
              <w:bidi w:val="0"/>
              <w:spacing w:before="0" w:after="283"/>
              <w:jc w:val="center"/>
              <w:rPr/>
            </w:pPr>
            <w:hyperlink w:anchor="i9c">
              <w:r>
                <w:rPr>
                  <w:rStyle w:val="InternetLink"/>
                </w:rPr>
                <w:t>38</w:t>
              </w:r>
            </w:hyperlink>
          </w:p>
        </w:tc>
      </w:tr>
      <w:tr>
        <w:trPr/>
        <w:tc>
          <w:tcPr>
            <w:tcW w:w="9764" w:type="dxa"/>
            <w:gridSpan w:val="2"/>
            <w:tcBorders/>
            <w:vAlign w:val="center"/>
          </w:tcPr>
          <w:p>
            <w:pPr>
              <w:pStyle w:val="TableContents"/>
              <w:bidi w:val="0"/>
              <w:spacing w:before="0" w:after="0"/>
              <w:ind w:left="0" w:right="0" w:hanging="0"/>
              <w:jc w:val="center"/>
              <w:rPr/>
            </w:pPr>
            <w:hyperlink w:anchor="p3">
              <w:r>
                <w:rPr>
                  <w:rStyle w:val="InternetLink"/>
                  <w:rFonts w:ascii="Times New Roman;Times;serif" w:hAnsi="Times New Roman;Times;serif"/>
                  <w:b/>
                  <w:sz w:val="20"/>
                </w:rPr>
                <w:t xml:space="preserve">Part III </w:t>
              </w:r>
            </w:hyperlink>
          </w:p>
        </w:tc>
        <w:tc>
          <w:tcPr>
            <w:tcW w:w="441" w:type="dxa"/>
            <w:tcBorders/>
            <w:vAlign w:val="center"/>
          </w:tcPr>
          <w:p>
            <w:pPr>
              <w:pStyle w:val="TableContents"/>
              <w:bidi w:val="0"/>
              <w:spacing w:before="0" w:after="283"/>
              <w:jc w:val="right"/>
              <w:rPr/>
            </w:pPr>
            <w:r>
              <w:rPr/>
              <w:t> </w:t>
            </w:r>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10.</w:t>
            </w:r>
          </w:p>
        </w:tc>
        <w:tc>
          <w:tcPr>
            <w:tcW w:w="8922" w:type="dxa"/>
            <w:tcBorders/>
            <w:vAlign w:val="center"/>
          </w:tcPr>
          <w:p>
            <w:pPr>
              <w:pStyle w:val="TableContents"/>
              <w:bidi w:val="0"/>
              <w:spacing w:before="0" w:after="0"/>
              <w:ind w:left="0" w:right="0" w:hanging="0"/>
              <w:jc w:val="left"/>
              <w:rPr/>
            </w:pPr>
            <w:hyperlink w:anchor="i10">
              <w:r>
                <w:rPr>
                  <w:rStyle w:val="InternetLink"/>
                  <w:rFonts w:ascii="Times New Roman;Times;serif" w:hAnsi="Times New Roman;Times;serif"/>
                  <w:sz w:val="20"/>
                </w:rPr>
                <w:t>Directors, Executive Officers and Corporate Governance</w:t>
              </w:r>
            </w:hyperlink>
          </w:p>
        </w:tc>
        <w:tc>
          <w:tcPr>
            <w:tcW w:w="441" w:type="dxa"/>
            <w:tcBorders/>
            <w:vAlign w:val="center"/>
          </w:tcPr>
          <w:p>
            <w:pPr>
              <w:pStyle w:val="TableContents"/>
              <w:bidi w:val="0"/>
              <w:spacing w:before="0" w:after="283"/>
              <w:jc w:val="center"/>
              <w:rPr/>
            </w:pPr>
            <w:hyperlink w:anchor="i10">
              <w:r>
                <w:rPr>
                  <w:rStyle w:val="InternetLink"/>
                </w:rPr>
                <w:t>38</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11.</w:t>
            </w:r>
          </w:p>
        </w:tc>
        <w:tc>
          <w:tcPr>
            <w:tcW w:w="8922" w:type="dxa"/>
            <w:tcBorders/>
            <w:vAlign w:val="center"/>
          </w:tcPr>
          <w:p>
            <w:pPr>
              <w:pStyle w:val="TableContents"/>
              <w:bidi w:val="0"/>
              <w:spacing w:before="0" w:after="0"/>
              <w:ind w:left="0" w:right="0" w:hanging="0"/>
              <w:jc w:val="left"/>
              <w:rPr/>
            </w:pPr>
            <w:hyperlink w:anchor="i11">
              <w:r>
                <w:rPr>
                  <w:rStyle w:val="InternetLink"/>
                  <w:rFonts w:ascii="Times New Roman;Times;serif" w:hAnsi="Times New Roman;Times;serif"/>
                  <w:sz w:val="20"/>
                </w:rPr>
                <w:t>Executive Compensation</w:t>
              </w:r>
            </w:hyperlink>
          </w:p>
        </w:tc>
        <w:tc>
          <w:tcPr>
            <w:tcW w:w="441" w:type="dxa"/>
            <w:tcBorders/>
            <w:vAlign w:val="center"/>
          </w:tcPr>
          <w:p>
            <w:pPr>
              <w:pStyle w:val="TableContents"/>
              <w:bidi w:val="0"/>
              <w:spacing w:before="0" w:after="283"/>
              <w:jc w:val="center"/>
              <w:rPr/>
            </w:pPr>
            <w:hyperlink w:anchor="i11">
              <w:r>
                <w:rPr>
                  <w:rStyle w:val="InternetLink"/>
                </w:rPr>
                <w:t>39</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12.</w:t>
            </w:r>
          </w:p>
        </w:tc>
        <w:tc>
          <w:tcPr>
            <w:tcW w:w="8922" w:type="dxa"/>
            <w:tcBorders/>
            <w:vAlign w:val="center"/>
          </w:tcPr>
          <w:p>
            <w:pPr>
              <w:pStyle w:val="TableContents"/>
              <w:bidi w:val="0"/>
              <w:spacing w:before="0" w:after="0"/>
              <w:ind w:left="0" w:right="0" w:hanging="0"/>
              <w:jc w:val="left"/>
              <w:rPr/>
            </w:pPr>
            <w:hyperlink w:anchor="i12">
              <w:r>
                <w:rPr>
                  <w:rStyle w:val="InternetLink"/>
                  <w:rFonts w:ascii="Times New Roman;Times;serif" w:hAnsi="Times New Roman;Times;serif"/>
                  <w:sz w:val="20"/>
                </w:rPr>
                <w:t>Security Ownership of Certain Beneficial Owners and Management and Related Stockholder Matters</w:t>
              </w:r>
            </w:hyperlink>
          </w:p>
        </w:tc>
        <w:tc>
          <w:tcPr>
            <w:tcW w:w="441" w:type="dxa"/>
            <w:tcBorders/>
            <w:vAlign w:val="center"/>
          </w:tcPr>
          <w:p>
            <w:pPr>
              <w:pStyle w:val="TableContents"/>
              <w:bidi w:val="0"/>
              <w:spacing w:before="0" w:after="283"/>
              <w:jc w:val="center"/>
              <w:rPr/>
            </w:pPr>
            <w:hyperlink w:anchor="i12">
              <w:r>
                <w:rPr>
                  <w:rStyle w:val="InternetLink"/>
                </w:rPr>
                <w:t>39</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13.</w:t>
            </w:r>
          </w:p>
        </w:tc>
        <w:tc>
          <w:tcPr>
            <w:tcW w:w="8922" w:type="dxa"/>
            <w:tcBorders/>
            <w:vAlign w:val="center"/>
          </w:tcPr>
          <w:p>
            <w:pPr>
              <w:pStyle w:val="TableContents"/>
              <w:bidi w:val="0"/>
              <w:spacing w:before="0" w:after="0"/>
              <w:ind w:left="0" w:right="0" w:hanging="0"/>
              <w:jc w:val="left"/>
              <w:rPr/>
            </w:pPr>
            <w:hyperlink w:anchor="i13">
              <w:r>
                <w:rPr>
                  <w:rStyle w:val="InternetLink"/>
                  <w:rFonts w:ascii="Times New Roman;Times;serif" w:hAnsi="Times New Roman;Times;serif"/>
                  <w:sz w:val="20"/>
                </w:rPr>
                <w:t>Certain Relationships and Related Transactions and Director Independence</w:t>
              </w:r>
            </w:hyperlink>
          </w:p>
        </w:tc>
        <w:tc>
          <w:tcPr>
            <w:tcW w:w="441" w:type="dxa"/>
            <w:tcBorders/>
            <w:vAlign w:val="center"/>
          </w:tcPr>
          <w:p>
            <w:pPr>
              <w:pStyle w:val="TableContents"/>
              <w:bidi w:val="0"/>
              <w:spacing w:before="0" w:after="283"/>
              <w:jc w:val="center"/>
              <w:rPr/>
            </w:pPr>
            <w:hyperlink w:anchor="i13">
              <w:r>
                <w:rPr>
                  <w:rStyle w:val="InternetLink"/>
                </w:rPr>
                <w:t>39</w:t>
              </w:r>
            </w:hyperlink>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14.</w:t>
            </w:r>
          </w:p>
        </w:tc>
        <w:tc>
          <w:tcPr>
            <w:tcW w:w="8922" w:type="dxa"/>
            <w:tcBorders/>
            <w:vAlign w:val="center"/>
          </w:tcPr>
          <w:p>
            <w:pPr>
              <w:pStyle w:val="TableContents"/>
              <w:bidi w:val="0"/>
              <w:spacing w:before="0" w:after="0"/>
              <w:ind w:left="0" w:right="0" w:hanging="0"/>
              <w:jc w:val="left"/>
              <w:rPr/>
            </w:pPr>
            <w:hyperlink w:anchor="i14">
              <w:r>
                <w:rPr>
                  <w:rStyle w:val="InternetLink"/>
                  <w:rFonts w:ascii="Times New Roman;Times;serif" w:hAnsi="Times New Roman;Times;serif"/>
                  <w:sz w:val="20"/>
                </w:rPr>
                <w:t>Principal Accountant Fees and Services</w:t>
              </w:r>
            </w:hyperlink>
          </w:p>
        </w:tc>
        <w:tc>
          <w:tcPr>
            <w:tcW w:w="441" w:type="dxa"/>
            <w:tcBorders/>
            <w:vAlign w:val="center"/>
          </w:tcPr>
          <w:p>
            <w:pPr>
              <w:pStyle w:val="TableContents"/>
              <w:bidi w:val="0"/>
              <w:spacing w:before="0" w:after="283"/>
              <w:jc w:val="center"/>
              <w:rPr/>
            </w:pPr>
            <w:hyperlink w:anchor="i14">
              <w:r>
                <w:rPr>
                  <w:rStyle w:val="InternetLink"/>
                </w:rPr>
                <w:t>39</w:t>
              </w:r>
            </w:hyperlink>
          </w:p>
        </w:tc>
      </w:tr>
      <w:tr>
        <w:trPr/>
        <w:tc>
          <w:tcPr>
            <w:tcW w:w="9764" w:type="dxa"/>
            <w:gridSpan w:val="2"/>
            <w:tcBorders/>
            <w:vAlign w:val="center"/>
          </w:tcPr>
          <w:p>
            <w:pPr>
              <w:pStyle w:val="TableContents"/>
              <w:bidi w:val="0"/>
              <w:spacing w:before="0" w:after="0"/>
              <w:ind w:left="0" w:right="0" w:hanging="0"/>
              <w:jc w:val="center"/>
              <w:rPr/>
            </w:pPr>
            <w:hyperlink w:anchor="p4">
              <w:r>
                <w:rPr>
                  <w:rStyle w:val="InternetLink"/>
                  <w:rFonts w:ascii="Times New Roman;Times;serif" w:hAnsi="Times New Roman;Times;serif"/>
                  <w:b/>
                  <w:sz w:val="20"/>
                </w:rPr>
                <w:t xml:space="preserve">Part IV </w:t>
              </w:r>
            </w:hyperlink>
          </w:p>
        </w:tc>
        <w:tc>
          <w:tcPr>
            <w:tcW w:w="441" w:type="dxa"/>
            <w:tcBorders/>
            <w:vAlign w:val="center"/>
          </w:tcPr>
          <w:p>
            <w:pPr>
              <w:pStyle w:val="TableContents"/>
              <w:bidi w:val="0"/>
              <w:spacing w:before="0" w:after="283"/>
              <w:jc w:val="right"/>
              <w:rPr/>
            </w:pPr>
            <w:r>
              <w:rPr/>
              <w:t> </w:t>
            </w:r>
          </w:p>
        </w:tc>
      </w:tr>
      <w:tr>
        <w:trPr/>
        <w:tc>
          <w:tcPr>
            <w:tcW w:w="8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Item 15.</w:t>
            </w:r>
          </w:p>
        </w:tc>
        <w:tc>
          <w:tcPr>
            <w:tcW w:w="8922" w:type="dxa"/>
            <w:tcBorders/>
            <w:vAlign w:val="center"/>
          </w:tcPr>
          <w:p>
            <w:pPr>
              <w:pStyle w:val="TableContents"/>
              <w:bidi w:val="0"/>
              <w:spacing w:before="0" w:after="0"/>
              <w:ind w:left="0" w:right="0" w:hanging="0"/>
              <w:jc w:val="left"/>
              <w:rPr/>
            </w:pPr>
            <w:hyperlink w:anchor="i15">
              <w:r>
                <w:rPr>
                  <w:rStyle w:val="InternetLink"/>
                  <w:rFonts w:ascii="Times New Roman;Times;serif" w:hAnsi="Times New Roman;Times;serif"/>
                  <w:sz w:val="20"/>
                </w:rPr>
                <w:t>Exhibits and Financial Statement Schedules</w:t>
              </w:r>
            </w:hyperlink>
          </w:p>
        </w:tc>
        <w:tc>
          <w:tcPr>
            <w:tcW w:w="441" w:type="dxa"/>
            <w:tcBorders/>
            <w:vAlign w:val="center"/>
          </w:tcPr>
          <w:p>
            <w:pPr>
              <w:pStyle w:val="TableContents"/>
              <w:bidi w:val="0"/>
              <w:spacing w:before="0" w:after="283"/>
              <w:jc w:val="center"/>
              <w:rPr/>
            </w:pPr>
            <w:hyperlink w:anchor="i15">
              <w:r>
                <w:rPr>
                  <w:rStyle w:val="InternetLink"/>
                </w:rPr>
                <w:t>40</w:t>
              </w:r>
            </w:hyperlink>
          </w:p>
        </w:tc>
      </w:tr>
      <w:tr>
        <w:trPr/>
        <w:tc>
          <w:tcPr>
            <w:tcW w:w="842" w:type="dxa"/>
            <w:tcBorders/>
            <w:vAlign w:val="center"/>
          </w:tcPr>
          <w:p>
            <w:pPr>
              <w:pStyle w:val="TableContents"/>
              <w:bidi w:val="0"/>
              <w:spacing w:before="0" w:after="283"/>
              <w:jc w:val="left"/>
              <w:rPr/>
            </w:pPr>
            <w:r>
              <w:rPr/>
              <w:t>Item 16.</w:t>
            </w:r>
          </w:p>
        </w:tc>
        <w:tc>
          <w:tcPr>
            <w:tcW w:w="8922" w:type="dxa"/>
            <w:tcBorders/>
            <w:vAlign w:val="center"/>
          </w:tcPr>
          <w:p>
            <w:pPr>
              <w:pStyle w:val="TableContents"/>
              <w:bidi w:val="0"/>
              <w:spacing w:before="0" w:after="283"/>
              <w:jc w:val="left"/>
              <w:rPr/>
            </w:pPr>
            <w:hyperlink w:anchor="item_16">
              <w:r>
                <w:rPr>
                  <w:rStyle w:val="InternetLink"/>
                </w:rPr>
                <w:t>Form 10-K Summary</w:t>
              </w:r>
            </w:hyperlink>
          </w:p>
        </w:tc>
        <w:tc>
          <w:tcPr>
            <w:tcW w:w="441" w:type="dxa"/>
            <w:tcBorders/>
            <w:vAlign w:val="center"/>
          </w:tcPr>
          <w:p>
            <w:pPr>
              <w:pStyle w:val="TableContents"/>
              <w:bidi w:val="0"/>
              <w:spacing w:before="0" w:after="283"/>
              <w:jc w:val="center"/>
              <w:rPr/>
            </w:pPr>
            <w:hyperlink w:anchor="item_16">
              <w:r>
                <w:rPr>
                  <w:rStyle w:val="InternetLink"/>
                </w:rPr>
                <w:t>69</w:t>
              </w:r>
            </w:hyperlink>
          </w:p>
        </w:tc>
      </w:tr>
      <w:tr>
        <w:trPr/>
        <w:tc>
          <w:tcPr>
            <w:tcW w:w="9764" w:type="dxa"/>
            <w:gridSpan w:val="2"/>
            <w:tcBorders/>
            <w:vAlign w:val="center"/>
          </w:tcPr>
          <w:p>
            <w:pPr>
              <w:pStyle w:val="TableContents"/>
              <w:bidi w:val="0"/>
              <w:spacing w:before="0" w:after="283"/>
              <w:jc w:val="left"/>
              <w:rPr/>
            </w:pPr>
            <w:r>
              <w:rPr/>
              <w:t> </w:t>
            </w:r>
          </w:p>
        </w:tc>
        <w:tc>
          <w:tcPr>
            <w:tcW w:w="441" w:type="dxa"/>
            <w:tcBorders/>
            <w:vAlign w:val="center"/>
          </w:tcPr>
          <w:p>
            <w:pPr>
              <w:pStyle w:val="TableContents"/>
              <w:bidi w:val="0"/>
              <w:spacing w:before="0" w:after="283"/>
              <w:jc w:val="right"/>
              <w:rPr/>
            </w:pPr>
            <w:r>
              <w:rPr/>
              <w:t> </w:t>
            </w:r>
          </w:p>
        </w:tc>
      </w:tr>
      <w:tr>
        <w:trPr/>
        <w:tc>
          <w:tcPr>
            <w:tcW w:w="9764" w:type="dxa"/>
            <w:gridSpan w:val="2"/>
            <w:tcBorders/>
            <w:vAlign w:val="center"/>
          </w:tcPr>
          <w:p>
            <w:pPr>
              <w:pStyle w:val="TableContents"/>
              <w:bidi w:val="0"/>
              <w:spacing w:before="0" w:after="0"/>
              <w:ind w:left="0" w:right="0" w:hanging="0"/>
              <w:jc w:val="left"/>
              <w:rPr/>
            </w:pPr>
            <w:hyperlink w:anchor="exhibitindex">
              <w:r>
                <w:rPr>
                  <w:rStyle w:val="InternetLink"/>
                  <w:rFonts w:ascii="Times New Roman;Times;serif" w:hAnsi="Times New Roman;Times;serif"/>
                  <w:sz w:val="20"/>
                </w:rPr>
                <w:t>Exhibit Index</w:t>
              </w:r>
            </w:hyperlink>
          </w:p>
        </w:tc>
        <w:tc>
          <w:tcPr>
            <w:tcW w:w="441" w:type="dxa"/>
            <w:tcBorders/>
            <w:vAlign w:val="center"/>
          </w:tcPr>
          <w:p>
            <w:pPr>
              <w:pStyle w:val="TableContents"/>
              <w:bidi w:val="0"/>
              <w:spacing w:before="0" w:after="283"/>
              <w:jc w:val="center"/>
              <w:rPr/>
            </w:pPr>
            <w:hyperlink w:anchor="exhibitindex">
              <w:r>
                <w:rPr>
                  <w:rStyle w:val="InternetLink"/>
                </w:rPr>
                <w:t>66</w:t>
              </w:r>
            </w:hyperlink>
          </w:p>
        </w:tc>
      </w:tr>
      <w:tr>
        <w:trPr/>
        <w:tc>
          <w:tcPr>
            <w:tcW w:w="9764" w:type="dxa"/>
            <w:gridSpan w:val="2"/>
            <w:tcBorders/>
            <w:vAlign w:val="center"/>
          </w:tcPr>
          <w:p>
            <w:pPr>
              <w:pStyle w:val="TableContents"/>
              <w:bidi w:val="0"/>
              <w:spacing w:before="0" w:after="0"/>
              <w:ind w:left="0" w:right="0" w:hanging="0"/>
              <w:jc w:val="left"/>
              <w:rPr/>
            </w:pPr>
            <w:hyperlink w:anchor="signature">
              <w:r>
                <w:rPr>
                  <w:rStyle w:val="InternetLink"/>
                  <w:rFonts w:ascii="Times New Roman;Times;serif" w:hAnsi="Times New Roman;Times;serif"/>
                  <w:sz w:val="20"/>
                </w:rPr>
                <w:t>Signatures</w:t>
              </w:r>
            </w:hyperlink>
          </w:p>
        </w:tc>
        <w:tc>
          <w:tcPr>
            <w:tcW w:w="441" w:type="dxa"/>
            <w:tcBorders/>
            <w:vAlign w:val="center"/>
          </w:tcPr>
          <w:p>
            <w:pPr>
              <w:pStyle w:val="TableContents"/>
              <w:bidi w:val="0"/>
              <w:spacing w:before="0" w:after="283"/>
              <w:jc w:val="center"/>
              <w:rPr/>
            </w:pPr>
            <w:hyperlink w:anchor="signature">
              <w:r>
                <w:rPr>
                  <w:rStyle w:val="InternetLink"/>
                </w:rPr>
                <w:t>70</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3" w:name="fls"/>
      <w:bookmarkEnd w:id="3"/>
      <w:r>
        <w:rPr>
          <w:rFonts w:ascii="Times New Roman;Times;serif" w:hAnsi="Times New Roman;Times;serif"/>
          <w:b/>
          <w:sz w:val="20"/>
        </w:rPr>
        <w:t xml:space="preserve">FORWARD-LOOKING STATEMENTS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This Annual Report on Form 10-K contains certain statements that are, or may be considered to be, “forward-looking statements” for the purpose of federal securities laws, including, but not limited to, statements that reflect our current views with respect to future events and financial performance. We generally identify these statements by words or phrases such as “may,” “might,” “should,” “expect,” “plan,” “anticipate,” “believe,” “estimate,” “intend,” “predict,” “future,” “potential,” “will,” “could,” “target,” “project,” “contemplate,” or “continue,” the negative or any derivative of these terms and other comparable terminology. These forward-looking statements, which are subject to risks, uncertainties and assumptions about us, may include, among other things, projections or statements regarding:</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283"/>
              <w:jc w:val="left"/>
              <w:rPr/>
            </w:pPr>
            <w:r>
              <w:rPr/>
              <w:t>our future financial performance and the sufficiency of our cash generated from operations and borrowings under our credit facilities;</w:t>
            </w:r>
          </w:p>
        </w:tc>
      </w:tr>
    </w:tbl>
    <w:p>
      <w:pPr>
        <w:pStyle w:val="TextBody"/>
        <w:bidi w:val="0"/>
        <w:spacing w:before="0" w:after="0"/>
        <w:ind w:left="0" w:right="0" w:hanging="0"/>
        <w:jc w:val="both"/>
        <w:rPr/>
      </w:pPr>
      <w:r>
        <w:rPr/>
        <w:t> </w:t>
      </w:r>
    </w:p>
    <w:tbl>
      <w:tblPr>
        <w:tblW w:w="6475" w:type="dxa"/>
        <w:jc w:val="left"/>
        <w:tblInd w:w="0" w:type="dxa"/>
        <w:tblLayout w:type="fixed"/>
        <w:tblCellMar>
          <w:top w:w="0" w:type="dxa"/>
          <w:left w:w="0" w:type="dxa"/>
          <w:bottom w:w="0" w:type="dxa"/>
          <w:right w:w="0" w:type="dxa"/>
        </w:tblCellMar>
      </w:tblPr>
      <w:tblGrid>
        <w:gridCol w:w="60"/>
        <w:gridCol w:w="110"/>
        <w:gridCol w:w="630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63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anticipated operating strategies and future strategic expansion initiatives;</w:t>
            </w:r>
          </w:p>
        </w:tc>
      </w:tr>
    </w:tbl>
    <w:p>
      <w:pPr>
        <w:pStyle w:val="TextBody"/>
        <w:bidi w:val="0"/>
        <w:spacing w:before="0" w:after="0"/>
        <w:ind w:left="0" w:right="0" w:hanging="0"/>
        <w:jc w:val="both"/>
        <w:rPr/>
      </w:pPr>
      <w:r>
        <w:rPr/>
        <w:t> </w:t>
      </w:r>
    </w:p>
    <w:tbl>
      <w:tblPr>
        <w:tblW w:w="2740" w:type="dxa"/>
        <w:jc w:val="left"/>
        <w:tblInd w:w="0" w:type="dxa"/>
        <w:tblLayout w:type="fixed"/>
        <w:tblCellMar>
          <w:top w:w="0" w:type="dxa"/>
          <w:left w:w="0" w:type="dxa"/>
          <w:bottom w:w="0" w:type="dxa"/>
          <w:right w:w="0" w:type="dxa"/>
        </w:tblCellMar>
      </w:tblPr>
      <w:tblGrid>
        <w:gridCol w:w="60"/>
        <w:gridCol w:w="110"/>
        <w:gridCol w:w="257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25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future capital expenditures;</w:t>
            </w:r>
          </w:p>
        </w:tc>
      </w:tr>
    </w:tbl>
    <w:p>
      <w:pPr>
        <w:pStyle w:val="TextBody"/>
        <w:bidi w:val="0"/>
        <w:spacing w:before="0" w:after="0"/>
        <w:ind w:left="0" w:right="0" w:hanging="0"/>
        <w:jc w:val="both"/>
        <w:rPr/>
      </w:pPr>
      <w:r>
        <w:rPr/>
        <w:t> </w:t>
      </w:r>
    </w:p>
    <w:tbl>
      <w:tblPr>
        <w:tblW w:w="5650" w:type="dxa"/>
        <w:jc w:val="left"/>
        <w:tblInd w:w="0" w:type="dxa"/>
        <w:tblLayout w:type="fixed"/>
        <w:tblCellMar>
          <w:top w:w="0" w:type="dxa"/>
          <w:left w:w="0" w:type="dxa"/>
          <w:bottom w:w="0" w:type="dxa"/>
          <w:right w:w="0" w:type="dxa"/>
        </w:tblCellMar>
      </w:tblPr>
      <w:tblGrid>
        <w:gridCol w:w="60"/>
        <w:gridCol w:w="110"/>
        <w:gridCol w:w="5480"/>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54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anticipated rate of store relocations, openings and closures; and</w:t>
            </w:r>
          </w:p>
        </w:tc>
      </w:tr>
    </w:tbl>
    <w:p>
      <w:pPr>
        <w:pStyle w:val="TextBody"/>
        <w:bidi w:val="0"/>
        <w:spacing w:before="0" w:after="0"/>
        <w:ind w:left="0" w:right="0" w:hanging="0"/>
        <w:jc w:val="both"/>
        <w:rPr/>
      </w:pPr>
      <w:r>
        <w:rPr/>
        <w:t> </w:t>
      </w:r>
    </w:p>
    <w:tbl>
      <w:tblPr>
        <w:tblW w:w="5995" w:type="dxa"/>
        <w:jc w:val="left"/>
        <w:tblInd w:w="0" w:type="dxa"/>
        <w:tblLayout w:type="fixed"/>
        <w:tblCellMar>
          <w:top w:w="0" w:type="dxa"/>
          <w:left w:w="0" w:type="dxa"/>
          <w:bottom w:w="0" w:type="dxa"/>
          <w:right w:w="0" w:type="dxa"/>
        </w:tblCellMar>
      </w:tblPr>
      <w:tblGrid>
        <w:gridCol w:w="60"/>
        <w:gridCol w:w="110"/>
        <w:gridCol w:w="582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58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anticipated costs related to store relocations, openings and closures.</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These statements are only predictions based on our current expectations and projections about future events. Because these forward-looking statements involve risks and uncertainties, there are important factors that could cause our actual results, level of activity, performance or achievements to differ materially from the results, level of activity, performance or achievements expressed or implied by these forward-looking statements, including those factors discussed under the caption entitled “Risk Factors” as well as other places in this Annual Report on Form 10-K.</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operate in a competitive and rapidly changing environment. New risk factors emerge from time to time and it is not possible for management to predict all the risk factors, nor can it assess the impact of all the risk factors on our business or the extent to which any factor, or combination of factors, may cause actual results to differ materially from those contained in any forward-looking statements. Given these risks and uncertainties, you should not place undue reliance on forward-looking statements, which speak only as of the date of this Annual Report on Form 10-K, as a prediction of actual results and may not contain all of the material factors that are important to you.</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b/>
          <w:sz w:val="20"/>
        </w:rPr>
      </w:pPr>
      <w:r>
        <w:rPr>
          <w:rFonts w:ascii="Times New Roman;Times;serif" w:hAnsi="Times New Roman;Times;serif"/>
          <w:b/>
          <w:sz w:val="20"/>
        </w:rPr>
        <w:t xml:space="preserve">You should read this Annual Report on Form 10-K completely and with the understanding that our actual results may be materially different from what we expect. Except as required by law, we undertake no duty to update these forward-looking statements, even though our situation may change in the future. We qualify all of our forward-looking statements by these cautionary statements. </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Unless the context otherwise requires, references in this Annual Report on Form 10-K to the “Company,” “we,” “us,” and “our” refer to Build-A-Bear Workshop, Inc. and, where appropriate, its subsidiaries.</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discussion contains references to fiscal 2023 and fiscal 2022, which represent our fiscal years ending February 3, 2024 and January 28, 2023, respectively.</w:t>
      </w:r>
    </w:p>
    <w:p>
      <w:pPr>
        <w:pStyle w:val="TextBody"/>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4" w:name="p1"/>
      <w:bookmarkEnd w:id="4"/>
      <w:r>
        <w:rPr>
          <w:rFonts w:ascii="Times New Roman;Times;serif" w:hAnsi="Times New Roman;Times;serif"/>
          <w:b/>
          <w:sz w:val="20"/>
        </w:rPr>
        <w:t>PART I</w:t>
      </w:r>
    </w:p>
    <w:p>
      <w:pPr>
        <w:pStyle w:val="TextBody"/>
        <w:bidi w:val="0"/>
        <w:spacing w:before="0" w:after="0"/>
        <w:ind w:left="0" w:right="0" w:hanging="0"/>
        <w:jc w:val="left"/>
        <w:rPr/>
      </w:pPr>
      <w:r>
        <w:rPr/>
        <w:t> </w:t>
      </w:r>
    </w:p>
    <w:tbl>
      <w:tblPr>
        <w:tblW w:w="1825" w:type="dxa"/>
        <w:jc w:val="left"/>
        <w:tblInd w:w="0" w:type="dxa"/>
        <w:tblLayout w:type="fixed"/>
        <w:tblCellMar>
          <w:top w:w="0" w:type="dxa"/>
          <w:left w:w="0" w:type="dxa"/>
          <w:bottom w:w="0" w:type="dxa"/>
          <w:right w:w="0" w:type="dxa"/>
        </w:tblCellMar>
      </w:tblPr>
      <w:tblGrid>
        <w:gridCol w:w="875"/>
        <w:gridCol w:w="950"/>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5" w:name="i1"/>
            <w:bookmarkEnd w:id="5"/>
            <w:r>
              <w:rPr>
                <w:rFonts w:ascii="Times New Roman;Times;serif" w:hAnsi="Times New Roman;Times;serif"/>
                <w:b/>
                <w:sz w:val="20"/>
              </w:rPr>
              <w:t xml:space="preserve">ITEM 1.   </w:t>
            </w:r>
          </w:p>
        </w:tc>
        <w:tc>
          <w:tcPr>
            <w:tcW w:w="9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Build-A-Bear Workshop, Inc., a Delaware corporation, was formed in 1997 as a mall-based, experiential specialty retailer where children and their families could create their own stuffed animals by participating in the stuffing, fluffing, dressing, accessorizing, and naming of their own teddy bears and other plush toys. We believe the hands-on and interactive nature of our experience locations, our personal service model and engaging digital shopping experiences result in guests forming an emotional connection with our brand. Over the last 26 years, with more than 240 million furry friends sold to guests around the world, Build-A-Bear has become a brand with high consumer awareness, positive affinity, and strong retail influence. We are leveraging this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third-party 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and multi-generational appeal have played a key role in growing our total addressable market beyond children by adding teens and adults with entertainment and sports licensing, collectible and gifting offerings, as well as by introducing new products and adding categories beyond plush.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February 3, 2024, the Company had 525 global locations through a combination of its corporately-managed, partner-operated, and international-franchise models. This reflects 359 corporately-managed locations, including 320 stores in the United States (“U.S.”) and Canada and 39 stores in the United Kingdom (“U.K.”) and Ireland, 92 partner-operated locations operated through our "third-party retail" model in which we sell our products on a wholesale basis to other companies that then, in turn, execute our retail experience, and 74 franchised stores operating internationally, all under the Build-A-Bear Workshop brand. In addition to these stores, we sell products on our company-owned e-commerce sites and third-party marketplace sites, our franchisees sell products through sites that they manage as well as other third-party marketplace sites and other parties sell products on their sites under wholesale agreements. For the 2023 fiscal year, the Company had a net new unit growth of 37 experience locations, comprised of nine corporately managed locations, 22 partner-operated locations, and six international franchise locations.</w:t>
      </w:r>
    </w:p>
    <w:p>
      <w:pPr>
        <w:pStyle w:val="TextBody"/>
        <w:bidi w:val="0"/>
        <w:spacing w:before="0" w:after="0"/>
        <w:ind w:left="0" w:right="0" w:firstLine="54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Segments and Geographic Areas</w:t>
      </w:r>
    </w:p>
    <w:p>
      <w:pPr>
        <w:pStyle w:val="TextBody"/>
        <w:bidi w:val="0"/>
        <w:spacing w:before="0" w:after="0"/>
        <w:ind w:left="0" w:right="144"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business is conducted through three reportable segments consisting of direct-to-consumer (“DTC”), commercial, and international franchising. Our reportable segments are primarily determined by the types of customers they serve and the types of products and services that they offer. Each reportable segment may operate in many geographic areas. Financial information related to our segments and the geographic areas in which we operate is contained in “Item 7. Management’s Discussion and Analysis of Financial Condition and Results of Operations.” See Note 15 — "Segment Information" to the consolidated financial statements for information regarding sales, results of operations and identifiable assets of the Company by business segment and by geographic area.</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Description of Operations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Build-A-Bear Workshop offers interactive entertainment experiences via both physical and digital engagement, targeting a range of consumer segments and purchasing occasions through digitally-driven, diversified omnichannel capabilities. We operate a vertical retail channel with experience locations that feature a unique combination of interactivity and product in which guests can “make their own stuffed animals” by participating in the stuffing, fluffing, dressing, accessorizing and naming of their own teddy bears and other stuffed animals.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an age-gated adult-focused “Bear Cave” and the “HeartBox” gift site. Our retail stores also act as “mini distribution centers” that provide efficient omnichannel support for our digital demand. The primary consumer target for our retail stores is families with children while our e-commerce sites focus on collectors and gift givers that are primarily tweens, teens and adults. We have also extended our business model by leveraging our brand strength and owned intellectual properties through the creation of engaging content for kids and adults while also offering products at wholesale and in non-plush consumer categories via outbound licensing agreements with leading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We seek to provide outstanding guest service and experiences across all channels and touch points including our retail locations, our e-commerce sites, our mobile sites and apps as well as traditional, digital and social media. We believe the hands-on and interactive nature of our experience locations, our personal service model and engaging digital shopping experiences result in guests forming an emotional connection with our brand which has multi-generational appeal that captures today’s zeitgeist including desire for engaging experiences, personalization and “DIY” while being recognized as trusted, giving, and a part of pop culture.</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We believe there are opportunities to extend the reach and size of our diverse consumer segments through expanded products and licensing relationships, evolved experiences, and incremental occasions, partnerships, and marketing activities. We believe we can further develop our business by creating a continuous circle of engagement with expanded programs including outbound branded licensing and entertainment that drives retail performance and leverages our brand equity which may in turn positively impact other channels of distribution.</w:t>
      </w:r>
    </w:p>
    <w:p>
      <w:pPr>
        <w:pStyle w:val="TextBody"/>
        <w:bidi w:val="0"/>
        <w:spacing w:before="0" w:after="0"/>
        <w:ind w:left="0" w:right="0" w:hanging="0"/>
        <w:jc w:val="both"/>
        <w:rPr/>
      </w:pPr>
      <w:r>
        <w:rPr/>
        <w:t> </w:t>
      </w:r>
    </w:p>
    <w:p>
      <w:pPr>
        <w:pStyle w:val="TextBody"/>
        <w:bidi w:val="0"/>
        <w:spacing w:before="0" w:after="0"/>
        <w:ind w:left="0" w:right="0" w:firstLine="540"/>
        <w:jc w:val="left"/>
        <w:rPr>
          <w:rFonts w:ascii="Times New Roman" w:hAnsi="Times New Roman"/>
          <w:b/>
          <w:caps w:val="false"/>
          <w:smallCaps w:val="false"/>
          <w:sz w:val="20"/>
        </w:rPr>
      </w:pPr>
      <w:r>
        <w:rPr>
          <w:rFonts w:ascii="Times New Roman" w:hAnsi="Times New Roman"/>
          <w:b/>
          <w:caps w:val="false"/>
          <w:smallCaps w:val="false"/>
          <w:sz w:val="20"/>
        </w:rPr>
        <w:t>Operating Strategies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believe that the initiatives and investments that were put in place prior to the pandemic, and in many cases, we accelerated during the pandemic, are driving improved results, as we delivered growth in total revenues and profit in fiscal 2023. To continue to drive revenue and profit growth, we remain focused on our strategic priorities, which are centered primarily on three key areas: </w:t>
      </w:r>
    </w:p>
    <w:p>
      <w:pPr>
        <w:pStyle w:val="TextBody"/>
        <w:bidi w:val="0"/>
        <w:spacing w:before="0" w:after="0"/>
        <w:ind w:left="0" w:right="0" w:firstLine="54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shd w:fill="FFFFFF" w:val="clear"/>
              </w:rPr>
              <w:t>The global expansion of our unique experience locations.</w:t>
            </w:r>
            <w:r>
              <w:rPr>
                <w:rFonts w:ascii="Times New Roman;Times;serif" w:hAnsi="Times New Roman;Times;serif"/>
                <w:sz w:val="20"/>
                <w:shd w:fill="FFFFFF" w:val="clear"/>
              </w:rPr>
              <w:t> D</w:t>
            </w:r>
            <w:r>
              <w:rPr>
                <w:rFonts w:ascii="Times New Roman;Times;serif" w:hAnsi="Times New Roman;Times;serif"/>
                <w:sz w:val="20"/>
              </w:rPr>
              <w:t>uring fiscal 2023, we opened a net 37 Build-A-Bear Workshop retail experience locations, through a combination of corporately-managed, third-party operated, and franchise business models. In fiscal 2024, we expect net new unit growth of at least 50 locations in North America and internationally through our three store business models. We have made a concerted effort to shift to non-traditional locations, including family-centric tourist and hospitality sites, as well as partner-operated and franchise locations, and now have more than 35% of total stores in non-traditional settings. While tourist sites have been and will remain a critical part of our location expansion strategy, recent research data supports our opportunity to reengage in profitable expansion in traditional locations on a more localized level, particularly given the numerous and flexible corporate store models we have developed in the past few years. We also continue to develop innovative experiences to expand our brand reach, including Build-A-Bear vending machines, also known as ATMs or automatic teddy machines.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shd w:fill="FFFFFF" w:val="clear"/>
              </w:rPr>
              <w:t>Accelerate our comprehensive digital transformation.</w:t>
            </w:r>
            <w:r>
              <w:rPr>
                <w:rFonts w:ascii="Times New Roman;Times;serif" w:hAnsi="Times New Roman;Times;serif"/>
                <w:sz w:val="20"/>
                <w:shd w:fill="FFFFFF" w:val="clear"/>
              </w:rPr>
              <w:t> In </w:t>
            </w:r>
            <w:r>
              <w:rPr>
                <w:rFonts w:ascii="Times New Roman;Times;serif" w:hAnsi="Times New Roman;Times;serif"/>
                <w:sz w:val="20"/>
              </w:rPr>
              <w:t>addition to growing our e-commerce channel, this includes our marketing and loyalty programs, including our Count Your Candles offer, and content and entertainment initiatives, such as our first-ever animated theatrical film in 2023 “Glisten and the Merry Mission.” Our digital transformation is designed to elevate our business efficiency, integrate our customer communications to acquire new customers and increase purchase occasions, and expand our total addressable market by reaching beyond our core kid base and to continue to acquire new tween, teen and adult consumers by new offerings including gifting and personalization programs. Our 2023 e-commerce sales, inclusive of softness during the year, have tripled since 2018, which was prior to the implementation of key digital initiatives. In early 2024, we created a new position of Chief Customer &amp; Digital Officer to further align our operating structure with our digital strategy.</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1002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u w:val="single"/>
                <w:shd w:fill="FFFFFF" w:val="clear"/>
              </w:rPr>
              <w:t>Drive profitable growth through investment initiatives while maintaining a commitment to return capital to shareholders.</w:t>
            </w:r>
            <w:r>
              <w:rPr>
                <w:rFonts w:ascii="Times New Roman;Times;serif" w:hAnsi="Times New Roman;Times;serif"/>
                <w:sz w:val="20"/>
                <w:shd w:fill="FFFFFF" w:val="clear"/>
              </w:rPr>
              <w:t> As </w:t>
            </w:r>
            <w:r>
              <w:rPr>
                <w:rFonts w:ascii="Times New Roman;Times;serif" w:hAnsi="Times New Roman;Times;serif"/>
                <w:sz w:val="20"/>
              </w:rPr>
              <w:t>corporate store operating margins have remained robust from higher levels of revenue combined with disciplined expense management, particularly considering recent inflationary pressures, wage increases and supply chain challenges, and as we continue to evolve our real estate portfolio with new locations and formats, plus shift to asset-light business models, the company’s cash flows have meaningfully improved. This higher-level of cash flows has been used to increase support for key initiatives to deliver long-term profitable growth, while also returning capital to shareholders through dividends and share repurchases. The Company returned capital to shareholders through two special dividends paid December 27, 2021, and April 6, 2023, totaling $42 million, through share repurchases from a $25 million stock repurchase program that was adopted in November 2021, and through a $50 million stock repurchase program announced in August 2022. The Company announced a new dividend program on March 13, 2024, declaring an initial quarterly cash dividend of $0.20 per share.</w:t>
            </w:r>
          </w:p>
        </w:tc>
      </w:tr>
    </w:tbl>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Merchandise Sourcing and Inventory Management</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stores and e-commerce sites offer an extensive and coordinated selection of merchandise, including a wide range of different styles of plush products to be stuffed, pre-stuffed plush products, sounds and scents that can be added to the stuffed animals and a broad variety of clothing, shoes and accessories, as well as other brand appropriate toy and novelty items including family sleepwear, sourced from multiple vendors primarily in Vietnam and China. Our plush products and clothing are produced from high quality, man-made materials or natural fibers, and the stuffing is made of a high-grade polyester fiber.</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believe we comply with governmental safety requirements specific to each product category and country where there are Build-A-Bear Workshop locations. Specifically, we believe all of the toy products sold in our stores and through our e-commerce sites meet Consumer Product Safety Commission (CPSC) requirements including the Consumer Product Safety Improvement Act (CPSIA) for children’s products. We also believe we comply with American Society for Testing and Materials (ASTM-F963), European Toy Safety Standards (EN71), China National Toy Standards (GB6675/GB5296.5), China Compulsory Certification (CCC), Australian/New Zealand Standard (AS/NZS 8124), Canadian Consumer Product Safety Act Toys Regulation (CCPSA), Chile Standard on Safety of Toys NCh 3251 and India Safety of Toys (IS:9873). Our products are tested through independent third-party testing labs for compliance with toy safety standards. Packaging and labels for each product indicate the age grading for the product and any special warnings in accordance with guidelines established by the CPSC or other applicable authority. We require our supplier factories to be compliant with the International Council of Toy Industries (ICTI) Ethical Toy Program certification or with other comparable third-party social compliance programs. The ICTI Ethical Toy Program process is a social compliance program to promote ethical manufacturing in the form of fair labor treatment, as well as employee health and safety in the toy industry supply chain worldwide. In order to obtain this certification, each factory completes a rigorous evaluation performed by an accredited ICTI agent on an annual basis.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The average time from product conception to the arrival in stores is approximately 12 months, including approximately 90 to 150 days from the beginning of production to in-store delivery. Through an ongoing analysis of selling trends, we regularly update our product assortment by increasing quantities of productive styles and eliminating less productive styles. Our relationships with our vendors generally are on a purchase order basis without contractual obligation to provide adequate supply or acceptable pricing on a long-term basis.</w:t>
      </w:r>
    </w:p>
    <w:p>
      <w:pPr>
        <w:pStyle w:val="TextBody"/>
        <w:bidi w:val="0"/>
        <w:spacing w:before="0" w:after="0"/>
        <w:ind w:left="0" w:right="0" w:firstLine="540"/>
        <w:jc w:val="both"/>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As of February 3, 2024, our inventory balance was $63.5 million, a decrease of $7.0 million compared to January 28, 2023. We are comfortable with the composition and level of our inventory.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Distribution and Logistics</w:t>
      </w:r>
    </w:p>
    <w:p>
      <w:pPr>
        <w:pStyle w:val="TextBody"/>
        <w:bidi w:val="0"/>
        <w:spacing w:before="0" w:after="0"/>
        <w:ind w:left="0" w:right="0" w:hanging="0"/>
        <w:jc w:val="left"/>
        <w:rPr>
          <w:color w:val="000000"/>
        </w:rPr>
      </w:pPr>
      <w:r>
        <w:rPr>
          <w:color w:val="000000"/>
        </w:rPr>
        <w:t> </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We own a 350,000 square-foot distribution center in Groveport, Ohio (near Columbus) that serves the majority of our stores in the U.S. and Canada. We also contract with a third-party warehouse in southern California to service our West Coast stores. The contract has a one-year term and is renewable. In Europe, we contract with a third-party distribution center in Selby, England under an agreement guaranteed through January 2025, and continuing on if neither party terminates the agreement, to fulfill our store and e-commerce fulfillment needs. This agreement contains clauses that allow for termination if certain performance criteria are not met. In Asia, we contract for office space and a third-party distribution center in Shanghai, China, with the office space contract ending in August 2024 and the distribution center contract ending in April 2024, with both contracts expected to be renewed before their respective expiration dates.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Transportation from the warehouses to stores is managed by several third-party logistics providers. In the U.S., Canada and Europe, merchandise is shipped by a variety of distribution methods, depending on the store and seasonal inventory demand. Shipments from our distribution centers are scheduled throughout the week in order to smooth workflow, and stores are grouped together by shipping route to reduce freight costs. All items in our assortment are eligible for distribution, depending on allocation and fulfillment requirements, and we typically distribute merchandise and supplies to each store once every other week or once a week on a regular schedule, which allows us to consolidate shipments in order to reduce distribution and shipping costs. Back-up supplies, such as stuffing for the plush animals, are often stored in limited amounts at regional pool points.</w:t>
      </w:r>
    </w:p>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During fiscal 2020, we introduced "Buy Online, Ship From Store" and "Buy Online, Pick Up In Store" for orders placed in the U.S. and "Click and Collect" for orders placed in the U.K. These ongoing programs allow our brick and mortar locations to operate essentially as mini distribution centers allowing us to leverage the geographic proximity of stores, available inventory and labor to fulfill digital demand.</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Employees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As of </w:t>
      </w:r>
      <w:r>
        <w:rPr>
          <w:rFonts w:ascii="Times New Roman;Times;serif" w:hAnsi="Times New Roman;Times;serif"/>
          <w:sz w:val="20"/>
        </w:rPr>
        <w:t>February 3, 2024</w:t>
      </w:r>
      <w:r>
        <w:rPr>
          <w:rFonts w:ascii="Times New Roman;Times;serif" w:hAnsi="Times New Roman;Times;serif"/>
          <w:sz w:val="20"/>
          <w:shd w:fill="FFFFFF" w:val="clear"/>
        </w:rPr>
        <w:t>, we had approximately 1,000 full-time and 3,550 regular part-time employees in the U.S., Canada, the U.K., and Ireland. The number of part-time employees at all locations fluctuates depending on our seasonal needs. None of our employees are represented by a labor union, and we believe our relationship with our employees is good.</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As our company has diversified and evolved, we view our competition through a number of categories. For our retail stores, we view the Build-A-Bear Workshop store experience as a distinctive combination of entertainment and retail with limited direct competition. We are aware of several small companies that operate “make your own” teddy bear and stuffed animal stores or kiosks in retail locations, but we believe none of those companies offer the breadth of assortment nor depth of experience or operate as a national or international retail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Since our signature products, teddy bears and other stuffed animals, are included in the toy category, we compete indirectly with a number of companies that sell plush products or premium children’s toys, including, but not limited to, Ty, Mattel, Hasbro, Lego, Ganz, and Steiff. We also compete with toy retailers including online and mass merchandisers such as Amazon, Walmart or Target as well as specialty stores such as The Entertainer Toy Shop, Smyths Toys Superstores and Hamleys.</w:t>
      </w:r>
    </w:p>
    <w:p>
      <w:pPr>
        <w:pStyle w:val="TextBody"/>
        <w:bidi w:val="0"/>
        <w:spacing w:before="0" w:after="0"/>
        <w:ind w:left="0" w:right="0" w:firstLine="540"/>
        <w:jc w:val="both"/>
        <w:rPr>
          <w:caps w:val="false"/>
          <w:smallCaps w:val="false"/>
          <w:color w:val="000000"/>
        </w:rPr>
      </w:pPr>
      <w:r>
        <w:rPr>
          <w:caps w:val="false"/>
          <w:smallCaps w:val="false"/>
          <w:color w:val="000000"/>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 xml:space="preserve">As our gift-giving and affinity business has grown, our competitors include diverse retail and online companies such as Vermont Teddy </w:t>
      </w:r>
      <w:r>
        <w:rPr>
          <w:rFonts w:ascii="Times New Roman;Times;serif" w:hAnsi="Times New Roman;Times;serif"/>
          <w:caps w:val="false"/>
          <w:smallCaps w:val="false"/>
          <w:color w:val="000000"/>
          <w:sz w:val="20"/>
          <w:shd w:fill="FFFFFF" w:val="clear"/>
        </w:rPr>
        <w:t>Bear, Funko, or 1-800 Flowers</w:t>
      </w:r>
      <w:r>
        <w:rPr>
          <w:rFonts w:ascii="Times New Roman;Times;serif" w:hAnsi="Times New Roman;Times;serif"/>
          <w:caps w:val="false"/>
          <w:smallCaps w:val="false"/>
          <w:color w:val="000000"/>
          <w:sz w:val="20"/>
        </w:rPr>
        <w:t>. Since we sell a product that integrates merchandise and experience, we also view our competition as any company that competes for family time and entertainment dollars, such as movie theaters, amusement parks and arcades, other mall-based entertainment venues, party venues and online entertainment.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Intellectual Property and Trademarks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believe our copyrights, service marks, trademarks, trade secrets, patents and similar intellectual property are critical to our success, and we intend, directly or indirectly, to maintain and protect these marks and, where applicable, license the intellectual property. Our patents do not expire until the years 2032 and 2033.</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developed licensing and strategic relationships with leading retail and cultural organizations. We plan to continue to collaborate with companies that have strong, family-oriented brands and provide us with attractive marketing and merchandising opportunities. These relationships for specific products are generally reflected in contractual arrangements for limited terms that are terminable by either party upon specified notice. Specificall</w:t>
      </w:r>
      <w:r>
        <w:rPr>
          <w:rFonts w:ascii="Times New Roman;Times;serif" w:hAnsi="Times New Roman;Times;serif"/>
          <w:sz w:val="20"/>
          <w:shd w:fill="FFFFFF" w:val="clear"/>
        </w:rPr>
        <w:t>y, we have key strategic relationships with select companies in which we feature their brands on products sold in our stores, including Disney®, NBCUniversal, Lucasfilm, Warner Bros., Pokémon, ViacomCBS, Nintendo, and major professional sports leagues along with other culturally relevant brands.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Availability of Information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are subject to the reporting and information requirements of the Securities Exchange Act of 1934, as amended (the “Exchange Act”). As a result, we file periodic reports and other information with the Securities and Exchange Commission (the “SEC”). We make these filings available free of charge in the Investor Relations section of our corporate website, the URL of which is http://ir.buildabear.com, as soon as reasonably practical after we electronically file such material with, or furnish it to, the SEC. You may also request copies of these materials without charge by writing to our Investor Relations department at Build-A-Bear Workshop, Inc. World Headquarters, 415 South 18th Street, St. Louis, MO 63103. The SEC maintains a website, http://www.sec.gov, that contains our annual, quarterly and current reports and other information we file electronically with the SEC. Information on our website is not incorporated by reference into, and does not constitute a part of, this Annual Report on Form 10-K.</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2500" w:type="dxa"/>
        <w:jc w:val="left"/>
        <w:tblInd w:w="0" w:type="dxa"/>
        <w:tblLayout w:type="fixed"/>
        <w:tblCellMar>
          <w:top w:w="0" w:type="dxa"/>
          <w:left w:w="0" w:type="dxa"/>
          <w:bottom w:w="0" w:type="dxa"/>
          <w:right w:w="0" w:type="dxa"/>
        </w:tblCellMar>
      </w:tblPr>
      <w:tblGrid>
        <w:gridCol w:w="1010"/>
        <w:gridCol w:w="1490"/>
      </w:tblGrid>
      <w:tr>
        <w:trPr/>
        <w:tc>
          <w:tcPr>
            <w:tcW w:w="101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6" w:name="i1a"/>
            <w:bookmarkEnd w:id="6"/>
            <w:r>
              <w:rPr>
                <w:rFonts w:ascii="Times New Roman;Times;serif" w:hAnsi="Times New Roman;Times;serif"/>
                <w:b/>
                <w:sz w:val="20"/>
              </w:rPr>
              <w:t xml:space="preserve">ITEM 1A.   </w:t>
            </w:r>
          </w:p>
        </w:tc>
        <w:tc>
          <w:tcPr>
            <w:tcW w:w="14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RISK FACTORS </w:t>
            </w:r>
          </w:p>
        </w:tc>
      </w:tr>
    </w:tbl>
    <w:p>
      <w:pPr>
        <w:pStyle w:val="TextBody"/>
        <w:bidi w:val="0"/>
        <w:spacing w:before="0" w:after="0"/>
        <w:ind w:left="1101" w:right="0" w:hanging="1102"/>
        <w:jc w:val="both"/>
        <w:rPr/>
      </w:pPr>
      <w:r>
        <w:rPr/>
        <w:t> </w:t>
      </w:r>
    </w:p>
    <w:p>
      <w:pPr>
        <w:pStyle w:val="TextBody"/>
        <w:bidi w:val="0"/>
        <w:spacing w:before="0" w:after="0"/>
        <w:ind w:left="0" w:right="144" w:firstLine="540"/>
        <w:jc w:val="both"/>
        <w:rPr>
          <w:rFonts w:ascii="Times New Roman;Times;serif" w:hAnsi="Times New Roman;Times;serif"/>
          <w:i/>
          <w:sz w:val="20"/>
        </w:rPr>
      </w:pPr>
      <w:r>
        <w:rPr>
          <w:rFonts w:ascii="Times New Roman;Times;serif" w:hAnsi="Times New Roman;Times;serif"/>
          <w:i/>
          <w:sz w:val="20"/>
        </w:rPr>
        <w:t>We operate in a changing environment that involves numerous known and unknown risks and uncertainties that could materially affect our operations. The risks, uncertainties and other factors set forth below may cause our actual results, performances or achievements to be materially different from those expressed or implied by our forward-looking statements. If any of these risks or events occur, our business, financial condition or results of operations may be adversely affected. Additional risks not currently known to us or that we presently deem immaterial may also impair our business operations.</w:t>
      </w:r>
    </w:p>
    <w:p>
      <w:pPr>
        <w:pStyle w:val="TextBody"/>
        <w:bidi w:val="0"/>
        <w:spacing w:before="0" w:after="0"/>
        <w:ind w:left="0" w:right="144" w:hanging="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MACROECONOMIC AND INDUSTRY RISKS</w:t>
      </w:r>
    </w:p>
    <w:p>
      <w:pPr>
        <w:pStyle w:val="TextBody"/>
        <w:bidi w:val="0"/>
        <w:spacing w:before="0" w:after="0"/>
        <w:ind w:left="0" w:right="144" w:hanging="0"/>
        <w:jc w:val="both"/>
        <w:rPr/>
      </w:pPr>
      <w:r>
        <w:rPr/>
        <w:t> </w:t>
      </w:r>
    </w:p>
    <w:p>
      <w:pPr>
        <w:pStyle w:val="TextBody"/>
        <w:bidi w:val="0"/>
        <w:jc w:val="left"/>
        <w:rPr>
          <w:rFonts w:ascii="Times New Roman" w:hAnsi="Times New Roman"/>
          <w:caps w:val="false"/>
          <w:smallCaps w:val="false"/>
          <w:sz w:val="20"/>
        </w:rPr>
      </w:pPr>
      <w:r>
        <w:rPr>
          <w:rFonts w:ascii="Times New Roman" w:hAnsi="Times New Roman"/>
          <w:b/>
          <w:caps w:val="false"/>
          <w:smallCaps w:val="false"/>
          <w:sz w:val="20"/>
        </w:rPr>
        <w:t>Any uncertainty or decline in general global economic conditions, caused by inflation, rising interest rates, geo-political conflicts,</w:t>
      </w:r>
      <w:r>
        <w:rPr>
          <w:rFonts w:ascii="Times New Roman" w:hAnsi="Times New Roman"/>
          <w:caps w:val="false"/>
          <w:smallCaps w:val="false"/>
          <w:sz w:val="20"/>
        </w:rPr>
        <w:t xml:space="preserve">  </w:t>
      </w:r>
      <w:r>
        <w:rPr>
          <w:rFonts w:ascii="Times New Roman" w:hAnsi="Times New Roman"/>
          <w:b/>
          <w:caps w:val="false"/>
          <w:smallCaps w:val="false"/>
          <w:sz w:val="20"/>
        </w:rPr>
        <w:t>or other external factors,</w:t>
      </w:r>
      <w:r>
        <w:rPr>
          <w:rFonts w:ascii="Times New Roman" w:hAnsi="Times New Roman"/>
          <w:caps w:val="false"/>
          <w:smallCaps w:val="false"/>
          <w:sz w:val="20"/>
        </w:rPr>
        <w:t xml:space="preserve">  </w:t>
      </w:r>
      <w:r>
        <w:rPr>
          <w:rFonts w:ascii="Times New Roman" w:hAnsi="Times New Roman"/>
          <w:b/>
          <w:caps w:val="false"/>
          <w:smallCaps w:val="false"/>
          <w:sz w:val="20"/>
        </w:rPr>
        <w:t>could lead to disproportionately reduced discretionary consumer spending and a corresponding reduction in demand for our products and have</w:t>
      </w:r>
      <w:r>
        <w:rPr>
          <w:rFonts w:ascii="Times New Roman" w:hAnsi="Times New Roman"/>
          <w:caps w:val="false"/>
          <w:smallCaps w:val="false"/>
          <w:sz w:val="20"/>
        </w:rPr>
        <w:t xml:space="preserve">  </w:t>
      </w:r>
      <w:r>
        <w:rPr>
          <w:rFonts w:ascii="Times New Roman" w:hAnsi="Times New Roman"/>
          <w:b/>
          <w:caps w:val="false"/>
          <w:smallCaps w:val="false"/>
          <w:sz w:val="20"/>
        </w:rPr>
        <w:t>an adverse effect on our liquidity and profitability.</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ind w:left="0" w:right="0" w:firstLine="540"/>
        <w:jc w:val="both"/>
        <w:rPr>
          <w:rFonts w:ascii="Times New Roman;Times;serif" w:hAnsi="Times New Roman;Times;serif"/>
          <w:sz w:val="20"/>
        </w:rPr>
      </w:pPr>
      <w:r>
        <w:rPr>
          <w:rFonts w:ascii="Times New Roman;Times;serif" w:hAnsi="Times New Roman;Times;serif"/>
          <w:sz w:val="20"/>
        </w:rPr>
        <w:t xml:space="preserve">Since purchases of our merchandise are dependent upon discretionary spending by our guests, our financial performance is sensitive to changes in overall economic conditions that affect consumer spending. Consumer spending habits are affected by, among other things, prevailing economic conditions, inflation, levels of employment, salaries and wage rates, consumer confidence and consumer perception of economic conditions. A slowdown in the North American or European economies or in the economies of the countries in which our franchisees and third-party retail partners operate or uncertainty as to the economic outlook could reduce discretionary spending or cause a shift in consumer discretionary spending to other products. For example, the potential adverse effects of inflation, or geopolitical conflicts could result in lower net retail sales and could also result in excess inventories, which could, in turn, lead to increased merchandise markdowns and related costs associated with higher levels of inventory and adversely affect our liquidity and profitability. In addition, economic uncertainty can affect the credit and capital markets and our financial condition which may affect our ability to access capital resources under our credit agreement. The amount available for borrowing could be restricted under our agreement if the amount of assets used to calculate the borrowing base (specified percentages of eligible credit card receivables, eligible inventory, and, under certain circumstances, eligible foreign in-transit inventory and, in the discretion of the agent, eligible receivables) decreases. </w:t>
      </w:r>
    </w:p>
    <w:p>
      <w:pPr>
        <w:pStyle w:val="TextBody"/>
        <w:bidi w:val="0"/>
        <w:spacing w:before="0" w:after="0"/>
        <w:ind w:left="0" w:right="0" w:firstLine="540"/>
        <w:jc w:val="both"/>
        <w:rPr/>
      </w:pPr>
      <w:r>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sz w:val="20"/>
        </w:rPr>
        <w:t xml:space="preserve">Inflation impacted our business operations in fiscal 2023 and had an adverse impact on our business throughout the year, specifically seen through rising store labor costs. Although we took actions to mitigate these pressures, such as strategic price increases on highly sought-after products, there can be no assurance that we will be able continue these actions or that they will be successful in the future. We expect the inflationary pressures experienced in fiscal 2023 to decrease but continue into fiscal 2024. We continue to monitor the impact of inflation on our business operations on an ongoing basis and may need to adjust our prices further to mitigate the impacts of changes to the rate of inflation during 2024 or in future years. These select price increases could have a negative impact on demand for our products. </w:t>
      </w:r>
    </w:p>
    <w:p>
      <w:pPr>
        <w:pStyle w:val="TextBody"/>
        <w:bidi w:val="0"/>
        <w:spacing w:before="0" w:after="0"/>
        <w:ind w:left="0" w:right="0" w:hanging="0"/>
        <w:jc w:val="left"/>
        <w:rPr/>
      </w:pPr>
      <w:r>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sz w:val="20"/>
          <w:shd w:fill="FFFFFF" w:val="clear"/>
        </w:rPr>
        <w:t>Weakened economic conditions, lowered employment levels or recessions in any of our major markets may also significantly reduce consumer purchases of our products. Economic conditions may also be negatively impacted by terrorist attacks, wars, geopolitical shifts, and other conflicts, such as the current Russia-Ukraine crisis and the Israel-Hamas conflict that has heightened geopolitical tensions in the Middle East region, as well as natural disasters, increases in commodity prices or labor costs, or the prospect of such events. Such a weakened economic and business climate, as well as consumer uncertainty created by such a climate, could harm our revenues and profitability.</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sz w:val="20"/>
          <w:shd w:fill="FFFFFF" w:val="clear"/>
        </w:rPr>
        <w:t>Our success and profitability not only depend on consumer demand for our products, but also on our ability to produce and sell those products at costs which allow us to make a profit. Whether due to inflation or other factors, rising petroleum and material prices, increased transportation and shipping costs, and increased labor costs in the markets in which our products are manufactured and sold all may further increase the costs we incur to produce and transport our products, which in turn may reduce our margins, reduce our profitability, and harm our business, in particular if we are unable to further adjust prices beyond what we were able to do in fiscal 2023, as discussed above.</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Consumer interests can change rapidly, and our success depends on the ongoing effectiveness of our marketing and online initiatives to build consumer affinity for our brand and drive consumer demand for our products and services.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continue to update and evaluate our marketing initiatives, which are focused on building our brand, sharing relevant product news, executing timely promotions and adapting to rapidly changing consumer preferences. Our future growth and profitability will depend in large part upon the effectiveness and efficiency of our integrated marketing and advertising programs, access to leading entertainment relationships resulting in licensing relationships in a profitable manner and future marketing and advertising efforts that we undertake, including our ability to:</w:t>
      </w:r>
    </w:p>
    <w:p>
      <w:pPr>
        <w:pStyle w:val="TextBody"/>
        <w:bidi w:val="0"/>
        <w:spacing w:before="0" w:after="0"/>
        <w:ind w:left="0" w:right="144" w:hanging="0"/>
        <w:jc w:val="both"/>
        <w:rPr/>
      </w:pPr>
      <w:r>
        <w:rPr/>
        <w:t> </w:t>
      </w:r>
    </w:p>
    <w:tbl>
      <w:tblPr>
        <w:tblW w:w="8005" w:type="dxa"/>
        <w:jc w:val="left"/>
        <w:tblInd w:w="0" w:type="dxa"/>
        <w:tblLayout w:type="fixed"/>
        <w:tblCellMar>
          <w:top w:w="0" w:type="dxa"/>
          <w:left w:w="0" w:type="dxa"/>
          <w:bottom w:w="0" w:type="dxa"/>
          <w:right w:w="0" w:type="dxa"/>
        </w:tblCellMar>
      </w:tblPr>
      <w:tblGrid>
        <w:gridCol w:w="60"/>
        <w:gridCol w:w="110"/>
        <w:gridCol w:w="78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78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create greater awareness and affinity of our brand, interactive shopping experience and products;</w:t>
            </w:r>
          </w:p>
        </w:tc>
      </w:tr>
    </w:tbl>
    <w:p>
      <w:pPr>
        <w:pStyle w:val="TextBody"/>
        <w:bidi w:val="0"/>
        <w:spacing w:before="0" w:after="0"/>
        <w:ind w:left="0" w:right="144" w:hanging="0"/>
        <w:jc w:val="both"/>
        <w:rPr/>
      </w:pPr>
      <w:r>
        <w:rPr/>
        <w:t> </w:t>
      </w:r>
    </w:p>
    <w:tbl>
      <w:tblPr>
        <w:tblW w:w="7390" w:type="dxa"/>
        <w:jc w:val="left"/>
        <w:tblInd w:w="0" w:type="dxa"/>
        <w:tblLayout w:type="fixed"/>
        <w:tblCellMar>
          <w:top w:w="0" w:type="dxa"/>
          <w:left w:w="0" w:type="dxa"/>
          <w:bottom w:w="0" w:type="dxa"/>
          <w:right w:w="0" w:type="dxa"/>
        </w:tblCellMar>
      </w:tblPr>
      <w:tblGrid>
        <w:gridCol w:w="60"/>
        <w:gridCol w:w="110"/>
        <w:gridCol w:w="722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72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convert consumer awareness into store and e-commerce site visits and product purchases;</w:t>
            </w:r>
          </w:p>
        </w:tc>
      </w:tr>
    </w:tbl>
    <w:p>
      <w:pPr>
        <w:pStyle w:val="TextBody"/>
        <w:bidi w:val="0"/>
        <w:spacing w:before="0" w:after="0"/>
        <w:ind w:left="0" w:right="144" w:hanging="0"/>
        <w:jc w:val="both"/>
        <w:rPr/>
      </w:pPr>
      <w:r>
        <w:rPr/>
        <w:t> </w:t>
      </w:r>
    </w:p>
    <w:tbl>
      <w:tblPr>
        <w:tblW w:w="7060" w:type="dxa"/>
        <w:jc w:val="left"/>
        <w:tblInd w:w="0" w:type="dxa"/>
        <w:tblLayout w:type="fixed"/>
        <w:tblCellMar>
          <w:top w:w="0" w:type="dxa"/>
          <w:left w:w="0" w:type="dxa"/>
          <w:bottom w:w="0" w:type="dxa"/>
          <w:right w:w="0" w:type="dxa"/>
        </w:tblCellMar>
      </w:tblPr>
      <w:tblGrid>
        <w:gridCol w:w="60"/>
        <w:gridCol w:w="110"/>
        <w:gridCol w:w="689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68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identify the optimal level of marketing spend and most efficient marketing channels;</w:t>
            </w:r>
          </w:p>
        </w:tc>
      </w:tr>
    </w:tbl>
    <w:p>
      <w:pPr>
        <w:pStyle w:val="TextBody"/>
        <w:bidi w:val="0"/>
        <w:spacing w:before="0" w:after="0"/>
        <w:ind w:left="0" w:right="144" w:hanging="0"/>
        <w:jc w:val="both"/>
        <w:rPr/>
      </w:pPr>
      <w:r>
        <w:rPr/>
        <w:t> </w:t>
      </w:r>
    </w:p>
    <w:tbl>
      <w:tblPr>
        <w:tblW w:w="4420" w:type="dxa"/>
        <w:jc w:val="left"/>
        <w:tblInd w:w="0" w:type="dxa"/>
        <w:tblLayout w:type="fixed"/>
        <w:tblCellMar>
          <w:top w:w="0" w:type="dxa"/>
          <w:left w:w="0" w:type="dxa"/>
          <w:bottom w:w="0" w:type="dxa"/>
          <w:right w:w="0" w:type="dxa"/>
        </w:tblCellMar>
      </w:tblPr>
      <w:tblGrid>
        <w:gridCol w:w="60"/>
        <w:gridCol w:w="110"/>
        <w:gridCol w:w="425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42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select the right geographic areas in which to market;</w:t>
            </w:r>
          </w:p>
        </w:tc>
      </w:tr>
    </w:tbl>
    <w:p>
      <w:pPr>
        <w:pStyle w:val="TextBody"/>
        <w:bidi w:val="0"/>
        <w:spacing w:before="0" w:after="0"/>
        <w:ind w:left="0" w:right="144"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determine the appropriate creative message and media mix for marketing programs locally, nationally and internationally; and</w:t>
            </w:r>
          </w:p>
        </w:tc>
      </w:tr>
    </w:tbl>
    <w:p>
      <w:pPr>
        <w:pStyle w:val="TextBody"/>
        <w:bidi w:val="0"/>
        <w:spacing w:before="0" w:after="0"/>
        <w:ind w:left="0" w:right="144"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effectively manage marketing costs (including creative and media) to maintain acceptable operating margins and return on marketing investment.</w:t>
            </w:r>
          </w:p>
        </w:tc>
      </w:tr>
    </w:tbl>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Our planned marketing expenditures may not result in increased total sales or generate sufficient levels of product and brand awareness, which could also have a material adverse effect on our financial condition and profitability. Additionally, we have shifted a number of our marketing programs to digital outlets which may not continue to be as effective as our more traditional, historical programs.</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depend upon the shopping malls and tourist locations in which our stores are located to attract guests. Continued or further volatility in retail consumer traffic could adversely affect our financial performance and profitability.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While we invest in integrated marketing efforts and believe we are more of a destination location than many other retailers, we rely to a great extent on consumer traffic in the malls and tourist locations in which we are located. We rely on the ability of the malls’ anchor tenants, generally large department stores, and on the continuing popularity of malls and tourist locations as shopping destinations to attract high levels of consumer traffic. We cannot control the development of new shopping malls nor the closure of existing malls, the addition or loss of anchors and co-tenants, the availability or cost of appropriate locations within existing or new shopping malls or the desirability, safety or success of shopping malls. While we have had significant growth in our e-commerce sales compared to pre-pandemic levels and continue with initiatives intended to develop and strengthen our online business, the majority of our sales are generated from our physical store locations. Consumer traffic may also be reduced due to factors such as the economy, civil unrest, actual or threatened acts of terrorism or other crime in shopping locations, the impact of weather or natural disasters or a decline in consumer confidence resulting from international conflicts or war. A decrease in consumer traffic could have an adverse effect on our financial condition and profitability.</w:t>
      </w:r>
    </w:p>
    <w:p>
      <w:pPr>
        <w:pStyle w:val="TextBody"/>
        <w:bidi w:val="0"/>
        <w:spacing w:before="0" w:after="0"/>
        <w:ind w:left="0" w:right="144"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Our profitability could be adversely affected by fluctuations in petroleum products prices.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The profitability of our business depends to a certain degree upon the price of petroleum products, both as a component of the transportation costs for delivery of inventory from our vendors to our stores and as a raw material used in the production of our plush products and stuffing. Volatility in petroleum prices can be due to many external factors that are beyond our control including political, environmental, and economic factors such as hostilities or other conflicts in oil producing areas (including the current Russia-Ukraine conflict and tensions in the Middle East), limitations and/or disruptions in refining and pipeline capacity, and worldwide demand for petroleum. We are unable to predict what the price of crude oil and the resulting petroleum products will be in the future. We may be unable to pass along to our guests the increased costs that would result from higher petroleum prices. Therefore, any such increase could have an adverse impact on our business and profitability.</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Our business may be adversely impacted at any time by a variety of significant competitive threats.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operate in a highly competitive environment characterized by low barriers to entry. We compete against a diverse group of competitors. Because we have mall-based locations, we see our competition as other retailers that compete for prime mall locations, including various apparel, footwear and specialty retailers. As a retailer whose signature product is a stuffed animal that is typically purchased as a toy or gift, we also compete with big box retailers and toy stores, as well as manufacturers that sell plush toys. Since we offer our guests an experience as well as merchandise, we also view our competition as any company that competes for our guests’ time and entertainment dollars, such as movie theaters, restaurants, amusement parks and arcades. In addition, there are several small companies that operate “make your own” teddy bear and stuffed animal experiences in retail stores and kiosks. Although we believe that none of these companies currently offer the breadth and depth of the Build-A-Bear Workshop products and experience, we cannot be certain that they will not compete directly with us in the future.</w:t>
      </w:r>
    </w:p>
    <w:p>
      <w:pPr>
        <w:pStyle w:val="TextBody"/>
        <w:bidi w:val="0"/>
        <w:spacing w:before="0" w:after="0"/>
        <w:ind w:left="0" w:right="144" w:firstLine="540"/>
        <w:jc w:val="both"/>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Many of our competitors have longer operating histories, significantly greater financial, marketing and other resources, and greater name recognition. We cannot be certain that we will be able to compete successfully with them in the future, particularly in geographic locations that represent new markets for us. If we fail to compete successfully, our market share and results of operations could be materially and adversely affected.</w:t>
      </w:r>
    </w:p>
    <w:p>
      <w:pPr>
        <w:pStyle w:val="TextBody"/>
        <w:bidi w:val="0"/>
        <w:spacing w:before="0" w:after="0"/>
        <w:ind w:left="0" w:right="0" w:hanging="0"/>
        <w:jc w:val="left"/>
        <w:rPr/>
      </w:pPr>
      <w:r>
        <w:rPr/>
        <w:t> </w:t>
      </w:r>
    </w:p>
    <w:p>
      <w:pPr>
        <w:pStyle w:val="TextBody"/>
        <w:bidi w:val="0"/>
        <w:spacing w:before="0" w:after="0"/>
        <w:ind w:left="0" w:right="144" w:firstLine="540"/>
        <w:jc w:val="both"/>
        <w:rPr>
          <w:rFonts w:ascii="Times New Roman" w:hAnsi="Times New Roman"/>
          <w:caps w:val="false"/>
          <w:smallCaps w:val="false"/>
          <w:sz w:val="20"/>
        </w:rPr>
      </w:pPr>
      <w:r>
        <w:rPr>
          <w:rFonts w:ascii="Times New Roman" w:hAnsi="Times New Roman"/>
          <w:caps w:val="false"/>
          <w:smallCaps w:val="false"/>
          <w:sz w:val="20"/>
        </w:rPr>
        <w:t>The retail sector has experienced an immense increase in sales initiated online and using mobile applications, as well as online sales for both in-store or curbside pick-up. Online and multi-channel retailers continue to focus on delivery services, with consumers increasingly seeking faster, guaranteed delivery times and low-cost or free shipping. Our ability to be competitive on delivery times and delivery costs depends on many factors, and our failure to successfully manage these factors and offer competitive delivery options could negatively impact the demand for our products and our profit margins.</w:t>
      </w:r>
    </w:p>
    <w:p>
      <w:pPr>
        <w:pStyle w:val="TextBody"/>
        <w:bidi w:val="0"/>
        <w:spacing w:before="0" w:after="0"/>
        <w:ind w:left="0" w:right="144" w:firstLine="540"/>
        <w:jc w:val="both"/>
        <w:rPr>
          <w:caps w:val="false"/>
          <w:smallCaps w:val="false"/>
        </w:rPr>
      </w:pPr>
      <w:r>
        <w:rPr>
          <w:caps w:val="false"/>
          <w:smallCaps w:val="false"/>
        </w:rPr>
        <w:t> </w:t>
      </w:r>
    </w:p>
    <w:p>
      <w:pPr>
        <w:pStyle w:val="TextBody"/>
        <w:bidi w:val="0"/>
        <w:spacing w:before="0" w:after="0"/>
        <w:ind w:left="0" w:right="150" w:hanging="0"/>
        <w:jc w:val="both"/>
        <w:rPr/>
      </w:pPr>
      <w:r>
        <w:rPr/>
        <w:t> </w:t>
      </w:r>
    </w:p>
    <w:p>
      <w:pPr>
        <w:pStyle w:val="TextBody"/>
        <w:bidi w:val="0"/>
        <w:ind w:left="0" w:right="0" w:hanging="0"/>
        <w:jc w:val="left"/>
        <w:rPr>
          <w:rFonts w:ascii="Times New Roman;Times;serif" w:hAnsi="Times New Roman;Times;serif"/>
          <w:sz w:val="20"/>
        </w:rPr>
      </w:pPr>
      <w:r>
        <w:rPr>
          <w:rFonts w:ascii="Times New Roman" w:hAnsi="Times New Roman"/>
          <w:b/>
          <w:sz w:val="20"/>
        </w:rPr>
        <w:t>Global or regional health pandemics or epidemics could negatively impact our business, financial position and results of operations.</w:t>
      </w:r>
      <w:r>
        <w:rPr>
          <w:rFonts w:ascii="Times New Roman;Times;serif" w:hAnsi="Times New Roman;Times;serif"/>
          <w:sz w:val="20"/>
        </w:rPr>
        <w:t xml:space="preserve"> </w:t>
      </w:r>
    </w:p>
    <w:p>
      <w:pPr>
        <w:pStyle w:val="TextBody"/>
        <w:bidi w:val="0"/>
        <w:spacing w:before="0" w:after="0"/>
        <w:ind w:left="0" w:right="0" w:firstLine="540"/>
        <w:jc w:val="both"/>
        <w:rPr/>
      </w:pPr>
      <w:r>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sz w:val="20"/>
        </w:rPr>
        <w:t xml:space="preserve">The extent to which a pandemic may impact our operational and financial performance remains uncertain and will depend on many factors outside of our control, including the timing, extent, trajectory and duration of the pandemic, the emergence of new variants, the development, availability, distribution and effectiveness of vaccines and treatments, the imposition of protective public safety measures, and the impact of the pandemic on the global economy and demand for our products. Additional future impacts may include, but are not limited to, material adverse effects on demand for our products and interactive experience, supply chain operations disruptions, our ability to execute strategic plans and to predict future performance, and our financial performance and profitability. </w:t>
      </w:r>
    </w:p>
    <w:p>
      <w:pPr>
        <w:pStyle w:val="TextBody"/>
        <w:bidi w:val="0"/>
        <w:spacing w:before="0" w:after="0"/>
        <w:ind w:left="0" w:right="0" w:firstLine="540"/>
        <w:jc w:val="left"/>
        <w:rPr/>
      </w:pPr>
      <w:r>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sz w:val="20"/>
          <w:shd w:fill="FFFFFF" w:val="clear"/>
        </w:rPr>
        <w:t>To the extent a pandemic adversely affects our business, operations, financial condition and operating results, it may also have the effect of heightening many of the other risks described in this “Risk Factors” section, such as those relating to retail consumer traffic, general global economic conditions, and demand for our interactive retail experience.</w:t>
      </w:r>
      <w:r>
        <w:rPr>
          <w:rFonts w:ascii="Times New Roman;Times;serif" w:hAnsi="Times New Roman;Times;serif"/>
          <w:sz w:val="20"/>
        </w:rPr>
        <w:t xml:space="preserve"> </w:t>
      </w:r>
    </w:p>
    <w:p>
      <w:pPr>
        <w:pStyle w:val="TextBody"/>
        <w:bidi w:val="0"/>
        <w:spacing w:before="0" w:after="0"/>
        <w:ind w:left="0" w:right="0" w:firstLine="540"/>
        <w:jc w:val="left"/>
        <w:rPr/>
      </w:pPr>
      <w:r>
        <w:rPr/>
        <w:t> </w:t>
      </w:r>
    </w:p>
    <w:p>
      <w:pPr>
        <w:pStyle w:val="TextBody"/>
        <w:bidi w:val="0"/>
        <w:spacing w:before="0" w:after="0"/>
        <w:ind w:left="0" w:right="144"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OPERATIONAL RISKS</w:t>
      </w:r>
    </w:p>
    <w:p>
      <w:pPr>
        <w:pStyle w:val="TextBody"/>
        <w:bidi w:val="0"/>
        <w:spacing w:before="0" w:after="0"/>
        <w:ind w:left="0" w:right="0" w:hanging="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If we are unable to generate interest in and demand for our interactive retail experience and products, including being able to identify and respond to consumer preferences in a timely manner, our sales, financial condition and profitability could be adversely affected.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believe that our success depends in large part upon our ability to continue to attract new and repeat guests with our interactive shopping experience, and our ability to anticipate, gauge and respond in a timely manner to changing consumer preferences, such as online buying, and fashion trends including licensed relationships. We cannot be certain that there will continue to be a demand for our “make-your-own stuffed animal” interactive experience, including our store design and brand appearance, or for our stuffed animals, related apparel and accessories. A decline in demand for our interactive shopping experience, our stuffed animals, related apparel or accessories, or a misjudgment of consumer preferences, fashion trends or the demand for licensed products, including those that are associated with new movie releases, could have a negative impact on our business, financial condition and results of operations. In addition, negative commentary regarding our company or the products we sell may be posted on social media sites and other platforms at any time and may negatively impact our reputation or business. </w:t>
      </w:r>
    </w:p>
    <w:p>
      <w:pPr>
        <w:pStyle w:val="TextBody"/>
        <w:bidi w:val="0"/>
        <w:spacing w:before="0" w:after="0"/>
        <w:ind w:left="0" w:right="144" w:firstLine="540"/>
        <w:jc w:val="both"/>
        <w:rPr/>
      </w:pPr>
      <w:r>
        <w:rPr/>
        <w:t> </w:t>
      </w:r>
    </w:p>
    <w:p>
      <w:pPr>
        <w:pStyle w:val="TextBody"/>
        <w:bidi w:val="0"/>
        <w:spacing w:before="0" w:after="0"/>
        <w:ind w:left="0" w:right="144" w:firstLine="540"/>
        <w:jc w:val="both"/>
        <w:rPr>
          <w:rFonts w:ascii="Times New Roman;Times;serif" w:hAnsi="Times New Roman;Times;serif"/>
          <w:sz w:val="20"/>
          <w:shd w:fill="FFFFFF" w:val="clear"/>
        </w:rPr>
      </w:pPr>
      <w:r>
        <w:rPr>
          <w:rFonts w:ascii="Times New Roman;Times;serif" w:hAnsi="Times New Roman;Times;serif"/>
          <w:sz w:val="20"/>
          <w:shd w:fill="FFFFFF" w:val="clear"/>
        </w:rPr>
        <w:t>Our future success depends, in part, on the popularity and consumer demand for brands of licensors such as Disney, NBCUniversal, Lucasfilm, Warner Bros., and Nintendo. If we are not able to meet our contractual commitments or are unable to maintain licensing agreements with key brands, our business would be adversely affected. There can be no certainty that our access to licensed brands will continue to be successful or enable us to maintain high levels of sales in the future and the timing of future entertainment projects may not coincide with the timing of previous successes impacting our ability to maintain sales levels. In addition, if we miscalculate the market for our merchandise or the purchasing preferences of our guests, we may be required to sell a significant amount of our inventory at discounted prices or even below costs, thereby adversely affecting our financial condition and profitability.</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If we are unable to renew, renegotiate or replace our store leases or enter into leases for new stores on favorable terms, or if we violate any of the terms of our current leases, our revenue and profitability could be harmed.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lease all of our corporately-managed store locations. The majority of our store leases contain provisions for base rent plus percentage rent based on sales in excess of an agreed upon minimum annual sales level. Some store leases only include a provision for a percentage of a store's total sales, instead of a fixed base rent amount. A number of our leases include a termination provision which applies if we do not meet certain sales levels during a specified period, typically in the third to fourth year and the sixth to seventh year of the lease, which may be at either the landlord’s option or ours. Although we have largely shifted our leases in North America to shorter term leases to provide flexibility in aligning stores with market trends, this strategy has risk if we renew leases at a time when commercial rental rates are higher than the rate we could have secured with a longer-term lease. Furthermore, some of our leases contain various restrictions relating to change of control of our company. Our leases also subject us to risks relating to compliance with changing shopping location rules and the exercise of discretion by our landlords on various matters within these locations. We may not be able to maintain or obtain favorable locations within these desirable shopping locations. The terms of new leases may not be as favorable, which could cause an increase in store expenses negatively impacting overall profitability. If we execute termination rights, we may incur expenses and charges associated with those closures that could negatively impact our profitability.</w:t>
      </w:r>
    </w:p>
    <w:p>
      <w:pPr>
        <w:pStyle w:val="TextBody"/>
        <w:bidi w:val="0"/>
        <w:spacing w:before="0" w:after="0"/>
        <w:ind w:left="0" w:right="0" w:hanging="0"/>
        <w:jc w:val="left"/>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Additionally, several landlords dominate the ownership of prime malls, particularly in the U.S. and Canada, and because of our dependence on these landlords for a substantial number of our locations, any significant erosion in their financial conditions or our relationships with these landlords could negatively affect our ability to obtain and retain store locations. Further landlord consolidation may negatively impact our results of operations.</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Our leases in the U.K. and Ireland also typically contain provisions requiring rent reviews every five years in which the base rent that we pay is adjusted to current market rates. These rent reviews require that base rents cannot be reduced if market conditions have deteriorated but can be changed “upwards only.” We may be required to pay base rents that are significantly higher than we have projected. As a result of these and other factors, we may not be able to operate our European store locations profitably. If we are unable to do so, our results of operations and financial condition could be harmed, and we may be required to record significant additional impairment charges.</w:t>
      </w:r>
    </w:p>
    <w:p>
      <w:pPr>
        <w:pStyle w:val="TextBody"/>
        <w:bidi w:val="0"/>
        <w:spacing w:before="0" w:after="0"/>
        <w:ind w:left="0" w:right="144"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jc w:val="left"/>
        <w:rPr>
          <w:rFonts w:ascii="Times New Roman;Times;serif" w:hAnsi="Times New Roman;Times;serif"/>
          <w:caps w:val="false"/>
          <w:smallCaps w:val="false"/>
          <w:color w:val="000000"/>
          <w:sz w:val="20"/>
        </w:rPr>
      </w:pPr>
      <w:r>
        <w:rPr>
          <w:rFonts w:ascii="Times New Roman;Times;serif" w:hAnsi="Times New Roman;Times;serif"/>
          <w:b/>
          <w:caps w:val="false"/>
          <w:smallCaps w:val="false"/>
          <w:color w:val="000000"/>
          <w:sz w:val="20"/>
        </w:rPr>
        <w:t>Fail</w:t>
      </w:r>
      <w:r>
        <w:rPr>
          <w:rFonts w:ascii="Times New Roman;Times;serif" w:hAnsi="Times New Roman;Times;serif"/>
          <w:caps w:val="false"/>
          <w:smallCaps w:val="false"/>
          <w:color w:val="000000"/>
          <w:sz w:val="20"/>
        </w:rPr>
        <w:t xml:space="preserve"> </w:t>
      </w:r>
      <w:r>
        <w:rPr>
          <w:rFonts w:ascii="Times New Roman;Times;serif" w:hAnsi="Times New Roman;Times;serif"/>
          <w:b/>
          <w:caps w:val="false"/>
          <w:smallCaps w:val="false"/>
          <w:color w:val="000000"/>
          <w:sz w:val="20"/>
        </w:rPr>
        <w:t>ure to successfully execute our omnichannel and brand expansion strategy and the cost of our investments in e-commerce and digital transformation may materially adversely affect our financial condition and profitability.</w:t>
      </w:r>
      <w:r>
        <w:rPr>
          <w:rFonts w:ascii="Times New Roman;Times;serif" w:hAnsi="Times New Roman;Times;serif"/>
          <w:caps w:val="false"/>
          <w:smallCaps w:val="false"/>
          <w:color w:val="000000"/>
          <w:sz w:val="20"/>
        </w:rPr>
        <w:t xml:space="preserve"> </w:t>
      </w:r>
    </w:p>
    <w:p>
      <w:pPr>
        <w:pStyle w:val="TextBody"/>
        <w:bidi w:val="0"/>
        <w:spacing w:before="0" w:after="0"/>
        <w:ind w:left="0" w:right="0" w:hanging="0"/>
        <w:jc w:val="left"/>
        <w:rPr/>
      </w:pPr>
      <w:r>
        <w:rPr/>
        <w:t> </w:t>
      </w:r>
    </w:p>
    <w:p>
      <w:pPr>
        <w:pStyle w:val="TextBody"/>
        <w:bidi w:val="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 xml:space="preserve">The retail industry continues to rapidly evolve and consumers continue to increasingly embrace digital shopping. As a result, the portion of total consumer expenditures with retailers occurring through digital platforms is increasing and the pace of this increase could continue to accelerate. </w:t>
      </w:r>
    </w:p>
    <w:p>
      <w:pPr>
        <w:pStyle w:val="TextBody"/>
        <w:bidi w:val="0"/>
        <w:spacing w:before="0" w:after="0"/>
        <w:ind w:left="0" w:right="0" w:hanging="0"/>
        <w:jc w:val="both"/>
        <w:rPr/>
      </w:pPr>
      <w:r>
        <w:rPr/>
        <w:t> </w:t>
      </w:r>
    </w:p>
    <w:p>
      <w:pPr>
        <w:pStyle w:val="TextBody"/>
        <w:bidi w:val="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 xml:space="preserve">Our strategy, which includes investments in e-commerce platforms, digital technology, and other consumer initiatives, may not adequately or effectively allow us to continue to grow our e-commerce business, increase sales, or grow our position in the specialty retail and gifting and collectibles markets such as adult to adult gifting (e.g., Heartbox), adult driven affinity (e.g., The Bear Cave), and occasion gifting (e.g., graduation, Valentine's Day). The success of our strategy will depend on our ability to continue building and delivering a seamless omnichannel shopping experience for consumers. With an increasing allocation of capital expenditures focused on digital initiatives, our failure to successfully execute on individual components of this initiative may adversely affect our financial performance. In addition, a greater concentration of e-commerce sales could result in a reduction in the amount of traffic in our brick-and-mortar locations and materially adversely affect our financial performance. </w:t>
      </w:r>
    </w:p>
    <w:p>
      <w:pPr>
        <w:pStyle w:val="TextBody"/>
        <w:bidi w:val="0"/>
        <w:spacing w:before="0" w:after="0"/>
        <w:ind w:left="0" w:right="0" w:firstLine="540"/>
        <w:jc w:val="both"/>
        <w:rPr/>
      </w:pPr>
      <w:r>
        <w:rPr/>
        <w:t> </w:t>
      </w:r>
    </w:p>
    <w:p>
      <w:pPr>
        <w:pStyle w:val="TextBody"/>
        <w:bidi w:val="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shd w:fill="FFFFFF" w:val="clear"/>
        </w:rPr>
        <w:t>Furthermore, the cost of certain investments in e-commerce and digital technology may adversely impact our financial</w:t>
      </w:r>
      <w:r>
        <w:rPr>
          <w:rFonts w:ascii="Times New Roman;Times;serif" w:hAnsi="Times New Roman;Times;serif"/>
          <w:caps w:val="false"/>
          <w:smallCaps w:val="false"/>
          <w:color w:val="000000"/>
          <w:sz w:val="20"/>
        </w:rPr>
        <w:t xml:space="preserve"> performance in the short-term and failure to realize the benefits of these investments may adversely impact our financial performance over the longer term.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We are subject to risks associated with technology and digital operations.</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Our operations are subject to numerous technology related risks, including risks related to the failure of the computer systems that operate our point of sale and inventory systems, websites and mobile sites and their related support systems. We engage key third-party business partners to support various functions of our business, including, but not limited to, information technology, web hosting and cloud-based services. We, and those third-party businesses that support us, are also subject to risks related to computer viruses, telecommunications failures, and other disruptions. Also, we may require additional capital in the future to sustain or grow our technological infrastructure and digital commerce capabilities.</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Business risks related to technology and digital commerce include risks associated with the need to keep pace with rapid technological change, internet security risks, risks of system failure or inadequacy, governmental regulation and legal uncertainties with respect to the internet, and collection of sales or other taxes by additional states or foreign jurisdictions. If any of these risks occur, it could have a material adverse effect on our business. Further, as our online sales have increased and have become critical to our growth, the risk of any interruption of our information technology system capabilities is heightened.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may not be able to evolve our store locations over time to align with market trends, successfully diversify our store formats and business models in accordance with our strategic goals or otherwise effectively manage our overall portfolio of stores which could adversely affect our ability to grow and could significantly harm our profitability.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Our future results will largely depend on our ability to optimize and maintain store productivity and profitability by strategically evolving our real estate portfolio to align with market trends while selectively opening new locations and systematically refreshing our store base. For example, our real estate development initiatives includes a focus on tourist locations due to changing consumer preferences and declining traditional mall traffic and we cannot be certain that this strategy will be successful. Our ability to manage our portfolio of stores in future years, in desirable locations, as well as to operate stores profitably, particularly in multi-store markets, are key factors in our ability to achieve sustained profitable growth. We cannot be certain when or whether desirable locations will become available, the number of Build-A-Bear Workshop stores that we can or will ultimately open, or whether any such new or relocated stores can be profitably operated. We may decide to close other stores in the future.</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Additionally, in fiscal 2023 we operated 26 stores located within other retailers’ stores and 92 stores through our "third-party wholesale" model and as such are subject to the operational risks of these companies, including but not limited to, ineffective store operations, labor disputes and negative publicity, all of which could have a negative impact on our sales and operating performance.</w:t>
      </w:r>
    </w:p>
    <w:p>
      <w:pPr>
        <w:pStyle w:val="TextBody"/>
        <w:bidi w:val="0"/>
        <w:spacing w:before="0" w:after="0"/>
        <w:ind w:left="0" w:right="144" w:firstLine="54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Our company-owned distribution center that services the majority of our stores in North America and our third-party distribution center providers used in the western U.S. and Europe may be required to close and operations may experience disruptions or may operate inefficiently.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The operation of our stores is dependent on our ability to distribute merchandise to locations throughout the U.S., Canada, and Europe in a timely manner. We own a 350,000-square-foot distribution center in Groveport, Ohio and rely on this warehouse to receive, store and distribute merchandise for the majority of our North American locations and to our third-party retail partners. To operate this distribution center, our ability to meet changing labor needs while controlling our costs is subject to external factors such as labor laws, regulations, unemployment levels, prevailing wage rates, and changing demographics. In addition, we rely on third parties to manage all of the warehousing and distribution aspects of our business in the western U.S. and Europe. For example, as noted above, in Europe, we contract with a third-party distribution center in Selby, England under an agreement that ends in January 2025. Any significant interruption in the operation of the distribution centers due to natural disasters or severe weather, events such as fire, accidents, power outages, system failures, public health issues such as pandemics or other health risks, or other unforeseen causes could damage a significant portion of our inventory. These factors may also impair our ability to adequately stock our stores and fulfill e-commerce orders and could decrease our sales and increase our costs associated with our supply chain.</w:t>
      </w:r>
    </w:p>
    <w:p>
      <w:pPr>
        <w:pStyle w:val="TextBody"/>
        <w:bidi w:val="0"/>
        <w:spacing w:before="0" w:after="0"/>
        <w:ind w:left="0" w:right="144" w:firstLine="54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INTERNATIONAL RISKS</w:t>
      </w:r>
    </w:p>
    <w:p>
      <w:pPr>
        <w:pStyle w:val="TextBody"/>
        <w:bidi w:val="0"/>
        <w:spacing w:before="0" w:after="0"/>
        <w:ind w:left="0" w:right="144" w:firstLine="540"/>
        <w:jc w:val="both"/>
        <w:rPr/>
      </w:pPr>
      <w:r>
        <w:rPr/>
        <w:t> </w:t>
      </w:r>
    </w:p>
    <w:p>
      <w:pPr>
        <w:pStyle w:val="TextBody"/>
        <w:bidi w:val="0"/>
        <w:spacing w:before="0" w:after="0"/>
        <w:ind w:left="0" w:right="144"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We rely on a few global supply chain vendors to supply substantially all of our materials and merchandise, and significant price increases or any disruption in their ability to deliver materials and merchandise could harm our ability to source products and supply inventory to our stores.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shd w:fill="FFFFFF" w:val="clear"/>
        </w:rPr>
        <w:t>We do not own or operate any factories that produce our plush products, clothing, shoes or accessories. In fiscal </w:t>
      </w:r>
      <w:r>
        <w:rPr>
          <w:rFonts w:ascii="Times New Roman;Times;serif" w:hAnsi="Times New Roman;Times;serif"/>
          <w:sz w:val="20"/>
        </w:rPr>
        <w:t>2023</w:t>
      </w:r>
      <w:r>
        <w:rPr>
          <w:rFonts w:ascii="Times New Roman;Times;serif" w:hAnsi="Times New Roman;Times;serif"/>
          <w:sz w:val="20"/>
          <w:shd w:fill="FFFFFF" w:val="clear"/>
        </w:rPr>
        <w:t> we purchased </w:t>
      </w:r>
      <w:r>
        <w:rPr>
          <w:rFonts w:ascii="Times New Roman;Times;serif" w:hAnsi="Times New Roman;Times;serif"/>
          <w:sz w:val="20"/>
        </w:rPr>
        <w:t>73%</w:t>
      </w:r>
      <w:r>
        <w:rPr>
          <w:rFonts w:ascii="Times New Roman;Times;serif" w:hAnsi="Times New Roman;Times;serif"/>
          <w:sz w:val="20"/>
          <w:shd w:fill="FFFFFF" w:val="clear"/>
        </w:rPr>
        <w:t>of our merchandise from five vendors, compared to 77% in fiscal </w:t>
      </w:r>
      <w:r>
        <w:rPr>
          <w:rFonts w:ascii="Times New Roman;Times;serif" w:hAnsi="Times New Roman;Times;serif"/>
          <w:sz w:val="20"/>
        </w:rPr>
        <w:t>2022</w:t>
      </w:r>
      <w:r>
        <w:rPr>
          <w:rFonts w:ascii="Times New Roman;Times;serif" w:hAnsi="Times New Roman;Times;serif"/>
          <w:sz w:val="20"/>
          <w:shd w:fill="FFFFFF" w:val="clear"/>
        </w:rPr>
        <w:t>. These vendors in turn contract for the production of merchandise with multiple manufacturing facilities. Prior to 2020, over 90% of merchandise received annually was produced in China. However, our efforts to diversify our supply chain reduced China sourcing to 63% of merchandise received as production shifted primarily to Vietnam, which provided 29% of our merchandise in 2023. Our relationships with our vendors generally are on a purchase order basis and do not provide a contractual obligation to provide adequate supply or acceptable pricing on a long-term basis. Our vendors could discontinue sourcing merchandise for us at any time. If any of our significant vendors were to discontinue their relationship with us, or if the factories with which they contract were to suffer a disruption in their production, we may be unable to replace the vendors in a timely manner, which could result in short-term or long-term disruption to our inventory flow or quality of the inventory as we transition our orders to new vendors or factories which could, in turn, disrupt our store operations and have an adverse effect on our business, financial condition and results of operations. Such disruptions may result from public health issues such as a pandemic, weather related events, natural disasters, trade restrictions, tariffs, changes in local laws, work stoppages or slowdowns, shipping capacity constraints, supply or shipping interruptions, geopolitical issues or other factors beyond our control. Additionally, in the event of a significant price increase from these suppliers, we may not be able to find alternative sources of supply in a timely manner or raise prices to offset the increases, which could have an adverse effect on our business, financial condition and results of operations.</w:t>
      </w:r>
    </w:p>
    <w:p>
      <w:pPr>
        <w:pStyle w:val="TextBody"/>
        <w:bidi w:val="0"/>
        <w:spacing w:before="0" w:after="0"/>
        <w:ind w:left="0" w:right="144"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may not be able to operate our international corporately-managed locations profitably.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In addition to our U.S. locations, we currently operate stores in the U.K., Canada, and Ireland. Our future success in international markets may be impacted by differences in consumer demand, regulatory and cultural differences, economic conditions, public health issues such as pandemics, changes in foreign government policies and regulations, changes in trading status, compliance with U.S. laws affecting operations outside the U.S., such as the Foreign Corrupt Practices Act, as well as other risks that we may not anticipate. Brand awareness and affinity in international markets may be lower than in the U.S. and we may face higher labor and rent costs, as well as different holiday schedules. Although we have realized benefits from our operations in the U.K. and Ireland, we may be unable to continue to do so on a consistent basis.</w:t>
      </w:r>
    </w:p>
    <w:p>
      <w:pPr>
        <w:pStyle w:val="TextBody"/>
        <w:bidi w:val="0"/>
        <w:spacing w:before="0" w:after="0"/>
        <w:ind w:left="0" w:right="0" w:hanging="0"/>
        <w:jc w:val="left"/>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Additionally, we conduct business globally in many different jurisdictions with currencies other than U.S. dollars. Our results could be negatively impacted by changes or fluctuations in currency exchange rates since we report our consolidated financial results in U.S. dollars. For example, we may purchase products in U.S. dollars but sell them to consumers in local currencies, which exposes us to foreign exchange risk, as described in “</w:t>
      </w:r>
      <w:r>
        <w:rPr>
          <w:rFonts w:ascii="Times New Roman;Times;serif" w:hAnsi="Times New Roman;Times;serif"/>
          <w:i/>
          <w:sz w:val="20"/>
        </w:rPr>
        <w:t>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w:t>
      </w:r>
      <w:r>
        <w:rPr>
          <w:rFonts w:ascii="Times New Roman;Times;serif" w:hAnsi="Times New Roman;Times;serif"/>
          <w:sz w:val="20"/>
        </w:rPr>
        <w:t>” below.  In addition, we could experience restrictions on the transfer of funds to and from foreign countries, including potentially negative tax consequences.</w:t>
      </w:r>
    </w:p>
    <w:p>
      <w:pPr>
        <w:pStyle w:val="TextBody"/>
        <w:bidi w:val="0"/>
        <w:spacing w:before="0" w:after="0"/>
        <w:jc w:val="left"/>
        <w:rPr/>
      </w:pPr>
      <w:r>
        <w:rPr/>
        <w:t xml:space="preserve">  </w:t>
      </w:r>
    </w:p>
    <w:p>
      <w:pPr>
        <w:pStyle w:val="TextBody"/>
        <w:bidi w:val="0"/>
        <w:jc w:val="left"/>
        <w:rPr>
          <w:rFonts w:ascii="Times New Roman;Times;serif" w:hAnsi="Times New Roman;Times;serif"/>
          <w:b/>
          <w:sz w:val="20"/>
          <w:shd w:fill="FFFFFF" w:val="clear"/>
        </w:rPr>
      </w:pPr>
      <w:r>
        <w:rPr>
          <w:rFonts w:ascii="Times New Roman;Times;serif" w:hAnsi="Times New Roman;Times;serif"/>
          <w:b/>
          <w:sz w:val="20"/>
          <w:shd w:fill="FFFFFF" w:val="clear"/>
        </w:rPr>
        <w:t xml:space="preserve">Our merchandise is manufactured by foreign manufacturers and we transact business in various foreign countries, and the availability and costs of our products, as well as our product pricing, may be negatively affected by risks associated with international manufacturing and trade and foreign currency fluctuations. </w:t>
      </w:r>
    </w:p>
    <w:p>
      <w:pPr>
        <w:pStyle w:val="TextBody"/>
        <w:bidi w:val="0"/>
        <w:spacing w:before="0" w:after="283"/>
        <w:jc w:val="left"/>
        <w:rPr/>
      </w:pPr>
      <w:r>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sz w:val="20"/>
          <w:shd w:fill="FFFFFF" w:val="clear"/>
        </w:rPr>
        <w:t>We purchase the majority of our merchandise directly from manufacturers in foreign countries, primarily in China and Vietnam. Any event causing a disruption of imports, including the imposition of import restrictions, taxes or fees, or labor strikes or lockouts and pandemics, could adversely affect our business. For example, our vendors in China and Vietnam were temporarily closed for periods of time in 2021 and 2022 as a result of the COVID pandemic, ceasing production of inventory and supplies. The flow of merchandise from our vendors could also be adversely affected by financial or political instability in any of the countries in which the materials or goods we purchase are manufactured, if the instability affects the production or export of merchandise from those countries. We are subject to trade restrictions in the form of tariffs or quotas, or both, applicable to the products we sell as well as to raw material imported to manufacture those products. Such tariffs or quotas are subject to change.</w:t>
      </w:r>
      <w:r>
        <w:rPr>
          <w:rFonts w:ascii="Times New Roman;Times;serif" w:hAnsi="Times New Roman;Times;serif"/>
          <w:sz w:val="20"/>
        </w:rPr>
        <w:t xml:space="preserve"> </w:t>
      </w:r>
    </w:p>
    <w:p>
      <w:pPr>
        <w:pStyle w:val="TextBody"/>
        <w:bidi w:val="0"/>
        <w:spacing w:before="0" w:after="283"/>
        <w:jc w:val="left"/>
        <w:rPr/>
      </w:pPr>
      <w:r>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sz w:val="20"/>
          <w:shd w:fill="FFFFFF" w:val="clear"/>
        </w:rPr>
        <w:t>Our compliance with the regulations is subject to interpretation and review by applicable authorities. Change in regulations or interpretation could negatively impact our operations by increasing the cost of and reducing the supply of products available to us. In addition, decreases in the value of the U.S. dollar against foreign currencies, particularly the Chinese renminbi and Vietnamese dong, could increase the cost of products we purchase from our vendors. The pricing of our products in our stores may also be affected by changes in foreign currency rates and require us to make adjustments that would impact our revenue and profit in various markets. We purchase all inventory in U.S. dollars, and </w:t>
      </w:r>
      <w:r>
        <w:rPr>
          <w:rFonts w:ascii="Times New Roman;Times;serif" w:hAnsi="Times New Roman;Times;serif"/>
          <w:sz w:val="20"/>
        </w:rPr>
        <w:t xml:space="preserve"> </w:t>
      </w:r>
      <w:r>
        <w:rPr>
          <w:rFonts w:ascii="Times New Roman" w:hAnsi="Times New Roman"/>
          <w:sz w:val="20"/>
        </w:rPr>
        <w:t>our foreign subsidiaries buy their inventory from us in their functional currency, which exposes us to currency risk when their functional currencies fluctuate relative to the U.S. Dollar. </w:t>
      </w:r>
      <w:r>
        <w:rPr>
          <w:rFonts w:ascii="Times New Roman;Times;serif" w:hAnsi="Times New Roman;Times;serif"/>
          <w:sz w:val="20"/>
        </w:rPr>
        <w:t xml:space="preserve">Our business may be adversely impacted by ongoing uncertainty, fluctuations in currency exchange rates, changes in trade policies, or changes in labor, immigration, tax, data privacy or other laws. Any of these effects, among others, could materially and adversely affect our business, results of operations, and financial condition.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If we are unable to effectively manage our international partner-operated locations, attract new partners or if the laws relating to our international partners change, our growth and profitability could be adversely affected, and we could be exposed to additional liability.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As of February 3, 2024, there were 74 Build-A-Bear Workshop international franchised stores and international, third party operated locations. We cannot ensure that our international partners will be successful in identifying and securing desirable locations or in operating their stores. International markets frequently have different demographic characteristics, competitive conditions, consumer tastes and discretionary spending patterns than our corporately-managed markets, which may impact the performance of these stores. Additionally, our international partners may experience financing, merchandising and distribution expenses and challenges that are different from those we encounter in our corporately-managed markets. The operations and results of our international partners could be negatively impacted by the economic, public health (such as a pandemic), or political factors in the countries in which they operate or foreign currency fluctuations. These challenges, as well as others, could have a material adverse effect on their business and in turn negatively impact our own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144" w:firstLine="490"/>
        <w:jc w:val="both"/>
        <w:rPr>
          <w:rFonts w:ascii="Times New Roman;Times;serif" w:hAnsi="Times New Roman;Times;serif"/>
          <w:sz w:val="20"/>
        </w:rPr>
      </w:pPr>
      <w:r>
        <w:rPr>
          <w:rFonts w:ascii="Times New Roman;Times;serif" w:hAnsi="Times New Roman;Times;serif"/>
          <w:sz w:val="20"/>
        </w:rPr>
        <w:t>The success of our franchising business depends upon our ability to attract and maintain qualified franchisees with sufficient financial resources to develop and grow their operations and upon the ability of those franchisees to successfully develop and operate their franchised stores. Franchisees may not operate stores in a manner consistent with our standards and requirements, may not hire and train qualified managers and other store personnel, may not operate their stores profitably and may not pay amounts due to us. As a result, our franchising operations may not be profitable. Moreover, our brand image and reputation may suffer. If franchisees perform below expectations, we may transfer those agreements to other parties, take over the operations directly or discontinue the franchise agreement. Furthermore, the interests of franchisees might sometimes conflict with our interests. For example, whereas franchisees are concerned with their individual business objectives, we are responsible for ensuring the success of the Build-A-Bear brand and all of our stores. In addition, we have recently terminated our franchise agreement covering India resulting in the closure of all stores.</w:t>
      </w:r>
    </w:p>
    <w:p>
      <w:pPr>
        <w:pStyle w:val="TextBody"/>
        <w:bidi w:val="0"/>
        <w:spacing w:before="0" w:after="0"/>
        <w:ind w:left="0" w:right="144" w:firstLine="490"/>
        <w:jc w:val="both"/>
        <w:rPr/>
      </w:pPr>
      <w:r>
        <w:rPr/>
        <w:t> </w:t>
      </w:r>
    </w:p>
    <w:p>
      <w:pPr>
        <w:pStyle w:val="TextBody"/>
        <w:bidi w:val="0"/>
        <w:spacing w:before="0" w:after="0"/>
        <w:ind w:left="0" w:right="144" w:firstLine="490"/>
        <w:jc w:val="both"/>
        <w:rPr>
          <w:rFonts w:ascii="Times New Roman;Times;serif" w:hAnsi="Times New Roman;Times;serif"/>
          <w:sz w:val="20"/>
        </w:rPr>
      </w:pPr>
      <w:r>
        <w:rPr>
          <w:rFonts w:ascii="Times New Roman;Times;serif" w:hAnsi="Times New Roman;Times;serif"/>
          <w:sz w:val="20"/>
        </w:rPr>
        <w:t>A key growth initiative for our business is the global expansion of our unique experience locations through international, third-party operated locations. At the end of fiscal 2023, we had one location open in Milan, Italy and additional locations expected to be opened in 2024 and beyond. The success of this strategy is dependent on our partners operating locations in a manner consistent with our standards and requirements, hiring and training qualified personnel, and operating the stores profitably so as to continue the relationship. We do not have direct control over our business partners and may not have visibility into their practices.</w:t>
      </w:r>
    </w:p>
    <w:p>
      <w:pPr>
        <w:pStyle w:val="TextBody"/>
        <w:bidi w:val="0"/>
        <w:spacing w:before="0" w:after="0"/>
        <w:ind w:left="0" w:right="144" w:firstLine="490"/>
        <w:jc w:val="both"/>
        <w:rPr/>
      </w:pPr>
      <w:r>
        <w:rPr/>
        <w:t> </w:t>
      </w:r>
    </w:p>
    <w:p>
      <w:pPr>
        <w:pStyle w:val="TextBody"/>
        <w:bidi w:val="0"/>
        <w:spacing w:before="0" w:after="0"/>
        <w:ind w:left="0" w:right="144" w:firstLine="490"/>
        <w:jc w:val="both"/>
        <w:rPr>
          <w:rFonts w:ascii="Times New Roman;Times;serif" w:hAnsi="Times New Roman;Times;serif"/>
          <w:sz w:val="20"/>
        </w:rPr>
      </w:pPr>
      <w:r>
        <w:rPr>
          <w:rFonts w:ascii="Times New Roman;Times;serif" w:hAnsi="Times New Roman;Times;serif"/>
          <w:sz w:val="20"/>
        </w:rPr>
        <w:t>The laws of the various foreign countries in which our partners operate as well as compliance with U.S. laws affecting operations outside the U.S., such as the Foreign Corrupt Practices Act, govern our relationships with our partners. These laws, and any new laws that may be enacted, may detrimentally affect the rights and obligations between us and our franchisees and could expose us to additional liability.</w:t>
      </w:r>
    </w:p>
    <w:p>
      <w:pPr>
        <w:pStyle w:val="TextBody"/>
        <w:bidi w:val="0"/>
        <w:spacing w:before="0" w:after="0"/>
        <w:ind w:left="0" w:right="144" w:firstLine="54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LEGAL, TECHNOLOGY AND INTELLECTUAL PROPERTY RISKS</w:t>
      </w:r>
    </w:p>
    <w:p>
      <w:pPr>
        <w:pStyle w:val="TextBody"/>
        <w:bidi w:val="0"/>
        <w:spacing w:before="0" w:after="0"/>
        <w:ind w:left="0" w:right="144" w:hanging="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are subject to a number of risks related to disruptions, failures or security breaches of our information technology infrastructure. If we improperly obtain or are unable to protect our data or violate privacy or security laws or expectations, we could be subject to liability as well as damage to our reputation.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Information technology is a critically important part of our business operations. We depend on information systems to process transactions, manage inventory, operate our websites, manage consumer databases, purchase, sell and ship goods on a timely basis, and maintain cost-efficient operations. There is a risk that we could experience a business interruption, theft of information, or reputational damage as a result of a cyber-attack, such as an infiltration of a data center, or data leakage of confidential information either internally or at our third-party providers. We may experience operational problems with our information systems as a result of system failures, system implementation issues, viruses, malicious hackers, sabotage, code anomalies, “Acts of God,” human error or other causes.</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Our business involves the storage and transmission of consumers’ personal information, such as personal preferences and credit card information. We invest in industry-standard security technology to protect our data and business processes against the risk of data security breaches and cyber-attacks. Our data security management program includes identity, trust, vulnerability and threat management business processes, as well as enforcement of standard data protection policies such as Payment Card Industry compliance. We measure our data security effectiveness through industry accepted methods and remediate critical findings. Additionally, we certify our major technology suppliers and any outsourced services through accepted security certification measures. We maintain and routinely test backup systems and disaster recovery, along with external network security penetration testing by an independent third party as part of our business continuity preparedness. Internet privacy is a rapidly changing area and we may be subject to future requirements and legislation that are costly to implement and may negatively impact our results.</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While we believe that our security technology and processes are adequate in preventing security breaches and in reducing cyber security risks, given the ever-increasing abilities of those intent on breaching cyber security measures and given our reliance on the security and other efforts of third-party vendors, the total security effort at any point in time may not be completely effective, and any such security breaches and cyber incidents could adversely affect our business. Failure of our systems, including failures due to cyber-attacks that would prevent the ability of systems to function as intended, could cause transaction errors, loss of consumers and sales, and could have negative consequences to us, our employees, and those with whom we do business. In addition, our workforce's combination of remote work, hybrid, and flexible work schedules opening us up for cyber-security threats and potential breaches as a result of increased employee usage of networks other than company-managed. Any security breach involving the misappropriation, loss, or other unauthorized disclosure of confidential information could also severely damage our reputation, expose us to the risks of litigation and liability, and harm our business. While we carry insurance that would mitigate the losses to an extent, such insurance may be insufficient to compensate us for potentially significant losses.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currently obtain and retain personal information about our website users, store shoppers and loyalty program members. Federal, state and foreign governments have enacted or may enact laws or regulations regarding the collection and use of personal information, with particular emphasis on the collection of information regarding minors. Such regulation may also include enforcement and redress provisions. We have a stringent, comprehensive privacy policy covering the information we collect from our guests and have established security features to protect our consumer database and websites. While we have implemented programs and procedures designed to protect the privacy of people from whom we collect information which may include information regarding their children, and we intend for our websites to be fully compliant with all applicable regulations including the Federal Children’s Online Privacy Protection Act, there can be no assurance that such programs will conform to all applicable laws or regulations. If we fail to fully comply, we may be subjected to liability and damage to our reputation. In addition, because our guest database primarily includes personal information of the parents of children and children frequently interact with our websites, we are potentially vulnerable to charges from parents, children’s organizations, governmental entities, and the media of engaging in inappropriate collection, distribution or other use of data collected from children. Additionally, while we have security features, our security measures may not protect users’ identities and our online safety measures may be questioned, which may result in negative publicity or a decrease in visitors to our sites. If site users act inappropriately or seek unauthorized contact with other users of the site, it could harm our reputation and, therefore, our business and we could be subject to liability. For example, the EU General Data Protection Regulation - 2016/679 (“EU GDPR”) and related guidance together with the UK General Data Protection Regulation ("UK GDPR," collectively with the EU GDPR, the "GDPR"), and the California Consumer Privacy Act 2018, as amended by the California Privacy Rights Act 2020 (collectively "CCPA"), greatly increase the jurisdictional reach of EU and California law, respectively, and adds a broad array of requirements related to personal data, including individual notice and opt-out preferences and the public disclosure of significant data breaches. Additionally, violations of GDPR can result in fines calculated as a percentage of a company’s annual revenue and CCPA provides civil penalty violations, as well as a private right of action for data breaches. Other governments have enacted or are expected to enact similar data protection laws and are considering data localization laws that require data to stay within their borders. All of these evolving compliance and operational requirements impose significant costs and regulatory risks that are likely to increase over time.</w:t>
      </w:r>
    </w:p>
    <w:p>
      <w:pPr>
        <w:pStyle w:val="TextBody"/>
        <w:bidi w:val="0"/>
        <w:spacing w:before="0" w:after="0"/>
        <w:ind w:left="0" w:right="144" w:firstLine="540"/>
        <w:jc w:val="both"/>
        <w:rPr/>
      </w:pPr>
      <w:r>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A determination that there have been violations of laws relating to our practices under communications-based laws could also expose us to significant damage awards, fines and other penalties that could, individually or in the aggregate, materially harm our business. In particular, because of our marketing and other promotional texts, emails and other communications we send to our users, communications laws that provide a specified monetary damage award or fine for each violation (such as those described below) could result in particularly large awards or fines. For example, the Federal Communications Commission amended certain of its regulations under the Telephone Consumer Protection Act, or TCPA, in 2012 and 2013 in a manner that has increased our exposure to liability for certain types of telephonic communication with customers, including but not limited to text messages to mobile phones. Under the TCPA, plaintiffs seek actual monetary loss or statutory damages of $500 per violation, whichever is greater, and courts could treble the damage award for willful or knowing violations. Given the varied number of communications we send to our users, a determination that there have been violations of the TCPA, or other communications-based statutes, has exposed us to significant damage awards that could, individually or in the aggregate, materially harm our business. In 2021, a putative class action lawsuit was filed against us asserting claims under the TCPA which was ultimately dismissed after we reached a settlement with the plaintiff and an insurance carrier.</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may fail to renew, register or otherwise protect our trademarks or other intellectual property and have been sued by third parties for infringement or misappropriation of their proprietary rights, which could be costly, distract our management and personnel and result in the diminution in value of our trademarks and other important intellectual property.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Other parties have asserted and may assert in the future, trademark, patent, copyright or other intellectual property rights that are important to our business. We cannot be certain that others will not seek to block the use of or seek monetary damages or other remedies for the prior use of our brand names or other intellectual property or the sale of our products or services as a violation of their trademark, patent or other proprietary rights. Defending such claims, even claims without merit, have been time-consuming, and could result in costly settlements, litigation or restrictions on our business and damage our reputation.</w:t>
      </w:r>
    </w:p>
    <w:p>
      <w:pPr>
        <w:pStyle w:val="TextBody"/>
        <w:bidi w:val="0"/>
        <w:spacing w:before="0" w:after="0"/>
        <w:ind w:left="0" w:right="0" w:hanging="0"/>
        <w:jc w:val="left"/>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In addition, there may be prior registrations or use of intellectual property in the U.S. or foreign countries for similar or competing marks or other proprietary rights of which we are not aware. In all such countries, it may be possible for any third-party owner of a national trademark registration or other proprietary right to enjoin or limit our expansion into those countries or to seek damages for our use of such intellectual property in such countries. In the event a claim against us was successful and we could not obtain a license to the relevant intellectual property or redesign or rename our products or operations to avoid infringement, our business, financial condition or results of operations could be harmed. Securing registrations does not fully insulate us against intellectual property claims, as another party may have rights superior to our registration, or our registration may be vulnerable to attack on various grounds.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We may suffer negative publicity or be sued if the manufacturers of our merchandise or of Build-A-Bear branded merchandise sold by our licensees ship any products that do not meet current safety standards or production requirements or if such products are recalled or cause injuries.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Although we require our manufacturers to meet governmental safety standards, including food safety regulations for certain locations, and our product specifications as well as submitting our products for testing, we cannot fully control the materials used by, or the workmanship of, our manufacturers. Additionally, through our agreements, our licensees are required to ensure that their manufacturers meet applicable safety and testing standards. If any of these manufacturers ship merchandise that does not meet our required standards, we could in turn experience negative publicity or be sued.</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Many of our products are used by small children and infants who may be injured from usage if age grading or warnings are not followed. We may decide or be required to recall products or be subject to claims or lawsuits resulting from injuries. For example, we have voluntarily recalled six products in the past ten years due to possible safety issues. While our vendors have historically reimbursed us for certain related expenses, negative publicity in the event of any recall or if any children are injured from our products could have a material adverse effect on sales of our products and our business, and related recalls or lawsuits with respect to such injuries could have a material adverse effect on our financial position. Additionally, we could incur fines related to consumer product safety issues from the regulatory authorities in the countries in which we operate. Although we currently have liability insurance, we cannot assure you that it would cover product recalls or related fines, and we face the risk that claims or liabilities will exceed our insurance coverage. Furthermore, we may not be able to maintain adequate liability insurance in the future. While our licensing agreements typically indemnify us against financial losses resulting from a safety or quality issue from Build-A-Bear branded products sold by our licensees, such indemnification may not fully protect us financially and, whether or not it does, our brand reputation may be negatively impacted.</w:t>
      </w:r>
    </w:p>
    <w:p>
      <w:pPr>
        <w:pStyle w:val="TextBody"/>
        <w:bidi w:val="0"/>
        <w:spacing w:before="0" w:after="0"/>
        <w:ind w:left="0" w:right="144" w:hanging="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may suffer negative publicity or be sued if the manufacturers of our merchandise violate labor laws or engage in practices that consumers believe are unethical.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rely on our sourcing personnel to select manufacturers with legal and ethical labor practices, but we cannot control the business and labor practices of our manufacturers. If one of these manufacturers violates labor laws or other applicable regulations or is accused of violating these laws and regulations, or if such a manufacturer engages in labor or other practices that diverge from those typically acceptable in the U.S., we could in turn experience negative publicity, reputational harm, increased compliance and operating costs or be sued.</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may suffer negative publicity or a decrease in sales or profitability if the products from other companies that we sell in our stores do not meet our quality standards or fail to achieve our sales expectations.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may expand our product assortment to include products manufactured by other companies. If sales of such products do not meet our expectations or are impacted by competitors’ pricing, we may have to take markdowns or employ other strategies to liquidate the product. If other companies do not meet quality or safety standards or violate any manufacturing or labor laws, we may suffer negative publicity and may not realize our sales plans.</w:t>
      </w:r>
    </w:p>
    <w:p>
      <w:pPr>
        <w:pStyle w:val="TextBody"/>
        <w:bidi w:val="0"/>
        <w:spacing w:before="0" w:after="0"/>
        <w:ind w:left="0" w:right="0" w:hanging="0"/>
        <w:jc w:val="left"/>
        <w:rPr/>
      </w:pPr>
      <w:r>
        <w:rPr/>
        <w:t> </w:t>
      </w:r>
    </w:p>
    <w:p>
      <w:pPr>
        <w:pStyle w:val="TextBody"/>
        <w:bidi w:val="0"/>
        <w:spacing w:before="0" w:after="0"/>
        <w:ind w:left="0" w:right="144" w:hanging="0"/>
        <w:jc w:val="left"/>
        <w:rPr>
          <w:rFonts w:ascii="Times New Roman;Times;serif" w:hAnsi="Times New Roman;Times;serif"/>
          <w:sz w:val="20"/>
        </w:rPr>
      </w:pPr>
      <w:r>
        <w:rPr>
          <w:rFonts w:ascii="Times New Roman;Times;serif" w:hAnsi="Times New Roman;Times;serif"/>
          <w:b/>
          <w:sz w:val="20"/>
        </w:rPr>
        <w:t>We may suffer negative publicity and damage to our reputation if we do not continue to evolve environmental, social, and governance initiatives in a timely manner</w:t>
      </w:r>
      <w:r>
        <w:rPr>
          <w:rFonts w:ascii="Times New Roman;Times;serif" w:hAnsi="Times New Roman;Times;serif"/>
          <w:sz w:val="20"/>
        </w:rPr>
        <w:t>.</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The appeal of our brand may also depend on the success of our environmental, social and governance ("ESG") initiatives, which require company-wide coordination and alignment. We are working to manage risks and costs to us, our licensees and our supply chain that are exposed to the effects of climate change as well as diminishing fossil fuel and water resources. These risks include any increased public focus, including by governmental and non-governmental organizations, on climate change and other environmental sustainability matters, including packaging and waste, emissions, and land use. We may receive increased pressure to publish an ESG report or otherwise expand our disclosures in these areas, make commitments, set targets or establish additional goals and take actions to meet them, which could expose us to market, operational and execution costs or risks. If we publish an ESG report or otherwise expand our ESG disclosures, the metrics we disclose whether they be based on the standards we set for ourselves or those set by others, may influence our reputation and the value of our brand. Our failure to accurately track or to achieve progress on any goals or objectives that we set on a timely basis, or at all, could adversely affect our business, financial performance, and growth. By electing to publicly set and share these metrics and expand upon our disclosures, we would also face increased scrutiny related to ESG activities. As a result, we could experience damage to our reputation and the value of our brands if we fail to act responsibly in the areas in which we report. Any such harm to our reputation or any failure or perceived failure by us to adequately address ESG-related activities, including setting of metrics or enhancing disclosures, could adversely affect our business, financial performance, and growth.</w:t>
      </w:r>
    </w:p>
    <w:p>
      <w:pPr>
        <w:pStyle w:val="TextBody"/>
        <w:bidi w:val="0"/>
        <w:spacing w:before="0" w:after="0"/>
        <w:ind w:left="0" w:right="144"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caps/>
          <w:sz w:val="20"/>
        </w:rPr>
      </w:pPr>
      <w:r>
        <w:rPr>
          <w:rFonts w:ascii="Times New Roman;Times;serif" w:hAnsi="Times New Roman;Times;serif"/>
          <w:b/>
          <w:caps/>
          <w:sz w:val="20"/>
        </w:rPr>
        <w:t xml:space="preserve">Risks Related to Owning Our Common Stock </w:t>
      </w:r>
    </w:p>
    <w:p>
      <w:pPr>
        <w:pStyle w:val="TextBody"/>
        <w:bidi w:val="0"/>
        <w:spacing w:before="0" w:after="0"/>
        <w:ind w:left="0" w:right="144" w:hanging="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Fluctuations in our quarterly results of operations could cause the price of our common stock to substantially decline.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Retailers generally are subject to fluctuations in quarterly results. Our operating results for one period may not be indicative of results for other periods, and may fluctuate significantly due to a variety of factors, including:</w:t>
      </w:r>
    </w:p>
    <w:p>
      <w:pPr>
        <w:pStyle w:val="TextBody"/>
        <w:bidi w:val="0"/>
        <w:spacing w:before="0" w:after="0"/>
        <w:ind w:left="0" w:right="0" w:hanging="0"/>
        <w:jc w:val="both"/>
        <w:rPr/>
      </w:pPr>
      <w:r>
        <w:rPr/>
        <w:t> </w:t>
      </w:r>
    </w:p>
    <w:tbl>
      <w:tblPr>
        <w:tblW w:w="2575" w:type="dxa"/>
        <w:jc w:val="left"/>
        <w:tblInd w:w="0" w:type="dxa"/>
        <w:tblLayout w:type="fixed"/>
        <w:tblCellMar>
          <w:top w:w="0" w:type="dxa"/>
          <w:left w:w="0" w:type="dxa"/>
          <w:bottom w:w="0" w:type="dxa"/>
          <w:right w:w="0" w:type="dxa"/>
        </w:tblCellMar>
      </w:tblPr>
      <w:tblGrid>
        <w:gridCol w:w="60"/>
        <w:gridCol w:w="110"/>
        <w:gridCol w:w="240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24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profitability of our stores;</w:t>
            </w:r>
          </w:p>
        </w:tc>
      </w:tr>
    </w:tbl>
    <w:p>
      <w:pPr>
        <w:pStyle w:val="TextBody"/>
        <w:bidi w:val="0"/>
        <w:spacing w:before="0" w:after="0"/>
        <w:ind w:left="0" w:right="144" w:hanging="0"/>
        <w:jc w:val="both"/>
        <w:rPr/>
      </w:pPr>
      <w:r>
        <w:rPr/>
        <w:t> </w:t>
      </w:r>
    </w:p>
    <w:tbl>
      <w:tblPr>
        <w:tblW w:w="3400" w:type="dxa"/>
        <w:jc w:val="left"/>
        <w:tblInd w:w="0" w:type="dxa"/>
        <w:tblLayout w:type="fixed"/>
        <w:tblCellMar>
          <w:top w:w="0" w:type="dxa"/>
          <w:left w:w="0" w:type="dxa"/>
          <w:bottom w:w="0" w:type="dxa"/>
          <w:right w:w="0" w:type="dxa"/>
        </w:tblCellMar>
      </w:tblPr>
      <w:tblGrid>
        <w:gridCol w:w="60"/>
        <w:gridCol w:w="110"/>
        <w:gridCol w:w="323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3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increases or decreases in total revenues;</w:t>
            </w:r>
          </w:p>
        </w:tc>
      </w:tr>
    </w:tbl>
    <w:p>
      <w:pPr>
        <w:pStyle w:val="TextBody"/>
        <w:bidi w:val="0"/>
        <w:spacing w:before="0" w:after="0"/>
        <w:ind w:left="0" w:right="144" w:hanging="0"/>
        <w:jc w:val="both"/>
        <w:rPr/>
      </w:pPr>
      <w:r>
        <w:rPr/>
        <w:t> </w:t>
      </w:r>
    </w:p>
    <w:tbl>
      <w:tblPr>
        <w:tblW w:w="6175" w:type="dxa"/>
        <w:jc w:val="left"/>
        <w:tblInd w:w="0" w:type="dxa"/>
        <w:tblLayout w:type="fixed"/>
        <w:tblCellMar>
          <w:top w:w="0" w:type="dxa"/>
          <w:left w:w="0" w:type="dxa"/>
          <w:bottom w:w="0" w:type="dxa"/>
          <w:right w:w="0" w:type="dxa"/>
        </w:tblCellMar>
      </w:tblPr>
      <w:tblGrid>
        <w:gridCol w:w="60"/>
        <w:gridCol w:w="110"/>
        <w:gridCol w:w="600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60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general economic conditions and consumer spending patterns;</w:t>
            </w:r>
          </w:p>
        </w:tc>
      </w:tr>
    </w:tbl>
    <w:p>
      <w:pPr>
        <w:pStyle w:val="TextBody"/>
        <w:bidi w:val="0"/>
        <w:spacing w:before="0" w:after="0"/>
        <w:ind w:left="0" w:right="144" w:hanging="0"/>
        <w:jc w:val="both"/>
        <w:rPr/>
      </w:pPr>
      <w:r>
        <w:rPr/>
        <w:t> </w:t>
      </w:r>
    </w:p>
    <w:tbl>
      <w:tblPr>
        <w:tblW w:w="4555" w:type="dxa"/>
        <w:jc w:val="left"/>
        <w:tblInd w:w="0" w:type="dxa"/>
        <w:tblLayout w:type="fixed"/>
        <w:tblCellMar>
          <w:top w:w="0" w:type="dxa"/>
          <w:left w:w="0" w:type="dxa"/>
          <w:bottom w:w="0" w:type="dxa"/>
          <w:right w:w="0" w:type="dxa"/>
        </w:tblCellMar>
      </w:tblPr>
      <w:tblGrid>
        <w:gridCol w:w="60"/>
        <w:gridCol w:w="110"/>
        <w:gridCol w:w="438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43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timing and frequency of our marketing initiatives;</w:t>
            </w:r>
          </w:p>
        </w:tc>
      </w:tr>
    </w:tbl>
    <w:p>
      <w:pPr>
        <w:pStyle w:val="TextBody"/>
        <w:bidi w:val="0"/>
        <w:spacing w:before="0" w:after="0"/>
        <w:ind w:left="0" w:right="144" w:hanging="0"/>
        <w:jc w:val="both"/>
        <w:rPr/>
      </w:pPr>
      <w:r>
        <w:rPr/>
        <w:t> </w:t>
      </w:r>
    </w:p>
    <w:tbl>
      <w:tblPr>
        <w:tblW w:w="3745" w:type="dxa"/>
        <w:jc w:val="left"/>
        <w:tblInd w:w="0" w:type="dxa"/>
        <w:tblLayout w:type="fixed"/>
        <w:tblCellMar>
          <w:top w:w="0" w:type="dxa"/>
          <w:left w:w="0" w:type="dxa"/>
          <w:bottom w:w="0" w:type="dxa"/>
          <w:right w:w="0" w:type="dxa"/>
        </w:tblCellMar>
      </w:tblPr>
      <w:tblGrid>
        <w:gridCol w:w="60"/>
        <w:gridCol w:w="110"/>
        <w:gridCol w:w="357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35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foreign currency exchange rates;</w:t>
            </w:r>
          </w:p>
        </w:tc>
      </w:tr>
    </w:tbl>
    <w:p>
      <w:pPr>
        <w:pStyle w:val="TextBody"/>
        <w:bidi w:val="0"/>
        <w:spacing w:before="0" w:after="0"/>
        <w:ind w:left="0" w:right="144" w:hanging="0"/>
        <w:jc w:val="both"/>
        <w:rPr/>
      </w:pPr>
      <w:r>
        <w:rPr/>
        <w:t> </w:t>
      </w:r>
    </w:p>
    <w:tbl>
      <w:tblPr>
        <w:tblW w:w="2440" w:type="dxa"/>
        <w:jc w:val="left"/>
        <w:tblInd w:w="0" w:type="dxa"/>
        <w:tblLayout w:type="fixed"/>
        <w:tblCellMar>
          <w:top w:w="0" w:type="dxa"/>
          <w:left w:w="0" w:type="dxa"/>
          <w:bottom w:w="0" w:type="dxa"/>
          <w:right w:w="0" w:type="dxa"/>
        </w:tblCellMar>
      </w:tblPr>
      <w:tblGrid>
        <w:gridCol w:w="60"/>
        <w:gridCol w:w="110"/>
        <w:gridCol w:w="227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22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seasonal shopping patterns;</w:t>
            </w:r>
          </w:p>
        </w:tc>
      </w:tr>
    </w:tbl>
    <w:p>
      <w:pPr>
        <w:pStyle w:val="TextBody"/>
        <w:bidi w:val="0"/>
        <w:spacing w:before="0" w:after="0"/>
        <w:ind w:left="0" w:right="144" w:hanging="0"/>
        <w:jc w:val="both"/>
        <w:rPr/>
      </w:pPr>
      <w:r>
        <w:rPr/>
        <w:t> </w:t>
      </w:r>
    </w:p>
    <w:tbl>
      <w:tblPr>
        <w:tblW w:w="6295" w:type="dxa"/>
        <w:jc w:val="left"/>
        <w:tblInd w:w="0" w:type="dxa"/>
        <w:tblLayout w:type="fixed"/>
        <w:tblCellMar>
          <w:top w:w="0" w:type="dxa"/>
          <w:left w:w="0" w:type="dxa"/>
          <w:bottom w:w="0" w:type="dxa"/>
          <w:right w:w="0" w:type="dxa"/>
        </w:tblCellMar>
      </w:tblPr>
      <w:tblGrid>
        <w:gridCol w:w="60"/>
        <w:gridCol w:w="110"/>
        <w:gridCol w:w="612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612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timing of store closures, relocations and openings and related expenses;</w:t>
            </w:r>
          </w:p>
        </w:tc>
      </w:tr>
    </w:tbl>
    <w:p>
      <w:pPr>
        <w:pStyle w:val="TextBody"/>
        <w:bidi w:val="0"/>
        <w:spacing w:before="0" w:after="0"/>
        <w:ind w:left="0" w:right="144" w:hanging="0"/>
        <w:jc w:val="both"/>
        <w:rPr/>
      </w:pPr>
      <w:r>
        <w:rPr/>
        <w:t> </w:t>
      </w:r>
    </w:p>
    <w:tbl>
      <w:tblPr>
        <w:tblW w:w="4045" w:type="dxa"/>
        <w:jc w:val="left"/>
        <w:tblInd w:w="0" w:type="dxa"/>
        <w:tblLayout w:type="fixed"/>
        <w:tblCellMar>
          <w:top w:w="0" w:type="dxa"/>
          <w:left w:w="0" w:type="dxa"/>
          <w:bottom w:w="0" w:type="dxa"/>
          <w:right w:w="0" w:type="dxa"/>
        </w:tblCellMar>
      </w:tblPr>
      <w:tblGrid>
        <w:gridCol w:w="60"/>
        <w:gridCol w:w="110"/>
        <w:gridCol w:w="387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38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effectiveness of our inventory management;</w:t>
            </w:r>
          </w:p>
        </w:tc>
      </w:tr>
    </w:tbl>
    <w:p>
      <w:pPr>
        <w:pStyle w:val="TextBody"/>
        <w:bidi w:val="0"/>
        <w:spacing w:before="0" w:after="0"/>
        <w:ind w:left="0" w:right="144" w:hanging="0"/>
        <w:jc w:val="both"/>
        <w:rPr/>
      </w:pPr>
      <w:r>
        <w:rPr/>
        <w:t> </w:t>
      </w:r>
    </w:p>
    <w:tbl>
      <w:tblPr>
        <w:tblW w:w="2905" w:type="dxa"/>
        <w:jc w:val="left"/>
        <w:tblInd w:w="0" w:type="dxa"/>
        <w:tblLayout w:type="fixed"/>
        <w:tblCellMar>
          <w:top w:w="0" w:type="dxa"/>
          <w:left w:w="0" w:type="dxa"/>
          <w:bottom w:w="0" w:type="dxa"/>
          <w:right w:w="0" w:type="dxa"/>
        </w:tblCellMar>
      </w:tblPr>
      <w:tblGrid>
        <w:gridCol w:w="60"/>
        <w:gridCol w:w="110"/>
        <w:gridCol w:w="27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27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changes in consumer preferences;</w:t>
            </w:r>
          </w:p>
        </w:tc>
      </w:tr>
    </w:tbl>
    <w:p>
      <w:pPr>
        <w:pStyle w:val="TextBody"/>
        <w:bidi w:val="0"/>
        <w:spacing w:before="0" w:after="0"/>
        <w:ind w:left="0" w:right="144" w:hanging="0"/>
        <w:jc w:val="both"/>
        <w:rPr/>
      </w:pPr>
      <w:r>
        <w:rPr/>
        <w:t> </w:t>
      </w:r>
    </w:p>
    <w:tbl>
      <w:tblPr>
        <w:tblW w:w="10150" w:type="dxa"/>
        <w:jc w:val="left"/>
        <w:tblInd w:w="0" w:type="dxa"/>
        <w:tblLayout w:type="fixed"/>
        <w:tblCellMar>
          <w:top w:w="0" w:type="dxa"/>
          <w:left w:w="0" w:type="dxa"/>
          <w:bottom w:w="0" w:type="dxa"/>
          <w:right w:w="0" w:type="dxa"/>
        </w:tblCellMar>
      </w:tblPr>
      <w:tblGrid>
        <w:gridCol w:w="60"/>
        <w:gridCol w:w="110"/>
        <w:gridCol w:w="998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99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continued introduction and expansion of merchandise offerings including those associated with major motion pictures;</w:t>
            </w:r>
          </w:p>
        </w:tc>
      </w:tr>
    </w:tbl>
    <w:p>
      <w:pPr>
        <w:pStyle w:val="TextBody"/>
        <w:bidi w:val="0"/>
        <w:spacing w:before="0" w:after="0"/>
        <w:ind w:left="0" w:right="144" w:hanging="0"/>
        <w:jc w:val="both"/>
        <w:rPr/>
      </w:pPr>
      <w:r>
        <w:rPr/>
        <w:t> </w:t>
      </w:r>
    </w:p>
    <w:tbl>
      <w:tblPr>
        <w:tblW w:w="4570" w:type="dxa"/>
        <w:jc w:val="left"/>
        <w:tblInd w:w="0" w:type="dxa"/>
        <w:tblLayout w:type="fixed"/>
        <w:tblCellMar>
          <w:top w:w="0" w:type="dxa"/>
          <w:left w:w="0" w:type="dxa"/>
          <w:bottom w:w="0" w:type="dxa"/>
          <w:right w:w="0" w:type="dxa"/>
        </w:tblCellMar>
      </w:tblPr>
      <w:tblGrid>
        <w:gridCol w:w="60"/>
        <w:gridCol w:w="110"/>
        <w:gridCol w:w="440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440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actions of competitors or mall anchors and co-tenants;</w:t>
            </w:r>
          </w:p>
        </w:tc>
      </w:tr>
    </w:tbl>
    <w:p>
      <w:pPr>
        <w:pStyle w:val="TextBody"/>
        <w:bidi w:val="0"/>
        <w:spacing w:before="0" w:after="0"/>
        <w:ind w:left="0" w:right="144" w:hanging="0"/>
        <w:jc w:val="both"/>
        <w:rPr/>
      </w:pPr>
      <w:r>
        <w:rPr/>
        <w:t> </w:t>
      </w:r>
    </w:p>
    <w:tbl>
      <w:tblPr>
        <w:tblW w:w="3490" w:type="dxa"/>
        <w:jc w:val="left"/>
        <w:tblInd w:w="0" w:type="dxa"/>
        <w:tblLayout w:type="fixed"/>
        <w:tblCellMar>
          <w:top w:w="0" w:type="dxa"/>
          <w:left w:w="0" w:type="dxa"/>
          <w:bottom w:w="0" w:type="dxa"/>
          <w:right w:w="0" w:type="dxa"/>
        </w:tblCellMar>
      </w:tblPr>
      <w:tblGrid>
        <w:gridCol w:w="60"/>
        <w:gridCol w:w="110"/>
        <w:gridCol w:w="332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33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weather conditions and natural disasters;</w:t>
            </w:r>
          </w:p>
        </w:tc>
      </w:tr>
    </w:tbl>
    <w:p>
      <w:pPr>
        <w:pStyle w:val="TextBody"/>
        <w:bidi w:val="0"/>
        <w:spacing w:before="0" w:after="0"/>
        <w:ind w:left="0" w:right="144" w:hanging="0"/>
        <w:jc w:val="both"/>
        <w:rPr/>
      </w:pPr>
      <w:r>
        <w:rPr/>
        <w:t> </w:t>
      </w:r>
    </w:p>
    <w:tbl>
      <w:tblPr>
        <w:tblW w:w="8455" w:type="dxa"/>
        <w:jc w:val="left"/>
        <w:tblInd w:w="0" w:type="dxa"/>
        <w:tblLayout w:type="fixed"/>
        <w:tblCellMar>
          <w:top w:w="0" w:type="dxa"/>
          <w:left w:w="0" w:type="dxa"/>
          <w:bottom w:w="0" w:type="dxa"/>
          <w:right w:w="0" w:type="dxa"/>
        </w:tblCellMar>
      </w:tblPr>
      <w:tblGrid>
        <w:gridCol w:w="60"/>
        <w:gridCol w:w="110"/>
        <w:gridCol w:w="828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828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public health issues such as pandemics, and associated impacts on store openings and store operations</w:t>
            </w:r>
          </w:p>
        </w:tc>
      </w:tr>
    </w:tbl>
    <w:p>
      <w:pPr>
        <w:pStyle w:val="TextBody"/>
        <w:bidi w:val="0"/>
        <w:spacing w:before="0" w:after="0"/>
        <w:ind w:left="0" w:right="144" w:hanging="0"/>
        <w:jc w:val="both"/>
        <w:rPr/>
      </w:pPr>
      <w:r>
        <w:rPr/>
        <w:t> </w:t>
      </w:r>
    </w:p>
    <w:tbl>
      <w:tblPr>
        <w:tblW w:w="7840" w:type="dxa"/>
        <w:jc w:val="left"/>
        <w:tblInd w:w="0" w:type="dxa"/>
        <w:tblLayout w:type="fixed"/>
        <w:tblCellMar>
          <w:top w:w="0" w:type="dxa"/>
          <w:left w:w="0" w:type="dxa"/>
          <w:bottom w:w="0" w:type="dxa"/>
          <w:right w:w="0" w:type="dxa"/>
        </w:tblCellMar>
      </w:tblPr>
      <w:tblGrid>
        <w:gridCol w:w="60"/>
        <w:gridCol w:w="110"/>
        <w:gridCol w:w="767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76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timing and frequency of national media appearances and other public relations events; and</w:t>
            </w:r>
          </w:p>
        </w:tc>
      </w:tr>
    </w:tbl>
    <w:p>
      <w:pPr>
        <w:pStyle w:val="TextBody"/>
        <w:bidi w:val="0"/>
        <w:spacing w:before="0" w:after="0"/>
        <w:ind w:left="0" w:right="144" w:hanging="0"/>
        <w:jc w:val="both"/>
        <w:rPr/>
      </w:pPr>
      <w:r>
        <w:rPr/>
        <w:t> </w:t>
      </w:r>
    </w:p>
    <w:tbl>
      <w:tblPr>
        <w:tblW w:w="9790" w:type="dxa"/>
        <w:jc w:val="left"/>
        <w:tblInd w:w="0" w:type="dxa"/>
        <w:tblLayout w:type="fixed"/>
        <w:tblCellMar>
          <w:top w:w="0" w:type="dxa"/>
          <w:left w:w="0" w:type="dxa"/>
          <w:bottom w:w="0" w:type="dxa"/>
          <w:right w:w="0" w:type="dxa"/>
        </w:tblCellMar>
      </w:tblPr>
      <w:tblGrid>
        <w:gridCol w:w="60"/>
        <w:gridCol w:w="110"/>
        <w:gridCol w:w="962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96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impact of a 53rd week in our fiscal year, which occurs approximately every six years, (e.g., occurred in fiscal 2023).</w:t>
            </w:r>
          </w:p>
        </w:tc>
      </w:tr>
    </w:tbl>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If our future quarterly results fluctuate significantly or fail to meet the expectations of the investment community, then the market price of our common stock could decline substantially.</w:t>
      </w:r>
    </w:p>
    <w:p>
      <w:pPr>
        <w:pStyle w:val="TextBody"/>
        <w:bidi w:val="0"/>
        <w:spacing w:before="0" w:after="0"/>
        <w:ind w:left="0" w:right="144" w:hanging="0"/>
        <w:jc w:val="both"/>
        <w:rPr/>
      </w:pPr>
      <w:r>
        <w:rPr/>
        <w:t> </w:t>
      </w:r>
    </w:p>
    <w:p>
      <w:pPr>
        <w:pStyle w:val="TextBody"/>
        <w:bidi w:val="0"/>
        <w:spacing w:before="0" w:after="0"/>
        <w:ind w:left="0" w:right="144" w:hanging="0"/>
        <w:jc w:val="both"/>
        <w:rPr>
          <w:rFonts w:ascii="Times New Roman;Times;serif" w:hAnsi="Times New Roman;Times;serif"/>
          <w:sz w:val="20"/>
        </w:rPr>
      </w:pPr>
      <w:r>
        <w:rPr>
          <w:rFonts w:ascii="Times New Roman;Times;serif" w:hAnsi="Times New Roman;Times;serif"/>
          <w:b/>
          <w:sz w:val="20"/>
        </w:rPr>
        <w:t>Fluctuations in our operating results could reduce our cash flow, or trigger restrictions under our credit agreement,</w:t>
      </w:r>
      <w:r>
        <w:rPr>
          <w:rFonts w:ascii="Times New Roman;Times;serif" w:hAnsi="Times New Roman;Times;serif"/>
          <w:sz w:val="20"/>
        </w:rPr>
        <w:t xml:space="preserve"> </w:t>
      </w:r>
      <w:r>
        <w:rPr>
          <w:rFonts w:ascii="Times New Roman;Times;serif" w:hAnsi="Times New Roman;Times;serif"/>
          <w:b/>
          <w:sz w:val="20"/>
        </w:rPr>
        <w:t>cause use to be unable to repurchase shares at all, at the times or in the amounts we desire, cause the results of our share repurchase program may not be as beneficial as we would like, or cause us to discontinue our quarterly dividend program. </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From time to time, we have repurchased shares under plans authorized by our Board of Directors, including a $50 million program adopted in August 2022. Such programs generally do not require us to repurchase any specific number of shares, and may be modified, suspended or terminated at any time without prior notice. Shares repurchased under the program will be subsequently retired. If our cash flow decreases as a result of decreased sales, increased expenses or capital expenditures or other uses of cash, we may not be able to repurchase shares of our common stock at all or at times or in the amounts we desire. As a result, the results of any share repurchase program may not be as beneficial as expected. Additionally, cash flow decreases could cause us to discontinue the recently announced Board of Director approved quarterly dividend program. Our credit agreement restricts our ability to repurchase shares and issue dividends when certain liquidity conditions exist.</w:t>
      </w:r>
    </w:p>
    <w:p>
      <w:pPr>
        <w:pStyle w:val="TextBody"/>
        <w:bidi w:val="0"/>
        <w:spacing w:before="0" w:after="0"/>
        <w:ind w:left="0" w:right="288"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288" w:hanging="0"/>
        <w:jc w:val="both"/>
        <w:rPr>
          <w:rFonts w:ascii="Times New Roman;Times;serif" w:hAnsi="Times New Roman;Times;serif"/>
          <w:b/>
          <w:sz w:val="20"/>
        </w:rPr>
      </w:pPr>
      <w:r>
        <w:rPr>
          <w:rFonts w:ascii="Times New Roman;Times;serif" w:hAnsi="Times New Roman;Times;serif"/>
          <w:b/>
          <w:sz w:val="20"/>
        </w:rPr>
        <w:t>Our relatively low market capitalization can cause the market price of our common stock to become volatile.</w:t>
      </w:r>
    </w:p>
    <w:p>
      <w:pPr>
        <w:pStyle w:val="TextBody"/>
        <w:bidi w:val="0"/>
        <w:spacing w:before="0" w:after="0"/>
        <w:ind w:left="0" w:right="288" w:hanging="0"/>
        <w:jc w:val="both"/>
        <w:rPr/>
      </w:pPr>
      <w:r>
        <w:rPr/>
        <w:t> </w:t>
      </w:r>
    </w:p>
    <w:p>
      <w:pPr>
        <w:pStyle w:val="TextBody"/>
        <w:bidi w:val="0"/>
        <w:spacing w:before="0" w:after="0"/>
        <w:ind w:left="0" w:right="288" w:firstLine="540"/>
        <w:jc w:val="both"/>
        <w:rPr>
          <w:rFonts w:ascii="Times New Roman;Times;serif" w:hAnsi="Times New Roman;Times;serif"/>
          <w:sz w:val="20"/>
        </w:rPr>
      </w:pPr>
      <w:r>
        <w:rPr>
          <w:rFonts w:ascii="Times New Roman;Times;serif" w:hAnsi="Times New Roman;Times;serif"/>
          <w:sz w:val="20"/>
        </w:rPr>
        <w:t>During fiscal 2023, the trading price of our common stock fluctuated between $17.85 and $30.49 per share. The market price of our common stock may be significantly affected by a number of factors, including, but not limited to, actual or anticipated variations in our operating results or those of our competitors as compared to analyst expectations, changes in financial estimates by research analysts with respect to us or others in the retail industry, and announcements of significant transactions (including mergers or acquisitions, divestitures, joint ventures, stock repurchases, dividends, or other strategic initiatives) by us or other similar companies. In addition, the equity markets have experienced price and volume fluctuations that affect the stock price of companies in ways that have been unrelated to an individual company’s operating performance. The price of our common stock may continue to be volatile, based on factors specific to our company and industry, as well as factors related to the equity markets overall. Moreover, we believe that such volatility has attracted the interest of activist shareholders in the past and may continue to do so. Responding to activist shareholders can be costly and time-consuming, and the perceived uncertainties as to our future direction resulting from responding to activist strategies could itself then further affect the market price and volatility of our common stock.</w:t>
      </w:r>
    </w:p>
    <w:p>
      <w:pPr>
        <w:pStyle w:val="TextBody"/>
        <w:bidi w:val="0"/>
        <w:spacing w:before="0" w:after="283"/>
        <w:jc w:val="left"/>
        <w:rPr/>
      </w:pPr>
      <w:r>
        <w:rPr/>
        <w:t xml:space="preserve">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Our certificate of incorporation and bylaws and Delaware law contain provisions that may prevent or frustrate attempts to replace or remove our current management by our stockholders, even if such replacement or removal may be in our stockholders’ best interests.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Our basic corporate documents and Delaware law contain provisions that might enable our management to resist a takeover. These provisions:</w:t>
      </w:r>
    </w:p>
    <w:p>
      <w:pPr>
        <w:pStyle w:val="TextBody"/>
        <w:bidi w:val="0"/>
        <w:spacing w:before="0" w:after="0"/>
        <w:ind w:left="0" w:right="0" w:hanging="0"/>
        <w:jc w:val="left"/>
        <w:rPr/>
      </w:pPr>
      <w:r>
        <w:rPr/>
        <w:t> </w:t>
      </w:r>
    </w:p>
    <w:tbl>
      <w:tblPr>
        <w:tblW w:w="6430" w:type="dxa"/>
        <w:jc w:val="left"/>
        <w:tblInd w:w="0" w:type="dxa"/>
        <w:tblLayout w:type="fixed"/>
        <w:tblCellMar>
          <w:top w:w="0" w:type="dxa"/>
          <w:left w:w="0" w:type="dxa"/>
          <w:bottom w:w="0" w:type="dxa"/>
          <w:right w:w="0" w:type="dxa"/>
        </w:tblCellMar>
      </w:tblPr>
      <w:tblGrid>
        <w:gridCol w:w="60"/>
        <w:gridCol w:w="110"/>
        <w:gridCol w:w="626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626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restrict various types of business combinations with significant stockholders;</w:t>
            </w:r>
          </w:p>
        </w:tc>
      </w:tr>
    </w:tbl>
    <w:p>
      <w:pPr>
        <w:pStyle w:val="TextBody"/>
        <w:bidi w:val="0"/>
        <w:spacing w:before="0" w:after="0"/>
        <w:ind w:left="0" w:right="144" w:hanging="0"/>
        <w:jc w:val="both"/>
        <w:rPr/>
      </w:pPr>
      <w:r>
        <w:rPr/>
        <w:t> </w:t>
      </w:r>
    </w:p>
    <w:tbl>
      <w:tblPr>
        <w:tblW w:w="3565" w:type="dxa"/>
        <w:jc w:val="left"/>
        <w:tblInd w:w="0" w:type="dxa"/>
        <w:tblLayout w:type="fixed"/>
        <w:tblCellMar>
          <w:top w:w="0" w:type="dxa"/>
          <w:left w:w="0" w:type="dxa"/>
          <w:bottom w:w="0" w:type="dxa"/>
          <w:right w:w="0" w:type="dxa"/>
        </w:tblCellMar>
      </w:tblPr>
      <w:tblGrid>
        <w:gridCol w:w="60"/>
        <w:gridCol w:w="110"/>
        <w:gridCol w:w="339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33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provide for a classified board of directors;</w:t>
            </w:r>
          </w:p>
        </w:tc>
      </w:tr>
    </w:tbl>
    <w:p>
      <w:pPr>
        <w:pStyle w:val="TextBody"/>
        <w:bidi w:val="0"/>
        <w:spacing w:before="0" w:after="0"/>
        <w:ind w:left="0" w:right="144" w:hanging="0"/>
        <w:jc w:val="both"/>
        <w:rPr/>
      </w:pPr>
      <w:r>
        <w:rPr/>
        <w:t> </w:t>
      </w:r>
    </w:p>
    <w:tbl>
      <w:tblPr>
        <w:tblW w:w="7750" w:type="dxa"/>
        <w:jc w:val="left"/>
        <w:tblInd w:w="0" w:type="dxa"/>
        <w:tblLayout w:type="fixed"/>
        <w:tblCellMar>
          <w:top w:w="0" w:type="dxa"/>
          <w:left w:w="0" w:type="dxa"/>
          <w:bottom w:w="0" w:type="dxa"/>
          <w:right w:w="0" w:type="dxa"/>
        </w:tblCellMar>
      </w:tblPr>
      <w:tblGrid>
        <w:gridCol w:w="60"/>
        <w:gridCol w:w="110"/>
        <w:gridCol w:w="758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758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 the right of stockholders to remove directors or change the size of the board of directors;</w:t>
            </w:r>
          </w:p>
        </w:tc>
      </w:tr>
    </w:tbl>
    <w:p>
      <w:pPr>
        <w:pStyle w:val="TextBody"/>
        <w:bidi w:val="0"/>
        <w:spacing w:before="0" w:after="0"/>
        <w:ind w:left="0" w:right="144" w:hanging="0"/>
        <w:jc w:val="both"/>
        <w:rPr/>
      </w:pPr>
      <w:r>
        <w:rPr/>
        <w:t> </w:t>
      </w:r>
    </w:p>
    <w:tbl>
      <w:tblPr>
        <w:tblW w:w="6025" w:type="dxa"/>
        <w:jc w:val="left"/>
        <w:tblInd w:w="0" w:type="dxa"/>
        <w:tblLayout w:type="fixed"/>
        <w:tblCellMar>
          <w:top w:w="0" w:type="dxa"/>
          <w:left w:w="0" w:type="dxa"/>
          <w:bottom w:w="0" w:type="dxa"/>
          <w:right w:w="0" w:type="dxa"/>
        </w:tblCellMar>
      </w:tblPr>
      <w:tblGrid>
        <w:gridCol w:w="60"/>
        <w:gridCol w:w="110"/>
        <w:gridCol w:w="585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585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 the right of stockholders to fill vacancies on the board of directors;</w:t>
            </w:r>
          </w:p>
        </w:tc>
      </w:tr>
    </w:tbl>
    <w:p>
      <w:pPr>
        <w:pStyle w:val="TextBody"/>
        <w:bidi w:val="0"/>
        <w:spacing w:before="0" w:after="0"/>
        <w:ind w:left="0" w:right="144"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 the right of stockholders to act by written consent and to call a special meeting of stockholders or propose other actions;</w:t>
            </w:r>
          </w:p>
        </w:tc>
      </w:tr>
    </w:tbl>
    <w:p>
      <w:pPr>
        <w:pStyle w:val="TextBody"/>
        <w:bidi w:val="0"/>
        <w:spacing w:before="0" w:after="0"/>
        <w:ind w:left="0" w:right="144"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require a higher percentage of stockholders than would otherwise be required to amend, alter, change or repeal our bylaws and certain provisions of our certificate of incorporation; and</w:t>
            </w:r>
          </w:p>
        </w:tc>
      </w:tr>
    </w:tbl>
    <w:p>
      <w:pPr>
        <w:pStyle w:val="TextBody"/>
        <w:bidi w:val="0"/>
        <w:spacing w:before="0" w:after="0"/>
        <w:ind w:left="0" w:right="144"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authorize the issuance of preferred stock with any voting rights, dividend rights, conversion privileges, redemption rights and liquidation rights and other rights, preferences, privileges, powers, qualifications, limitations or restrictions as may be specified by our board of directors.</w:t>
            </w:r>
          </w:p>
        </w:tc>
      </w:tr>
    </w:tbl>
    <w:p>
      <w:pPr>
        <w:pStyle w:val="TextBody"/>
        <w:bidi w:val="0"/>
        <w:spacing w:before="0" w:after="0"/>
        <w:ind w:left="0" w:right="144" w:hanging="0"/>
        <w:jc w:val="both"/>
        <w:rPr/>
      </w:pPr>
      <w:r>
        <w:rPr/>
        <w:t> </w:t>
      </w:r>
    </w:p>
    <w:p>
      <w:pPr>
        <w:pStyle w:val="TextBody"/>
        <w:bidi w:val="0"/>
        <w:spacing w:before="0" w:after="0"/>
        <w:ind w:left="0" w:right="144" w:firstLine="490"/>
        <w:jc w:val="both"/>
        <w:rPr>
          <w:rFonts w:ascii="Times New Roman;Times;serif" w:hAnsi="Times New Roman;Times;serif"/>
          <w:sz w:val="20"/>
        </w:rPr>
      </w:pPr>
      <w:r>
        <w:rPr>
          <w:rFonts w:ascii="Times New Roman;Times;serif" w:hAnsi="Times New Roman;Times;serif"/>
          <w:sz w:val="20"/>
        </w:rPr>
        <w:t>These provisions may:</w:t>
      </w:r>
    </w:p>
    <w:p>
      <w:pPr>
        <w:pStyle w:val="TextBody"/>
        <w:bidi w:val="0"/>
        <w:spacing w:before="0" w:after="0"/>
        <w:ind w:left="0" w:right="144"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discourage, delay or prevent a change in the control of our company or a change in our management, even if such change may be in the best interests of our stockholders;</w:t>
            </w:r>
          </w:p>
        </w:tc>
      </w:tr>
    </w:tbl>
    <w:p>
      <w:pPr>
        <w:pStyle w:val="TextBody"/>
        <w:bidi w:val="0"/>
        <w:spacing w:before="0" w:after="0"/>
        <w:ind w:left="0" w:right="144" w:hanging="0"/>
        <w:jc w:val="both"/>
        <w:rPr/>
      </w:pPr>
      <w:r>
        <w:rPr/>
        <w:t> </w:t>
      </w:r>
    </w:p>
    <w:tbl>
      <w:tblPr>
        <w:tblW w:w="5590" w:type="dxa"/>
        <w:jc w:val="left"/>
        <w:tblInd w:w="0" w:type="dxa"/>
        <w:tblLayout w:type="fixed"/>
        <w:tblCellMar>
          <w:top w:w="0" w:type="dxa"/>
          <w:left w:w="0" w:type="dxa"/>
          <w:bottom w:w="0" w:type="dxa"/>
          <w:right w:w="0" w:type="dxa"/>
        </w:tblCellMar>
      </w:tblPr>
      <w:tblGrid>
        <w:gridCol w:w="60"/>
        <w:gridCol w:w="110"/>
        <w:gridCol w:w="5420"/>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542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adversely affect the voting power of holders of common stock; and</w:t>
            </w:r>
          </w:p>
        </w:tc>
      </w:tr>
    </w:tbl>
    <w:p>
      <w:pPr>
        <w:pStyle w:val="TextBody"/>
        <w:bidi w:val="0"/>
        <w:spacing w:before="0" w:after="0"/>
        <w:ind w:left="0" w:right="144" w:hanging="0"/>
        <w:jc w:val="both"/>
        <w:rPr/>
      </w:pPr>
      <w:r>
        <w:rPr/>
        <w:t> </w:t>
      </w:r>
    </w:p>
    <w:tbl>
      <w:tblPr>
        <w:tblW w:w="8065" w:type="dxa"/>
        <w:jc w:val="left"/>
        <w:tblInd w:w="0" w:type="dxa"/>
        <w:tblLayout w:type="fixed"/>
        <w:tblCellMar>
          <w:top w:w="0" w:type="dxa"/>
          <w:left w:w="0" w:type="dxa"/>
          <w:bottom w:w="0" w:type="dxa"/>
          <w:right w:w="0" w:type="dxa"/>
        </w:tblCellMar>
      </w:tblPr>
      <w:tblGrid>
        <w:gridCol w:w="60"/>
        <w:gridCol w:w="110"/>
        <w:gridCol w:w="7895"/>
      </w:tblGrid>
      <w:tr>
        <w:trPr/>
        <w:tc>
          <w:tcPr>
            <w:tcW w:w="60" w:type="dxa"/>
            <w:tcBorders/>
            <w:vAlign w:val="center"/>
          </w:tcPr>
          <w:p>
            <w:pPr>
              <w:pStyle w:val="TableContents"/>
              <w:bidi w:val="0"/>
              <w:spacing w:before="0" w:after="0"/>
              <w:ind w:left="0" w:right="0" w:hanging="0"/>
              <w:jc w:val="both"/>
              <w:rPr/>
            </w:pPr>
            <w:r>
              <w:rPr/>
              <w:t> </w:t>
            </w:r>
          </w:p>
        </w:tc>
        <w:tc>
          <w:tcPr>
            <w:tcW w:w="110" w:type="dxa"/>
            <w:tcBorders/>
            <w:vAlign w:val="center"/>
          </w:tcPr>
          <w:p>
            <w:pPr>
              <w:pStyle w:val="TableContents"/>
              <w:bidi w:val="0"/>
              <w:spacing w:before="0" w:after="0"/>
              <w:ind w:left="0" w:right="0" w:hanging="0"/>
              <w:jc w:val="both"/>
              <w:rPr/>
            </w:pPr>
            <w:r>
              <w:rPr/>
              <w:t>•</w:t>
            </w:r>
          </w:p>
        </w:tc>
        <w:tc>
          <w:tcPr>
            <w:tcW w:w="789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limit the price that investors might be willing to pay in the future for shares of our common stock.</w:t>
            </w:r>
          </w:p>
        </w:tc>
      </w:tr>
    </w:tbl>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GENERAL RISKS</w:t>
      </w:r>
    </w:p>
    <w:p>
      <w:pPr>
        <w:pStyle w:val="TextBody"/>
        <w:bidi w:val="0"/>
        <w:spacing w:before="0" w:after="0"/>
        <w:ind w:left="0" w:right="144" w:hanging="0"/>
        <w:jc w:val="both"/>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may not be able to operate successfully if we lose key personnel, are unable to hire qualified additional personnel, or experience turnover of our management team.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The success of our business depends upon the quality of associates throughout our organization and our ability to attract and retain qualified key employees. The loss of certain key employees, change in management for strategic purposes, our inability to attract and retain other qualified key employees or a labor shortage that reduces the pool of qualified candidates could have a material adverse effect on our business, financial condition and results of operations. Impacts resulting from turnover of key management personal or a named executive officer, such as the termination of our Chief Digital and Merchandising Officer as of February 3, 2024, could materially harm our business or operating strategies.</w:t>
      </w:r>
    </w:p>
    <w:p>
      <w:pPr>
        <w:pStyle w:val="TextBody"/>
        <w:bidi w:val="0"/>
        <w:spacing w:before="0" w:after="0"/>
        <w:ind w:left="0" w:right="144"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144" w:hanging="0"/>
        <w:jc w:val="both"/>
        <w:rPr>
          <w:rFonts w:ascii="Times New Roman;Times;serif" w:hAnsi="Times New Roman;Times;serif"/>
          <w:b/>
          <w:sz w:val="20"/>
        </w:rPr>
      </w:pPr>
      <w:r>
        <w:rPr>
          <w:rFonts w:ascii="Times New Roman;Times;serif" w:hAnsi="Times New Roman;Times;serif"/>
          <w:b/>
          <w:sz w:val="20"/>
        </w:rPr>
        <w:t xml:space="preserve">We may be unsuccessful in acquiring businesses or engaging in other strategic transactions, which may negatively affect our financial condition and profitability. </w:t>
      </w:r>
    </w:p>
    <w:p>
      <w:pPr>
        <w:pStyle w:val="TextBody"/>
        <w:bidi w:val="0"/>
        <w:spacing w:before="0" w:after="0"/>
        <w:ind w:left="0" w:right="144"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We may from time to time engage in discussions and negotiations regarding acquisitions or other strategic transactions that could affect our financial condition, profitability or other aspects of our business. There can be no assurance that we will be able to identify suitable acquisition targets that we believe complement our existing business. There can also be no assurance that if we acquire a business, we will be successful in integrating it into our overall operations, or that any such acquired company will operate profitably or will not otherwise adversely impact our financial condition.</w:t>
      </w:r>
    </w:p>
    <w:p>
      <w:pPr>
        <w:pStyle w:val="TextBody"/>
        <w:bidi w:val="0"/>
        <w:spacing w:before="0" w:after="0"/>
        <w:ind w:left="0" w:right="144" w:hanging="0"/>
        <w:jc w:val="both"/>
        <w:rPr/>
      </w:pPr>
      <w:r>
        <w:rPr/>
        <w:t> </w:t>
      </w:r>
    </w:p>
    <w:p>
      <w:pPr>
        <w:pStyle w:val="TextBody"/>
        <w:bidi w:val="0"/>
        <w:spacing w:before="0" w:after="0"/>
        <w:ind w:left="0" w:right="0" w:hanging="0"/>
        <w:jc w:val="left"/>
        <w:rPr/>
      </w:pPr>
      <w:r>
        <w:rPr/>
        <w:t> </w:t>
      </w:r>
    </w:p>
    <w:tbl>
      <w:tblPr>
        <w:tblW w:w="4270" w:type="dxa"/>
        <w:jc w:val="left"/>
        <w:tblInd w:w="0" w:type="dxa"/>
        <w:tblLayout w:type="fixed"/>
        <w:tblCellMar>
          <w:top w:w="0" w:type="dxa"/>
          <w:left w:w="0" w:type="dxa"/>
          <w:bottom w:w="0" w:type="dxa"/>
          <w:right w:w="0" w:type="dxa"/>
        </w:tblCellMar>
      </w:tblPr>
      <w:tblGrid>
        <w:gridCol w:w="1010"/>
        <w:gridCol w:w="3260"/>
      </w:tblGrid>
      <w:tr>
        <w:trPr/>
        <w:tc>
          <w:tcPr>
            <w:tcW w:w="101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7" w:name="i1b"/>
            <w:bookmarkEnd w:id="7"/>
            <w:r>
              <w:rPr>
                <w:rFonts w:ascii="Times New Roman;Times;serif" w:hAnsi="Times New Roman;Times;serif"/>
                <w:b/>
                <w:sz w:val="20"/>
              </w:rPr>
              <w:t xml:space="preserve">ITEM 1B.   </w:t>
            </w:r>
          </w:p>
        </w:tc>
        <w:tc>
          <w:tcPr>
            <w:tcW w:w="32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UNRESOLVED STAFF COMMENTS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 </w:t>
      </w:r>
    </w:p>
    <w:tbl>
      <w:tblPr>
        <w:tblW w:w="2695" w:type="dxa"/>
        <w:jc w:val="left"/>
        <w:tblInd w:w="0" w:type="dxa"/>
        <w:tblLayout w:type="fixed"/>
        <w:tblCellMar>
          <w:top w:w="0" w:type="dxa"/>
          <w:left w:w="0" w:type="dxa"/>
          <w:bottom w:w="0" w:type="dxa"/>
          <w:right w:w="0" w:type="dxa"/>
        </w:tblCellMar>
      </w:tblPr>
      <w:tblGrid>
        <w:gridCol w:w="1010"/>
        <w:gridCol w:w="1685"/>
      </w:tblGrid>
      <w:tr>
        <w:trPr/>
        <w:tc>
          <w:tcPr>
            <w:tcW w:w="101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8" w:name="a1C_Cyber_Security"/>
            <w:bookmarkEnd w:id="8"/>
            <w:r>
              <w:rPr>
                <w:rFonts w:ascii="Times New Roman;Times;serif" w:hAnsi="Times New Roman;Times;serif"/>
                <w:b/>
                <w:sz w:val="20"/>
              </w:rPr>
              <w:t xml:space="preserve">ITEM 1C.   </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CYBERSECURITY</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aim to foster and preserve the confidence of customers, employees, shareholders, and other stakeholders regarding our technology and data practices. Our commitments to digital trust, aligned with our core values of service, excellence, integrity, and individual respect, form the basis of our cybersecurity approach.</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Cybersecurity Risk, Management and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acknowledge the critical nature of evaluating, pinpointing, and addressing the significant risks posed by cybersecurity threats. Our organization has established a comprehensive set of processes, technologies, and mechanisms to support the identification, evaluation, and management of these risks. Central to our cybersecurity strategy is the mitigation of threats, ensuring the robustness and reliability of our system infrastructures. We utilize the guidelines provided by the National Institute of Standards and Technology (NIST) Cybersecurity Framework to shape our cybersecurity initiatives and comply with the Payment Card Industry Data Security Standards where necessary.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Our cybersecurity risk management is intricately integrated into our broader enterprise risk management strategy. Our aim is to effectively identify, prioritize, and manage risks under robust governance, ensuring a secure and resilient organizational environment.</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daily operational responsibility for our cybersecurity initiatives falls to our dedicated cybersecurity team, headed by the Chief Technology Officer (CTO). This team collaborates with external partners to forge and execute our data security and cybersecurity plans, including risk assessments, monitoring activities, and training for our employees. We are committed to continually investing in the enhancement of our capabilities to identify, protect against, and detect security threats.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employ a suite of tools and services that support the continuous surveillance and reduction of cyber risks. Our internal teams undertake regular audits and penetration testing throughout the year. External third-party experts are enlisted annually to assess our cybersecurity maturity and conduct risk evaluations, besides offering specialized knowledge on various cybersecurity matters. Our security operations center operates 24/7 to identify, lessen, and react to cyber threats promptly. Defined protocols are in place to manage and mitigate any detected cybersecurity incidents swiftly, with regular reviews of our policies and procedures to ensure compliance with evolving regulatory standards and the dynamic threat landscape.</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Incident Response Team (IRT) at our company is a specialized, multidisciplinary group empowered to act swiftly and effectively in managing and communicating cybersecurity incidents. The IRT operates under a comprehensive incident response plan, detailing the procedures for preparing, detecting, responding to, and recovering from cyber incidents. This includes triage, severity assessment, escalation, containment, investigation, and remediation processes, in addition to meeting legal requirements and minimizing damage to the brand and reputation. Regular tabletop exercises are conducted to simulate cyber incidents, enhancing our response strategies, plans, and technology.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company ensures that all new hires and existing employees undergo data security and privacy training annually, with additional specialized training for certain roles. Periodic campaigns and simulated phishing tests are also conducted to maintain awareness and vigilance against potential risks.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Vendor security is maintained using programs that evaluate the risk associated with service providers and business partners, focusing on the nature of data accessed or retained. This risk-based approach guides our due diligence and security assessments for selected vendors, ensuring that our contracts reflect the necessary security commitments.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Through the date of filing this Annual Report, cybersecurity threats, including as a result of any previous cybersecurity incidents, have not materially affect our Company, including our business strategy, results of operations, or financial condition. We have not encountered any significant incidents in the past fiscal year. However, we are aware of the ongoing threats that could, if materialized, have a significant impact on our business operations, strategies, or financial condition. Despite our rigorous cybersecurity efforts, we recognize that no system is infallible, and thus we cannot guarantee complete efficacy in preempting or mitigating all potential cyber threats. We continuously evaluate and disclose how identified cybersecurity risks, including those from past incidents, could materially influence our operational, strategic, or financial landscapes.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Cybersecurity Governance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commitment to establishing a secure digital realm is underpinned by the structured governance and management of our data security and privacy policies and strategies. Our Board of Directors, which has primary responsibility for overseeing risk management, has delegated risk management oversight responsibility for information systems, information security, data privacy and cybersecurity to the Audit Committee, a member of which has extensive technology experience, including in the area of cybersecurity. The Audit Committee engages in regular, at least quarterly, discussions on these topics, informed by reports from our IT Security Team led by the CTO. Specific topics may include updates to the Company’s approach to cybersecurity risk management; recent developments; key initiatives; the threat landscape; trends; and the results of certain assessments and testing. Periodically, the Audit Committee also receives presentations on cybersecurity matters from third-party cybersecurity experts.  The Board of Directors receives reports from the Audit Committee chair on these and other risk-related matters as deemed necessary.</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cybersecurity initiatives are led by our CTO and our Director of Security, who holds a Bachelor of Science, Management Information Systems and a Master of Science, Computer and Information Systems Security and Information Assurance.  In addition, our CTO and our Director of Security have Computer Hacking Forensics Investigator and Certified Ethical Hacker certifications.  Both, under the CTO’s leadership, have extensive experience in managing information security, crafting cybersecurity strategies, and spearheading initiatives to counter evolving cyber threats.</w:t>
      </w:r>
    </w:p>
    <w:p>
      <w:pPr>
        <w:pStyle w:val="TextBody"/>
        <w:bidi w:val="0"/>
        <w:spacing w:before="0" w:after="0"/>
        <w:ind w:left="0" w:right="0" w:firstLine="54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Security and Technology Risk Leadership Committee, led by our CTO, oversees our cybersecurity initiatives, and comprises technology leaders and members of various departments across the company. Similarly, our Privacy, Data Governance, and Artificial Intelligence Committee, under the guidance of our Chief Privacy Officer, oversees our privacy and data governance strategies.</w:t>
      </w:r>
    </w:p>
    <w:p>
      <w:pPr>
        <w:pStyle w:val="TextBody"/>
        <w:bidi w:val="0"/>
        <w:spacing w:before="0" w:after="0"/>
        <w:ind w:left="160" w:right="0" w:hanging="0"/>
        <w:jc w:val="both"/>
        <w:rPr>
          <w:caps w:val="false"/>
          <w:smallCaps w:val="false"/>
        </w:rPr>
      </w:pPr>
      <w:r>
        <w:rPr>
          <w:caps w:val="false"/>
          <w:smallCaps w:val="false"/>
        </w:rPr>
        <w:t> </w:t>
      </w:r>
    </w:p>
    <w:tbl>
      <w:tblPr>
        <w:tblW w:w="2185" w:type="dxa"/>
        <w:jc w:val="left"/>
        <w:tblInd w:w="0" w:type="dxa"/>
        <w:tblLayout w:type="fixed"/>
        <w:tblCellMar>
          <w:top w:w="0" w:type="dxa"/>
          <w:left w:w="0" w:type="dxa"/>
          <w:bottom w:w="0" w:type="dxa"/>
          <w:right w:w="0" w:type="dxa"/>
        </w:tblCellMar>
      </w:tblPr>
      <w:tblGrid>
        <w:gridCol w:w="875"/>
        <w:gridCol w:w="1310"/>
      </w:tblGrid>
      <w:tr>
        <w:trPr/>
        <w:tc>
          <w:tcPr>
            <w:tcW w:w="87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9" w:name="i2"/>
            <w:bookmarkEnd w:id="9"/>
            <w:r>
              <w:rPr>
                <w:rFonts w:ascii="Times New Roman;Times;serif" w:hAnsi="Times New Roman;Times;serif"/>
                <w:b/>
                <w:sz w:val="20"/>
              </w:rPr>
              <w:t xml:space="preserve">ITEM 2.   </w:t>
            </w:r>
          </w:p>
        </w:tc>
        <w:tc>
          <w:tcPr>
            <w:tcW w:w="13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PROPERTIES </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Stores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lease all of our store locations. As of February 3, 2024, we operated 359 retail stores located primarily in major malls throughout the U.S., Canada, the U.K., and Ireland in our DTC segment.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Non-Store Properties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addition to leasing all of our store locations, we own a warehouse and distribution center in Groveport, Ohio, which is utilized primarily by our DTC segment. The facility is approximately 350,000 square feet and includes our North American e-commerce fulfillment center. We lease 51,600 square feet in a building that we use as our corporate headquarters in downtown St. Louis, Missouri with a lease of eleven years commencing in June 2020. This lease was modified in March 2024 to increase the square footage of our corporate headquarters to approximately 58,000 square feet without changing the term length. We also lease an approximately 1,870 square foot storage space in St. Louis, Missouri with the lease commencing in July 2023 and continuing through July 2028. In the U.K., we lease approximately 6,500 square feet for our regional headquarters in Slough, England under a lease that commenced in March 2016 with a term of 10 years. We also contra</w:t>
      </w:r>
      <w:r>
        <w:rPr>
          <w:rFonts w:ascii="Times New Roman;Times;serif" w:hAnsi="Times New Roman;Times;serif"/>
          <w:sz w:val="20"/>
          <w:shd w:fill="FFFFFF" w:val="clear"/>
        </w:rPr>
        <w:t>ct with a third-party warehouse in southern California to service our West Coast stores. The contract has a one-year term and is renewable. In Europe, we contract with a third-party distribution center in Selby, England under an agreement that ends in January 2025. This agreement contains clauses that allow for termination if certain performance criteria are not met. In Asia, we contract for office space and a third-party distribution center in Shanghai, China, with the office space contract ending in August 2024 and the distribution center contract ending in April 2024.</w:t>
      </w:r>
    </w:p>
    <w:p>
      <w:pPr>
        <w:pStyle w:val="TextBody"/>
        <w:bidi w:val="0"/>
        <w:spacing w:before="0" w:after="0"/>
        <w:ind w:left="0" w:right="0" w:hanging="0"/>
        <w:jc w:val="both"/>
        <w:rPr/>
      </w:pPr>
      <w:r>
        <w:rPr/>
        <w:t> </w:t>
      </w:r>
    </w:p>
    <w:tbl>
      <w:tblPr>
        <w:tblW w:w="2995" w:type="dxa"/>
        <w:jc w:val="left"/>
        <w:tblInd w:w="0" w:type="dxa"/>
        <w:tblLayout w:type="fixed"/>
        <w:tblCellMar>
          <w:top w:w="0" w:type="dxa"/>
          <w:left w:w="0" w:type="dxa"/>
          <w:bottom w:w="0" w:type="dxa"/>
          <w:right w:w="0" w:type="dxa"/>
        </w:tblCellMar>
      </w:tblPr>
      <w:tblGrid>
        <w:gridCol w:w="785"/>
        <w:gridCol w:w="221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0" w:name="i3"/>
            <w:bookmarkEnd w:id="10"/>
            <w:r>
              <w:rPr>
                <w:rFonts w:ascii="Times New Roman;Times;serif" w:hAnsi="Times New Roman;Times;serif"/>
                <w:b/>
                <w:sz w:val="20"/>
              </w:rPr>
              <w:t>ITEM  3.</w:t>
            </w:r>
          </w:p>
        </w:tc>
        <w:tc>
          <w:tcPr>
            <w:tcW w:w="22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LEGAL PROCEEDINGS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From time to time, we are involved in ordinary routine litigation typical for companies engaged in our line of business, including actions seeking to enforce our intellectual property rights or to determine the validity and scope of the proprietary rights of others. Information with respect to certain legal proceedings is set forth in Note 10 "Commitments and Contingencies" to the Consolidated Financial Statements (included in Part IV of this form 10-K) and is incorporated herein by reference.</w:t>
      </w:r>
    </w:p>
    <w:p>
      <w:pPr>
        <w:pStyle w:val="TextBody"/>
        <w:bidi w:val="0"/>
        <w:spacing w:before="0" w:after="0"/>
        <w:ind w:left="0" w:right="0" w:hanging="0"/>
        <w:jc w:val="left"/>
        <w:rPr/>
      </w:pPr>
      <w:r>
        <w:rPr/>
        <w:t> </w:t>
      </w:r>
    </w:p>
    <w:tbl>
      <w:tblPr>
        <w:tblW w:w="3430" w:type="dxa"/>
        <w:jc w:val="left"/>
        <w:tblInd w:w="0" w:type="dxa"/>
        <w:tblLayout w:type="fixed"/>
        <w:tblCellMar>
          <w:top w:w="0" w:type="dxa"/>
          <w:left w:w="0" w:type="dxa"/>
          <w:bottom w:w="0" w:type="dxa"/>
          <w:right w:w="0" w:type="dxa"/>
        </w:tblCellMar>
      </w:tblPr>
      <w:tblGrid>
        <w:gridCol w:w="785"/>
        <w:gridCol w:w="264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i4"/>
            <w:bookmarkEnd w:id="11"/>
            <w:r>
              <w:rPr>
                <w:rFonts w:ascii="Times New Roman;Times;serif" w:hAnsi="Times New Roman;Times;serif"/>
                <w:b/>
                <w:sz w:val="20"/>
              </w:rPr>
              <w:t>ITEM  4.</w:t>
            </w:r>
          </w:p>
        </w:tc>
        <w:tc>
          <w:tcPr>
            <w:tcW w:w="26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center"/>
        <w:rPr>
          <w:rFonts w:ascii="Times New Roman;Times;serif" w:hAnsi="Times New Roman;Times;serif"/>
          <w:b/>
          <w:sz w:val="20"/>
        </w:rPr>
      </w:pPr>
      <w:bookmarkStart w:id="12" w:name="p2"/>
      <w:bookmarkEnd w:id="12"/>
      <w:r>
        <w:rPr>
          <w:rFonts w:ascii="Times New Roman;Times;serif" w:hAnsi="Times New Roman;Times;serif"/>
          <w:b/>
          <w:sz w:val="20"/>
        </w:rPr>
        <w:t xml:space="preserve">PART II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18"/>
        <w:gridCol w:w="9387"/>
      </w:tblGrid>
      <w:tr>
        <w:trPr/>
        <w:tc>
          <w:tcPr>
            <w:tcW w:w="818"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i5"/>
            <w:bookmarkEnd w:id="13"/>
            <w:r>
              <w:rPr>
                <w:rFonts w:ascii="Times New Roman;Times;serif" w:hAnsi="Times New Roman;Times;serif"/>
                <w:b/>
                <w:sz w:val="20"/>
              </w:rPr>
              <w:t xml:space="preserve">ITEM 5.   </w:t>
            </w:r>
          </w:p>
        </w:tc>
        <w:tc>
          <w:tcPr>
            <w:tcW w:w="9387"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MARKET FOR REGISTRANT’S COMMON EQUITY, RELATED STOCKHOLDER MATTERS AND ISSUER PURCHASES OF EQUITY SECURITIES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Common Stock</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common stock is listed on the New York Stock Exchange (NYSE) under the symbol “BBW.” Our common stock commenced trading on the NYSE on October 28, 2004.</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u w:val="single"/>
        </w:rPr>
      </w:pPr>
      <w:r>
        <w:rPr>
          <w:rFonts w:ascii="Times New Roman;Times;serif" w:hAnsi="Times New Roman;Times;serif"/>
          <w:b/>
          <w:sz w:val="20"/>
          <w:u w:val="single"/>
        </w:rPr>
        <w:t>Holders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April 15, 2024, the number of holders of record of the Company’s common stock totaled approximately 1,864.</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sz w:val="20"/>
          <w:u w:val="single"/>
          <w:shd w:fill="FFFFFF" w:val="clear"/>
        </w:rPr>
      </w:pPr>
      <w:r>
        <w:rPr>
          <w:rFonts w:ascii="Times New Roman;Times;serif" w:hAnsi="Times New Roman;Times;serif"/>
          <w:b/>
          <w:sz w:val="20"/>
          <w:u w:val="single"/>
          <w:shd w:fill="FFFFFF" w:val="clear"/>
        </w:rPr>
        <w:t>Dividends</w:t>
      </w:r>
    </w:p>
    <w:p>
      <w:pPr>
        <w:pStyle w:val="TextBody"/>
        <w:bidi w:val="0"/>
        <w:spacing w:before="0" w:after="0"/>
        <w:ind w:left="0" w:right="0" w:firstLine="540"/>
        <w:jc w:val="both"/>
        <w:rPr/>
      </w:pPr>
      <w:r>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In fiscal 2023, our Board of Directors declared a special cash dividend of $1.50 per share that was paid on April 6, 2023, to all stockholders of record as of March 23, 2023. </w:t>
      </w:r>
    </w:p>
    <w:p>
      <w:pPr>
        <w:pStyle w:val="TextBody"/>
        <w:bidi w:val="0"/>
        <w:spacing w:before="0" w:after="0"/>
        <w:ind w:left="520" w:right="0" w:hanging="0"/>
        <w:jc w:val="left"/>
        <w:rPr>
          <w:caps w:val="false"/>
          <w:smallCaps w:val="false"/>
        </w:rPr>
      </w:pPr>
      <w:r>
        <w:rPr>
          <w:caps w:val="false"/>
          <w:smallCaps w:val="false"/>
        </w:rPr>
        <w:t> </w:t>
      </w:r>
    </w:p>
    <w:p>
      <w:pPr>
        <w:pStyle w:val="TextBody"/>
        <w:bidi w:val="0"/>
        <w:spacing w:before="0" w:after="0"/>
        <w:ind w:left="520" w:right="0" w:hanging="0"/>
        <w:jc w:val="left"/>
        <w:rPr>
          <w:rFonts w:ascii="Times New Roman" w:hAnsi="Times New Roman"/>
          <w:caps w:val="false"/>
          <w:smallCaps w:val="false"/>
          <w:sz w:val="20"/>
        </w:rPr>
      </w:pPr>
      <w:r>
        <w:rPr>
          <w:rFonts w:ascii="Times New Roman" w:hAnsi="Times New Roman"/>
          <w:caps w:val="false"/>
          <w:smallCaps w:val="false"/>
          <w:sz w:val="20"/>
        </w:rPr>
        <w:t>On March 13, 2024, our Board of Directors approved a new quarterly dividend program to evolve its strategic use of capital and declared an initial quarterly dividend of $0.20 per share paid on April 11, 2024 to all stockholders of record as of March 28, 2024. The Company intends to pay dividends quarterly in the future, subject to market conditions and approval by the Board of Directors.</w:t>
      </w:r>
    </w:p>
    <w:p>
      <w:pPr>
        <w:pStyle w:val="TextBody"/>
        <w:bidi w:val="0"/>
        <w:spacing w:before="0" w:after="0"/>
        <w:ind w:left="520" w:right="0" w:hanging="0"/>
        <w:jc w:val="left"/>
        <w:rPr>
          <w:caps w:val="false"/>
          <w:smallCaps w:val="false"/>
        </w:rPr>
      </w:pPr>
      <w:r>
        <w:rPr>
          <w:caps w:val="false"/>
          <w:smallCaps w:val="false"/>
        </w:rPr>
        <w:t> </w:t>
      </w:r>
    </w:p>
    <w:p>
      <w:pPr>
        <w:pStyle w:val="TextBody"/>
        <w:bidi w:val="0"/>
        <w:spacing w:before="0" w:after="0"/>
        <w:ind w:left="520" w:right="0" w:hanging="540"/>
        <w:jc w:val="left"/>
        <w:rPr>
          <w:rFonts w:ascii="Times New Roman" w:hAnsi="Times New Roman"/>
          <w:b/>
          <w:caps w:val="false"/>
          <w:smallCaps w:val="false"/>
          <w:sz w:val="20"/>
          <w:u w:val="single"/>
          <w:shd w:fill="FFFFFF" w:val="clear"/>
        </w:rPr>
      </w:pPr>
      <w:r>
        <w:rPr>
          <w:rFonts w:ascii="Times New Roman" w:hAnsi="Times New Roman"/>
          <w:b/>
          <w:caps w:val="false"/>
          <w:smallCaps w:val="false"/>
          <w:sz w:val="20"/>
          <w:u w:val="single"/>
          <w:shd w:fill="FFFFFF" w:val="clear"/>
        </w:rPr>
        <w:t>Securities Authorized for Issuance Under Equity Compensation Plans</w:t>
      </w:r>
    </w:p>
    <w:p>
      <w:pPr>
        <w:pStyle w:val="TextBody"/>
        <w:bidi w:val="0"/>
        <w:spacing w:before="0" w:after="0"/>
        <w:ind w:left="520" w:right="0" w:hanging="540"/>
        <w:jc w:val="left"/>
        <w:rPr>
          <w:caps w:val="false"/>
          <w:smallCaps w:val="false"/>
        </w:rPr>
      </w:pPr>
      <w:r>
        <w:rPr>
          <w:caps w:val="false"/>
          <w:smallCaps w:val="false"/>
        </w:rPr>
        <w:t> </w:t>
      </w:r>
    </w:p>
    <w:p>
      <w:pPr>
        <w:pStyle w:val="TextBody"/>
        <w:bidi w:val="0"/>
        <w:spacing w:before="0" w:after="0"/>
        <w:ind w:left="520" w:right="0" w:hanging="0"/>
        <w:jc w:val="left"/>
        <w:rPr>
          <w:caps w:val="false"/>
          <w:smallCaps w:val="false"/>
        </w:rPr>
      </w:pPr>
      <w:r>
        <w:rPr>
          <w:caps w:val="false"/>
          <w:smallCaps w:val="false"/>
        </w:rPr>
        <w:t> </w:t>
      </w:r>
      <w:r>
        <w:rPr>
          <w:rFonts w:ascii="Times New Roman" w:hAnsi="Times New Roman"/>
          <w:caps w:val="false"/>
          <w:smallCaps w:val="false"/>
          <w:sz w:val="20"/>
        </w:rPr>
        <w:t>Refer to Part III, Item 12, for information related to our equity compensation plan.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Issuer Purchases of Equity Securities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985"/>
        <w:gridCol w:w="60"/>
        <w:gridCol w:w="121"/>
        <w:gridCol w:w="1407"/>
        <w:gridCol w:w="60"/>
        <w:gridCol w:w="60"/>
        <w:gridCol w:w="267"/>
        <w:gridCol w:w="1040"/>
        <w:gridCol w:w="60"/>
        <w:gridCol w:w="60"/>
        <w:gridCol w:w="200"/>
        <w:gridCol w:w="2344"/>
        <w:gridCol w:w="60"/>
        <w:gridCol w:w="60"/>
        <w:gridCol w:w="388"/>
        <w:gridCol w:w="2955"/>
        <w:gridCol w:w="78"/>
      </w:tblGrid>
      <w:tr>
        <w:trPr/>
        <w:tc>
          <w:tcPr>
            <w:tcW w:w="98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28"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 Total Number of Shares (or Units) Purchased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7"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(b) Average Price Paid Per Share (or Unit)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4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 Total Number of Shares (or Units) Purchased as Part of Publicly Announced Plans or Programs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43"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 Maximum Number (or Approximate Dollar Value) of Shares (or Units) that May Yet Be Purchased Under the Plans or Programs (3)</w:t>
            </w:r>
          </w:p>
        </w:tc>
        <w:tc>
          <w:tcPr>
            <w:tcW w:w="78" w:type="dxa"/>
            <w:tcBorders/>
            <w:shd w:fill="FFFFFF" w:val="clear"/>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Oct 29, 2023 - Nov 25, 2023</w:t>
            </w:r>
          </w:p>
        </w:tc>
        <w:tc>
          <w:tcPr>
            <w:tcW w:w="60"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ind w:left="0" w:right="0" w:hanging="0"/>
              <w:jc w:val="left"/>
              <w:rPr/>
            </w:pPr>
            <w:r>
              <w:rPr/>
              <w:t> </w:t>
            </w:r>
          </w:p>
        </w:tc>
        <w:tc>
          <w:tcPr>
            <w:tcW w:w="14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23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29,579,380</w:t>
            </w:r>
          </w:p>
        </w:tc>
        <w:tc>
          <w:tcPr>
            <w:tcW w:w="78" w:type="dxa"/>
            <w:tcBorders/>
            <w:shd w:fill="CCEEFF" w:val="clear"/>
            <w:vAlign w:val="center"/>
          </w:tcPr>
          <w:p>
            <w:pPr>
              <w:pStyle w:val="TableContents"/>
              <w:bidi w:val="0"/>
              <w:spacing w:before="0" w:after="283"/>
              <w:jc w:val="left"/>
              <w:rPr/>
            </w:pPr>
            <w:r>
              <w:rPr/>
              <w:t> </w:t>
            </w:r>
          </w:p>
        </w:tc>
      </w:tr>
      <w:tr>
        <w:trPr/>
        <w:tc>
          <w:tcPr>
            <w:tcW w:w="9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 26, 2023 - Dec 30, 2023</w:t>
            </w:r>
          </w:p>
        </w:tc>
        <w:tc>
          <w:tcPr>
            <w:tcW w:w="60" w:type="dxa"/>
            <w:tcBorders/>
            <w:shd w:fill="FFFFFF" w:val="clear"/>
            <w:vAlign w:val="center"/>
          </w:tcPr>
          <w:p>
            <w:pPr>
              <w:pStyle w:val="TableContents"/>
              <w:bidi w:val="0"/>
              <w:spacing w:before="0" w:after="283"/>
              <w:jc w:val="left"/>
              <w:rPr/>
            </w:pPr>
            <w:r>
              <w:rPr/>
              <w:t> </w:t>
            </w:r>
          </w:p>
        </w:tc>
        <w:tc>
          <w:tcPr>
            <w:tcW w:w="121" w:type="dxa"/>
            <w:tcBorders/>
            <w:shd w:fill="FFFFFF" w:val="clear"/>
            <w:vAlign w:val="center"/>
          </w:tcPr>
          <w:p>
            <w:pPr>
              <w:pStyle w:val="TableContents"/>
              <w:bidi w:val="0"/>
              <w:spacing w:before="0" w:after="283"/>
              <w:jc w:val="left"/>
              <w:rPr/>
            </w:pPr>
            <w:r>
              <w:rPr/>
              <w:t> </w:t>
            </w:r>
          </w:p>
        </w:tc>
        <w:tc>
          <w:tcPr>
            <w:tcW w:w="140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7" w:type="dxa"/>
            <w:tcBorders/>
            <w:shd w:fill="FFFFFF" w:val="clear"/>
            <w:vAlign w:val="center"/>
          </w:tcPr>
          <w:p>
            <w:pPr>
              <w:pStyle w:val="TableContents"/>
              <w:bidi w:val="0"/>
              <w:spacing w:before="0" w:after="283"/>
              <w:jc w:val="left"/>
              <w:rPr/>
            </w:pPr>
            <w:r>
              <w:rPr/>
              <w:t> </w:t>
            </w:r>
          </w:p>
        </w:tc>
        <w:tc>
          <w:tcPr>
            <w:tcW w:w="104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234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52,493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8" w:type="dxa"/>
            <w:tcBorders/>
            <w:shd w:fill="FFFFFF" w:val="clear"/>
            <w:vAlign w:val="center"/>
          </w:tcPr>
          <w:p>
            <w:pPr>
              <w:pStyle w:val="TableContents"/>
              <w:bidi w:val="0"/>
              <w:spacing w:before="0" w:after="283"/>
              <w:jc w:val="left"/>
              <w:rPr/>
            </w:pPr>
            <w:r>
              <w:rPr/>
              <w:t> </w:t>
            </w:r>
          </w:p>
        </w:tc>
        <w:tc>
          <w:tcPr>
            <w:tcW w:w="295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28,341,639</w:t>
            </w:r>
          </w:p>
        </w:tc>
        <w:tc>
          <w:tcPr>
            <w:tcW w:w="78" w:type="dxa"/>
            <w:tcBorders/>
            <w:shd w:fill="FFFFFF" w:val="clear"/>
            <w:vAlign w:val="center"/>
          </w:tcPr>
          <w:p>
            <w:pPr>
              <w:pStyle w:val="TableContents"/>
              <w:bidi w:val="0"/>
              <w:spacing w:before="0" w:after="283"/>
              <w:jc w:val="left"/>
              <w:rPr/>
            </w:pPr>
            <w:r>
              <w:rPr/>
              <w:t> </w:t>
            </w:r>
          </w:p>
        </w:tc>
      </w:tr>
      <w:tr>
        <w:trPr/>
        <w:tc>
          <w:tcPr>
            <w:tcW w:w="9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 31, 2023 - Feb 3,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407"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4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344"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100,198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95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26,105,492</w:t>
            </w:r>
          </w:p>
        </w:tc>
        <w:tc>
          <w:tcPr>
            <w:tcW w:w="78" w:type="dxa"/>
            <w:tcBorders/>
            <w:shd w:fill="CCEEFF" w:val="clear"/>
            <w:vAlign w:val="center"/>
          </w:tcPr>
          <w:p>
            <w:pPr>
              <w:pStyle w:val="TableContents"/>
              <w:bidi w:val="0"/>
              <w:spacing w:before="0" w:after="283"/>
              <w:jc w:val="left"/>
              <w:rPr/>
            </w:pPr>
            <w:r>
              <w:rPr/>
              <w:t> </w:t>
            </w:r>
          </w:p>
        </w:tc>
      </w:tr>
      <w:tr>
        <w:trPr/>
        <w:tc>
          <w:tcPr>
            <w:tcW w:w="9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12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26,105,492</w:t>
            </w:r>
          </w:p>
        </w:tc>
        <w:tc>
          <w:tcPr>
            <w:tcW w:w="78"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489" w:right="0" w:hanging="490"/>
        <w:jc w:val="both"/>
        <w:rPr/>
      </w:pPr>
      <w:r>
        <w:rPr/>
        <w:t> </w:t>
      </w:r>
    </w:p>
    <w:tbl>
      <w:tblPr>
        <w:tblW w:w="10205" w:type="dxa"/>
        <w:jc w:val="left"/>
        <w:tblInd w:w="0" w:type="dxa"/>
        <w:tblLayout w:type="fixed"/>
        <w:tblCellMar>
          <w:top w:w="0" w:type="dxa"/>
          <w:left w:w="0" w:type="dxa"/>
          <w:bottom w:w="0" w:type="dxa"/>
          <w:right w:w="0" w:type="dxa"/>
        </w:tblCellMar>
      </w:tblPr>
      <w:tblGrid>
        <w:gridCol w:w="75"/>
        <w:gridCol w:w="199"/>
        <w:gridCol w:w="9931"/>
      </w:tblGrid>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Includes shares of our common stock delivered to us in satisfaction of the tax withholding obligation of holders of restricted shares which vested during the quarter. Our equity incentive plans provide that the value of shares delivered to us to pay the withholding tax obligations is calculated at the closing trading price of our common stock on the date the relevant transactions occur.</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Average Price Paid Per Share includes commissions.</w:t>
            </w:r>
          </w:p>
        </w:tc>
      </w:tr>
      <w:tr>
        <w:trPr/>
        <w:tc>
          <w:tcPr>
            <w:tcW w:w="75"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9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On August 31, 2022, the Board of Directors adopted a share repurchase program authorizing the repurchase of up to $50 million of our common stock. This program authorizes the Company to repurchase shares through August 31, 2025 and does not require the Company to repurchase any specific number of shares, and may be modified, suspended or terminated at any time without prior noticed. Shares repurchased under the program will be subsequently retired.</w:t>
            </w:r>
          </w:p>
        </w:tc>
      </w:tr>
    </w:tbl>
    <w:p>
      <w:pPr>
        <w:pStyle w:val="TextBody"/>
        <w:bidi w:val="0"/>
        <w:spacing w:before="0" w:after="0"/>
        <w:ind w:left="489" w:right="0" w:hanging="490"/>
        <w:jc w:val="both"/>
        <w:rPr/>
      </w:pPr>
      <w:r>
        <w:rPr/>
        <w:t> </w:t>
      </w:r>
    </w:p>
    <w:p>
      <w:pPr>
        <w:pStyle w:val="TextBody"/>
        <w:bidi w:val="0"/>
        <w:spacing w:before="0" w:after="0"/>
        <w:ind w:left="489" w:right="0" w:hanging="490"/>
        <w:jc w:val="both"/>
        <w:rPr>
          <w:rFonts w:ascii="Times New Roman;Times;serif" w:hAnsi="Times New Roman;Times;serif"/>
          <w:b/>
          <w:sz w:val="20"/>
        </w:rPr>
      </w:pPr>
      <w:r>
        <w:rPr>
          <w:rFonts w:ascii="Times New Roman;Times;serif" w:hAnsi="Times New Roman;Times;serif"/>
          <w:b/>
          <w:sz w:val="20"/>
        </w:rPr>
        <w:t xml:space="preserve">Recent Sales of Unregistered Securities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There were no sales of unregistered securities during the past three years.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975" w:type="dxa"/>
        <w:jc w:val="left"/>
        <w:tblInd w:w="0" w:type="dxa"/>
        <w:tblLayout w:type="fixed"/>
        <w:tblCellMar>
          <w:top w:w="0" w:type="dxa"/>
          <w:left w:w="0" w:type="dxa"/>
          <w:bottom w:w="0" w:type="dxa"/>
          <w:right w:w="0" w:type="dxa"/>
        </w:tblCellMar>
      </w:tblPr>
      <w:tblGrid>
        <w:gridCol w:w="785"/>
        <w:gridCol w:w="1190"/>
      </w:tblGrid>
      <w:tr>
        <w:trPr/>
        <w:tc>
          <w:tcPr>
            <w:tcW w:w="78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4" w:name="i6"/>
            <w:bookmarkEnd w:id="14"/>
            <w:r>
              <w:rPr>
                <w:rFonts w:ascii="Times New Roman;Times;serif" w:hAnsi="Times New Roman;Times;serif"/>
                <w:b/>
                <w:sz w:val="20"/>
              </w:rPr>
              <w:t xml:space="preserve">ITEM 6. </w:t>
            </w:r>
          </w:p>
        </w:tc>
        <w:tc>
          <w:tcPr>
            <w:tcW w:w="11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[RESERVED]</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79"/>
        <w:gridCol w:w="9426"/>
      </w:tblGrid>
      <w:tr>
        <w:trPr/>
        <w:tc>
          <w:tcPr>
            <w:tcW w:w="779"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5" w:name="i7"/>
            <w:bookmarkEnd w:id="15"/>
            <w:r>
              <w:rPr>
                <w:rFonts w:ascii="Times New Roman;Times;serif" w:hAnsi="Times New Roman;Times;serif"/>
                <w:b/>
                <w:sz w:val="20"/>
              </w:rPr>
              <w:t xml:space="preserve">ITEM 7. </w:t>
            </w:r>
          </w:p>
        </w:tc>
        <w:tc>
          <w:tcPr>
            <w:tcW w:w="942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MANAGEMENT’S DISCUSSION AND ANALYSIS OF FINANCIAL CONDITION AND RESULTS OF OPERATIONS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The following Management</w:t>
      </w:r>
      <w:r>
        <w:rPr>
          <w:rFonts w:ascii="Times New Roman;Times;serif" w:hAnsi="Times New Roman;Times;serif"/>
          <w:sz w:val="20"/>
        </w:rPr>
        <w:t>’</w:t>
      </w:r>
      <w:r>
        <w:rPr>
          <w:rFonts w:ascii="Times New Roman;Times;serif" w:hAnsi="Times New Roman;Times;serif"/>
          <w:i/>
          <w:sz w:val="20"/>
        </w:rPr>
        <w:t xml:space="preserve">s Discussion and Analysis of Financial Condition and Results of Operations contains forward-looking statements that involve risks and uncertainties. Our actual results may differ materially from the results discussed in the forward-looking statements. Factors that might cause such a difference include, but are not limited to, those discussed in </w:t>
      </w:r>
      <w:r>
        <w:rPr>
          <w:rFonts w:ascii="Times New Roman;Times;serif" w:hAnsi="Times New Roman;Times;serif"/>
          <w:sz w:val="20"/>
        </w:rPr>
        <w:t>“</w:t>
      </w:r>
      <w:r>
        <w:rPr>
          <w:rFonts w:ascii="Times New Roman;Times;serif" w:hAnsi="Times New Roman;Times;serif"/>
          <w:i/>
          <w:sz w:val="20"/>
        </w:rPr>
        <w:t>Risk Factors</w:t>
      </w:r>
      <w:r>
        <w:rPr>
          <w:rFonts w:ascii="Times New Roman;Times;serif" w:hAnsi="Times New Roman;Times;serif"/>
          <w:sz w:val="20"/>
        </w:rPr>
        <w:t xml:space="preserve">” </w:t>
      </w:r>
      <w:r>
        <w:rPr>
          <w:rFonts w:ascii="Times New Roman;Times;serif" w:hAnsi="Times New Roman;Times;serif"/>
          <w:i/>
          <w:sz w:val="20"/>
        </w:rPr>
        <w:t xml:space="preserve">and elsewhere in this Annual Report on Form 10-K. The following section is qualified in its entirety by the more detailed information, including our financial statements and the notes thereto, which appears elsewhere in this Annual Report on Form 10-K.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Business Overview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shd w:fill="FFFFFF" w:val="clear"/>
        </w:rPr>
        <w:t>Build-A-Bear Workshop, Inc. </w:t>
      </w:r>
      <w:r>
        <w:rPr>
          <w:rFonts w:ascii="Times New Roman;Times;serif" w:hAnsi="Times New Roman;Times;serif"/>
          <w:caps w:val="false"/>
          <w:smallCaps w:val="false"/>
          <w:color w:val="000000"/>
          <w:sz w:val="20"/>
        </w:rPr>
        <w:t>a Delaware corporation, was formed in 1997 as a mall-based, experiential specialty retailer where children and their families could create their own stuffed animals by participating in the stuffing, fluffing, dressing, accessorizing, and naming of their own teddy bears and other plush toys. We believe the hands-on and interactive nature of our experience locations, our personal service model and engaging digital shopping experiences result in guests forming an emotional connection with our brand. Over the last 26 years, with more than 240 million furry friends sold to guests around the world, Build-A-Bear has become a brand with high consumer awareness, positive affinity, and strong retail influence. We are leveraging this brand strength to grow our brick-and-mortar retail footprint beyond traditional malls through a range of store sizes, formats and locations including tourist destinations. We are also growing through our websites, which focus on gift-giving, collectible merchandise, and licensed products. In addition to growing our corporately-managed store and e-commerce footprint, we are also growing through third-party operated and franchised stores, particularly for our international expansion. Our ongoing digital transformation, which touches our e-commerce business, consumer loyalty program and digital marketing and content, has led to omni-channel growth over the past several years. Build-A-Bear's pop-culture and multi-generational appeal have played a key role in growing our total addressable market beyond children by adding teens and adults with entertainment and sports licensing, collectible and gifting offerings, as well as by introducing new products and adding categories beyond plush.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We primarily operate through a vertical retail channel with corporately-managed stores that feature a unique combination of experience and product in which guests can “make their own stuffed animals.” We also operate e-commerce sites that focus on gift-giving, collectible merchandise and licensed products that appeal to consumers that have an affinity for characters from a range of entertainment, sports, art, and gaming properties. Our engaging digital purchasing experiences include our online “Bear-Builder,” an age-gated, adult-focused “Bear Cave” and the “HeartBox” gift site. Our retail stores also act as mini distribution centers that provide efficient omnichannel support for our growing digital demand. The primary consumer target for our brick-and-mortar locations is families with children, while our e-commerce sites focus on collectors and gift givers that are primarily tweens, teens and adults.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firstLine="540"/>
        <w:jc w:val="both"/>
        <w:rPr>
          <w:rFonts w:ascii="Times New Roman" w:hAnsi="Times New Roman"/>
          <w:caps w:val="false"/>
          <w:smallCaps w:val="false"/>
          <w:sz w:val="20"/>
        </w:rPr>
      </w:pPr>
      <w:r>
        <w:rPr>
          <w:rFonts w:ascii="Times New Roman" w:hAnsi="Times New Roman"/>
          <w:caps w:val="false"/>
          <w:smallCaps w:val="false"/>
          <w:sz w:val="20"/>
        </w:rPr>
        <w:t>We also sell product and provide our unique “Bear Builder” experience through the two additional channels of partner-operated and franchise-operated stores. Additionally, we offer products in non-plush consumer categories via outbound licensing agreements with leading manufacturers.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left"/>
        <w:rPr>
          <w:rFonts w:ascii="Times New Roman" w:hAnsi="Times New Roman"/>
          <w:caps w:val="false"/>
          <w:smallCaps w:val="false"/>
          <w:sz w:val="20"/>
        </w:rPr>
      </w:pPr>
      <w:r>
        <w:rPr>
          <w:rFonts w:ascii="Times New Roman" w:hAnsi="Times New Roman"/>
          <w:caps w:val="false"/>
          <w:smallCaps w:val="false"/>
          <w:sz w:val="20"/>
        </w:rPr>
        <w:t>Our strategy includes leveraging our brand strength to continue to strategically evolve our brick-and-mortar retail footprint beyond traditional malls with a versatile range of formats and locations including tourist destinations, expand into international markets primarily via our partner-operated and franchise store models, and grow our e-commerce business. By leveraging our brand strength and owned intellectual properties through the creation of engaging short-form and long-form content for kids and adults, we endeavor to develop a circle of continuous engagement to increase purchase occasions and to continue to broaden the consumer base beyond children by adding tweens, teens and adults with entertainment and sports licensing, plus collectible and gifting offerings.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As of February 3, 2024, we had 359 corporate-managed stores globally, 92 locations operating through our "third-party retail" model in which we sell our products on a wholesale basis to other companies that then in turn execute our retail experience, and 74 franchised stores operating internationally under the Build-A-Bear Workshop brand. In addition to our stores, we sold product on our company-owned e-commerce sites.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operate in three segments that share the same infrastructure, including management, systems, merchandising and marketing, and generate revenues as follows: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Direct to Consumer (“DTC”) – Corporately-managed retail stores located in the U.S., Canada, the U.K., Ireland, and two e-commerce sites;</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Commercial – Transactions with other businesses, mainly comprised of wholesale product sales and licensing our intellectual property, including entertainment properties, for third-party use;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both"/>
              <w:rPr/>
            </w:pPr>
            <w:r>
              <w:rPr/>
              <w:t> </w:t>
            </w:r>
          </w:p>
        </w:tc>
        <w:tc>
          <w:tcPr>
            <w:tcW w:w="110" w:type="dxa"/>
            <w:tcBorders/>
            <w:vAlign w:val="center"/>
          </w:tcPr>
          <w:p>
            <w:pPr>
              <w:pStyle w:val="TableContents"/>
              <w:bidi w:val="0"/>
              <w:spacing w:before="0" w:after="0"/>
              <w:ind w:left="0" w:right="0" w:hanging="0"/>
              <w:jc w:val="both"/>
              <w:rPr/>
            </w:pPr>
            <w:r>
              <w:rPr/>
              <w:t>•</w:t>
            </w:r>
          </w:p>
        </w:tc>
        <w:tc>
          <w:tcPr>
            <w:tcW w:w="1003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International franchising – Royalties as well as product and fixture sales from other international operations under franchise agreements.</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Selected financial data attributable to each segment for fiscal 2023 and 2022 are presented in Note 15 — Segment Information to our consolidated financial statements included elsewhere in this Annual Report on Form 10-K.</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caps w:val="false"/>
          <w:smallCaps w:val="false"/>
          <w:color w:val="000000"/>
          <w:sz w:val="20"/>
          <w:shd w:fill="FFFFFF" w:val="clear"/>
        </w:rPr>
      </w:pPr>
      <w:r>
        <w:rPr>
          <w:rFonts w:ascii="Times New Roman;Times;serif" w:hAnsi="Times New Roman;Times;serif"/>
          <w:caps w:val="false"/>
          <w:smallCaps w:val="false"/>
          <w:color w:val="000000"/>
          <w:sz w:val="20"/>
          <w:shd w:fill="FFFFFF" w:val="clear"/>
        </w:rPr>
        <w:t>Our year-over-year results discussed below are impacted by an additional week in fiscal 2023 as it was a 53-week period compared to the 52-week period for fiscal 2022.</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consolidated net income was $52.8 million in fiscal 2023 compared to net income of $48.0 million in fiscal 2022. We believe that we have a concept that has broad demographic appeal which, for North American stores open for the entire year averaged net retail sales per store of $1.2 million in fiscal 2023 and 2022.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ended fiscal 2023 with</w:t>
      </w:r>
      <w:r>
        <w:rPr>
          <w:rFonts w:ascii="Times New Roman;Times;serif" w:hAnsi="Times New Roman;Times;serif"/>
          <w:sz w:val="20"/>
          <w:shd w:fill="FFFFFF" w:val="clear"/>
        </w:rPr>
        <w:t xml:space="preserve"> no borrowings under our credit agreement</w:t>
      </w:r>
      <w:r>
        <w:rPr>
          <w:rFonts w:ascii="Times New Roman;Times;serif" w:hAnsi="Times New Roman;Times;serif"/>
          <w:sz w:val="20"/>
        </w:rPr>
        <w:t xml:space="preserve"> and with $44.3 million in cash, cash equivalents and restricted cash after investing $18.3 million in capital projects throughout the year. On August 31, 2022, we announced that our Board of Directors authorized a share repurchase program of up to $50.0 million, and during fiscal 2023, we had utilized $20.5 million in cash to repurchase 896,603 shares under the stock buyback program, leaving $26.1 million authorized outstanding.</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On March 13, 2024, we announced that our Board of Directors approved a new quarterly dividend program to evolve its strategic use of capital and declared an initial quarterly dividend of $0.20 per share paid on April 11, 2024 to all shareholders of record as of March 28, 2024. From the end of fiscal 2023 through April 15, 2024, the Company utilized $5.1 million to repurchase $201,198 shares under the stock buyback program, leaving $21.0 million authorized outstanding.</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Following is a description and discussion of the major components of our statement of operations: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Revenues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 xml:space="preserve">Net retail sales, commercial revenue and international franchising: </w:t>
      </w:r>
      <w:r>
        <w:rPr>
          <w:rFonts w:ascii="Times New Roman;Times;serif" w:hAnsi="Times New Roman;Times;serif"/>
          <w:sz w:val="20"/>
        </w:rPr>
        <w:t>See Note 3 — "Revenue" to the consolidated financial statements for additional accounting information.</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We use net retail sales per square foot as a performance measure for our business. The following table details net retail sales per square foot for stores open throughout the fiscal year for the periods presented:</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w:t>
      </w:r>
    </w:p>
    <w:p>
      <w:pPr>
        <w:pStyle w:val="TextBody"/>
        <w:bidi w:val="0"/>
        <w:spacing w:before="0" w:after="0"/>
        <w:ind w:left="0" w:right="0" w:hanging="0"/>
        <w:jc w:val="left"/>
        <w:rPr/>
      </w:pPr>
      <w:r>
        <w:rPr/>
        <w:t> </w:t>
      </w:r>
    </w:p>
    <w:tbl>
      <w:tblPr>
        <w:tblW w:w="4805" w:type="dxa"/>
        <w:jc w:val="left"/>
        <w:tblInd w:w="0" w:type="dxa"/>
        <w:tblLayout w:type="fixed"/>
        <w:tblCellMar>
          <w:top w:w="0" w:type="dxa"/>
          <w:left w:w="0" w:type="dxa"/>
          <w:bottom w:w="0" w:type="dxa"/>
          <w:right w:w="0" w:type="dxa"/>
        </w:tblCellMar>
      </w:tblPr>
      <w:tblGrid>
        <w:gridCol w:w="2450"/>
        <w:gridCol w:w="60"/>
        <w:gridCol w:w="277"/>
        <w:gridCol w:w="747"/>
        <w:gridCol w:w="86"/>
        <w:gridCol w:w="86"/>
        <w:gridCol w:w="282"/>
        <w:gridCol w:w="757"/>
        <w:gridCol w:w="60"/>
      </w:tblGrid>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 ended</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February 3,</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retail sales per square foot</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45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North America (1)</w:t>
            </w:r>
          </w:p>
        </w:tc>
        <w:tc>
          <w:tcPr>
            <w:tcW w:w="60" w:type="dxa"/>
            <w:tcBorders/>
            <w:shd w:fill="CCEEFF" w:val="clear"/>
            <w:vAlign w:val="center"/>
          </w:tcPr>
          <w:p>
            <w:pPr>
              <w:pStyle w:val="TableContents"/>
              <w:bidi w:val="0"/>
              <w:spacing w:before="0" w:after="283"/>
              <w:ind w:left="0" w:right="0" w:hanging="0"/>
              <w:jc w:val="left"/>
              <w:rPr/>
            </w:pPr>
            <w:r>
              <w:rPr/>
              <w:t> </w:t>
            </w:r>
          </w:p>
        </w:tc>
        <w:tc>
          <w:tcPr>
            <w:tcW w:w="2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2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w:t>
            </w:r>
          </w:p>
        </w:tc>
        <w:tc>
          <w:tcPr>
            <w:tcW w:w="60" w:type="dxa"/>
            <w:tcBorders/>
            <w:shd w:fill="CCEEFF" w:val="clear"/>
            <w:vAlign w:val="center"/>
          </w:tcPr>
          <w:p>
            <w:pPr>
              <w:pStyle w:val="TableContents"/>
              <w:bidi w:val="0"/>
              <w:spacing w:before="0" w:after="283"/>
              <w:jc w:val="left"/>
              <w:rPr/>
            </w:pPr>
            <w:r>
              <w:rPr/>
              <w:t> </w:t>
            </w:r>
          </w:p>
        </w:tc>
      </w:tr>
      <w:tr>
        <w:trPr/>
        <w:tc>
          <w:tcPr>
            <w:tcW w:w="245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United Kingdom (2)</w:t>
            </w:r>
          </w:p>
        </w:tc>
        <w:tc>
          <w:tcPr>
            <w:tcW w:w="60" w:type="dxa"/>
            <w:tcBorders/>
            <w:shd w:fill="FFFFFF" w:val="clear"/>
            <w:vAlign w:val="center"/>
          </w:tcPr>
          <w:p>
            <w:pPr>
              <w:pStyle w:val="TableContents"/>
              <w:bidi w:val="0"/>
              <w:spacing w:before="0" w:after="283"/>
              <w:ind w:left="0" w:right="0" w:hanging="0"/>
              <w:jc w:val="left"/>
              <w:rPr/>
            </w:pPr>
            <w:r>
              <w:rPr/>
              <w:t> </w:t>
            </w:r>
          </w:p>
        </w:tc>
        <w:tc>
          <w:tcPr>
            <w:tcW w:w="27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2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retail sales per square foot in North America represents net retail sales from stores open throughout the entire period in North America, excluding e-commerce sales, divided by the total leased square footage of such stores.</w:t>
            </w:r>
          </w:p>
        </w:tc>
      </w:tr>
    </w:tbl>
    <w:tbl>
      <w:tblPr>
        <w:tblW w:w="10205" w:type="dxa"/>
        <w:jc w:val="left"/>
        <w:tblInd w:w="0" w:type="dxa"/>
        <w:tblLayout w:type="fixed"/>
        <w:tblCellMar>
          <w:top w:w="0" w:type="dxa"/>
          <w:left w:w="0" w:type="dxa"/>
          <w:bottom w:w="0" w:type="dxa"/>
          <w:right w:w="0" w:type="dxa"/>
        </w:tblCellMar>
      </w:tblPr>
      <w:tblGrid>
        <w:gridCol w:w="232"/>
        <w:gridCol w:w="9973"/>
      </w:tblGrid>
      <w:tr>
        <w:trPr/>
        <w:tc>
          <w:tcPr>
            <w:tcW w:w="23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7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retail sales per square foot in the U.K. represents net retail sales from stores open throughout the entire period in the U.K., excluding e-commerce sales, divided by the total selling square footage of such stores.</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Costs and Expenses </w:t>
      </w:r>
    </w:p>
    <w:p>
      <w:pPr>
        <w:pStyle w:val="TextBody"/>
        <w:bidi w:val="0"/>
        <w:spacing w:before="0" w:after="0"/>
        <w:ind w:left="0" w:right="0" w:hanging="0"/>
        <w:jc w:val="both"/>
        <w:rPr/>
      </w:pPr>
      <w:r>
        <w:rPr/>
        <w:t> </w:t>
      </w:r>
    </w:p>
    <w:p>
      <w:pPr>
        <w:pStyle w:val="TextBody"/>
        <w:bidi w:val="0"/>
        <w:spacing w:before="0" w:after="0"/>
        <w:ind w:left="0" w:right="0" w:firstLine="450"/>
        <w:jc w:val="both"/>
        <w:rPr>
          <w:rFonts w:ascii="Times New Roman;Times;serif" w:hAnsi="Times New Roman;Times;serif"/>
          <w:sz w:val="20"/>
        </w:rPr>
      </w:pPr>
      <w:r>
        <w:rPr>
          <w:rFonts w:ascii="Times New Roman;Times;serif" w:hAnsi="Times New Roman;Times;serif"/>
          <w:i/>
          <w:sz w:val="20"/>
        </w:rPr>
        <w:t>Cost of merchandise sold:</w:t>
      </w:r>
      <w:r>
        <w:rPr>
          <w:rFonts w:ascii="Times New Roman;Times;serif" w:hAnsi="Times New Roman;Times;serif"/>
          <w:sz w:val="20"/>
        </w:rPr>
        <w:t> Cost of merchandise sold is driven primarily by our retail segment. Cost of merchandise sold – retail includes the cost of the merchandise, including royalties paid to licensors of third party branded merchandise, store occupancy cost, including store depreciation and store asset impairment charges (if not disclosed separately due to materiality) (See Note 6 — "Property and Equipment, net" to the consolidated financial statements for additional accounting information regarding store asset impairment), cost of warehousing and distribution, packaging, stuffing, damages and shortages, and shipping and handling costs incurred in shipment to customers. Retail gross profit is defined as net retail sales less the cost of merchandise sold - retail. For the commercial segment, cost of merchandise includes the cost of merchandise sold to third-party retailers on a wholesale basis for sale within their stores. For the franchise segment, cost of merchandise includes the sale of furniture, fixtures, and supplies to our franchise partners.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Selling, general and administrative expense (“SGA”):</w:t>
      </w:r>
      <w:r>
        <w:rPr>
          <w:rFonts w:ascii="Times New Roman;Times;serif" w:hAnsi="Times New Roman;Times;serif"/>
          <w:sz w:val="20"/>
        </w:rPr>
        <w:t xml:space="preserve"> These expenses include store payroll and benefits, advertising, credit card fees, store supplies and normal store pre-opening and closing expenses as well as central office general and administrative expenses, including costs for management payroll, benefits, incentive compensation, travel, information systems, accounting, insurance, legal and public relations. These expenses also include depreciation of central office assets and the amortization of other assets. Certain store expenses such as credit card fees historically have increased or decreased proportionately with net retail sales. In addition, bad debt expenses and recoveries and accounts receivable related charges are recorded in SGA.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Corporately-Managed</w:t>
      </w:r>
      <w:r>
        <w:rPr>
          <w:rFonts w:ascii="Times New Roman;Times;serif" w:hAnsi="Times New Roman;Times;serif"/>
          <w:sz w:val="20"/>
        </w:rPr>
        <w:t> </w:t>
      </w:r>
      <w:r>
        <w:rPr>
          <w:rFonts w:ascii="Times New Roman;Times;serif" w:hAnsi="Times New Roman;Times;serif"/>
          <w:b/>
          <w:i/>
          <w:sz w:val="20"/>
        </w:rPr>
        <w:t xml:space="preserve">Locations: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number of Build-A-Bear Workshop stores in the U.S. and Canada (collectively, North America) and the U.K. and Ireland (collectively, Europe) for the last two fiscal years is summarized as follows:</w:t>
      </w:r>
    </w:p>
    <w:p>
      <w:pPr>
        <w:pStyle w:val="TextBody"/>
        <w:bidi w:val="0"/>
        <w:spacing w:before="0" w:after="0"/>
        <w:ind w:left="0" w:right="0" w:hanging="0"/>
        <w:jc w:val="left"/>
        <w:rPr/>
      </w:pPr>
      <w:r>
        <w:rPr/>
        <w:t> </w:t>
      </w:r>
    </w:p>
    <w:tbl>
      <w:tblPr>
        <w:tblW w:w="6372" w:type="dxa"/>
        <w:jc w:val="left"/>
        <w:tblInd w:w="0" w:type="dxa"/>
        <w:tblLayout w:type="fixed"/>
        <w:tblCellMar>
          <w:top w:w="0" w:type="dxa"/>
          <w:left w:w="0" w:type="dxa"/>
          <w:bottom w:w="0" w:type="dxa"/>
          <w:right w:w="0" w:type="dxa"/>
        </w:tblCellMar>
      </w:tblPr>
      <w:tblGrid>
        <w:gridCol w:w="1685"/>
        <w:gridCol w:w="60"/>
        <w:gridCol w:w="114"/>
        <w:gridCol w:w="641"/>
        <w:gridCol w:w="87"/>
        <w:gridCol w:w="65"/>
        <w:gridCol w:w="134"/>
        <w:gridCol w:w="516"/>
        <w:gridCol w:w="87"/>
        <w:gridCol w:w="65"/>
        <w:gridCol w:w="73"/>
        <w:gridCol w:w="412"/>
        <w:gridCol w:w="80"/>
        <w:gridCol w:w="60"/>
        <w:gridCol w:w="114"/>
        <w:gridCol w:w="641"/>
        <w:gridCol w:w="88"/>
        <w:gridCol w:w="66"/>
        <w:gridCol w:w="134"/>
        <w:gridCol w:w="516"/>
        <w:gridCol w:w="88"/>
        <w:gridCol w:w="66"/>
        <w:gridCol w:w="73"/>
        <w:gridCol w:w="412"/>
        <w:gridCol w:w="95"/>
      </w:tblGrid>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32" w:type="dxa"/>
            <w:gridSpan w:val="2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9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4"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3, 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98"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28, 2023</w:t>
            </w:r>
          </w:p>
        </w:tc>
        <w:tc>
          <w:tcPr>
            <w:tcW w:w="9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North</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North</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516" w:type="dxa"/>
            <w:tcBorders/>
            <w:vAlign w:val="center"/>
          </w:tcPr>
          <w:p>
            <w:pPr>
              <w:pStyle w:val="TableContents"/>
              <w:bidi w:val="0"/>
              <w:spacing w:before="0" w:after="283"/>
              <w:jc w:val="center"/>
              <w:rPr/>
            </w:pPr>
            <w:r>
              <w:rPr/>
              <w:t> </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jc w:val="left"/>
              <w:rPr/>
            </w:pPr>
            <w:r>
              <w:rPr/>
              <w:t> </w:t>
            </w:r>
          </w:p>
        </w:tc>
        <w:tc>
          <w:tcPr>
            <w:tcW w:w="412"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jc w:val="left"/>
              <w:rPr/>
            </w:pPr>
            <w:r>
              <w:rPr/>
              <w:t> </w:t>
            </w:r>
          </w:p>
        </w:tc>
      </w:tr>
      <w:tr>
        <w:trPr/>
        <w:tc>
          <w:tcPr>
            <w:tcW w:w="16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America</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Europe</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America</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Europe</w:t>
            </w:r>
          </w:p>
        </w:tc>
        <w:tc>
          <w:tcPr>
            <w:tcW w:w="88"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4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95" w:type="dxa"/>
            <w:tcBorders/>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w:t>
            </w:r>
          </w:p>
        </w:tc>
        <w:tc>
          <w:tcPr>
            <w:tcW w:w="9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Opened</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4" w:type="dxa"/>
            <w:tcBorders/>
            <w:shd w:fill="FFFFFF" w:val="clear"/>
            <w:vAlign w:val="center"/>
          </w:tcPr>
          <w:p>
            <w:pPr>
              <w:pStyle w:val="TableContents"/>
              <w:bidi w:val="0"/>
              <w:spacing w:before="0" w:after="283"/>
              <w:ind w:left="0" w:right="0" w:hanging="0"/>
              <w:jc w:val="left"/>
              <w:rPr/>
            </w:pPr>
            <w:r>
              <w:rPr/>
              <w:t> </w:t>
            </w:r>
          </w:p>
        </w:tc>
        <w:tc>
          <w:tcPr>
            <w:tcW w:w="64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5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8"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4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Converted</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14" w:type="dxa"/>
            <w:tcBorders/>
            <w:shd w:fill="CCEEFF" w:val="clear"/>
            <w:vAlign w:val="center"/>
          </w:tcPr>
          <w:p>
            <w:pPr>
              <w:pStyle w:val="TableContents"/>
              <w:bidi w:val="0"/>
              <w:spacing w:before="0" w:after="283"/>
              <w:ind w:left="0" w:right="0" w:hanging="0"/>
              <w:jc w:val="left"/>
              <w:rPr/>
            </w:pPr>
            <w:r>
              <w:rPr/>
              <w:t> </w:t>
            </w:r>
          </w:p>
        </w:tc>
        <w:tc>
          <w:tcPr>
            <w:tcW w:w="64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5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4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Closed</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4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1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1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8"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fiscal 2023, our retail business model continued to evolve to address changing shopping patterns by diversifying our locations, formats and geographies. We are updating our store portfolio with our Discovery format, which represented 47% of our store base as of February 3, 2024. During fiscal 2023, we executed 9 planned new store openings in North America, with six being opened under the Discovery format, one of which was in a tourist site. Temporary locations generally have lease terms of two to eighteen months. These specific sites are designed to capitalize on short-term opportunities.</w:t>
      </w:r>
      <w:r>
        <w:rPr>
          <w:rFonts w:ascii="Times New Roman;Times;serif" w:hAnsi="Times New Roman;Times;serif"/>
          <w:sz w:val="20"/>
          <w:shd w:fill="FFFFFF" w:val="clear"/>
        </w:rPr>
        <w:t> In the future, we expect to close certain stores in accordance with natural lease events as an ongoing part of our real estate management and day-to-day operational plans.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Third-Party Retail Locations: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number of third-party retail locations opened and closed for the periods presented below is summarized as follows: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tbl>
      <w:tblPr>
        <w:tblW w:w="4995" w:type="dxa"/>
        <w:jc w:val="left"/>
        <w:tblInd w:w="0" w:type="dxa"/>
        <w:tblLayout w:type="fixed"/>
        <w:tblCellMar>
          <w:top w:w="0" w:type="dxa"/>
          <w:left w:w="0" w:type="dxa"/>
          <w:bottom w:w="0" w:type="dxa"/>
          <w:right w:w="0" w:type="dxa"/>
        </w:tblCellMar>
      </w:tblPr>
      <w:tblGrid>
        <w:gridCol w:w="1685"/>
        <w:gridCol w:w="60"/>
        <w:gridCol w:w="60"/>
        <w:gridCol w:w="1490"/>
        <w:gridCol w:w="60"/>
        <w:gridCol w:w="60"/>
        <w:gridCol w:w="1505"/>
        <w:gridCol w:w="75"/>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3115" w:type="dxa"/>
            <w:gridSpan w:val="4"/>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3,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28, 2023</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90"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61</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Opened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90"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5"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13</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Closed</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4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0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End of period</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4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92</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0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70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180"/>
        <w:jc w:val="left"/>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Through our third-party retail model, there were 92 stores in operation at the end of fiscal year 2023 with relationships that included Carnival Cruise Line, Great Wolf Lodge Resorts, Landry's and Girl Scouts of the USA. The third-party retail model is capital light for us, with the partner company building out and operating the workshops including providing the real estate location and covering the cost of labor and inventory, which is purchased on a wholesale basis. These locations are heavily-weighted to the hospitality industry, which allow us to further advance our focus on experience location expansion in non-traditional and tourist areas, as well as shop-in-shop arrangements within other retailers’ stores.</w:t>
      </w:r>
    </w:p>
    <w:p>
      <w:pPr>
        <w:pStyle w:val="TextBody"/>
        <w:bidi w:val="0"/>
        <w:spacing w:before="0" w:after="0"/>
        <w:ind w:left="0" w:right="0" w:firstLine="54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International Franchise Locations:</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first franchisee location was opened in November 2003. All franchised stores generally have similar signage, store layout and merchandise assortments as our corporately-managed stores. As of February 3, 2024, we had five master franchise agreements, which typically grant franchise rights for a particular country or group of countries, covering an aggregate of eight</w:t>
      </w:r>
      <w:r>
        <w:rPr>
          <w:rFonts w:ascii="Times New Roman;Times;serif" w:hAnsi="Times New Roman;Times;serif"/>
          <w:sz w:val="20"/>
          <w:shd w:fill="FFFFFF" w:val="clear"/>
        </w:rPr>
        <w:t> countries.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number of international, franchised stores opened and closed for the periods presented below is summarized as follows:</w:t>
      </w:r>
    </w:p>
    <w:tbl>
      <w:tblPr>
        <w:tblW w:w="5102" w:type="dxa"/>
        <w:jc w:val="left"/>
        <w:tblInd w:w="0" w:type="dxa"/>
        <w:tblLayout w:type="fixed"/>
        <w:tblCellMar>
          <w:top w:w="0" w:type="dxa"/>
          <w:left w:w="0" w:type="dxa"/>
          <w:bottom w:w="0" w:type="dxa"/>
          <w:right w:w="0" w:type="dxa"/>
        </w:tblCellMar>
      </w:tblPr>
      <w:tblGrid>
        <w:gridCol w:w="1685"/>
        <w:gridCol w:w="60"/>
        <w:gridCol w:w="306"/>
        <w:gridCol w:w="1183"/>
        <w:gridCol w:w="154"/>
        <w:gridCol w:w="115"/>
        <w:gridCol w:w="256"/>
        <w:gridCol w:w="1248"/>
        <w:gridCol w:w="95"/>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26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February 3, 2024</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January 28, 2023</w:t>
            </w:r>
          </w:p>
        </w:tc>
        <w:tc>
          <w:tcPr>
            <w:tcW w:w="9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Beginning of period</w:t>
            </w:r>
          </w:p>
        </w:tc>
        <w:tc>
          <w:tcPr>
            <w:tcW w:w="60" w:type="dxa"/>
            <w:tcBorders/>
            <w:shd w:fill="CCEEFF" w:val="clear"/>
            <w:vAlign w:val="center"/>
          </w:tcPr>
          <w:p>
            <w:pPr>
              <w:pStyle w:val="TableContents"/>
              <w:bidi w:val="0"/>
              <w:spacing w:before="0" w:after="283"/>
              <w:jc w:val="left"/>
              <w:rPr/>
            </w:pPr>
            <w:r>
              <w:rPr/>
              <w:t> </w:t>
            </w:r>
          </w:p>
        </w:tc>
        <w:tc>
          <w:tcPr>
            <w:tcW w:w="306" w:type="dxa"/>
            <w:tcBorders/>
            <w:shd w:fill="CCEEFF" w:val="clear"/>
            <w:vAlign w:val="center"/>
          </w:tcPr>
          <w:p>
            <w:pPr>
              <w:pStyle w:val="TableContents"/>
              <w:bidi w:val="0"/>
              <w:spacing w:before="0" w:after="283"/>
              <w:ind w:left="0" w:right="0" w:hanging="0"/>
              <w:jc w:val="left"/>
              <w:rPr/>
            </w:pPr>
            <w:r>
              <w:rPr/>
              <w:t> </w:t>
            </w:r>
          </w:p>
        </w:tc>
        <w:tc>
          <w:tcPr>
            <w:tcW w:w="11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154" w:type="dxa"/>
            <w:tcBorders/>
            <w:shd w:fill="CCEEFF" w:val="clear"/>
            <w:vAlign w:val="center"/>
          </w:tcPr>
          <w:p>
            <w:pPr>
              <w:pStyle w:val="TableContents"/>
              <w:bidi w:val="0"/>
              <w:spacing w:before="0" w:after="283"/>
              <w:jc w:val="left"/>
              <w:rPr/>
            </w:pPr>
            <w:r>
              <w:rPr/>
              <w:t> </w:t>
            </w:r>
          </w:p>
        </w:tc>
        <w:tc>
          <w:tcPr>
            <w:tcW w:w="115"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9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Opened</w:t>
            </w:r>
          </w:p>
        </w:tc>
        <w:tc>
          <w:tcPr>
            <w:tcW w:w="60" w:type="dxa"/>
            <w:tcBorders/>
            <w:shd w:fill="FFFFFF" w:val="clear"/>
            <w:vAlign w:val="center"/>
          </w:tcPr>
          <w:p>
            <w:pPr>
              <w:pStyle w:val="TableContents"/>
              <w:bidi w:val="0"/>
              <w:spacing w:before="0" w:after="283"/>
              <w:jc w:val="left"/>
              <w:rPr/>
            </w:pPr>
            <w:r>
              <w:rPr/>
              <w:t> </w:t>
            </w:r>
          </w:p>
        </w:tc>
        <w:tc>
          <w:tcPr>
            <w:tcW w:w="306" w:type="dxa"/>
            <w:tcBorders/>
            <w:shd w:fill="FFFFFF" w:val="clear"/>
            <w:vAlign w:val="center"/>
          </w:tcPr>
          <w:p>
            <w:pPr>
              <w:pStyle w:val="TableContents"/>
              <w:bidi w:val="0"/>
              <w:spacing w:before="0" w:after="283"/>
              <w:ind w:left="0" w:right="0" w:hanging="0"/>
              <w:jc w:val="left"/>
              <w:rPr/>
            </w:pPr>
            <w:r>
              <w:rPr/>
              <w:t> </w:t>
            </w:r>
          </w:p>
        </w:tc>
        <w:tc>
          <w:tcPr>
            <w:tcW w:w="11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Closed</w:t>
            </w:r>
          </w:p>
        </w:tc>
        <w:tc>
          <w:tcPr>
            <w:tcW w:w="60" w:type="dxa"/>
            <w:tcBorders/>
            <w:shd w:fill="CCEEFF" w:val="clear"/>
            <w:vAlign w:val="center"/>
          </w:tcPr>
          <w:p>
            <w:pPr>
              <w:pStyle w:val="TableContents"/>
              <w:bidi w:val="0"/>
              <w:spacing w:before="0" w:after="283"/>
              <w:jc w:val="left"/>
              <w:rPr/>
            </w:pPr>
            <w:r>
              <w:rPr/>
              <w:t> </w:t>
            </w:r>
          </w:p>
        </w:tc>
        <w:tc>
          <w:tcPr>
            <w:tcW w:w="3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5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15"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68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End of period</w:t>
            </w:r>
          </w:p>
        </w:tc>
        <w:tc>
          <w:tcPr>
            <w:tcW w:w="60" w:type="dxa"/>
            <w:tcBorders/>
            <w:shd w:fill="FFFFFF" w:val="clear"/>
            <w:vAlign w:val="center"/>
          </w:tcPr>
          <w:p>
            <w:pPr>
              <w:pStyle w:val="TableContents"/>
              <w:bidi w:val="0"/>
              <w:spacing w:before="0" w:after="283"/>
              <w:jc w:val="left"/>
              <w:rPr/>
            </w:pPr>
            <w:r>
              <w:rPr/>
              <w:t> </w:t>
            </w:r>
          </w:p>
        </w:tc>
        <w:tc>
          <w:tcPr>
            <w:tcW w:w="3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w:t>
            </w:r>
          </w:p>
        </w:tc>
        <w:tc>
          <w:tcPr>
            <w:tcW w:w="154" w:type="dxa"/>
            <w:tcBorders/>
            <w:shd w:fill="FFFFFF" w:val="clear"/>
            <w:vAlign w:val="center"/>
          </w:tcPr>
          <w:p>
            <w:pPr>
              <w:pStyle w:val="TableContents"/>
              <w:bidi w:val="0"/>
              <w:spacing w:before="0" w:after="283"/>
              <w:jc w:val="left"/>
              <w:rPr/>
            </w:pPr>
            <w:r>
              <w:rPr/>
              <w:t> </w:t>
            </w:r>
          </w:p>
        </w:tc>
        <w:tc>
          <w:tcPr>
            <w:tcW w:w="115"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As of February 3, 2024, the distribution of franchised locations among these countries was as follows:</w:t>
      </w:r>
    </w:p>
    <w:p>
      <w:pPr>
        <w:pStyle w:val="TextBody"/>
        <w:bidi w:val="0"/>
        <w:spacing w:before="0" w:after="0"/>
        <w:ind w:left="0" w:right="0" w:hanging="0"/>
        <w:jc w:val="left"/>
        <w:rPr/>
      </w:pPr>
      <w:r>
        <w:rPr/>
        <w:t> </w:t>
      </w:r>
    </w:p>
    <w:tbl>
      <w:tblPr>
        <w:tblW w:w="1615" w:type="dxa"/>
        <w:jc w:val="left"/>
        <w:tblInd w:w="0" w:type="dxa"/>
        <w:tblLayout w:type="fixed"/>
        <w:tblCellMar>
          <w:top w:w="0" w:type="dxa"/>
          <w:left w:w="0" w:type="dxa"/>
          <w:bottom w:w="0" w:type="dxa"/>
          <w:right w:w="0" w:type="dxa"/>
        </w:tblCellMar>
      </w:tblPr>
      <w:tblGrid>
        <w:gridCol w:w="1190"/>
        <w:gridCol w:w="60"/>
        <w:gridCol w:w="60"/>
        <w:gridCol w:w="230"/>
        <w:gridCol w:w="75"/>
      </w:tblGrid>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South Africa</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Australia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20</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China (2)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Gulf States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w:t>
            </w:r>
          </w:p>
        </w:tc>
        <w:tc>
          <w:tcPr>
            <w:tcW w:w="75" w:type="dxa"/>
            <w:tcBorders/>
            <w:shd w:fill="FFFFFF" w:val="clear"/>
            <w:vAlign w:val="center"/>
          </w:tcPr>
          <w:p>
            <w:pPr>
              <w:pStyle w:val="TableContents"/>
              <w:bidi w:val="0"/>
              <w:spacing w:before="0" w:after="283"/>
              <w:jc w:val="left"/>
              <w:rPr/>
            </w:pPr>
            <w:r>
              <w:rPr/>
              <w:t> </w:t>
            </w:r>
          </w:p>
        </w:tc>
      </w:tr>
      <w:tr>
        <w:trPr/>
        <w:tc>
          <w:tcPr>
            <w:tcW w:w="11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Chile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w:t>
            </w:r>
          </w:p>
        </w:tc>
        <w:tc>
          <w:tcPr>
            <w:tcW w:w="75" w:type="dxa"/>
            <w:tcBorders/>
            <w:shd w:fill="CCEEFF" w:val="clear"/>
            <w:vAlign w:val="center"/>
          </w:tcPr>
          <w:p>
            <w:pPr>
              <w:pStyle w:val="TableContents"/>
              <w:bidi w:val="0"/>
              <w:spacing w:before="0" w:after="283"/>
              <w:jc w:val="left"/>
              <w:rPr/>
            </w:pPr>
            <w:r>
              <w:rPr/>
              <w:t> </w:t>
            </w:r>
          </w:p>
        </w:tc>
      </w:tr>
      <w:tr>
        <w:trPr/>
        <w:tc>
          <w:tcPr>
            <w:tcW w:w="119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56"/>
        <w:gridCol w:w="9889"/>
      </w:tblGrid>
      <w:tr>
        <w:trPr/>
        <w:tc>
          <w:tcPr>
            <w:tcW w:w="60" w:type="dxa"/>
            <w:tcBorders/>
            <w:vAlign w:val="center"/>
          </w:tcPr>
          <w:p>
            <w:pPr>
              <w:pStyle w:val="TableContents"/>
              <w:bidi w:val="0"/>
              <w:spacing w:before="0" w:after="283"/>
              <w:jc w:val="both"/>
              <w:rPr/>
            </w:pPr>
            <w:r>
              <w:rPr/>
              <w:t> </w:t>
            </w:r>
          </w:p>
        </w:tc>
        <w:tc>
          <w:tcPr>
            <w:tcW w:w="256" w:type="dxa"/>
            <w:tcBorders/>
            <w:vAlign w:val="center"/>
          </w:tcPr>
          <w:p>
            <w:pPr>
              <w:pStyle w:val="TableContents"/>
              <w:bidi w:val="0"/>
              <w:spacing w:before="0" w:after="283"/>
              <w:jc w:val="both"/>
              <w:rPr/>
            </w:pPr>
            <w:r>
              <w:rPr/>
              <w:t>(1)</w:t>
            </w:r>
          </w:p>
        </w:tc>
        <w:tc>
          <w:tcPr>
            <w:tcW w:w="9889" w:type="dxa"/>
            <w:tcBorders/>
            <w:vAlign w:val="center"/>
          </w:tcPr>
          <w:p>
            <w:pPr>
              <w:pStyle w:val="TableContents"/>
              <w:bidi w:val="0"/>
              <w:spacing w:before="0" w:after="283"/>
              <w:jc w:val="left"/>
              <w:rPr/>
            </w:pPr>
            <w:r>
              <w:rPr/>
              <w:t>Australia master franchise agreement includes New Zealand where one store is currently open.</w:t>
            </w:r>
          </w:p>
        </w:tc>
      </w:tr>
      <w:tr>
        <w:trPr/>
        <w:tc>
          <w:tcPr>
            <w:tcW w:w="60" w:type="dxa"/>
            <w:tcBorders/>
            <w:vAlign w:val="center"/>
          </w:tcPr>
          <w:p>
            <w:pPr>
              <w:pStyle w:val="TableContents"/>
              <w:bidi w:val="0"/>
              <w:spacing w:before="0" w:after="283"/>
              <w:jc w:val="both"/>
              <w:rPr/>
            </w:pPr>
            <w:r>
              <w:rPr/>
              <w:t> </w:t>
            </w:r>
          </w:p>
        </w:tc>
        <w:tc>
          <w:tcPr>
            <w:tcW w:w="256" w:type="dxa"/>
            <w:tcBorders/>
            <w:vAlign w:val="center"/>
          </w:tcPr>
          <w:p>
            <w:pPr>
              <w:pStyle w:val="TableContents"/>
              <w:bidi w:val="0"/>
              <w:spacing w:before="0" w:after="283"/>
              <w:jc w:val="both"/>
              <w:rPr/>
            </w:pPr>
            <w:r>
              <w:rPr/>
              <w:t>(2)</w:t>
            </w:r>
          </w:p>
        </w:tc>
        <w:tc>
          <w:tcPr>
            <w:tcW w:w="9889" w:type="dxa"/>
            <w:tcBorders/>
            <w:vAlign w:val="center"/>
          </w:tcPr>
          <w:p>
            <w:pPr>
              <w:pStyle w:val="TableContents"/>
              <w:bidi w:val="0"/>
              <w:spacing w:before="0" w:after="283"/>
              <w:jc w:val="left"/>
              <w:rPr/>
            </w:pPr>
            <w:r>
              <w:rPr/>
              <w:t>China master franchise agreement includes Hong Kong where two stores are currently open. </w:t>
            </w:r>
          </w:p>
        </w:tc>
      </w:tr>
      <w:tr>
        <w:trPr/>
        <w:tc>
          <w:tcPr>
            <w:tcW w:w="60" w:type="dxa"/>
            <w:tcBorders/>
            <w:vAlign w:val="center"/>
          </w:tcPr>
          <w:p>
            <w:pPr>
              <w:pStyle w:val="TableContents"/>
              <w:bidi w:val="0"/>
              <w:spacing w:before="0" w:after="283"/>
              <w:jc w:val="both"/>
              <w:rPr/>
            </w:pPr>
            <w:r>
              <w:rPr/>
              <w:t> </w:t>
            </w:r>
          </w:p>
        </w:tc>
        <w:tc>
          <w:tcPr>
            <w:tcW w:w="256" w:type="dxa"/>
            <w:tcBorders/>
            <w:vAlign w:val="center"/>
          </w:tcPr>
          <w:p>
            <w:pPr>
              <w:pStyle w:val="TableContents"/>
              <w:bidi w:val="0"/>
              <w:spacing w:before="0" w:after="283"/>
              <w:jc w:val="both"/>
              <w:rPr/>
            </w:pPr>
            <w:r>
              <w:rPr/>
              <w:t>(3)</w:t>
            </w:r>
          </w:p>
        </w:tc>
        <w:tc>
          <w:tcPr>
            <w:tcW w:w="9889" w:type="dxa"/>
            <w:tcBorders/>
            <w:vAlign w:val="center"/>
          </w:tcPr>
          <w:p>
            <w:pPr>
              <w:pStyle w:val="TableContents"/>
              <w:bidi w:val="0"/>
              <w:spacing w:before="0" w:after="283"/>
              <w:jc w:val="left"/>
              <w:rPr/>
            </w:pPr>
            <w:r>
              <w:rPr/>
              <w:t>Gulf States master franchise agreement includes Kuwait, Qatar and the United Arab Emirates which all have stores as well as Bahrain and Oman where no stores are currently open.</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the ordinary course of business, we anticipate signing additional master franchise agreements in the future and terminating other such agreements. We source fixtures and other supplies for our franchisees from China which significantly reduces the capital and lowers the expenses required to open franchises. We are leveraging new formats that have been developed for our corporately-managed locations such as concourses and shop-in-shops with our franchisees.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Results of Operations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Fiscal 2023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Our performance continues to reflect the success of our strategy which has allowed us to put the building bl</w:t>
      </w:r>
      <w:r>
        <w:rPr>
          <w:rFonts w:ascii="Times New Roman;Times;serif" w:hAnsi="Times New Roman;Times;serif"/>
          <w:caps w:val="false"/>
          <w:smallCaps w:val="false"/>
          <w:color w:val="000000"/>
          <w:sz w:val="20"/>
          <w:shd w:fill="FFFFFF" w:val="clear"/>
        </w:rPr>
        <w:t xml:space="preserve">ocks in place to develop a powerful platform to support our initiatives to deliver consistent profitable growth. We believe our elevated omnichannel business model, which includes a highly profitable e-commerce and experiential retail store base, complimented by diversified revenue streams and disciplined expense and balance sheet management, puts us in a solid position for continued future success. We delivered a full year pre-tax profit of $66.3 million, which was the highest in our company’s 26-year history. In response to a variety of external pressures including changes in consumer shopping habits resulting in the rapid rise of the digital economy and shifting mall traffic patterns, we remained focused on accelerating and expanding our key initiatives by investing in and executing plans to improve operations and profitability. We believe that the majority of our positive performance was driven by the disciplined execution of our strategic initiatives, including leveraging our financial management to invest in growth initiatives, to contribute to a 3.9% increase in total revenue to $486.1 million in fiscal 2023. We ended the year with cash and cash equivalents of $44.3 million with no outstanding borrowings on our credit facility. During fiscal 2023, the Company returned over $42 million to shareholders through </w:t>
      </w:r>
      <w:r>
        <w:rPr>
          <w:rFonts w:ascii="Times New Roman;Times;serif" w:hAnsi="Times New Roman;Times;serif"/>
          <w:caps w:val="false"/>
          <w:smallCaps w:val="false"/>
          <w:color w:val="000000"/>
          <w:sz w:val="20"/>
        </w:rPr>
        <w:t>$20.5</w:t>
      </w:r>
      <w:r>
        <w:rPr>
          <w:rFonts w:ascii="Times New Roman;Times;serif" w:hAnsi="Times New Roman;Times;serif"/>
          <w:caps w:val="false"/>
          <w:smallCaps w:val="false"/>
          <w:color w:val="000000"/>
          <w:sz w:val="20"/>
          <w:shd w:fill="FFFFFF" w:val="clear"/>
        </w:rPr>
        <w:t> million in share repurchases and $22.0 million special dividend. </w:t>
      </w:r>
    </w:p>
    <w:p>
      <w:pPr>
        <w:pStyle w:val="TextBody"/>
        <w:bidi w:val="0"/>
        <w:spacing w:before="0" w:after="0"/>
        <w:ind w:left="0" w:right="0" w:firstLine="540"/>
        <w:jc w:val="both"/>
        <w:rPr>
          <w:caps w:val="false"/>
          <w:smallCaps w:val="false"/>
          <w:color w:val="000000"/>
        </w:rPr>
      </w:pPr>
      <w:r>
        <w:rPr>
          <w:caps w:val="false"/>
          <w:smallCaps w:val="false"/>
          <w:color w:val="000000"/>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sets forth, for the periods indicated, selected statement of operations data expressed as a percentage of total revenues, except where otherwise indicated. Percentages may not total due to immaterial rounding:</w:t>
      </w:r>
    </w:p>
    <w:p>
      <w:pPr>
        <w:pStyle w:val="TextBody"/>
        <w:bidi w:val="0"/>
        <w:spacing w:before="0" w:after="0"/>
        <w:ind w:left="0" w:right="0" w:firstLine="490"/>
        <w:jc w:val="left"/>
        <w:rPr/>
      </w:pPr>
      <w:r>
        <w:rPr/>
        <w:t> </w:t>
      </w:r>
    </w:p>
    <w:tbl>
      <w:tblPr>
        <w:tblW w:w="7103" w:type="dxa"/>
        <w:jc w:val="left"/>
        <w:tblInd w:w="0" w:type="dxa"/>
        <w:tblLayout w:type="fixed"/>
        <w:tblCellMar>
          <w:top w:w="0" w:type="dxa"/>
          <w:left w:w="0" w:type="dxa"/>
          <w:bottom w:w="0" w:type="dxa"/>
          <w:right w:w="0" w:type="dxa"/>
        </w:tblCellMar>
      </w:tblPr>
      <w:tblGrid>
        <w:gridCol w:w="4505"/>
        <w:gridCol w:w="60"/>
        <w:gridCol w:w="112"/>
        <w:gridCol w:w="912"/>
        <w:gridCol w:w="208"/>
        <w:gridCol w:w="67"/>
        <w:gridCol w:w="113"/>
        <w:gridCol w:w="926"/>
        <w:gridCol w:w="200"/>
      </w:tblGrid>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3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 ended</w:t>
            </w:r>
          </w:p>
        </w:tc>
        <w:tc>
          <w:tcPr>
            <w:tcW w:w="20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February 3,</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January 28,</w:t>
            </w:r>
          </w:p>
        </w:tc>
        <w:tc>
          <w:tcPr>
            <w:tcW w:w="20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200" w:type="dxa"/>
            <w:tcBorders/>
            <w:shd w:fill="FFFF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retail sales</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93.9</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95.3</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50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International franchising</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revenues</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0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jc w:val="left"/>
              <w:rPr/>
            </w:pPr>
            <w:r>
              <w:rPr/>
              <w:t> </w:t>
            </w:r>
          </w:p>
        </w:tc>
        <w:tc>
          <w:tcPr>
            <w:tcW w:w="926"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sz w:val="20"/>
              </w:rPr>
            </w:pPr>
            <w:r>
              <w:rPr>
                <w:rFonts w:ascii="Times New Roman;Times;serif" w:hAnsi="Times New Roman;Times;serif"/>
                <w:sz w:val="20"/>
              </w:rPr>
              <w:t>Cost of merchandise sold - retail (1)</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lineRule="auto" w:line="288" w:before="0" w:after="0"/>
              <w:ind w:left="360" w:right="0" w:hanging="0"/>
              <w:jc w:val="left"/>
              <w:rPr>
                <w:rFonts w:ascii="Times New Roman;Times;serif" w:hAnsi="Times New Roman;Times;serif"/>
                <w:sz w:val="20"/>
              </w:rPr>
            </w:pPr>
            <w:r>
              <w:rPr>
                <w:rFonts w:ascii="Times New Roman;Times;serif" w:hAnsi="Times New Roman;Times;serif"/>
                <w:sz w:val="20"/>
              </w:rPr>
              <w:t>Cost of merchandise sold - commercial (1)</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46.4</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sz w:val="20"/>
              </w:rPr>
            </w:pPr>
            <w:r>
              <w:rPr>
                <w:rFonts w:ascii="Times New Roman;Times;serif" w:hAnsi="Times New Roman;Times;serif"/>
                <w:sz w:val="20"/>
              </w:rPr>
              <w:t>Cost of merchandise sold - international franchising (1)</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cost of merchandise sold</w:t>
            </w:r>
          </w:p>
        </w:tc>
        <w:tc>
          <w:tcPr>
            <w:tcW w:w="60" w:type="dxa"/>
            <w:tcBorders/>
            <w:shd w:fill="CCEEFF" w:val="clear"/>
            <w:vAlign w:val="center"/>
          </w:tcPr>
          <w:p>
            <w:pPr>
              <w:pStyle w:val="TableContents"/>
              <w:bidi w:val="0"/>
              <w:spacing w:before="0" w:after="283"/>
              <w:jc w:val="left"/>
              <w:rPr/>
            </w:pPr>
            <w:r>
              <w:rPr/>
              <w:t> </w:t>
            </w:r>
          </w:p>
        </w:tc>
        <w:tc>
          <w:tcPr>
            <w:tcW w:w="1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gross profit</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54.4</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ind w:left="0" w:right="0" w:hanging="0"/>
              <w:jc w:val="left"/>
              <w:rPr/>
            </w:pPr>
            <w:r>
              <w:rPr/>
              <w:t> </w:t>
            </w:r>
          </w:p>
        </w:tc>
        <w:tc>
          <w:tcPr>
            <w:tcW w:w="9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40.9</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20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50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1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208" w:type="dxa"/>
            <w:tcBorders/>
            <w:shd w:fill="CCEEFF" w:val="clear"/>
            <w:vAlign w:val="center"/>
          </w:tcPr>
          <w:p>
            <w:pPr>
              <w:pStyle w:val="TableContents"/>
              <w:bidi w:val="0"/>
              <w:spacing w:before="0" w:after="283"/>
              <w:jc w:val="left"/>
              <w:rPr/>
            </w:pPr>
            <w:r>
              <w:rPr/>
              <w:t> </w:t>
            </w:r>
          </w:p>
        </w:tc>
        <w:tc>
          <w:tcPr>
            <w:tcW w:w="67" w:type="dxa"/>
            <w:tcBorders/>
            <w:shd w:fill="CCEEFF" w:val="clear"/>
            <w:vAlign w:val="center"/>
          </w:tcPr>
          <w:p>
            <w:pPr>
              <w:pStyle w:val="TableContents"/>
              <w:bidi w:val="0"/>
              <w:spacing w:before="0" w:after="283"/>
              <w:jc w:val="left"/>
              <w:rPr/>
            </w:pPr>
            <w:r>
              <w:rPr/>
              <w:t> </w:t>
            </w:r>
          </w:p>
        </w:tc>
        <w:tc>
          <w:tcPr>
            <w:tcW w:w="1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200" w:type="dxa"/>
            <w:tcBorders/>
            <w:shd w:fill="CCEEFF" w:val="clear"/>
            <w:vAlign w:val="center"/>
          </w:tcPr>
          <w:p>
            <w:pPr>
              <w:pStyle w:val="TableContents"/>
              <w:bidi w:val="0"/>
              <w:spacing w:before="0" w:after="283"/>
              <w:jc w:val="left"/>
              <w:rPr/>
            </w:pPr>
            <w:r>
              <w:rPr/>
              <w:t> </w:t>
            </w:r>
          </w:p>
        </w:tc>
      </w:tr>
      <w:tr>
        <w:trPr/>
        <w:tc>
          <w:tcPr>
            <w:tcW w:w="45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2"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208" w:type="dxa"/>
            <w:tcBorders/>
            <w:shd w:fill="FFFFFF" w:val="clear"/>
            <w:vAlign w:val="center"/>
          </w:tcPr>
          <w:p>
            <w:pPr>
              <w:pStyle w:val="TableContents"/>
              <w:bidi w:val="0"/>
              <w:spacing w:before="0" w:after="283"/>
              <w:jc w:val="left"/>
              <w:rPr/>
            </w:pPr>
            <w:r>
              <w:rPr/>
              <w:t> </w:t>
            </w:r>
          </w:p>
        </w:tc>
        <w:tc>
          <w:tcPr>
            <w:tcW w:w="67"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926"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50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Retail gross margin (2)</w:t>
            </w:r>
          </w:p>
        </w:tc>
        <w:tc>
          <w:tcPr>
            <w:tcW w:w="60" w:type="dxa"/>
            <w:tcBorders/>
            <w:shd w:fill="CCEEFF" w:val="clear"/>
            <w:vAlign w:val="center"/>
          </w:tcPr>
          <w:p>
            <w:pPr>
              <w:pStyle w:val="TableContents"/>
              <w:bidi w:val="0"/>
              <w:spacing w:before="0" w:after="283"/>
              <w:jc w:val="left"/>
              <w:rPr/>
            </w:pPr>
            <w:r>
              <w:rPr/>
              <w:t> </w:t>
            </w:r>
          </w:p>
        </w:tc>
        <w:tc>
          <w:tcPr>
            <w:tcW w:w="112"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113" w:type="dxa"/>
            <w:tcBorders/>
            <w:shd w:fill="CCEEFF" w:val="clear"/>
            <w:vAlign w:val="center"/>
          </w:tcPr>
          <w:p>
            <w:pPr>
              <w:pStyle w:val="TableContents"/>
              <w:bidi w:val="0"/>
              <w:spacing w:before="0" w:after="283"/>
              <w:ind w:left="0" w:right="0" w:hanging="0"/>
              <w:jc w:val="left"/>
              <w:rPr/>
            </w:pPr>
            <w:r>
              <w:rPr/>
              <w:t> </w:t>
            </w:r>
          </w:p>
        </w:tc>
        <w:tc>
          <w:tcPr>
            <w:tcW w:w="9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9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Cost of merchandise sold – retail is expressed as a percentage of net retail sales. Cost of merchandise sold – commercial is expressed as a percentage of commercial revenue. Cost of merchandise sold - international franchising is expressed as a percentage of international franchising revenue.</w:t>
            </w:r>
          </w:p>
        </w:tc>
      </w:tr>
    </w:tbl>
    <w:tbl>
      <w:tblPr>
        <w:tblW w:w="10205" w:type="dxa"/>
        <w:jc w:val="left"/>
        <w:tblInd w:w="0" w:type="dxa"/>
        <w:tblLayout w:type="fixed"/>
        <w:tblCellMar>
          <w:top w:w="0" w:type="dxa"/>
          <w:left w:w="0" w:type="dxa"/>
          <w:bottom w:w="0" w:type="dxa"/>
          <w:right w:w="0" w:type="dxa"/>
        </w:tblCellMar>
      </w:tblPr>
      <w:tblGrid>
        <w:gridCol w:w="267"/>
        <w:gridCol w:w="9938"/>
      </w:tblGrid>
      <w:tr>
        <w:trPr/>
        <w:tc>
          <w:tcPr>
            <w:tcW w:w="267" w:type="dxa"/>
            <w:tcBorders/>
            <w:vAlign w:val="center"/>
          </w:tcPr>
          <w:p>
            <w:pPr>
              <w:pStyle w:val="TableContents"/>
              <w:bidi w:val="0"/>
              <w:spacing w:before="0" w:after="283"/>
              <w:jc w:val="left"/>
              <w:rPr/>
            </w:pPr>
            <w:r>
              <w:rPr/>
              <w:t>(2)</w:t>
            </w:r>
          </w:p>
        </w:tc>
        <w:tc>
          <w:tcPr>
            <w:tcW w:w="9938"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Retail gross margin represents net retail sales less cost of merchandise sold – retail; retail gross margin percentage represents retail gross margin divided by net retail sales.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Fiscal Year Ended February 3, 2024</w:t>
      </w:r>
      <w:r>
        <w:rPr>
          <w:rFonts w:ascii="Times New Roman;Times;serif" w:hAnsi="Times New Roman;Times;serif"/>
          <w:sz w:val="20"/>
        </w:rPr>
        <w:t> </w:t>
      </w:r>
      <w:r>
        <w:rPr>
          <w:rFonts w:ascii="Times New Roman;Times;serif" w:hAnsi="Times New Roman;Times;serif"/>
          <w:b/>
          <w:i/>
          <w:sz w:val="20"/>
        </w:rPr>
        <w:t>Compared to Fiscal Year Ended January 28,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Fiscal 2023 was impacted by an additional week as it was a 53-week period, which is compared to 52 weeks in fiscal 2022.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Total revenues.</w:t>
      </w:r>
      <w:r>
        <w:rPr>
          <w:rFonts w:ascii="Times New Roman;Times;serif" w:hAnsi="Times New Roman;Times;serif"/>
          <w:sz w:val="20"/>
        </w:rPr>
        <w:t xml:space="preserve"> Net retail sales were $456.2 million for fiscal 2023, compared to $446.2 million for </w:t>
      </w:r>
      <w:r>
        <w:rPr>
          <w:rFonts w:ascii="Times New Roman;Times;serif" w:hAnsi="Times New Roman;Times;serif"/>
          <w:sz w:val="20"/>
          <w:shd w:fill="FFFFFF" w:val="clear"/>
        </w:rPr>
        <w:t xml:space="preserve">fiscal </w:t>
      </w:r>
      <w:r>
        <w:rPr>
          <w:rFonts w:ascii="Times New Roman;Times;serif" w:hAnsi="Times New Roman;Times;serif"/>
          <w:sz w:val="20"/>
        </w:rPr>
        <w:t>2022</w:t>
      </w:r>
      <w:r>
        <w:rPr>
          <w:rFonts w:ascii="Times New Roman;Times;serif" w:hAnsi="Times New Roman;Times;serif"/>
          <w:sz w:val="20"/>
          <w:shd w:fill="FFFFFF" w:val="clear"/>
        </w:rPr>
        <w:t>, an increase of $10.0 million or 2.2%, compared to the prior year. The compon</w:t>
      </w:r>
      <w:r>
        <w:rPr>
          <w:rFonts w:ascii="Times New Roman;Times;serif" w:hAnsi="Times New Roman;Times;serif"/>
          <w:sz w:val="20"/>
        </w:rPr>
        <w:t>ents of this increase are as follows:</w:t>
      </w:r>
    </w:p>
    <w:p>
      <w:pPr>
        <w:pStyle w:val="TextBody"/>
        <w:bidi w:val="0"/>
        <w:spacing w:before="0" w:after="0"/>
        <w:ind w:left="0" w:right="0" w:hanging="0"/>
        <w:jc w:val="left"/>
        <w:rPr/>
      </w:pPr>
      <w:r>
        <w:rPr/>
        <w:t> </w:t>
      </w:r>
    </w:p>
    <w:tbl>
      <w:tblPr>
        <w:tblW w:w="4109" w:type="dxa"/>
        <w:jc w:val="left"/>
        <w:tblInd w:w="0" w:type="dxa"/>
        <w:tblLayout w:type="fixed"/>
        <w:tblCellMar>
          <w:top w:w="0" w:type="dxa"/>
          <w:left w:w="0" w:type="dxa"/>
          <w:bottom w:w="0" w:type="dxa"/>
          <w:right w:w="0" w:type="dxa"/>
        </w:tblCellMar>
      </w:tblPr>
      <w:tblGrid>
        <w:gridCol w:w="2330"/>
        <w:gridCol w:w="60"/>
        <w:gridCol w:w="220"/>
        <w:gridCol w:w="1404"/>
        <w:gridCol w:w="95"/>
      </w:tblGrid>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 ended</w:t>
            </w:r>
          </w:p>
        </w:tc>
        <w:tc>
          <w:tcPr>
            <w:tcW w:w="9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February 3, 2024</w:t>
            </w:r>
          </w:p>
        </w:tc>
        <w:tc>
          <w:tcPr>
            <w:tcW w:w="95" w:type="dxa"/>
            <w:tcBorders/>
            <w:shd w:fill="FFFF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millions)</w:t>
            </w:r>
          </w:p>
        </w:tc>
        <w:tc>
          <w:tcPr>
            <w:tcW w:w="95" w:type="dxa"/>
            <w:tcBorders/>
            <w:shd w:fill="FFFFFF" w:val="clear"/>
            <w:vAlign w:val="center"/>
          </w:tcPr>
          <w:p>
            <w:pPr>
              <w:pStyle w:val="TableContents"/>
              <w:bidi w:val="0"/>
              <w:spacing w:before="0" w:after="283"/>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Impact from:</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Existing stores</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4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E-commerce</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jc w:val="left"/>
              <w:rPr/>
            </w:pPr>
            <w:r>
              <w:rPr/>
              <w:t> </w:t>
            </w:r>
          </w:p>
        </w:tc>
        <w:tc>
          <w:tcPr>
            <w:tcW w:w="1404"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New stores</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4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Store closures</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4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Gift card breakage</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ind w:left="0" w:right="0" w:hanging="0"/>
              <w:jc w:val="left"/>
              <w:rPr/>
            </w:pPr>
            <w:r>
              <w:rPr/>
              <w:t> </w:t>
            </w:r>
          </w:p>
        </w:tc>
        <w:tc>
          <w:tcPr>
            <w:tcW w:w="14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 currency translation</w:t>
            </w:r>
          </w:p>
        </w:tc>
        <w:tc>
          <w:tcPr>
            <w:tcW w:w="60" w:type="dxa"/>
            <w:tcBorders/>
            <w:shd w:fill="CCEEFF" w:val="clear"/>
            <w:vAlign w:val="center"/>
          </w:tcPr>
          <w:p>
            <w:pPr>
              <w:pStyle w:val="TableContents"/>
              <w:bidi w:val="0"/>
              <w:spacing w:before="0" w:after="283"/>
              <w:jc w:val="left"/>
              <w:rPr/>
            </w:pPr>
            <w:r>
              <w:rPr/>
              <w:t> </w:t>
            </w:r>
          </w:p>
        </w:tc>
        <w:tc>
          <w:tcPr>
            <w:tcW w:w="220" w:type="dxa"/>
            <w:tcBorders/>
            <w:shd w:fill="CCEEFF" w:val="clear"/>
            <w:vAlign w:val="center"/>
          </w:tcPr>
          <w:p>
            <w:pPr>
              <w:pStyle w:val="TableContents"/>
              <w:bidi w:val="0"/>
              <w:spacing w:before="0" w:after="283"/>
              <w:ind w:left="0" w:right="0" w:hanging="0"/>
              <w:jc w:val="left"/>
              <w:rPr/>
            </w:pPr>
            <w:r>
              <w:rPr/>
              <w:t> </w:t>
            </w:r>
          </w:p>
        </w:tc>
        <w:tc>
          <w:tcPr>
            <w:tcW w:w="14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w:t>
            </w:r>
          </w:p>
        </w:tc>
        <w:tc>
          <w:tcPr>
            <w:tcW w:w="9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53rd Week</w:t>
            </w:r>
          </w:p>
        </w:tc>
        <w:tc>
          <w:tcPr>
            <w:tcW w:w="60" w:type="dxa"/>
            <w:tcBorders/>
            <w:shd w:fill="FFFFFF" w:val="clear"/>
            <w:vAlign w:val="center"/>
          </w:tcPr>
          <w:p>
            <w:pPr>
              <w:pStyle w:val="TableContents"/>
              <w:bidi w:val="0"/>
              <w:spacing w:before="0" w:after="283"/>
              <w:jc w:val="left"/>
              <w:rPr/>
            </w:pPr>
            <w:r>
              <w:rPr/>
              <w:t> </w:t>
            </w:r>
          </w:p>
        </w:tc>
        <w:tc>
          <w:tcPr>
            <w:tcW w:w="220" w:type="dxa"/>
            <w:tcBorders/>
            <w:shd w:fill="FFFFFF" w:val="clear"/>
            <w:vAlign w:val="center"/>
          </w:tcPr>
          <w:p>
            <w:pPr>
              <w:pStyle w:val="TableContents"/>
              <w:bidi w:val="0"/>
              <w:spacing w:before="0" w:after="283"/>
              <w:jc w:val="left"/>
              <w:rPr/>
            </w:pPr>
            <w:r>
              <w:rPr/>
              <w:t> </w:t>
            </w:r>
          </w:p>
        </w:tc>
        <w:tc>
          <w:tcPr>
            <w:tcW w:w="140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33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22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95" w:type="dxa"/>
            <w:tcBorders/>
            <w:shd w:fill="CCEEFF" w:val="clear"/>
            <w:vAlign w:val="center"/>
          </w:tcPr>
          <w:p>
            <w:pPr>
              <w:pStyle w:val="TableContents"/>
              <w:bidi w:val="0"/>
              <w:spacing w:before="0" w:after="283"/>
              <w:jc w:val="left"/>
              <w:rPr/>
            </w:pPr>
            <w:r>
              <w:rPr/>
              <w:t> </w:t>
            </w:r>
          </w:p>
        </w:tc>
      </w:tr>
      <w:tr>
        <w:trPr/>
        <w:tc>
          <w:tcPr>
            <w:tcW w:w="23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360"/>
        <w:jc w:val="left"/>
        <w:rPr/>
      </w:pPr>
      <w:r>
        <w:rPr/>
        <w:t> </w:t>
      </w:r>
    </w:p>
    <w:p>
      <w:pPr>
        <w:pStyle w:val="TextBody"/>
        <w:bidi w:val="0"/>
        <w:spacing w:before="0" w:after="0"/>
        <w:ind w:left="0" w:right="0" w:firstLine="360"/>
        <w:jc w:val="left"/>
        <w:rPr/>
      </w:pPr>
      <w:r>
        <w:rPr/>
        <w:t xml:space="preserve">  </w:t>
      </w:r>
      <w:r>
        <w:rPr>
          <w:rFonts w:ascii="Times New Roman;Times;serif" w:hAnsi="Times New Roman;Times;serif"/>
          <w:sz w:val="20"/>
        </w:rPr>
        <w:t>The retail revenue increase was primarily the result of the 53rd week in the fiscal year, new store openings, and an increase in gift card breakage recorded, partially offset by a decrease in digital sales. </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Commercial revenue was $25.4 million for fiscal 2023 compared to $18.5 million for fiscal 2022, an increase of $6.9 million or 37.2% primarily due to increased sales volume from our commercial accounts through our third-party retail model.</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Revenue from international franchising was $4.5 million for fiscal 2023 compared to $3.2 million for fiscal 2022. This $1.3 million or 40.6%  increase was primarily due to having more stores in operation in 2023 compared to the same period in 2022.</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Retail gross margin</w:t>
      </w:r>
      <w:r>
        <w:rPr>
          <w:rFonts w:ascii="Times New Roman;Times;serif" w:hAnsi="Times New Roman;Times;serif"/>
          <w:sz w:val="20"/>
        </w:rPr>
        <w:t>. Retail gross margin was $249.3 million in fiscal 2023 compared to $234.7 million in fiscal 2022, an increase of $14.6 million or 6.2%. As a percentage of net retail sales, retail gross margin increased to 54.6% for fiscal 2023 from 52.6% for fiscal 2022, or 200 basis points as a percentage of net retail sales. The increase in gross margin</w:t>
      </w:r>
      <w:r>
        <w:rPr>
          <w:rFonts w:ascii="Times New Roman;Times;serif" w:hAnsi="Times New Roman;Times;serif"/>
          <w:sz w:val="20"/>
          <w:shd w:fill="FFFFFF" w:val="clear"/>
        </w:rPr>
        <w:t xml:space="preserve"> was the result of lower freight expenses in 2023 compared to 2022.</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i/>
          <w:sz w:val="20"/>
        </w:rPr>
        <w:t>Selling, general and administrative</w:t>
      </w:r>
      <w:r>
        <w:rPr>
          <w:rFonts w:ascii="Times New Roman;Times;serif" w:hAnsi="Times New Roman;Times;serif"/>
          <w:sz w:val="20"/>
        </w:rPr>
        <w:t>. Selling, general and administrative expenses were $199.0 million or 40.9% of consolidated revenue for fiscal 2023 as compared to $183.9 million or 39.3% of consolidated revenue for fiscal 2022. The increase in overall expense was driven by higher store-level wages due to inflation and the addition of talent and other investments to support growth, including an advertising expense incre</w:t>
      </w:r>
      <w:r>
        <w:rPr>
          <w:rFonts w:ascii="Times New Roman;Times;serif" w:hAnsi="Times New Roman;Times;serif"/>
          <w:sz w:val="20"/>
          <w:shd w:fill="FFFFFF" w:val="clear"/>
        </w:rPr>
        <w:t>ase of $</w:t>
      </w:r>
      <w:r>
        <w:rPr>
          <w:rFonts w:ascii="Times New Roman;Times;serif" w:hAnsi="Times New Roman;Times;serif"/>
          <w:sz w:val="20"/>
        </w:rPr>
        <w:t>4.7</w:t>
      </w:r>
      <w:r>
        <w:rPr>
          <w:rFonts w:ascii="Times New Roman;Times;serif" w:hAnsi="Times New Roman;Times;serif"/>
          <w:sz w:val="20"/>
          <w:shd w:fill="FFFFFF" w:val="clear"/>
        </w:rPr>
        <w:t xml:space="preserve"> million or </w:t>
      </w:r>
      <w:r>
        <w:rPr>
          <w:rFonts w:ascii="Times New Roman;Times;serif" w:hAnsi="Times New Roman;Times;serif"/>
          <w:sz w:val="20"/>
        </w:rPr>
        <w:t>23.9%</w:t>
      </w:r>
      <w:r>
        <w:rPr>
          <w:rFonts w:ascii="Times New Roman;Times;serif" w:hAnsi="Times New Roman;Times;serif"/>
          <w:sz w:val="20"/>
          <w:shd w:fill="FFFFFF" w:val="clear"/>
        </w:rPr>
        <w:t xml:space="preserve"> compared to fiscal </w:t>
      </w:r>
      <w:r>
        <w:rPr>
          <w:rFonts w:ascii="Times New Roman;Times;serif" w:hAnsi="Times New Roman;Times;serif"/>
          <w:sz w:val="20"/>
        </w:rPr>
        <w:t>2022.</w:t>
      </w:r>
    </w:p>
    <w:p>
      <w:pPr>
        <w:pStyle w:val="TextBody"/>
        <w:bidi w:val="0"/>
        <w:spacing w:before="0" w:after="0"/>
        <w:ind w:left="0" w:right="0" w:firstLine="54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rPr>
        <w:t>Interest expense (income)</w:t>
      </w:r>
      <w:r>
        <w:rPr>
          <w:rFonts w:ascii="Times New Roman;Times;serif" w:hAnsi="Times New Roman;Times;serif"/>
          <w:sz w:val="20"/>
        </w:rPr>
        <w:t xml:space="preserve">, </w:t>
      </w:r>
      <w:r>
        <w:rPr>
          <w:rFonts w:ascii="Times New Roman;Times;serif" w:hAnsi="Times New Roman;Times;serif"/>
          <w:i/>
          <w:sz w:val="20"/>
          <w:shd w:fill="FFFFFF" w:val="clear"/>
        </w:rPr>
        <w:t>net.</w:t>
      </w:r>
      <w:r>
        <w:rPr>
          <w:rFonts w:ascii="Times New Roman;Times;serif" w:hAnsi="Times New Roman;Times;serif"/>
          <w:sz w:val="20"/>
          <w:shd w:fill="FFFFFF" w:val="clear"/>
        </w:rPr>
        <w:t> For fiscal 2023, we had $0.9 million of interest income compared to an immaterial amount of interest expense in fiscal 2022, resulting from higher interest rates.</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i/>
          <w:sz w:val="20"/>
          <w:shd w:fill="FFFFFF" w:val="clear"/>
        </w:rPr>
        <w:t>Provision for income taxes</w:t>
      </w:r>
      <w:r>
        <w:rPr>
          <w:rFonts w:ascii="Times New Roman;Times;serif" w:hAnsi="Times New Roman;Times;serif"/>
          <w:sz w:val="20"/>
          <w:shd w:fill="FFFFFF" w:val="clear"/>
        </w:rPr>
        <w:t>. The provision for income taxes was $13.5 million in fiscal </w:t>
      </w:r>
      <w:r>
        <w:rPr>
          <w:rFonts w:ascii="Times New Roman;Times;serif" w:hAnsi="Times New Roman;Times;serif"/>
          <w:sz w:val="20"/>
        </w:rPr>
        <w:t>2023</w:t>
      </w:r>
      <w:r>
        <w:rPr>
          <w:rFonts w:ascii="Times New Roman;Times;serif" w:hAnsi="Times New Roman;Times;serif"/>
          <w:sz w:val="20"/>
          <w:shd w:fill="FFFFFF" w:val="clear"/>
        </w:rPr>
        <w:t xml:space="preserve"> compared to $13.9 million in fiscal </w:t>
      </w:r>
      <w:r>
        <w:rPr>
          <w:rFonts w:ascii="Times New Roman;Times;serif" w:hAnsi="Times New Roman;Times;serif"/>
          <w:sz w:val="20"/>
        </w:rPr>
        <w:t>2022</w:t>
      </w:r>
      <w:r>
        <w:rPr>
          <w:rFonts w:ascii="Times New Roman;Times;serif" w:hAnsi="Times New Roman;Times;serif"/>
          <w:sz w:val="20"/>
          <w:shd w:fill="FFFFFF" w:val="clear"/>
        </w:rPr>
        <w:t>. The </w:t>
      </w:r>
      <w:r>
        <w:rPr>
          <w:rFonts w:ascii="Times New Roman;Times;serif" w:hAnsi="Times New Roman;Times;serif"/>
          <w:sz w:val="20"/>
        </w:rPr>
        <w:t>2023</w:t>
      </w:r>
      <w:r>
        <w:rPr>
          <w:rFonts w:ascii="Times New Roman;Times;serif" w:hAnsi="Times New Roman;Times;serif"/>
          <w:sz w:val="20"/>
          <w:shd w:fill="FFFFFF" w:val="clear"/>
        </w:rPr>
        <w:t xml:space="preserve"> effective rate of </w:t>
      </w:r>
      <w:r>
        <w:rPr>
          <w:rFonts w:ascii="Times New Roman;Times;serif" w:hAnsi="Times New Roman;Times;serif"/>
          <w:sz w:val="20"/>
        </w:rPr>
        <w:t>20.4%</w:t>
      </w:r>
      <w:r>
        <w:rPr>
          <w:rFonts w:ascii="Times New Roman;Times;serif" w:hAnsi="Times New Roman;Times;serif"/>
          <w:sz w:val="20"/>
          <w:shd w:fill="FFFFFF" w:val="clear"/>
        </w:rPr>
        <w:t xml:space="preserve"> differed from the statutory rate of 21% primarily due to </w:t>
      </w:r>
      <w:r>
        <w:rPr>
          <w:rFonts w:ascii="Times New Roman;Times;serif" w:hAnsi="Times New Roman;Times;serif"/>
          <w:sz w:val="20"/>
        </w:rPr>
        <w:t>the reversal of the valuation allowance in the U.K. partially offset by state income tax expense</w:t>
      </w:r>
      <w:r>
        <w:rPr>
          <w:rFonts w:ascii="Times New Roman;Times;serif" w:hAnsi="Times New Roman;Times;serif"/>
          <w:sz w:val="20"/>
          <w:shd w:fill="FFFFFF" w:val="clear"/>
        </w:rPr>
        <w:t>. The </w:t>
      </w:r>
      <w:r>
        <w:rPr>
          <w:rFonts w:ascii="Times New Roman;Times;serif" w:hAnsi="Times New Roman;Times;serif"/>
          <w:sz w:val="20"/>
        </w:rPr>
        <w:t>2022</w:t>
      </w:r>
      <w:r>
        <w:rPr>
          <w:rFonts w:ascii="Times New Roman;Times;serif" w:hAnsi="Times New Roman;Times;serif"/>
          <w:sz w:val="20"/>
          <w:shd w:fill="FFFFFF" w:val="clear"/>
        </w:rPr>
        <w:t xml:space="preserve"> effective rate of 22.5% differed from the statutory rate of 21% primarily due to state income tax expense.</w:t>
      </w:r>
    </w:p>
    <w:p>
      <w:pPr>
        <w:pStyle w:val="TextBody"/>
        <w:bidi w:val="0"/>
        <w:spacing w:before="0" w:after="0"/>
        <w:ind w:left="0" w:right="0" w:firstLine="36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b/>
          <w:i/>
          <w:caps w:val="false"/>
          <w:smallCaps w:val="false"/>
          <w:sz w:val="20"/>
          <w:shd w:fill="FFFFFF" w:val="clear"/>
        </w:rPr>
        <w:t>Non-GAAP Financial Measure - </w:t>
      </w:r>
      <w:r>
        <w:rPr>
          <w:rFonts w:ascii="Times New Roman" w:hAnsi="Times New Roman"/>
          <w:b/>
          <w:i/>
          <w:caps w:val="false"/>
          <w:smallCaps w:val="false"/>
          <w:sz w:val="20"/>
        </w:rPr>
        <w:t>Earnings before Interest, Taxes, Depreciation, and Amortization</w:t>
      </w:r>
      <w:r>
        <w:rPr>
          <w:rFonts w:ascii="Times New Roman" w:hAnsi="Times New Roman"/>
          <w:i/>
          <w:caps w:val="false"/>
          <w:smallCaps w:val="false"/>
          <w:sz w:val="20"/>
        </w:rPr>
        <w:t>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believe that earnings before interest, taxes, depreciation, and amortization ("EBITDA") provides meaningful information about our operational efficiency by excluding the impact of differences in tax jurisdictions and structures, debt levels, and capital investment. Additionally, this measure is the metric used for portions of the Company's incentive compensation structure. This measure is not in accordance with, or an alternative to, GAAP. The most comparable GAAP measure is income before income taxes, or pre-tax income. EBITDA should not be considered in isolation or as a substitution for analysis of our results as reported in accordance with GAAP. Other companies may calculate EBIT and EBITDA differently, limiting the usefulness of the measures for comparisons with other companies. The following table sets forth, for the periods indicated, the components of EBITDA (dollars in millions):</w:t>
      </w:r>
    </w:p>
    <w:p>
      <w:pPr>
        <w:pStyle w:val="TextBody"/>
        <w:bidi w:val="0"/>
        <w:spacing w:before="0" w:after="0"/>
        <w:ind w:left="0" w:right="0" w:hanging="0"/>
        <w:jc w:val="both"/>
        <w:rPr/>
      </w:pPr>
      <w:r>
        <w:rPr/>
        <w:t> </w:t>
      </w:r>
    </w:p>
    <w:tbl>
      <w:tblPr>
        <w:tblW w:w="8283" w:type="dxa"/>
        <w:jc w:val="left"/>
        <w:tblInd w:w="0" w:type="dxa"/>
        <w:tblLayout w:type="fixed"/>
        <w:tblCellMar>
          <w:top w:w="0" w:type="dxa"/>
          <w:left w:w="0" w:type="dxa"/>
          <w:bottom w:w="0" w:type="dxa"/>
          <w:right w:w="0" w:type="dxa"/>
        </w:tblCellMar>
      </w:tblPr>
      <w:tblGrid>
        <w:gridCol w:w="5030"/>
        <w:gridCol w:w="60"/>
        <w:gridCol w:w="260"/>
        <w:gridCol w:w="1229"/>
        <w:gridCol w:w="80"/>
        <w:gridCol w:w="60"/>
        <w:gridCol w:w="262"/>
        <w:gridCol w:w="1242"/>
        <w:gridCol w:w="60"/>
      </w:tblGrid>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3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60" w:type="dxa"/>
            <w:tcBorders/>
            <w:shd w:fill="FFFF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3, 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28, 2023</w:t>
            </w:r>
          </w:p>
        </w:tc>
        <w:tc>
          <w:tcPr>
            <w:tcW w:w="6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 (pre-tax)</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2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shd w:fill="CCEEFF" w:val="clear"/>
            <w:vAlign w:val="center"/>
          </w:tcPr>
          <w:p>
            <w:pPr>
              <w:pStyle w:val="TableContents"/>
              <w:bidi w:val="0"/>
              <w:spacing w:before="0" w:after="283"/>
              <w:ind w:left="0" w:right="0" w:hanging="0"/>
              <w:jc w:val="left"/>
              <w:rPr/>
            </w:pPr>
            <w:r>
              <w:rPr/>
              <w:t> </w:t>
            </w:r>
          </w:p>
        </w:tc>
        <w:tc>
          <w:tcPr>
            <w:tcW w:w="12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61,924</w:t>
            </w:r>
          </w:p>
        </w:tc>
        <w:tc>
          <w:tcPr>
            <w:tcW w:w="6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(income), net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62" w:type="dxa"/>
            <w:tcBorders/>
            <w:shd w:fill="FFFFFF" w:val="clear"/>
            <w:vAlign w:val="center"/>
          </w:tcPr>
          <w:p>
            <w:pPr>
              <w:pStyle w:val="TableContents"/>
              <w:bidi w:val="0"/>
              <w:spacing w:before="0" w:after="283"/>
              <w:ind w:left="0" w:right="0" w:hanging="0"/>
              <w:jc w:val="left"/>
              <w:rPr/>
            </w:pPr>
            <w:r>
              <w:rPr/>
              <w:t> </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vAlign w:val="center"/>
          </w:tcPr>
          <w:p>
            <w:pPr>
              <w:pStyle w:val="TableContents"/>
              <w:bidi w:val="0"/>
              <w:spacing w:before="0" w:after="283"/>
              <w:jc w:val="left"/>
              <w:rPr/>
            </w:pPr>
            <w:r>
              <w:rPr/>
              <w:t> </w:t>
            </w:r>
          </w:p>
        </w:tc>
      </w:tr>
      <w:tr>
        <w:trPr/>
        <w:tc>
          <w:tcPr>
            <w:tcW w:w="503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 expense</w:t>
            </w:r>
          </w:p>
        </w:tc>
        <w:tc>
          <w:tcPr>
            <w:tcW w:w="60" w:type="dxa"/>
            <w:tcBorders/>
            <w:shd w:fill="CCEEFF" w:val="clear"/>
            <w:vAlign w:val="center"/>
          </w:tcPr>
          <w:p>
            <w:pPr>
              <w:pStyle w:val="TableContents"/>
              <w:bidi w:val="0"/>
              <w:spacing w:before="0" w:after="283"/>
              <w:jc w:val="left"/>
              <w:rPr/>
            </w:pPr>
            <w:r>
              <w:rPr/>
              <w:t> </w:t>
            </w:r>
          </w:p>
        </w:tc>
        <w:tc>
          <w:tcPr>
            <w:tcW w:w="2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12,482</w:t>
            </w:r>
          </w:p>
        </w:tc>
        <w:tc>
          <w:tcPr>
            <w:tcW w:w="60" w:type="dxa"/>
            <w:tcBorders/>
            <w:shd w:fill="CCEEFF" w:val="clear"/>
            <w:vAlign w:val="center"/>
          </w:tcPr>
          <w:p>
            <w:pPr>
              <w:pStyle w:val="TableContents"/>
              <w:bidi w:val="0"/>
              <w:spacing w:before="0" w:after="283"/>
              <w:jc w:val="left"/>
              <w:rPr/>
            </w:pPr>
            <w:r>
              <w:rPr/>
              <w:t> </w:t>
            </w:r>
          </w:p>
        </w:tc>
      </w:tr>
      <w:tr>
        <w:trPr/>
        <w:tc>
          <w:tcPr>
            <w:tcW w:w="503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Earnings before interest, taxes, depreciation, and amortization</w:t>
            </w:r>
          </w:p>
        </w:tc>
        <w:tc>
          <w:tcPr>
            <w:tcW w:w="60"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74,425</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EBITDA for fiscal 2023 was $79.1 million, compared to $74.4 million for fiscal 2022, an increase of $4.7 million compared to the prior year period. The overall increase in EBITDA was driven by lower freight expense, leverage of warehouse costs, and the impact of the 53rd week in fiscal 2023.</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b/>
          <w:i/>
          <w:sz w:val="20"/>
        </w:rPr>
        <w:t>Liquidity and Capital Resources</w:t>
      </w:r>
      <w:r>
        <w:rPr>
          <w:rFonts w:ascii="Times New Roman;Times;serif" w:hAnsi="Times New Roman;Times;serif"/>
          <w:i/>
          <w:sz w:val="20"/>
        </w:rPr>
        <w:t>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Our cash requirements are primarily for the opening, remodeling or reformatting of stores, installation and upgrades of information systems and working capital. Over the past several years, we have met these requirements through cash generated from operations.</w:t>
      </w:r>
    </w:p>
    <w:p>
      <w:pPr>
        <w:pStyle w:val="TextBody"/>
        <w:bidi w:val="0"/>
        <w:spacing w:before="0" w:after="0"/>
        <w:ind w:left="0" w:right="0" w:firstLine="540"/>
        <w:jc w:val="left"/>
        <w:rPr/>
      </w:pPr>
      <w:r>
        <w:rPr/>
        <w:t> </w:t>
      </w:r>
    </w:p>
    <w:tbl>
      <w:tblPr>
        <w:tblW w:w="7478" w:type="dxa"/>
        <w:jc w:val="left"/>
        <w:tblInd w:w="0" w:type="dxa"/>
        <w:tblLayout w:type="fixed"/>
        <w:tblCellMar>
          <w:top w:w="0" w:type="dxa"/>
          <w:left w:w="0" w:type="dxa"/>
          <w:bottom w:w="0" w:type="dxa"/>
          <w:right w:w="0" w:type="dxa"/>
        </w:tblCellMar>
      </w:tblPr>
      <w:tblGrid>
        <w:gridCol w:w="5135"/>
        <w:gridCol w:w="60"/>
        <w:gridCol w:w="164"/>
        <w:gridCol w:w="860"/>
        <w:gridCol w:w="80"/>
        <w:gridCol w:w="60"/>
        <w:gridCol w:w="167"/>
        <w:gridCol w:w="872"/>
        <w:gridCol w:w="80"/>
      </w:tblGrid>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0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Fiscal year ended</w:t>
            </w:r>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January 28,</w:t>
            </w:r>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47,276</w:t>
            </w:r>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 of exchange rates on cash</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80" w:type="dxa"/>
            <w:tcBorders/>
            <w:shd w:fill="FFFFFF" w:val="cle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Increase (decrease) in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firstLine="540"/>
        <w:jc w:val="both"/>
        <w:rPr>
          <w:color w:val="000000"/>
        </w:rPr>
      </w:pPr>
      <w:r>
        <w:rPr>
          <w:color w:val="000000"/>
        </w:rPr>
        <w:t> </w:t>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i/>
          <w:color w:val="000000"/>
          <w:sz w:val="20"/>
        </w:rPr>
        <w:t xml:space="preserve">Operating Activities. </w:t>
      </w:r>
      <w:r>
        <w:rPr>
          <w:rFonts w:ascii="Times New Roman;Times;serif" w:hAnsi="Times New Roman;Times;serif"/>
          <w:color w:val="000000"/>
          <w:sz w:val="20"/>
        </w:rPr>
        <w:t>Cash flows provided by operating activities were $64.3 million and $47.3 million in fiscal years 2023 and 2022, respectively. Cash flows from operating activities increased in fiscal 2023 as compared to fiscal 2022 primarily driven by a decrease in cash spent on inventory purchases and increased sales volume, resulting in higher net income.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i/>
          <w:color w:val="000000"/>
          <w:sz w:val="20"/>
        </w:rPr>
        <w:t>Investing Activities</w:t>
      </w:r>
      <w:r>
        <w:rPr>
          <w:rFonts w:ascii="Times New Roman;Times;serif" w:hAnsi="Times New Roman;Times;serif"/>
          <w:color w:val="000000"/>
          <w:sz w:val="20"/>
        </w:rPr>
        <w:t>. Cash flows used in investing activities were $18.3 million and $13.6 million in fiscal years 2023 and 2022, respectively. Cash used in investing activities in fiscal 2023 increased as compared to fiscal 2022 primarily driven by an increase in spending on capital expenditures related to information technology projects and new store openings.</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i/>
          <w:color w:val="000000"/>
          <w:sz w:val="20"/>
        </w:rPr>
        <w:t>Financing Activities</w:t>
      </w:r>
      <w:r>
        <w:rPr>
          <w:rFonts w:ascii="Times New Roman;Times;serif" w:hAnsi="Times New Roman;Times;serif"/>
          <w:color w:val="000000"/>
          <w:sz w:val="20"/>
        </w:rPr>
        <w:t>. Financing activities used cash of $43.9 million in fiscal 2023 compared to $25.1 million in fiscal 2022. Cash used in financing activities in fiscal 2023 increased as compared to fiscal 2022, driven primarily by the repurchases of our common stock for $20.5 million throughout fiscal 2023 and dividends paid of $22.1 million.</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color w:val="000000"/>
          <w:sz w:val="20"/>
        </w:rPr>
      </w:pPr>
      <w:r>
        <w:rPr>
          <w:rFonts w:ascii="Times New Roman;Times;serif" w:hAnsi="Times New Roman;Times;serif"/>
          <w:i/>
          <w:color w:val="000000"/>
          <w:sz w:val="20"/>
        </w:rPr>
        <w:t>Capital Resources</w:t>
      </w:r>
      <w:r>
        <w:rPr>
          <w:rFonts w:ascii="Times New Roman;Times;serif" w:hAnsi="Times New Roman;Times;serif"/>
          <w:color w:val="000000"/>
          <w:sz w:val="20"/>
        </w:rPr>
        <w:t xml:space="preserve">. As of February 3, 2024, we had a cash balance of $44.3 million, of which 81% was domiciled within the U.S, after investing </w:t>
      </w:r>
      <w:r>
        <w:rPr>
          <w:rFonts w:ascii="Times New Roman;Times;serif" w:hAnsi="Times New Roman;Times;serif"/>
          <w:color w:val="000000"/>
          <w:sz w:val="20"/>
          <w:shd w:fill="FFFFFF" w:val="clear"/>
        </w:rPr>
        <w:t>$18.3</w:t>
      </w:r>
      <w:r>
        <w:rPr>
          <w:rFonts w:ascii="Times New Roman;Times;serif" w:hAnsi="Times New Roman;Times;serif"/>
          <w:color w:val="000000"/>
          <w:sz w:val="20"/>
        </w:rPr>
        <w:t> million in capital projects throughout the year.</w:t>
      </w:r>
    </w:p>
    <w:p>
      <w:pPr>
        <w:pStyle w:val="TextBody"/>
        <w:bidi w:val="0"/>
        <w:spacing w:before="0" w:after="0"/>
        <w:ind w:left="0" w:right="0" w:firstLine="490"/>
        <w:jc w:val="both"/>
        <w:rPr/>
      </w:pPr>
      <w:r>
        <w:rPr/>
        <w:t> </w:t>
      </w:r>
    </w:p>
    <w:p>
      <w:pPr>
        <w:pStyle w:val="TextBody"/>
        <w:bidi w:val="0"/>
        <w:spacing w:before="0" w:after="0"/>
        <w:ind w:left="0" w:right="0" w:firstLine="540"/>
        <w:jc w:val="center"/>
        <w:rPr>
          <w:rFonts w:ascii="Times New Roman" w:hAnsi="Times New Roman"/>
          <w:sz w:val="20"/>
        </w:rPr>
      </w:pPr>
      <w:r>
        <w:rPr>
          <w:rFonts w:ascii="Times New Roman" w:hAnsi="Times New Roman"/>
          <w:sz w:val="20"/>
        </w:rPr>
        <w:t xml:space="preserve">31 </w:t>
      </w:r>
    </w:p>
    <w:p>
      <w:pPr>
        <w:pStyle w:val="HorizontalLine"/>
        <w:bidi w:val="0"/>
        <w:ind w:left="0" w:right="0" w:firstLine="540"/>
        <w:jc w:val="left"/>
        <w:rPr/>
      </w:pPr>
      <w:r>
        <w:rPr/>
      </w:r>
    </w:p>
    <w:p>
      <w:pPr>
        <w:pStyle w:val="TextBody"/>
        <w:bidi w:val="0"/>
        <w:ind w:left="0" w:right="0" w:firstLine="540"/>
        <w:jc w:val="left"/>
        <w:rPr/>
      </w:pPr>
      <w:hyperlink w:anchor="toc">
        <w:r>
          <w:rPr>
            <w:rStyle w:val="InternetLink"/>
            <w:rFonts w:ascii="Times New Roman;Times;serif" w:hAnsi="Times New Roman;Times;serif"/>
            <w:sz w:val="20"/>
          </w:rPr>
          <w:t>Table of Contents</w:t>
        </w:r>
      </w:hyperlink>
      <w:r>
        <w:rPr>
          <w:rFonts w:ascii="Times New Roman;Times;serif" w:hAnsi="Times New Roman;Times;serif"/>
          <w:sz w:val="20"/>
        </w:rPr>
        <w:t xml:space="preserve"> </w:t>
      </w:r>
    </w:p>
    <w:p>
      <w:pPr>
        <w:pStyle w:val="TextBody"/>
        <w:bidi w:val="0"/>
        <w:spacing w:before="0" w:after="0"/>
        <w:ind w:left="0" w:right="0" w:firstLine="540"/>
        <w:jc w:val="left"/>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have a revolving credit and security agreement with PNC Bank, as agent, that provides for a secured revolving loan in aggregate principal of up to $25.0 million, subject to a borrowing base formula. As of February 3, 2024, borrowings under the agreement would bear interest at (a) a base rate determined under the agreement, or (b) the borrower's option, at a rate based on SOFR, plus in either case a margin based on average undrawn availability as determined in accordance with the agreement.</w:t>
      </w:r>
      <w:r>
        <w:rPr>
          <w:rFonts w:ascii="Times New Roman" w:hAnsi="Times New Roman"/>
          <w:caps w:val="false"/>
          <w:smallCaps w:val="false"/>
          <w:sz w:val="20"/>
          <w:shd w:fill="FFFFFF" w:val="clear"/>
        </w:rPr>
        <w:t xml:space="preserve"> As of February 3, 2024, we had a borrowing base of $25.0 million. As a result of a $250,000 letter of credit against the line of credit at the end of fiscal 2023, approximately $24.7 million was available for borrowing. A</w:t>
      </w:r>
      <w:r>
        <w:rPr>
          <w:rFonts w:ascii="Times New Roman" w:hAnsi="Times New Roman"/>
          <w:caps w:val="false"/>
          <w:smallCaps w:val="false"/>
          <w:sz w:val="20"/>
        </w:rPr>
        <w:t>s of February 3, 2024, we had no outstanding borrowings.</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During fiscal 2023, we utilized $20.5 million in cash to repurchase 896,603 shares under the $50.0 million program authorized by our Board of Directors in August 31, 2022</w:t>
      </w:r>
      <w:r>
        <w:rPr>
          <w:rFonts w:ascii="Times New Roman;Times;serif" w:hAnsi="Times New Roman;Times;serif"/>
          <w:caps w:val="false"/>
          <w:smallCaps w:val="false"/>
          <w:color w:val="000000"/>
          <w:sz w:val="20"/>
          <w:shd w:fill="FFFFFF" w:val="clear"/>
        </w:rPr>
        <w:t>. As of April 15, 2024, we have repurchased a total of $26.9 million to purchase 1,149,018 shares, leaving $19.6 million available.</w:t>
      </w:r>
    </w:p>
    <w:p>
      <w:pPr>
        <w:pStyle w:val="TextBody"/>
        <w:bidi w:val="0"/>
        <w:spacing w:before="0" w:after="0"/>
        <w:ind w:left="160" w:right="0" w:firstLine="540"/>
        <w:jc w:val="left"/>
        <w:rPr>
          <w:caps w:val="false"/>
          <w:smallCaps w:val="false"/>
        </w:rPr>
      </w:pPr>
      <w:r>
        <w:rPr>
          <w:caps w:val="false"/>
          <w:smallCaps w:val="false"/>
        </w:rPr>
        <w:t> </w:t>
      </w:r>
    </w:p>
    <w:p>
      <w:pPr>
        <w:pStyle w:val="TextBody"/>
        <w:bidi w:val="0"/>
        <w:spacing w:before="0" w:after="0"/>
        <w:ind w:left="0" w:right="0" w:firstLine="540"/>
        <w:jc w:val="both"/>
        <w:rPr>
          <w:rFonts w:ascii="Times New Roman;Times;serif" w:hAnsi="Times New Roman;Times;serif"/>
          <w:caps w:val="false"/>
          <w:smallCaps w:val="false"/>
          <w:color w:val="000000"/>
          <w:sz w:val="20"/>
        </w:rPr>
      </w:pPr>
      <w:r>
        <w:rPr>
          <w:rFonts w:ascii="Times New Roman;Times;serif" w:hAnsi="Times New Roman;Times;serif"/>
          <w:caps w:val="false"/>
          <w:smallCaps w:val="false"/>
          <w:color w:val="000000"/>
          <w:sz w:val="20"/>
        </w:rPr>
        <w:t>During the first quarter of fiscal 2024, our Board of Directors declared an initial quarterly dividend of $0.20 per share paid on April 11, 2024 to all shareholders of record as of March 28, 2024.</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As of </w:t>
      </w:r>
      <w:r>
        <w:rPr>
          <w:rFonts w:ascii="Times New Roman;Times;serif" w:hAnsi="Times New Roman;Times;serif"/>
          <w:sz w:val="20"/>
        </w:rPr>
        <w:t>February 3, 2024</w:t>
      </w:r>
      <w:r>
        <w:rPr>
          <w:rFonts w:ascii="Times New Roman;Times;serif" w:hAnsi="Times New Roman;Times;serif"/>
          <w:sz w:val="20"/>
          <w:shd w:fill="FFFFFF" w:val="clear"/>
        </w:rPr>
        <w:t>, we had restricted cash of $0.4 million compared to $0.5 million as of </w:t>
      </w:r>
      <w:r>
        <w:rPr>
          <w:rFonts w:ascii="Times New Roman;Times;serif" w:hAnsi="Times New Roman;Times;serif"/>
          <w:sz w:val="20"/>
        </w:rPr>
        <w:t>January 28, 2023, resulting in an immaterial difference in activity.</w:t>
      </w:r>
    </w:p>
    <w:p>
      <w:pPr>
        <w:pStyle w:val="TextBody"/>
        <w:bidi w:val="0"/>
        <w:ind w:left="0" w:right="0" w:firstLine="540"/>
        <w:jc w:val="left"/>
        <w:rPr/>
      </w:pPr>
      <w:r>
        <w:rPr/>
        <w:t xml:space="preserve">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Most of our retail stores are located within shopping malls and all are operated under leases classified as operating leases. Our leases in North America tend to be shorter term leases to provide flexibility in aligning stores with market trends. During fiscal 2023, lease extensions began to have longer terms as we have secured longer deals with more favorable terms. Our leases typically require us to p</w:t>
      </w:r>
      <w:r>
        <w:rPr>
          <w:rFonts w:ascii="Times New Roman;Times;serif" w:hAnsi="Times New Roman;Times;serif"/>
          <w:sz w:val="20"/>
          <w:shd w:fill="FFFFFF" w:val="clear"/>
        </w:rPr>
        <w:t>ay personal property taxes, our pro rata share of real property taxes of the shopping mall, our own utilities, repairs and maintenance in our store, a pro rata share of the malls’ common area maintenance and, in some instances, merchant association fees and media fund contributions. Many leases contain incentives to help defray the cost of construction of a new store. Typically, a portion of the incentive must be repaid to the landlord if we choose to terminate the lease prior to its contracted term. In addition, some of these leases contain various restrictions relating to change in control of our company. Our leases also subject us to risks relating to compliance with changing mall rules and the exercise of discretion by our landlords on various matters, including rights of termination in some cases. Rents are invoiced monthly and paid in advance.</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leases in the U.K. and Ireland typically have terms of ten years and generally contain a provision whereby every fifth year the rental rate can be adjusted to reflect the current market rates. The leases typically provide the lessee with the first right for renewal at the end of the lease. We may also be required to make deposits and rent guarantees to secure new leases as we expand. Real estate taxes also change according to government time schedules to reflect current market rental rates for the locations we lease. Rents are invoiced monthly or quarterly and paid in advance.</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Capital spending in fiscal 2023 totaled $18.3 million and was primarily used to support our ongoing digital initiatives and new store openings.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color w:val="000000"/>
          <w:sz w:val="20"/>
        </w:rPr>
      </w:pPr>
      <w:r>
        <w:rPr>
          <w:rFonts w:ascii="Times New Roman;Times;serif" w:hAnsi="Times New Roman;Times;serif"/>
          <w:color w:val="000000"/>
          <w:sz w:val="20"/>
        </w:rPr>
        <w:t>We have various contractual or other obligations, including operating lease commitments and obligations under deferred compensation plans. Additional information is provided in the notes to our consolidated financial statements. As of February 3, 2024, we had purchase obligations totaling approxim</w:t>
      </w:r>
      <w:r>
        <w:rPr>
          <w:rFonts w:ascii="Times New Roman;Times;serif" w:hAnsi="Times New Roman;Times;serif"/>
          <w:color w:val="000000"/>
          <w:sz w:val="20"/>
          <w:shd w:fill="FFFFFF" w:val="clear"/>
        </w:rPr>
        <w:t>ately $</w:t>
      </w:r>
      <w:r>
        <w:rPr>
          <w:rFonts w:ascii="Times New Roman;Times;serif" w:hAnsi="Times New Roman;Times;serif"/>
          <w:color w:val="000000"/>
          <w:sz w:val="20"/>
        </w:rPr>
        <w:t>84.7</w:t>
      </w:r>
      <w:r>
        <w:rPr>
          <w:rFonts w:ascii="Times New Roman;Times;serif" w:hAnsi="Times New Roman;Times;serif"/>
          <w:color w:val="000000"/>
          <w:sz w:val="20"/>
          <w:shd w:fill="FFFFFF" w:val="clear"/>
        </w:rPr>
        <w:t> million, of which $</w:t>
      </w:r>
      <w:r>
        <w:rPr>
          <w:rFonts w:ascii="Times New Roman;Times;serif" w:hAnsi="Times New Roman;Times;serif"/>
          <w:color w:val="000000"/>
          <w:sz w:val="20"/>
        </w:rPr>
        <w:t xml:space="preserve">26.0 </w:t>
      </w:r>
      <w:r>
        <w:rPr>
          <w:rFonts w:ascii="Times New Roman;Times;serif" w:hAnsi="Times New Roman;Times;serif"/>
          <w:color w:val="000000"/>
          <w:sz w:val="20"/>
          <w:shd w:fill="FFFFFF" w:val="clear"/>
        </w:rPr>
        <w:t>million a</w:t>
      </w:r>
      <w:r>
        <w:rPr>
          <w:rFonts w:ascii="Times New Roman;Times;serif" w:hAnsi="Times New Roman;Times;serif"/>
          <w:color w:val="000000"/>
          <w:sz w:val="20"/>
        </w:rPr>
        <w:t>re due in the next 12 months. We believe our operating cash flows are sufficient to meet our material cash requirements for at least the next 12 months.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We have no off-balance sheet arrangements as of February 3, 2024.</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Inflation </w:t>
      </w:r>
    </w:p>
    <w:p>
      <w:pPr>
        <w:pStyle w:val="TextBody"/>
        <w:bidi w:val="0"/>
        <w:spacing w:before="0" w:after="0"/>
        <w:ind w:left="0" w:right="0" w:hanging="0"/>
        <w:jc w:val="both"/>
        <w:rPr/>
      </w:pPr>
      <w:r>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 impact of higher inflation on the Company's business operations was seen throughout fiscal 2022 and continued to adversely affect our business in fiscal 2023, mainly through rising store labor costs. However, we continue to take mitigating actions, such as select strategic price increases on highly sought-after products, and leveraging distribution costs. We continue to monitor the impact of inflation on our business operations on an ongoing basis and may need to adjust our prices further to mitigate the impacts of changes to the rate of inflation during 2023 or in future years. Future volatility of general price inflation and the impact of inflation on costs and availability of materials, costs for shipping and warehousing and other operational overhead could adversely affect our financial results. Inflationary pressures may be exacerbated by higher transportation costs due to war and other geopolitical conflicts, such as the current Russia-Ukraine conflict, tension between China and Taiwan, and the Israel-Hamas conflict. We cannot provide an estimate or range of impact that such inflation may have on our future results of operations. However, if we are unable to recover the impact of these costs through price increases to our guests, or if consumer spending decreases as a result of inflation, our business, results of operations, financial condition and cash flows may be adversely affected. In addition, ongoing inflation in product costs may result in lower gross margin rates if we elect to maintain higher inventory reserves to mitigate anticipated higher costs.</w:t>
      </w:r>
    </w:p>
    <w:p>
      <w:pPr>
        <w:pStyle w:val="TextBody"/>
        <w:bidi w:val="0"/>
        <w:spacing w:before="0" w:after="0"/>
        <w:ind w:left="0" w:right="0" w:firstLine="540"/>
        <w:jc w:val="both"/>
        <w:rPr/>
      </w:pPr>
      <w:r>
        <w:rPr/>
        <w:t> </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 xml:space="preserve">Critical Accounting Policies and Estimates </w:t>
      </w:r>
    </w:p>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preparation of financial statements in conformity with generally accepted accounting principles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pStyle w:val="TextBody"/>
        <w:bidi w:val="0"/>
        <w:spacing w:before="0" w:after="0"/>
        <w:ind w:left="0" w:right="0" w:firstLine="540"/>
        <w:jc w:val="left"/>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We believe application of accounting policies, and the estimates inherently required therein, are reasonable. These accounting policies and estimates are periodically reevaluated, and adjustments are made when facts and circumstances dictate a change. Historically, we have found our application of accounting policies to be appropriate, and actual results have not differed materially from those determined using necessary estimates.</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Our accounting policies are more fully described in Note 2 - "Summary of Significant Accounting Policies" to our consolidated financial statements, which appear elsewhere in this Annual Report on Form 10-K. We have identified the following critical accounting estimates: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Long-Lived Asset Impairments</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In accordance with ASC 360-10-35, we assess the potential impairment of long-lived assets, which include property, plant and equipment and operating lease right-of-use assets (subsequent to the adoption of ASC 842, </w:t>
      </w:r>
      <w:r>
        <w:rPr>
          <w:rFonts w:ascii="Times New Roman;Times;serif" w:hAnsi="Times New Roman;Times;serif"/>
          <w:i/>
          <w:sz w:val="20"/>
          <w:shd w:fill="FFFFFF" w:val="clear"/>
        </w:rPr>
        <w:t>Leases</w:t>
      </w:r>
      <w:r>
        <w:rPr>
          <w:rFonts w:ascii="Times New Roman;Times;serif" w:hAnsi="Times New Roman;Times;serif"/>
          <w:sz w:val="20"/>
          <w:shd w:fill="FFFFFF" w:val="clear"/>
        </w:rPr>
        <w:t>) when events or changes in circumstances indicate that the carrying value may not be recoverable. Management's judgments regarding the existence of impairment indicators are based on market conditions and financial performance. Recoverability is measured by comparing the carrying amount of an asset, or asset group, to expected future net cash flows generated by the asset, or asset group. If the carrying amount exceeds its estimated undiscounted future cash flows, the carrying amount is compared to its fair value and an impairment charge is recognized to the extent of the difference. For operating lease right-of-use assets, we determine the fair value of the lease right-of-use assets by comparing the contractual rent payments to estimated market rental rates. Fair value is calculated as the present value of estimated future cash flows for each asset group.</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shd w:fill="FFFFFF" w:val="clear"/>
        </w:rPr>
      </w:pPr>
      <w:r>
        <w:rPr>
          <w:rFonts w:ascii="Times New Roman;Times;serif" w:hAnsi="Times New Roman;Times;serif"/>
          <w:sz w:val="20"/>
          <w:shd w:fill="FFFFFF" w:val="clear"/>
        </w:rPr>
        <w:t>For purposes of evaluating store assets for impairment, we have determined that each store location is an asset group, inclusive of the right-of-use asset attributable to each store. Factors that we consider important which could individually or in combination trigger an impairment review include, but are not limited to, the following: (1) significant underperformance relative to historical or projected future operating results; (2) significant changes in the manner of our use of the acquired assets or the strategy for our overall business; and (3) significant changes in our business strategies and/or negative industry or economic trends. We assess events and changes in circumstances or strategy that could potentially indicate that the carrying value of long-lived assets may not be recoverable as they occur. Due to the significance of the fourth quarter to individual store locations, we assess store performance quarterly, using rolling twelve-month results (i.e. full fiscal year). We consider a historical and/or projected negative cash flow trend for a store location to be an indicator that the carrying value of that asset group may not be recoverable. Impairment charges related to this assessment are typically included in Store asset impairment as a component of income (loss) before income taxes in the DTC segment. See Note 4 - "Leases" and Note 6 - "Property and Equipment, net" to our consolidated financial statements for further discussion.</w:t>
      </w:r>
    </w:p>
    <w:p>
      <w:pPr>
        <w:pStyle w:val="TextBody"/>
        <w:shd w:fill="FFFFFF" w:val="clear"/>
        <w:bidi w:val="0"/>
        <w:spacing w:before="0" w:after="0"/>
        <w:ind w:left="0" w:right="0" w:firstLine="49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During fiscal 2023 and 2022, we recorded immaterial impairment charges on long-lived assets. As a measure of sensitivity for fiscal 2023,</w:t>
      </w:r>
      <w:r>
        <w:rPr>
          <w:rFonts w:ascii="Times New Roman;Times;serif" w:hAnsi="Times New Roman;Times;serif"/>
          <w:sz w:val="20"/>
          <w:shd w:fill="FFFFFF" w:val="clear"/>
        </w:rPr>
        <w:t xml:space="preserve"> a hypothetical 10% decrease in the undiscounted future cash flows for the stores would have resulted in immaterial impairment</w:t>
      </w:r>
      <w:r>
        <w:rPr>
          <w:rFonts w:ascii="Times New Roman;Times;serif" w:hAnsi="Times New Roman;Times;serif"/>
          <w:sz w:val="20"/>
        </w:rPr>
        <w:t>s</w:t>
      </w:r>
      <w:r>
        <w:rPr>
          <w:rFonts w:ascii="Times New Roman;Times;serif" w:hAnsi="Times New Roman;Times;serif"/>
          <w:sz w:val="20"/>
          <w:shd w:fill="FFFFFF" w:val="clear"/>
        </w:rPr>
        <w:t xml:space="preserve"> for the year</w:t>
      </w:r>
      <w:r>
        <w:rPr>
          <w:rFonts w:ascii="Times New Roman;Times;serif" w:hAnsi="Times New Roman;Times;serif"/>
          <w:sz w:val="20"/>
        </w:rPr>
        <w:t>.</w:t>
      </w:r>
    </w:p>
    <w:p>
      <w:pPr>
        <w:pStyle w:val="TextBody"/>
        <w:bidi w:val="0"/>
        <w:spacing w:before="0" w:after="0"/>
        <w:ind w:left="0" w:right="0" w:firstLine="540"/>
        <w:jc w:val="both"/>
        <w:rPr/>
      </w:pPr>
      <w:r>
        <w:rPr/>
        <w:t> </w:t>
      </w:r>
    </w:p>
    <w:p>
      <w:pPr>
        <w:pStyle w:val="TextBody"/>
        <w:shd w:fill="FFFFFF" w:val="clear"/>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Additionally, we consider a more likely than not assessment that an individual location will close prior to the end of its lease term as a triggering event to review the store asset group for recoverability. These assessments are reviewed on a quarterly basis. When indicated, the carrying value of the assets is reduced to fair value, calculated as the estimated future cash flows for each asset group.</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 the event that we decide to close any or all of these stores in the future, we may be required to record additional impairments, lease termination fees, severance and other charges. Impairment losses in the future are dependent on a number of factors such as site selection, general economic trends, public health issues (such as a pandemic), and thus could be significantly different than historical results. The assumptions used in future calculations of fair value may change significantly which could result in further impairment charges in future periods.</w:t>
      </w:r>
    </w:p>
    <w:p>
      <w:pPr>
        <w:pStyle w:val="TextBody"/>
        <w:bidi w:val="0"/>
        <w:spacing w:before="0" w:after="0"/>
        <w:ind w:left="0" w:right="0" w:hanging="0"/>
        <w:jc w:val="both"/>
        <w:rPr/>
      </w:pPr>
      <w:r>
        <w:rPr/>
        <w:t> </w:t>
      </w:r>
    </w:p>
    <w:p>
      <w:pPr>
        <w:pStyle w:val="TextBody"/>
        <w:bidi w:val="0"/>
        <w:spacing w:lineRule="auto" w:line="240" w:before="0" w:after="0"/>
        <w:ind w:left="0" w:right="0" w:hanging="0"/>
        <w:jc w:val="both"/>
        <w:rPr>
          <w:rFonts w:ascii="Times New Roman;Times;serif" w:hAnsi="Times New Roman;Times;serif"/>
          <w:b/>
          <w:i/>
          <w:sz w:val="20"/>
          <w:shd w:fill="FFFFFF" w:val="clear"/>
        </w:rPr>
      </w:pPr>
      <w:r>
        <w:rPr>
          <w:rFonts w:ascii="Times New Roman;Times;serif" w:hAnsi="Times New Roman;Times;serif"/>
          <w:b/>
          <w:i/>
          <w:sz w:val="20"/>
          <w:shd w:fill="FFFFFF" w:val="clear"/>
        </w:rPr>
        <w:t>Revenue Recognition</w:t>
      </w:r>
    </w:p>
    <w:p>
      <w:pPr>
        <w:pStyle w:val="TextBody"/>
        <w:bidi w:val="0"/>
        <w:spacing w:lineRule="auto" w:line="240" w:before="0" w:after="0"/>
        <w:ind w:left="0" w:right="0" w:hanging="0"/>
        <w:jc w:val="both"/>
        <w:rPr/>
      </w:pPr>
      <w:r>
        <w:rPr/>
        <w:t> </w:t>
      </w:r>
    </w:p>
    <w:p>
      <w:pPr>
        <w:pStyle w:val="TextBody"/>
        <w:bidi w:val="0"/>
        <w:spacing w:lineRule="auto" w:line="273" w:before="0" w:after="0"/>
        <w:ind w:left="0" w:right="0" w:firstLine="540"/>
        <w:jc w:val="both"/>
        <w:rPr>
          <w:rFonts w:ascii="Times New Roman;Times;serif" w:hAnsi="Times New Roman;Times;serif"/>
          <w:sz w:val="20"/>
        </w:rPr>
      </w:pPr>
      <w:r>
        <w:rPr>
          <w:rFonts w:ascii="Times New Roman;Times;serif" w:hAnsi="Times New Roman;Times;serif"/>
          <w:sz w:val="20"/>
        </w:rPr>
        <w:t>For the Company’s gift cards, revenue is deferred for single transactions until redemption including any related gift card discounts. Approximately 80% of gift cards are redeemed within three years of issuance and over the last three years, approximately 65% of gift cards issued have been redeemed within the first twelve months. In addition, unredeemed gift cards or breakage revenue is recorded in proportion to the customer’s redemption pattern using an estimated breakage rate based on historical experience. Subsequent to stores reopening following shutdowns caused by COVID, the Company experienced lower redemptions of its gift cards for all periods of outstanding activated cards compared to pre-pandemic redemption patterns (fiscal year 2019 and earlier), which impacts the gift card breakage rate. The Company does not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fourth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As a matter of sensitivity, a hypothetical 1% change in our gift card breakage rate in f</w:t>
      </w:r>
      <w:r>
        <w:rPr>
          <w:rFonts w:ascii="Times New Roman;Times;serif" w:hAnsi="Times New Roman;Times;serif"/>
          <w:sz w:val="20"/>
          <w:shd w:fill="FFFFFF" w:val="clear"/>
        </w:rPr>
        <w:t>iscal </w:t>
      </w:r>
      <w:r>
        <w:rPr>
          <w:rFonts w:ascii="Times New Roman;Times;serif" w:hAnsi="Times New Roman;Times;serif"/>
          <w:sz w:val="20"/>
        </w:rPr>
        <w:t>2023</w:t>
      </w:r>
      <w:r>
        <w:rPr>
          <w:rFonts w:ascii="Times New Roman;Times;serif" w:hAnsi="Times New Roman;Times;serif"/>
          <w:sz w:val="20"/>
          <w:shd w:fill="FFFFFF" w:val="clear"/>
        </w:rPr>
        <w:t> would have resulted in a change in breakage revenue of $</w:t>
      </w:r>
      <w:r>
        <w:rPr>
          <w:rFonts w:ascii="Times New Roman;Times;serif" w:hAnsi="Times New Roman;Times;serif"/>
          <w:sz w:val="20"/>
        </w:rPr>
        <w:t>1.0</w:t>
      </w:r>
      <w:r>
        <w:rPr>
          <w:rFonts w:ascii="Times New Roman;Times;serif" w:hAnsi="Times New Roman;Times;serif"/>
          <w:sz w:val="20"/>
          <w:shd w:fill="FFFFFF" w:val="clear"/>
        </w:rPr>
        <w:t xml:space="preserve"> million. </w:t>
      </w:r>
    </w:p>
    <w:p>
      <w:pPr>
        <w:pStyle w:val="TextBody"/>
        <w:bidi w:val="0"/>
        <w:spacing w:lineRule="auto" w:line="273" w:before="0" w:after="0"/>
        <w:ind w:left="0" w:right="0" w:firstLine="540"/>
        <w:jc w:val="both"/>
        <w:rPr/>
      </w:pPr>
      <w:r>
        <w:rPr/>
        <w:t> </w:t>
      </w:r>
    </w:p>
    <w:p>
      <w:pPr>
        <w:pStyle w:val="TextBody"/>
        <w:bidi w:val="0"/>
        <w:spacing w:lineRule="auto" w:line="273"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For certain qualifying transactions, a portion of revenue transactions are deferred for the obligation related to our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our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A hypothetical 1% change in redemption patterns our loyalty program would result in a change in deferred revenue of approximately $0.1 million.</w:t>
      </w:r>
    </w:p>
    <w:p>
      <w:pPr>
        <w:pStyle w:val="TextBody"/>
        <w:bidi w:val="0"/>
        <w:spacing w:lineRule="auto" w:line="273" w:before="0" w:after="0"/>
        <w:ind w:left="0" w:right="0" w:firstLine="540"/>
        <w:jc w:val="both"/>
        <w:rPr/>
      </w:pPr>
      <w:r>
        <w:rPr/>
        <w:t> </w:t>
      </w:r>
    </w:p>
    <w:p>
      <w:pPr>
        <w:pStyle w:val="TextBody"/>
        <w:bidi w:val="0"/>
        <w:spacing w:lineRule="auto" w:line="273"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In regard to the consolidated balance sheet, contract liabilities for gift cards are classified as gift cards and customer deposits, and contract liabilities related to the loyalty program are classified as deferred revenue and other.</w:t>
      </w:r>
    </w:p>
    <w:p>
      <w:pPr>
        <w:pStyle w:val="TextBody"/>
        <w:bidi w:val="0"/>
        <w:spacing w:lineRule="auto" w:line="273" w:before="0" w:after="0"/>
        <w:ind w:left="0" w:right="0" w:firstLine="540"/>
        <w:jc w:val="both"/>
        <w:rPr/>
      </w:pPr>
      <w:r>
        <w:rPr/>
        <w:t> </w:t>
      </w:r>
    </w:p>
    <w:p>
      <w:pPr>
        <w:pStyle w:val="TextBody"/>
        <w:bidi w:val="0"/>
        <w:spacing w:lineRule="auto" w:line="273" w:before="0" w:after="0"/>
        <w:ind w:left="0" w:right="0" w:firstLine="540"/>
        <w:jc w:val="both"/>
        <w:rPr>
          <w:rFonts w:ascii="Times New Roman;Times;serif" w:hAnsi="Times New Roman;Times;serif"/>
          <w:sz w:val="20"/>
          <w:shd w:fill="FFFFFF" w:val="clear"/>
        </w:rPr>
      </w:pPr>
      <w:r>
        <w:rPr>
          <w:rFonts w:ascii="Times New Roman;Times;serif" w:hAnsi="Times New Roman;Times;serif"/>
          <w:sz w:val="20"/>
          <w:shd w:fill="FFFFFF" w:val="clear"/>
        </w:rPr>
        <w:t>See Note 3 - "Revenue for additional information".</w:t>
      </w:r>
    </w:p>
    <w:p>
      <w:pPr>
        <w:pStyle w:val="TextBody"/>
        <w:bidi w:val="0"/>
        <w:spacing w:lineRule="auto" w:line="240" w:before="0" w:after="0"/>
        <w:ind w:left="0" w:right="0" w:hanging="0"/>
        <w:jc w:val="both"/>
        <w:rPr/>
      </w:pPr>
      <w:r>
        <w:rPr/>
        <w:t> </w:t>
      </w:r>
    </w:p>
    <w:p>
      <w:pPr>
        <w:pStyle w:val="TextBody"/>
        <w:bidi w:val="0"/>
        <w:spacing w:lineRule="auto" w:line="273" w:before="0" w:after="0"/>
        <w:ind w:left="0" w:right="0" w:hanging="0"/>
        <w:jc w:val="both"/>
        <w:rPr>
          <w:rFonts w:ascii="Times New Roman;Times;serif" w:hAnsi="Times New Roman;Times;serif"/>
          <w:sz w:val="20"/>
        </w:rPr>
      </w:pPr>
      <w:r>
        <w:rPr>
          <w:rFonts w:ascii="Times New Roman;Times;serif" w:hAnsi="Times New Roman;Times;serif"/>
          <w:b/>
          <w:i/>
          <w:sz w:val="20"/>
          <w:shd w:fill="FFFFFF" w:val="clear"/>
        </w:rPr>
        <w:t>Leases</w:t>
      </w:r>
      <w:r>
        <w:rPr>
          <w:rFonts w:ascii="Times New Roman;Times;serif" w:hAnsi="Times New Roman;Times;serif"/>
          <w:sz w:val="20"/>
          <w:shd w:fill="FFFFFF" w:val="clear"/>
        </w:rPr>
        <w:t> </w:t>
      </w:r>
    </w:p>
    <w:p>
      <w:pPr>
        <w:pStyle w:val="TextBody"/>
        <w:bidi w:val="0"/>
        <w:spacing w:lineRule="auto" w:line="273" w:before="0" w:after="0"/>
        <w:ind w:left="0" w:right="0" w:hanging="0"/>
        <w:jc w:val="both"/>
        <w:rPr/>
      </w:pPr>
      <w:r>
        <w:rPr/>
        <w:t> </w:t>
      </w:r>
    </w:p>
    <w:p>
      <w:pPr>
        <w:pStyle w:val="TextBody"/>
        <w:bidi w:val="0"/>
        <w:spacing w:before="0" w:after="0"/>
        <w:ind w:left="0" w:right="0" w:firstLine="54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determine if an arrangement is a lease at inception. The right-of-use assets and liabilities are recognized at the commencement date based on the present value of lease payments using a discounted cash flow analysis, considering lease terms and our internal borrowing rate, over the lease term for those arrangements where there is an identified asset and the contract conveys the right to control its use. Our lease term includes options to extend or terminate a lease only when it is reasonably certain that we will exercise that option.</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majority of our leases do not provide an implicit rate and therefore, we estimate the incremental borrowing discount rate on a periodic basis. The discount rates used are indicative of a synthetic credit rating based on quantitative and qualitative analysis and adjusted one notch higher to estimate a secured credit rating. For non-U.S. locations, a risk-free rate yield based on the currency of the lease is used to estimate the incremental borrowing rate.</w:t>
      </w:r>
    </w:p>
    <w:p>
      <w:pPr>
        <w:pStyle w:val="TextBody"/>
        <w:bidi w:val="0"/>
        <w:spacing w:lineRule="auto" w:line="273" w:before="0" w:after="0"/>
        <w:ind w:left="0" w:right="0" w:firstLine="54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lineRule="auto" w:line="273"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Income Taxes </w:t>
      </w:r>
    </w:p>
    <w:p>
      <w:pPr>
        <w:pStyle w:val="TextBody"/>
        <w:bidi w:val="0"/>
        <w:spacing w:lineRule="auto" w:line="273" w:before="0" w:after="0"/>
        <w:ind w:left="0" w:right="0" w:hanging="0"/>
        <w:jc w:val="both"/>
        <w:rPr/>
      </w:pPr>
      <w:r>
        <w:rPr/>
        <w:t> </w:t>
      </w:r>
    </w:p>
    <w:p>
      <w:pPr>
        <w:pStyle w:val="TextBody"/>
        <w:bidi w:val="0"/>
        <w:spacing w:before="0" w:after="0"/>
        <w:ind w:left="260" w:right="0" w:firstLine="540"/>
        <w:jc w:val="both"/>
        <w:rPr>
          <w:rFonts w:ascii="Times New Roman" w:hAnsi="Times New Roman"/>
          <w:caps w:val="false"/>
          <w:smallCaps w:val="false"/>
          <w:sz w:val="20"/>
        </w:rPr>
      </w:pPr>
      <w:r>
        <w:rPr>
          <w:rFonts w:ascii="Times New Roman" w:hAnsi="Times New Roman"/>
          <w:caps w:val="false"/>
          <w:smallCaps w:val="false"/>
          <w:sz w:val="20"/>
        </w:rPr>
        <w:t>We recognize deferred tax assets resulting from tax credit carryforwards and deductible temporary differences between taxable income on our income tax returns and income before taxes under GAAP. Deferred tax assets generally represent future tax benefits to be received when these carryforwards can be applied against future taxable income or when expenses previously reported in our consolidated financial statements become deductible for income tax purposes. A deferred tax asset valuation allowance is required when some portion or all of the deferred tax assets may not be realized. We consider the weight of all available evidence, both positive and negative, in assessing the realizability of the deferred tax assets by each taxing jurisdiction. We evaluate the sustained profitability and three years of cumulative income in each jurisdiction and consider the Company’s ability to carry back its tax losses or credits for refunds, the availability of tax planning strategies, reversals of existing taxable temporary differences and projections of future taxable income. As we had incurred a cumulative book loss in the U.K. over the three-year period ended February 2, 2019, we evaluated the realizability of our UK deferred tax assets and, accordingly, in the fourth quarter of fiscal 2018, the Company recorded a $3.7 million valuation allowance on its U.K. deferred tax assets. In the fourth quarter of fiscal 2023, the Company recorded a benefit of $5.1 million for the reversal of the valuation allowance on deferred tax assets expected to be realized in the U.K. The positive evidence considered in our assessment of the realizability of the deferred tax assets included the generation of significant positive cumulative income in the U.K. for the three-year period ending with fiscal 2023, the implementation of tax planning strategies, and projections of future taxable income. The Company maintains a valuation allowance in certain other foreign jurisdictions. Changes in the valuation allowance in fiscal 2023 primarily related to the U.K. valuation reversal, balance sheet adjustments and functional currency fluctuations.</w:t>
      </w:r>
    </w:p>
    <w:p>
      <w:pPr>
        <w:pStyle w:val="TextBody"/>
        <w:bidi w:val="0"/>
        <w:spacing w:before="0" w:after="0"/>
        <w:ind w:left="260" w:right="0" w:firstLine="540"/>
        <w:jc w:val="both"/>
        <w:rPr>
          <w:caps w:val="false"/>
          <w:smallCaps w:val="false"/>
        </w:rPr>
      </w:pPr>
      <w:r>
        <w:rPr>
          <w:caps w:val="false"/>
          <w:smallCaps w:val="false"/>
        </w:rPr>
        <w:t> </w:t>
      </w:r>
    </w:p>
    <w:p>
      <w:pPr>
        <w:pStyle w:val="TextBody"/>
        <w:bidi w:val="0"/>
        <w:spacing w:before="0" w:after="0"/>
        <w:ind w:left="260" w:right="0" w:firstLine="540"/>
        <w:jc w:val="both"/>
        <w:rPr>
          <w:rFonts w:ascii="Times New Roman" w:hAnsi="Times New Roman"/>
          <w:caps w:val="false"/>
          <w:smallCaps w:val="false"/>
          <w:sz w:val="20"/>
        </w:rPr>
      </w:pPr>
      <w:r>
        <w:rPr>
          <w:rFonts w:ascii="Times New Roman" w:hAnsi="Times New Roman"/>
          <w:caps w:val="false"/>
          <w:smallCaps w:val="false"/>
          <w:sz w:val="20"/>
        </w:rPr>
        <w:t>Significant judgment is required in evaluating our uncertain tax positions. We establish accruals for uncertain tax positions when we believe that the full amount of the associated tax benefit may not be realized. In the future, if we prevail in matters for which accruals have been established previously or pay amounts in excess of reserves, there could be an effect on our income tax provisions in the period in which such determination is made. Tax authorities regularly examine the Company’s returns in the jurisdictions in which the Company does business. Management regularly assesses the tax risk of the company’s return filing positions and believes its accruals for uncertain tax benefits are adequate as of February 3, 2024 and January 28,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Recent Accounting Pronouncements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See Note 2 – "Summary of Significant Accounting Policies" for additional information.</w:t>
      </w:r>
    </w:p>
    <w:p>
      <w:pPr>
        <w:pStyle w:val="TextBody"/>
        <w:bidi w:val="0"/>
        <w:spacing w:before="0" w:after="0"/>
        <w:ind w:left="0" w:right="0" w:hanging="0"/>
        <w:jc w:val="both"/>
        <w:rPr/>
      </w:pPr>
      <w:r>
        <w:rPr/>
        <w:t> </w:t>
      </w:r>
    </w:p>
    <w:tbl>
      <w:tblPr>
        <w:tblW w:w="7885" w:type="dxa"/>
        <w:jc w:val="left"/>
        <w:tblInd w:w="0" w:type="dxa"/>
        <w:tblLayout w:type="fixed"/>
        <w:tblCellMar>
          <w:top w:w="0" w:type="dxa"/>
          <w:left w:w="0" w:type="dxa"/>
          <w:bottom w:w="0" w:type="dxa"/>
          <w:right w:w="0" w:type="dxa"/>
        </w:tblCellMar>
      </w:tblPr>
      <w:tblGrid>
        <w:gridCol w:w="875"/>
        <w:gridCol w:w="7010"/>
      </w:tblGrid>
      <w:tr>
        <w:trPr/>
        <w:tc>
          <w:tcPr>
            <w:tcW w:w="875" w:type="dxa"/>
            <w:tcBorders/>
            <w:vAlign w:val="center"/>
          </w:tcPr>
          <w:p>
            <w:pPr>
              <w:pStyle w:val="TableContents"/>
              <w:bidi w:val="0"/>
              <w:spacing w:before="0" w:after="0"/>
              <w:ind w:left="0" w:right="0" w:hanging="0"/>
              <w:jc w:val="both"/>
              <w:rPr>
                <w:rFonts w:ascii="Times New Roman;Times;serif" w:hAnsi="Times New Roman;Times;serif"/>
                <w:sz w:val="20"/>
              </w:rPr>
            </w:pPr>
            <w:bookmarkStart w:id="16" w:name="i7a"/>
            <w:bookmarkEnd w:id="16"/>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7A.</w:t>
            </w:r>
          </w:p>
        </w:tc>
        <w:tc>
          <w:tcPr>
            <w:tcW w:w="70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QUANTITATIVE AND QUALITATIVE DISCLOSURES ABOUT MARKET RISK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both"/>
        <w:rPr/>
      </w:pPr>
      <w:r>
        <w:rPr/>
        <w:t> </w:t>
      </w:r>
    </w:p>
    <w:tbl>
      <w:tblPr>
        <w:tblW w:w="6220" w:type="dxa"/>
        <w:jc w:val="left"/>
        <w:tblInd w:w="0" w:type="dxa"/>
        <w:tblLayout w:type="fixed"/>
        <w:tblCellMar>
          <w:top w:w="0" w:type="dxa"/>
          <w:left w:w="0" w:type="dxa"/>
          <w:bottom w:w="0" w:type="dxa"/>
          <w:right w:w="0" w:type="dxa"/>
        </w:tblCellMar>
      </w:tblPr>
      <w:tblGrid>
        <w:gridCol w:w="875"/>
        <w:gridCol w:w="5345"/>
      </w:tblGrid>
      <w:tr>
        <w:trPr/>
        <w:tc>
          <w:tcPr>
            <w:tcW w:w="87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7" w:name="i8"/>
            <w:bookmarkEnd w:id="17"/>
            <w:r>
              <w:rPr>
                <w:rFonts w:ascii="Times New Roman;Times;serif" w:hAnsi="Times New Roman;Times;serif"/>
                <w:b/>
                <w:sz w:val="20"/>
              </w:rPr>
              <w:t xml:space="preserve">ITEM 8.   </w:t>
            </w:r>
          </w:p>
        </w:tc>
        <w:tc>
          <w:tcPr>
            <w:tcW w:w="534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FINANCIAL STATEMENTS AND SUPPLEMENTARY DATA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financial statements and schedules are listed under Item 15(a)(1) and filed as part of this Annual Report on Form 10-K.</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858"/>
        <w:gridCol w:w="9347"/>
      </w:tblGrid>
      <w:tr>
        <w:trPr/>
        <w:tc>
          <w:tcPr>
            <w:tcW w:w="858"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8" w:name="i9"/>
            <w:bookmarkEnd w:id="18"/>
            <w:r>
              <w:rPr>
                <w:rFonts w:ascii="Times New Roman;Times;serif" w:hAnsi="Times New Roman;Times;serif"/>
                <w:b/>
                <w:sz w:val="20"/>
              </w:rPr>
              <w:t xml:space="preserve">ITEM 9.   </w:t>
            </w:r>
          </w:p>
        </w:tc>
        <w:tc>
          <w:tcPr>
            <w:tcW w:w="9347"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CHANGES IN AND DISAGREEMENTS WITH ACCOUNTANTS ON ACCOUNTING AND FINANCIAL DISCLOSURE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tbl>
      <w:tblPr>
        <w:tblW w:w="3970" w:type="dxa"/>
        <w:jc w:val="left"/>
        <w:tblInd w:w="0" w:type="dxa"/>
        <w:tblLayout w:type="fixed"/>
        <w:tblCellMar>
          <w:top w:w="0" w:type="dxa"/>
          <w:left w:w="0" w:type="dxa"/>
          <w:bottom w:w="0" w:type="dxa"/>
          <w:right w:w="0" w:type="dxa"/>
        </w:tblCellMar>
      </w:tblPr>
      <w:tblGrid>
        <w:gridCol w:w="1010"/>
        <w:gridCol w:w="2960"/>
      </w:tblGrid>
      <w:tr>
        <w:trPr/>
        <w:tc>
          <w:tcPr>
            <w:tcW w:w="101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9" w:name="i9a"/>
            <w:bookmarkEnd w:id="19"/>
            <w:r>
              <w:rPr>
                <w:rFonts w:ascii="Times New Roman;Times;serif" w:hAnsi="Times New Roman;Times;serif"/>
                <w:b/>
                <w:sz w:val="20"/>
              </w:rPr>
              <w:t xml:space="preserve">ITEM 9A.   </w:t>
            </w:r>
          </w:p>
        </w:tc>
        <w:tc>
          <w:tcPr>
            <w:tcW w:w="296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CONTROLS AND PROCEDURES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Evaluation of Disclosure Controls and Procedures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Our management, with the participation of our President and Chief Executive Officer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we are required to disclose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President and Chief Executive Officer and Chief Financial Officer, concluded that our disclosure controls and procedures were effective as of </w:t>
      </w:r>
      <w:r>
        <w:rPr>
          <w:rFonts w:ascii="Times New Roman;Times;serif" w:hAnsi="Times New Roman;Times;serif"/>
          <w:sz w:val="20"/>
        </w:rPr>
        <w:t>February 3, 2024</w:t>
      </w:r>
      <w:r>
        <w:rPr>
          <w:rFonts w:ascii="Times New Roman;Times;serif" w:hAnsi="Times New Roman;Times;serif"/>
          <w:sz w:val="20"/>
          <w:shd w:fill="FFFFFF" w:val="clear"/>
        </w:rPr>
        <w:t>, the end of the period covered by this Annual Report.</w:t>
      </w:r>
    </w:p>
    <w:p>
      <w:pPr>
        <w:pStyle w:val="TextBody"/>
        <w:bidi w:val="0"/>
        <w:spacing w:before="0" w:after="0"/>
        <w:ind w:left="0" w:right="0" w:hanging="0"/>
        <w:jc w:val="both"/>
        <w:rPr/>
      </w:pPr>
      <w:r>
        <w:rPr/>
        <w:t> </w:t>
      </w:r>
    </w:p>
    <w:p>
      <w:pPr>
        <w:pStyle w:val="TextBody"/>
        <w:bidi w:val="0"/>
        <w:spacing w:before="0" w:after="0"/>
        <w:ind w:left="0" w:right="0" w:firstLine="490"/>
        <w:jc w:val="both"/>
        <w:rPr>
          <w:shd w:fill="FFFFFF" w:val="clear"/>
        </w:rPr>
      </w:pPr>
      <w:r>
        <w:rPr>
          <w:shd w:fill="FFFFFF" w:val="clear"/>
        </w:rPr>
        <w:t> </w:t>
      </w:r>
      <w:r>
        <w:rPr>
          <w:rFonts w:ascii="Times New Roman;Times;serif" w:hAnsi="Times New Roman;Times;serif"/>
          <w:sz w:val="20"/>
          <w:shd w:fill="FFFFFF" w:val="clear"/>
        </w:rPr>
        <w:t>It should be noted that our management, including the President and Chief Executive Officer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shd w:fill="FFFFFF" w:val="clear"/>
        </w:rPr>
        <w:t> </w:t>
      </w:r>
      <w:r>
        <w:rPr>
          <w:rFonts w:ascii="Times New Roman;Times;serif" w:hAnsi="Times New Roman;Times;serif"/>
          <w:b/>
          <w:sz w:val="20"/>
          <w:shd w:fill="FFFFFF" w:val="clear"/>
        </w:rPr>
        <w:t xml:space="preserve">Management’s Report on Internal Control Over Financial Reporting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 xml:space="preserve">Our management is responsible for establishing and maintaining adequate internal control over financial reporting, as defined in Rule 13a-15(f) under the Securities Exchange Act of 1934. Under the supervision and with the participation of our management, including the President and Chief Executive Officer and the Chief Financial Officer, we conducted an evaluation of the effectiveness of our internal control over financial reporting as of </w:t>
      </w:r>
      <w:r>
        <w:rPr>
          <w:rFonts w:ascii="Times New Roman;Times;serif" w:hAnsi="Times New Roman;Times;serif"/>
          <w:sz w:val="20"/>
        </w:rPr>
        <w:t>February 3, 2024</w:t>
      </w:r>
      <w:r>
        <w:rPr>
          <w:rFonts w:ascii="Times New Roman;Times;serif" w:hAnsi="Times New Roman;Times;serif"/>
          <w:sz w:val="20"/>
          <w:shd w:fill="FFFFFF" w:val="clear"/>
        </w:rPr>
        <w:t>. Our management, with the participation of our President and Chief Executive Officer and our Chief Financial Officer, also conducted an evaluation of our internal control over financial reporting to determine whether any changes occurred during the period covered by this report that have materially affected, or are reasonably likely to materially affect, our internal control over financial reporting. All internal control systems have inherent limitations, including the possibility of circumvention and overriding the control. Accordingly, even effective internal control can provide only reasonable assurance as to the reliability of financial statement preparation and presentation. Further, because of changes in conditions, the effectiveness of internal control may vary over time.</w:t>
      </w:r>
    </w:p>
    <w:p>
      <w:pPr>
        <w:pStyle w:val="TextBody"/>
        <w:bidi w:val="0"/>
        <w:spacing w:before="0" w:after="0"/>
        <w:ind w:left="0" w:right="0" w:firstLine="540"/>
        <w:jc w:val="both"/>
        <w:rPr/>
      </w:pPr>
      <w:r>
        <w:rPr/>
        <w:t> </w:t>
      </w:r>
    </w:p>
    <w:p>
      <w:pPr>
        <w:pStyle w:val="TextBody"/>
        <w:bidi w:val="0"/>
        <w:ind w:left="0" w:right="0" w:firstLine="540"/>
        <w:jc w:val="left"/>
        <w:rPr>
          <w:rFonts w:ascii="Times New Roman" w:hAnsi="Times New Roman"/>
          <w:sz w:val="20"/>
        </w:rPr>
      </w:pPr>
      <w:r>
        <w:rPr>
          <w:rFonts w:ascii="Times New Roman" w:hAnsi="Times New Roman"/>
          <w:sz w:val="20"/>
        </w:rPr>
        <w:t xml:space="preserve">The Company’s independent registered public accounting firm, Ernst &amp; Young LLP, has audited the Company’s Consolidated Financial Statements included in this Annual Report on Form 10-K and the effectiveness of the Company’s internal control over financial reporting as of February 3, 2024 and has issued an attestation report expressing an unqualified opinion on the effectiveness of the Company’s internal control over financial reporting, as stated in their report located below. </w:t>
      </w:r>
    </w:p>
    <w:p>
      <w:pPr>
        <w:pStyle w:val="TextBody"/>
        <w:bidi w:val="0"/>
        <w:spacing w:before="0" w:after="0"/>
        <w:ind w:left="0" w:right="0" w:firstLine="540"/>
        <w:jc w:val="both"/>
        <w:rPr/>
      </w:pPr>
      <w:r>
        <w:rPr/>
        <w:t> </w:t>
      </w:r>
    </w:p>
    <w:p>
      <w:pPr>
        <w:pStyle w:val="TextBody"/>
        <w:bidi w:val="0"/>
        <w:spacing w:before="0" w:after="0"/>
        <w:ind w:left="0" w:right="0" w:firstLine="490"/>
        <w:jc w:val="both"/>
        <w:rPr/>
      </w:pPr>
      <w:r>
        <w:rPr>
          <w:shd w:fill="FFFFFF" w:val="clear"/>
        </w:rPr>
        <w:t> </w:t>
      </w:r>
      <w:r>
        <w:rPr>
          <w:rFonts w:ascii="Times New Roman;Times;serif" w:hAnsi="Times New Roman;Times;serif"/>
          <w:sz w:val="20"/>
          <w:shd w:fill="FFFFFF" w:val="clear"/>
        </w:rPr>
        <w:t>In making its evaluation, our management used the criteria set forth by the Committee of Sponsoring Organizations of the Treadway Commission in Internal Control-Integrated Framework (2013 framework). Based upon this evaluation, our management has concluded that our internal control over financial reporting as of </w:t>
      </w:r>
      <w:r>
        <w:rPr>
          <w:rFonts w:ascii="Times New Roman;Times;serif" w:hAnsi="Times New Roman;Times;serif"/>
          <w:sz w:val="20"/>
        </w:rPr>
        <w:t>February 3, 2024</w:t>
      </w:r>
      <w:r>
        <w:rPr>
          <w:rFonts w:ascii="Times New Roman;Times;serif" w:hAnsi="Times New Roman;Times;serif"/>
          <w:sz w:val="20"/>
          <w:shd w:fill="FFFFFF" w:val="clear"/>
        </w:rPr>
        <w:t xml:space="preserve"> is effective.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Changes in Internal Control over Financial Reporting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shd w:fill="FFFFFF" w:val="clear"/>
        </w:rPr>
        <w:t>T</w:t>
      </w:r>
      <w:r>
        <w:rPr>
          <w:rFonts w:ascii="Times New Roman;Times;serif" w:hAnsi="Times New Roman;Times;serif"/>
          <w:sz w:val="20"/>
        </w:rPr>
        <w:t>he Company’s management, with the participation of the Company’s President and Chief Executive Officer and Chief Financial Officer, also conducted an evaluation of the Company’s internal control over financial reporting to determine whether any changes occurred during the period covered by this report that have materially affected, or are reasonably likely to materially affect, the Company’s internal control over financial reporting. During fiscal 2023 the Company implemented new software and control processes to manage inventory at its corporately-operated retail stores within its enterprise resource planning (ERP) system. The transition of this inventory management from the legacy system to the ERP system occurred in phases beginning in the first quarter fiscal 2023 and was completed by the end of the third quarter fiscal 2023. This implementation has had and is expected to continue to have minimal effects on the Company's controls and processes over accounting for corporately-operated retail store inventory. Except for the changes to our inventory management process, no other changes in our internal control over financial reporting occurred during the quarter covered by this report that have materially affected, or are reasonably likely to materially affect, our internal control over financial reporting.</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Report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 the Shareholders and the Board of Directors of Build-A-Bear Workshop,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Opinion on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have audited Build-A-Bear Workshop, Inc. and Subsidiaries’ internal control over financial reporting as of February 3, 2024, based on criteria established in Internal Control – Integrated Framework issued by the Committee of Sponsoring Organizations of the Treadway Commission (2013 Framework) (the COSO criteria). In our opinion, Build-A-Bear Workshop, Inc. and Subsidiaries (collectively, the Company) maintained, in all material respects, effective internal control over financial reporting as of February 3, 2024, based on the COSO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We also have audited, in accordance with the standards of the Public Company Accounting Oversight Board (United States) (PCAOB), the consolidated balance sheets of Build-A-Bear Workshop, Inc. and Subsidiaries  as of February 3, 2024 and January 28, 2023, the related consolidated statements of operations and comprehensive income , stockholders’ equity and cash flows for each of the two years in the period ended February 3, 2024, and the related notes and the financial statement schedule listed in the Index at Item 15(a) and our report dated April 18, 2024 expressed an unqualified opinion thereon.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Basis for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Definition and Limitations of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760" w:right="0" w:firstLine="720"/>
        <w:jc w:val="right"/>
        <w:rPr>
          <w:rFonts w:ascii="Times New Roman" w:hAnsi="Times New Roman"/>
          <w:caps w:val="false"/>
          <w:smallCaps w:val="false"/>
          <w:sz w:val="20"/>
        </w:rPr>
      </w:pPr>
      <w:r>
        <w:rPr>
          <w:rFonts w:ascii="Times New Roman" w:hAnsi="Times New Roman"/>
          <w:caps w:val="false"/>
          <w:smallCaps w:val="false"/>
          <w:sz w:val="20"/>
        </w:rPr>
        <w:t>/s/ Ernst &amp; Young LLP</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 Louis, Missouri</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April 18, 2024</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3115" w:type="dxa"/>
        <w:jc w:val="left"/>
        <w:tblInd w:w="0" w:type="dxa"/>
        <w:tblLayout w:type="fixed"/>
        <w:tblCellMar>
          <w:top w:w="0" w:type="dxa"/>
          <w:left w:w="0" w:type="dxa"/>
          <w:bottom w:w="0" w:type="dxa"/>
          <w:right w:w="0" w:type="dxa"/>
        </w:tblCellMar>
      </w:tblPr>
      <w:tblGrid>
        <w:gridCol w:w="875"/>
        <w:gridCol w:w="2240"/>
      </w:tblGrid>
      <w:tr>
        <w:trPr/>
        <w:tc>
          <w:tcPr>
            <w:tcW w:w="875" w:type="dxa"/>
            <w:tcBorders/>
            <w:vAlign w:val="center"/>
          </w:tcPr>
          <w:p>
            <w:pPr>
              <w:pStyle w:val="TableContents"/>
              <w:bidi w:val="0"/>
              <w:spacing w:before="0" w:after="0"/>
              <w:ind w:left="0" w:right="0" w:hanging="0"/>
              <w:jc w:val="both"/>
              <w:rPr/>
            </w:pPr>
            <w:bookmarkStart w:id="20" w:name="i9b"/>
            <w:bookmarkEnd w:id="20"/>
            <w:r>
              <w:rPr>
                <w:rFonts w:ascii="Times New Roman;Times;serif" w:hAnsi="Times New Roman;Times;serif"/>
                <w:b/>
                <w:sz w:val="20"/>
              </w:rPr>
              <w:t>ITEM</w:t>
            </w:r>
            <w:r>
              <w:rPr>
                <w:rFonts w:ascii="Times New Roman;Times;serif" w:hAnsi="Times New Roman;Times;serif"/>
                <w:sz w:val="20"/>
              </w:rPr>
              <w:t xml:space="preserve"> </w:t>
            </w:r>
            <w:r>
              <w:rPr>
                <w:rStyle w:val="Emphasis"/>
                <w:rFonts w:ascii="Times New Roman;Times;serif" w:hAnsi="Times New Roman;Times;serif"/>
                <w:b/>
                <w:sz w:val="20"/>
              </w:rPr>
              <w:t>9B.</w:t>
            </w:r>
          </w:p>
        </w:tc>
        <w:tc>
          <w:tcPr>
            <w:tcW w:w="22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OTHER INFORMATION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Security Trading Plans of Directors and Executive Officers</w:t>
      </w:r>
    </w:p>
    <w:p>
      <w:pPr>
        <w:pStyle w:val="TextBody"/>
        <w:bidi w:val="0"/>
        <w:spacing w:before="0" w:after="0"/>
        <w:ind w:left="0" w:right="0" w:hanging="0"/>
        <w:jc w:val="both"/>
        <w:rPr/>
      </w:pPr>
      <w:r>
        <w:rPr/>
        <w:t> </w:t>
      </w:r>
    </w:p>
    <w:p>
      <w:pPr>
        <w:pStyle w:val="TextBody"/>
        <w:bidi w:val="0"/>
        <w:spacing w:before="0" w:after="0"/>
        <w:ind w:left="160" w:right="0" w:firstLine="360"/>
        <w:jc w:val="left"/>
        <w:rPr/>
      </w:pPr>
      <w:r>
        <w:rPr>
          <w:rFonts w:ascii="Times New Roman" w:hAnsi="Times New Roman"/>
          <w:caps w:val="false"/>
          <w:smallCaps w:val="false"/>
          <w:sz w:val="20"/>
        </w:rPr>
        <w:t xml:space="preserve">None of the Company’s directors or executive officers adopted or terminated a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or a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 during the Company’s fiscal quarter ended </w:t>
      </w:r>
      <w:r>
        <w:rPr>
          <w:rStyle w:val="Emphasis"/>
          <w:rFonts w:ascii="Times New Roman" w:hAnsi="Times New Roman"/>
          <w:caps w:val="false"/>
          <w:smallCaps w:val="false"/>
          <w:sz w:val="20"/>
        </w:rPr>
        <w:t xml:space="preserve">February 3, 2024, </w:t>
      </w:r>
      <w:r>
        <w:rPr>
          <w:rFonts w:ascii="Times New Roman" w:hAnsi="Times New Roman"/>
          <w:caps w:val="false"/>
          <w:smallCaps w:val="false"/>
          <w:sz w:val="20"/>
        </w:rPr>
        <w:t xml:space="preserve">as such terms are defined under Item </w:t>
      </w:r>
      <w:r>
        <w:rPr>
          <w:rStyle w:val="Emphasis"/>
          <w:rFonts w:ascii="Times New Roman" w:hAnsi="Times New Roman"/>
          <w:caps w:val="false"/>
          <w:smallCaps w:val="false"/>
          <w:sz w:val="20"/>
        </w:rPr>
        <w:t>408</w:t>
      </w:r>
      <w:r>
        <w:rPr>
          <w:rFonts w:ascii="Times New Roman" w:hAnsi="Times New Roman"/>
          <w:caps w:val="false"/>
          <w:smallCaps w:val="false"/>
          <w:sz w:val="20"/>
        </w:rPr>
        <w:t>(a) or Regulations S-K.</w:t>
      </w:r>
    </w:p>
    <w:p>
      <w:pPr>
        <w:pStyle w:val="TextBody"/>
        <w:bidi w:val="0"/>
        <w:spacing w:before="0" w:after="0"/>
        <w:ind w:left="0" w:right="0" w:hanging="180"/>
        <w:jc w:val="left"/>
        <w:rPr/>
      </w:pPr>
      <w:r>
        <w:rPr/>
        <w:t> </w:t>
      </w:r>
    </w:p>
    <w:p>
      <w:pPr>
        <w:pStyle w:val="TextBody"/>
        <w:bidi w:val="0"/>
        <w:spacing w:before="0" w:after="0"/>
        <w:ind w:left="0" w:right="0" w:hanging="0"/>
        <w:jc w:val="left"/>
        <w:rPr/>
      </w:pPr>
      <w:r>
        <w:rPr/>
        <w:t> </w:t>
      </w:r>
    </w:p>
    <w:tbl>
      <w:tblPr>
        <w:tblW w:w="8785" w:type="dxa"/>
        <w:jc w:val="left"/>
        <w:tblInd w:w="0" w:type="dxa"/>
        <w:tblLayout w:type="fixed"/>
        <w:tblCellMar>
          <w:top w:w="0" w:type="dxa"/>
          <w:left w:w="0" w:type="dxa"/>
          <w:bottom w:w="0" w:type="dxa"/>
          <w:right w:w="0" w:type="dxa"/>
        </w:tblCellMar>
      </w:tblPr>
      <w:tblGrid>
        <w:gridCol w:w="875"/>
        <w:gridCol w:w="7910"/>
      </w:tblGrid>
      <w:tr>
        <w:trPr/>
        <w:tc>
          <w:tcPr>
            <w:tcW w:w="875" w:type="dxa"/>
            <w:tcBorders/>
            <w:vAlign w:val="center"/>
          </w:tcPr>
          <w:p>
            <w:pPr>
              <w:pStyle w:val="TableContents"/>
              <w:bidi w:val="0"/>
              <w:spacing w:before="0" w:after="0"/>
              <w:ind w:left="0" w:right="0" w:hanging="0"/>
              <w:jc w:val="both"/>
              <w:rPr>
                <w:rFonts w:ascii="Times New Roman;Times;serif" w:hAnsi="Times New Roman;Times;serif"/>
                <w:sz w:val="20"/>
              </w:rPr>
            </w:pPr>
            <w:bookmarkStart w:id="21" w:name="i9c"/>
            <w:bookmarkEnd w:id="21"/>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9C.</w:t>
            </w:r>
          </w:p>
        </w:tc>
        <w:tc>
          <w:tcPr>
            <w:tcW w:w="79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DISCLOSURE REGARDING FOREIGN JURISDICTIONS THAT PREVENT INSPECTIONS</w:t>
            </w:r>
          </w:p>
        </w:tc>
      </w:tr>
    </w:tbl>
    <w:p>
      <w:pPr>
        <w:pStyle w:val="TextBody"/>
        <w:bidi w:val="0"/>
        <w:spacing w:before="0" w:after="0"/>
        <w:ind w:left="0" w:right="0" w:firstLine="54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b/>
          <w:sz w:val="20"/>
        </w:rPr>
      </w:pPr>
      <w:bookmarkStart w:id="22" w:name="p3"/>
      <w:bookmarkEnd w:id="22"/>
      <w:r>
        <w:rPr>
          <w:rFonts w:ascii="Times New Roman;Times;serif" w:hAnsi="Times New Roman;Times;serif"/>
          <w:b/>
          <w:sz w:val="20"/>
        </w:rPr>
        <w:t xml:space="preserve">PART III </w:t>
      </w:r>
    </w:p>
    <w:p>
      <w:pPr>
        <w:pStyle w:val="TextBody"/>
        <w:bidi w:val="0"/>
        <w:spacing w:before="0" w:after="0"/>
        <w:ind w:left="0" w:right="0" w:hanging="0"/>
        <w:jc w:val="both"/>
        <w:rPr/>
      </w:pPr>
      <w:r>
        <w:rPr/>
        <w:t> </w:t>
      </w:r>
    </w:p>
    <w:tbl>
      <w:tblPr>
        <w:tblW w:w="7465" w:type="dxa"/>
        <w:jc w:val="left"/>
        <w:tblInd w:w="0" w:type="dxa"/>
        <w:tblLayout w:type="fixed"/>
        <w:tblCellMar>
          <w:top w:w="0" w:type="dxa"/>
          <w:left w:w="0" w:type="dxa"/>
          <w:bottom w:w="0" w:type="dxa"/>
          <w:right w:w="0" w:type="dxa"/>
        </w:tblCellMar>
      </w:tblPr>
      <w:tblGrid>
        <w:gridCol w:w="845"/>
        <w:gridCol w:w="6620"/>
      </w:tblGrid>
      <w:tr>
        <w:trPr/>
        <w:tc>
          <w:tcPr>
            <w:tcW w:w="845" w:type="dxa"/>
            <w:tcBorders/>
            <w:vAlign w:val="center"/>
          </w:tcPr>
          <w:p>
            <w:pPr>
              <w:pStyle w:val="TableContents"/>
              <w:bidi w:val="0"/>
              <w:spacing w:before="0" w:after="0"/>
              <w:ind w:left="0" w:right="0" w:hanging="0"/>
              <w:jc w:val="both"/>
              <w:rPr>
                <w:rFonts w:ascii="Times New Roman;Times;serif" w:hAnsi="Times New Roman;Times;serif"/>
                <w:sz w:val="20"/>
              </w:rPr>
            </w:pPr>
            <w:bookmarkStart w:id="23" w:name="i10"/>
            <w:bookmarkEnd w:id="23"/>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10.</w:t>
            </w:r>
          </w:p>
        </w:tc>
        <w:tc>
          <w:tcPr>
            <w:tcW w:w="66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DIRECTORS, EXECUTIVE OFFICERS AND CORPORATE GOVERNANCE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Information concerning directors, appearing in the sections titled “Directors,” “The Board of Directors and its Committees,” and “Committee Charters, Corporate Governance Guidelines, Business Conduct Policy and Code of Ethics” in our Proxy Statement (the “Proxy Statement”) to be filed with the SEC pursuant to Regulation 14A in connection with our Annual Meeting of Stockholders scheduled to be held on June 13, 2024, is incorporated by reference in response to this Item 10.</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Business Conduct Policy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Board of Directors has adopted a Business Conduct Policy applicable to our directors, officers and employees, including all executive officers. The Business Conduct Policy has been posted in the Investor Relations section of our corporate website at http://ir.buildabear.com. We intend to satisfy the amendment and waiver disclosure requirements under applicable securities regulations by posting any amendments of, or waivers to, the Business Conduct Policy on our website.</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information appearing in the section titled “Committee Charters, Corporate Governance Guidelines, Business Conduct Policy and Code of Ethics” in the Proxy Statement is incorporated by reference in response to this Item 10.</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Executive Officers and Key Employees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Sharon Price John</w:t>
      </w:r>
      <w:r>
        <w:rPr>
          <w:rFonts w:ascii="Times New Roman;Times;serif" w:hAnsi="Times New Roman;Times;serif"/>
          <w:sz w:val="20"/>
        </w:rPr>
        <w:t>, 60, was appointed to the Board of Directors on June 3, 2013, in connection with her employment as Chief Executive Officer and Chief President Bear of the Company. Effective March 2016, she now holds the title of President and Chief Executive Officer. From January 2010 through May 2013, Ms. John served as President of Stride Rite Children’s Group LLC, a division of Wolverine Worldwide, Inc., which designs and markets footwear for children. From 2002 through 2009, she held positions of broadened portfolio and increased responsibility at Hasbro, Inc., a multinational toy and board game company, including as General Manager &amp; Senior Vice President of its U.S. Toy Division from 2006 to 2008 and General Manager &amp; Senior Vice President of its Global Preschool unit from June 2008 through 2009. Ms. John also founded and served as Chief Executive Officer of Checkerboard Toys, served as Vice President, U.S. Toy Division with VTech Industries, Inc., and served in a range of roles at Mattel, Inc. She started her career in advertising, overseeing accounts such as Hershey’s and the Snickers/M&amp;M Mars business. Ms. John serves on the Board of Directors of Jack in the Box Inc., a publicly traded restaurant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Eric Fencl</w:t>
      </w:r>
      <w:r>
        <w:rPr>
          <w:rFonts w:ascii="Times New Roman;Times;serif" w:hAnsi="Times New Roman;Times;serif"/>
          <w:i/>
          <w:sz w:val="20"/>
        </w:rPr>
        <w:t>, 62</w:t>
      </w:r>
      <w:r>
        <w:rPr>
          <w:rFonts w:ascii="Times New Roman;Times;serif" w:hAnsi="Times New Roman;Times;serif"/>
          <w:sz w:val="20"/>
        </w:rPr>
        <w:t>, joined Build-A-Bear Workshop in July 2008 as Chief Bearrister—General Counsel. Effective October 2015, Mr. Fencl now holds the title of Chief Administrative Officer, General Counsel and Secretary. Prior to joining the Company, Mr. Fencl was Executive Vice President, General Counsel and Secretary for Outsourcing Solutions Inc., a national accounts receivable management firm from August 1998 to June 2008. From September 1990 to August 1998, Mr. Fencl held legal positions at Monsanto Company, McDonnell Douglas Corporation and Bryan Cave Leighton Paisner LLP (formerly known as Bryan Cave LLP). Mr. Fencl began his career as an auditor with Arthur Young &amp;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J. Christopher Hurt</w:t>
      </w:r>
      <w:r>
        <w:rPr>
          <w:rFonts w:ascii="Times New Roman;Times;serif" w:hAnsi="Times New Roman;Times;serif"/>
          <w:i/>
          <w:sz w:val="20"/>
        </w:rPr>
        <w:t>, 58</w:t>
      </w:r>
      <w:r>
        <w:rPr>
          <w:rFonts w:ascii="Times New Roman;Times;serif" w:hAnsi="Times New Roman;Times;serif"/>
          <w:sz w:val="20"/>
        </w:rPr>
        <w:t>, joined Build-A-Bear Workshop in April 2015 as Chief Operations Officer. Effective June 2020, he now holds the title of Chief Operations and Experience Officer. Prior to joining the Company, Mr. Hurt was at American Eagle Outfitters, Inc. from 2002 to April 2015 in various senior leadership roles of increasing responsibility, including Senior Vice President, North America and Vice President/General Manager—Factory, Canada, Mexico Retail from 2011 to April 2015, and East Zone Vice President and Regional Director from 2002 to 2011. Before joining American Eagle Outfitters, Mr. Hurt held positions of increasing responsibility at companies including Polo Ralph Lauren and The Procter &amp; Gamble Company.</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Jennifer Kretchmar</w:t>
      </w:r>
      <w:r>
        <w:rPr>
          <w:rFonts w:ascii="Times New Roman;Times;serif" w:hAnsi="Times New Roman;Times;serif"/>
          <w:sz w:val="20"/>
        </w:rPr>
        <w:t>, 51, joined Build-A-Bear Workshop in August 2014 as Chief Product Officer and Innovation Bear and in March 2016, she became Chief Merchandising Officer. She served as Chief Digital and Merchandising Officer from June 2020 through February 3, 2024 when her employment was terminated by the Company without cause. Ms. Kretchmar serves on the Board of Directors of Mace Security International, Inc., a publicly traded personal security company. Prior to joining the Company, Ms. Kretchmar was Senior Vice President of Product and Brand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 with the Stride Rite Children’s Group of Wolverine Worldwide, Inc. where since 2004 she was responsible for the global product creation strategy for a diverse portfolio of children’s footwear brands, including Stride Rite, Sperry Top- Sider®, Saucony®, Keds®, Merrell®, Robeez®, Jessica Simpson® and Hush Puppies®. Before joining Stride Rite, Ms. Kretchmar held positions of increasing responsibility at The Timberland Company, Goldbug, and the United States Department of Agriculture Foreign Service.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Voin Todorovic</w:t>
      </w:r>
      <w:r>
        <w:rPr>
          <w:rFonts w:ascii="Times New Roman;Times;serif" w:hAnsi="Times New Roman;Times;serif"/>
          <w:sz w:val="20"/>
        </w:rPr>
        <w:t>, 49, joined Build-A-Bear Workshop in September 2014 as Chief Financial Officer. Prior to joining the Company, Mr. Todorovic was employed at Wolverine Worldwide, Inc., a leading global footwear and apparel company, where since September 2013 Mr. Todorovic served as the head of finance and operations for its Lifestyle Group, which includes a portfolio of iconic brands such as Sperry Top-Sider®, Hush Puppies®, Keds®, and Stride Rite®. From 2011 to 2013 Mr. Todorovic was Vice President—Finance and Administration of the Stride Rite Children’s Group business, operating in wholesale, direct to consumer and international franchising, and from 2010 to 2011 Mr. Todorovic was Vice President of the Performance + Lifestyle Group. Prior to his tenure at Wolverine World Wide he held positions of increasing responsibility at Collective Brands, Inc. and Payless ShoeSource.</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3700" w:type="dxa"/>
        <w:jc w:val="left"/>
        <w:tblInd w:w="0" w:type="dxa"/>
        <w:tblLayout w:type="fixed"/>
        <w:tblCellMar>
          <w:top w:w="0" w:type="dxa"/>
          <w:left w:w="0" w:type="dxa"/>
          <w:bottom w:w="0" w:type="dxa"/>
          <w:right w:w="0" w:type="dxa"/>
        </w:tblCellMar>
      </w:tblPr>
      <w:tblGrid>
        <w:gridCol w:w="845"/>
        <w:gridCol w:w="2855"/>
      </w:tblGrid>
      <w:tr>
        <w:trPr/>
        <w:tc>
          <w:tcPr>
            <w:tcW w:w="845" w:type="dxa"/>
            <w:tcBorders/>
            <w:vAlign w:val="center"/>
          </w:tcPr>
          <w:p>
            <w:pPr>
              <w:pStyle w:val="TableContents"/>
              <w:bidi w:val="0"/>
              <w:spacing w:before="0" w:after="0"/>
              <w:ind w:left="0" w:right="0" w:hanging="0"/>
              <w:jc w:val="both"/>
              <w:rPr>
                <w:rFonts w:ascii="Times New Roman;Times;serif" w:hAnsi="Times New Roman;Times;serif"/>
                <w:sz w:val="20"/>
              </w:rPr>
            </w:pPr>
            <w:bookmarkStart w:id="24" w:name="i11"/>
            <w:bookmarkEnd w:id="24"/>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11.</w:t>
            </w:r>
          </w:p>
        </w:tc>
        <w:tc>
          <w:tcPr>
            <w:tcW w:w="285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EXECUTIVE COMPENSATION </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information contained in the sections titled “Executive Compensation” and “Board of Directors Compensation” in the Proxy Statement is incorporated herein by reference in response to this Item 11.</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869"/>
        <w:gridCol w:w="9336"/>
      </w:tblGrid>
      <w:tr>
        <w:trPr/>
        <w:tc>
          <w:tcPr>
            <w:tcW w:w="869"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25" w:name="i12"/>
            <w:bookmarkEnd w:id="25"/>
            <w:r>
              <w:rPr>
                <w:rFonts w:ascii="Times New Roman;Times;serif" w:hAnsi="Times New Roman;Times;serif"/>
                <w:b/>
                <w:sz w:val="20"/>
              </w:rPr>
              <w:t xml:space="preserve">ITEM 12. </w:t>
            </w:r>
          </w:p>
        </w:tc>
        <w:tc>
          <w:tcPr>
            <w:tcW w:w="933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SECURITY OWNERSHIP OF CERTAIN BENEFICIAL OWNERS AND MANAGEMENT AND RELATED STOCKHOLDER MATTERS </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information contained in the section titled “Security Ownership of Certain Beneficial Owners and Management” in the Proxy Statement is incorporated herein by reference in response to this Item 12.</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Equity Compensation Plan Information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013"/>
        <w:gridCol w:w="60"/>
        <w:gridCol w:w="200"/>
        <w:gridCol w:w="1768"/>
        <w:gridCol w:w="60"/>
        <w:gridCol w:w="60"/>
        <w:gridCol w:w="345"/>
        <w:gridCol w:w="1344"/>
        <w:gridCol w:w="60"/>
        <w:gridCol w:w="60"/>
        <w:gridCol w:w="156"/>
        <w:gridCol w:w="2017"/>
        <w:gridCol w:w="62"/>
      </w:tblGrid>
      <w:tr>
        <w:trPr/>
        <w:tc>
          <w:tcPr>
            <w:tcW w:w="4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w:t>
            </w:r>
          </w:p>
        </w:tc>
        <w:tc>
          <w:tcPr>
            <w:tcW w:w="62" w:type="dxa"/>
            <w:tcBorders/>
            <w:shd w:fill="FFFFFF" w:val="clear"/>
            <w:vAlign w:val="center"/>
          </w:tcPr>
          <w:p>
            <w:pPr>
              <w:pStyle w:val="TableContents"/>
              <w:bidi w:val="0"/>
              <w:spacing w:before="0" w:after="283"/>
              <w:jc w:val="left"/>
              <w:rPr/>
            </w:pPr>
            <w:r>
              <w:rPr/>
              <w:t> </w:t>
            </w:r>
          </w:p>
        </w:tc>
      </w:tr>
      <w:tr>
        <w:trPr/>
        <w:tc>
          <w:tcPr>
            <w:tcW w:w="4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768"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45" w:type="dxa"/>
            <w:tcBorders/>
            <w:shd w:fill="FFFFFF" w:val="clear"/>
            <w:vAlign w:val="center"/>
          </w:tcPr>
          <w:p>
            <w:pPr>
              <w:pStyle w:val="TableContents"/>
              <w:bidi w:val="0"/>
              <w:spacing w:before="0" w:after="283"/>
              <w:jc w:val="left"/>
              <w:rPr/>
            </w:pPr>
            <w:r>
              <w:rPr/>
              <w:t> </w:t>
            </w:r>
          </w:p>
        </w:tc>
        <w:tc>
          <w:tcPr>
            <w:tcW w:w="1344"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securities</w:t>
            </w:r>
          </w:p>
        </w:tc>
        <w:tc>
          <w:tcPr>
            <w:tcW w:w="62" w:type="dxa"/>
            <w:tcBorders/>
            <w:shd w:fill="FFFFFF" w:val="clear"/>
            <w:vAlign w:val="center"/>
          </w:tcPr>
          <w:p>
            <w:pPr>
              <w:pStyle w:val="TableContents"/>
              <w:bidi w:val="0"/>
              <w:spacing w:before="0" w:after="283"/>
              <w:jc w:val="left"/>
              <w:rPr/>
            </w:pPr>
            <w:r>
              <w:rPr/>
              <w:t> </w:t>
            </w:r>
          </w:p>
        </w:tc>
      </w:tr>
      <w:tr>
        <w:trPr/>
        <w:tc>
          <w:tcPr>
            <w:tcW w:w="4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remaining available for</w:t>
            </w:r>
          </w:p>
        </w:tc>
        <w:tc>
          <w:tcPr>
            <w:tcW w:w="62" w:type="dxa"/>
            <w:tcBorders/>
            <w:shd w:fill="FFFFFF" w:val="clear"/>
            <w:vAlign w:val="center"/>
          </w:tcPr>
          <w:p>
            <w:pPr>
              <w:pStyle w:val="TableContents"/>
              <w:bidi w:val="0"/>
              <w:spacing w:before="0" w:after="283"/>
              <w:jc w:val="left"/>
              <w:rPr/>
            </w:pPr>
            <w:r>
              <w:rPr/>
              <w:t> </w:t>
            </w:r>
          </w:p>
        </w:tc>
      </w:tr>
      <w:tr>
        <w:trPr/>
        <w:tc>
          <w:tcPr>
            <w:tcW w:w="4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Number of securities 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Weighted-average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future issuance under equity</w:t>
            </w:r>
          </w:p>
        </w:tc>
        <w:tc>
          <w:tcPr>
            <w:tcW w:w="62" w:type="dxa"/>
            <w:tcBorders/>
            <w:shd w:fill="FFFFFF" w:val="clear"/>
            <w:vAlign w:val="center"/>
          </w:tcPr>
          <w:p>
            <w:pPr>
              <w:pStyle w:val="TableContents"/>
              <w:bidi w:val="0"/>
              <w:spacing w:before="0" w:after="283"/>
              <w:jc w:val="left"/>
              <w:rPr/>
            </w:pPr>
            <w:r>
              <w:rPr/>
              <w:t> </w:t>
            </w:r>
          </w:p>
        </w:tc>
      </w:tr>
      <w:tr>
        <w:trPr/>
        <w:tc>
          <w:tcPr>
            <w:tcW w:w="4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be issued upon exercise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exercise price of</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compensation plans</w:t>
            </w:r>
          </w:p>
        </w:tc>
        <w:tc>
          <w:tcPr>
            <w:tcW w:w="62" w:type="dxa"/>
            <w:tcBorders/>
            <w:shd w:fill="FFFFFF" w:val="clear"/>
            <w:vAlign w:val="center"/>
          </w:tcPr>
          <w:p>
            <w:pPr>
              <w:pStyle w:val="TableContents"/>
              <w:bidi w:val="0"/>
              <w:spacing w:before="0" w:after="283"/>
              <w:jc w:val="left"/>
              <w:rPr/>
            </w:pPr>
            <w:r>
              <w:rPr/>
              <w:t> </w:t>
            </w:r>
          </w:p>
        </w:tc>
      </w:tr>
      <w:tr>
        <w:trPr/>
        <w:tc>
          <w:tcPr>
            <w:tcW w:w="401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9"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outstanding 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3" w:type="dxa"/>
            <w:gridSpan w:val="2"/>
            <w:tcBorders/>
            <w:shd w:fill="FFFFFF" w:val="cle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(excluding securities</w:t>
            </w:r>
          </w:p>
        </w:tc>
        <w:tc>
          <w:tcPr>
            <w:tcW w:w="62" w:type="dxa"/>
            <w:tcBorders/>
            <w:shd w:fill="FFFFFF" w:val="clear"/>
            <w:vAlign w:val="center"/>
          </w:tcPr>
          <w:p>
            <w:pPr>
              <w:pStyle w:val="TableContents"/>
              <w:bidi w:val="0"/>
              <w:spacing w:before="0" w:after="283"/>
              <w:jc w:val="left"/>
              <w:rPr/>
            </w:pPr>
            <w:r>
              <w:rPr/>
              <w:t> </w:t>
            </w:r>
          </w:p>
        </w:tc>
      </w:tr>
      <w:tr>
        <w:trPr/>
        <w:tc>
          <w:tcPr>
            <w:tcW w:w="4013"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Plan category</w:t>
            </w:r>
          </w:p>
        </w:tc>
        <w:tc>
          <w:tcPr>
            <w:tcW w:w="60" w:type="dxa"/>
            <w:tcBorders/>
            <w:shd w:fill="FFFFFF" w:val="clear"/>
            <w:vAlign w:val="center"/>
          </w:tcPr>
          <w:p>
            <w:pPr>
              <w:pStyle w:val="TableContents"/>
              <w:bidi w:val="0"/>
              <w:spacing w:before="0" w:after="283"/>
              <w:ind w:left="0" w:right="0" w:hanging="0"/>
              <w:jc w:val="left"/>
              <w:rPr/>
            </w:pPr>
            <w:r>
              <w:rPr/>
              <w:t> </w:t>
            </w:r>
          </w:p>
        </w:tc>
        <w:tc>
          <w:tcPr>
            <w:tcW w:w="196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warrants and rights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warrants and rights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reflected in column (a))</w:t>
            </w:r>
          </w:p>
        </w:tc>
        <w:tc>
          <w:tcPr>
            <w:tcW w:w="62" w:type="dxa"/>
            <w:tcBorders/>
            <w:shd w:fill="FFFFFF" w:val="clear"/>
            <w:vAlign w:val="center"/>
          </w:tcPr>
          <w:p>
            <w:pPr>
              <w:pStyle w:val="TableContents"/>
              <w:bidi w:val="0"/>
              <w:spacing w:before="0" w:after="283"/>
              <w:jc w:val="left"/>
              <w:rPr/>
            </w:pPr>
            <w:r>
              <w:rPr/>
              <w:t> </w:t>
            </w:r>
          </w:p>
        </w:tc>
      </w:tr>
      <w:tr>
        <w:trPr/>
        <w:tc>
          <w:tcPr>
            <w:tcW w:w="401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compensation plans approved by security holders</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4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0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1,010,666</w:t>
            </w:r>
          </w:p>
        </w:tc>
        <w:tc>
          <w:tcPr>
            <w:tcW w:w="62" w:type="dxa"/>
            <w:tcBorders/>
            <w:shd w:fill="CCEEFF" w:val="clear"/>
            <w:vAlign w:val="center"/>
          </w:tcPr>
          <w:p>
            <w:pPr>
              <w:pStyle w:val="TableContents"/>
              <w:bidi w:val="0"/>
              <w:spacing w:before="0" w:after="283"/>
              <w:jc w:val="left"/>
              <w:rPr/>
            </w:pPr>
            <w:r>
              <w:rPr/>
              <w:t> </w:t>
            </w:r>
          </w:p>
        </w:tc>
      </w:tr>
      <w:tr>
        <w:trPr/>
        <w:tc>
          <w:tcPr>
            <w:tcW w:w="401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4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0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1,010,666</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 12 - "Stock Incentive Plans" to the consolidated financial statements for additional information regarding our equity compensation plans.</w:t>
      </w:r>
    </w:p>
    <w:p>
      <w:pPr>
        <w:pStyle w:val="TextBody"/>
        <w:bidi w:val="0"/>
        <w:spacing w:before="0" w:after="0"/>
        <w:ind w:left="0" w:right="0" w:hanging="0"/>
        <w:jc w:val="left"/>
        <w:rPr/>
      </w:pPr>
      <w:r>
        <w:rPr/>
        <w:t> </w:t>
      </w:r>
    </w:p>
    <w:tbl>
      <w:tblPr>
        <w:tblW w:w="9595" w:type="dxa"/>
        <w:jc w:val="left"/>
        <w:tblInd w:w="0" w:type="dxa"/>
        <w:tblLayout w:type="fixed"/>
        <w:tblCellMar>
          <w:top w:w="0" w:type="dxa"/>
          <w:left w:w="0" w:type="dxa"/>
          <w:bottom w:w="0" w:type="dxa"/>
          <w:right w:w="0" w:type="dxa"/>
        </w:tblCellMar>
      </w:tblPr>
      <w:tblGrid>
        <w:gridCol w:w="845"/>
        <w:gridCol w:w="8750"/>
      </w:tblGrid>
      <w:tr>
        <w:trPr/>
        <w:tc>
          <w:tcPr>
            <w:tcW w:w="845" w:type="dxa"/>
            <w:tcBorders/>
            <w:vAlign w:val="center"/>
          </w:tcPr>
          <w:p>
            <w:pPr>
              <w:pStyle w:val="TableContents"/>
              <w:bidi w:val="0"/>
              <w:spacing w:before="0" w:after="0"/>
              <w:ind w:left="0" w:right="0" w:hanging="0"/>
              <w:jc w:val="both"/>
              <w:rPr>
                <w:rFonts w:ascii="Times New Roman;Times;serif" w:hAnsi="Times New Roman;Times;serif"/>
                <w:sz w:val="20"/>
              </w:rPr>
            </w:pPr>
            <w:bookmarkStart w:id="26" w:name="i13"/>
            <w:bookmarkEnd w:id="26"/>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13.</w:t>
            </w:r>
          </w:p>
        </w:tc>
        <w:tc>
          <w:tcPr>
            <w:tcW w:w="87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CERTAIN RELATIONSHIPS AND RELATED TRANSACTIONS, AND DIRECTOR INDEPENDENCE </w:t>
            </w:r>
          </w:p>
        </w:tc>
      </w:tr>
    </w:tbl>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The information contained in the section titled “Related Party Transactions” in the Proxy Statement is incorporated herein by reference in response to this Item 13.</w:t>
      </w:r>
    </w:p>
    <w:p>
      <w:pPr>
        <w:pStyle w:val="TextBody"/>
        <w:bidi w:val="0"/>
        <w:spacing w:before="0" w:after="0"/>
        <w:ind w:left="0" w:right="0" w:hanging="0"/>
        <w:jc w:val="left"/>
        <w:rPr/>
      </w:pPr>
      <w:r>
        <w:rPr/>
        <w:t> </w:t>
      </w:r>
    </w:p>
    <w:tbl>
      <w:tblPr>
        <w:tblW w:w="5380" w:type="dxa"/>
        <w:jc w:val="left"/>
        <w:tblInd w:w="0" w:type="dxa"/>
        <w:tblLayout w:type="fixed"/>
        <w:tblCellMar>
          <w:top w:w="0" w:type="dxa"/>
          <w:left w:w="0" w:type="dxa"/>
          <w:bottom w:w="0" w:type="dxa"/>
          <w:right w:w="0" w:type="dxa"/>
        </w:tblCellMar>
      </w:tblPr>
      <w:tblGrid>
        <w:gridCol w:w="845"/>
        <w:gridCol w:w="4535"/>
      </w:tblGrid>
      <w:tr>
        <w:trPr/>
        <w:tc>
          <w:tcPr>
            <w:tcW w:w="845" w:type="dxa"/>
            <w:tcBorders/>
            <w:vAlign w:val="center"/>
          </w:tcPr>
          <w:p>
            <w:pPr>
              <w:pStyle w:val="TableContents"/>
              <w:bidi w:val="0"/>
              <w:spacing w:before="0" w:after="0"/>
              <w:ind w:left="0" w:right="0" w:hanging="0"/>
              <w:jc w:val="left"/>
              <w:rPr>
                <w:rFonts w:ascii="Times New Roman;Times;serif" w:hAnsi="Times New Roman;Times;serif"/>
                <w:sz w:val="20"/>
              </w:rPr>
            </w:pPr>
            <w:bookmarkStart w:id="27" w:name="i14"/>
            <w:bookmarkEnd w:id="27"/>
            <w:r>
              <w:rPr>
                <w:rFonts w:ascii="Times New Roman;Times;serif" w:hAnsi="Times New Roman;Times;serif"/>
                <w:b/>
                <w:sz w:val="20"/>
              </w:rPr>
              <w:t>ITEM</w:t>
            </w:r>
            <w:r>
              <w:rPr>
                <w:rFonts w:ascii="Times New Roman;Times;serif" w:hAnsi="Times New Roman;Times;serif"/>
                <w:sz w:val="20"/>
              </w:rPr>
              <w:t xml:space="preserve"> </w:t>
            </w:r>
            <w:r>
              <w:rPr>
                <w:rFonts w:ascii="Times New Roman;Times;serif" w:hAnsi="Times New Roman;Times;serif"/>
                <w:b/>
                <w:sz w:val="20"/>
              </w:rPr>
              <w:t>14.</w:t>
            </w:r>
          </w:p>
        </w:tc>
        <w:tc>
          <w:tcPr>
            <w:tcW w:w="45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PRINCIPAL ACCOUNTANT FEES AND SERVICES </w:t>
            </w:r>
          </w:p>
        </w:tc>
      </w:tr>
    </w:tbl>
    <w:p>
      <w:pPr>
        <w:pStyle w:val="TextBody"/>
        <w:bidi w:val="0"/>
        <w:spacing w:before="0" w:after="0"/>
        <w:ind w:left="0" w:right="0" w:hanging="0"/>
        <w:jc w:val="left"/>
        <w:rPr/>
      </w:pPr>
      <w:r>
        <w:rPr/>
        <w:t> </w:t>
      </w:r>
    </w:p>
    <w:p>
      <w:pPr>
        <w:pStyle w:val="TextBody"/>
        <w:bidi w:val="0"/>
        <w:spacing w:before="0" w:after="0"/>
        <w:ind w:left="0" w:right="0" w:firstLine="490"/>
        <w:jc w:val="left"/>
        <w:rPr>
          <w:rFonts w:ascii="Times New Roman;Times;serif" w:hAnsi="Times New Roman;Times;serif"/>
          <w:sz w:val="20"/>
        </w:rPr>
      </w:pPr>
      <w:r>
        <w:rPr>
          <w:rFonts w:ascii="Times New Roman;Times;serif" w:hAnsi="Times New Roman;Times;serif"/>
          <w:sz w:val="20"/>
        </w:rPr>
        <w:t>The information contained in the sections titled “Principal Accountant Fees” and “Policy Regarding Pre-Approval of Services Provided by the Independent Registered Public Accounting Firm” in the Proxy Statement is incorporated herein by reference in response to Item 14.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39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center"/>
        <w:rPr>
          <w:rFonts w:ascii="Times New Roman;Times;serif" w:hAnsi="Times New Roman;Times;serif"/>
          <w:b/>
          <w:sz w:val="20"/>
        </w:rPr>
      </w:pPr>
      <w:bookmarkStart w:id="28" w:name="p4"/>
      <w:bookmarkEnd w:id="28"/>
      <w:r>
        <w:rPr>
          <w:rFonts w:ascii="Times New Roman;Times;serif" w:hAnsi="Times New Roman;Times;serif"/>
          <w:b/>
          <w:sz w:val="20"/>
        </w:rPr>
        <w:t xml:space="preserve">PART IV </w:t>
      </w:r>
    </w:p>
    <w:p>
      <w:pPr>
        <w:pStyle w:val="TextBody"/>
        <w:bidi w:val="0"/>
        <w:spacing w:before="0" w:after="0"/>
        <w:ind w:left="0" w:right="0" w:hanging="0"/>
        <w:jc w:val="left"/>
        <w:rPr/>
      </w:pPr>
      <w:r>
        <w:rPr/>
        <w:t> </w:t>
      </w:r>
    </w:p>
    <w:tbl>
      <w:tblPr>
        <w:tblW w:w="5965" w:type="dxa"/>
        <w:jc w:val="left"/>
        <w:tblInd w:w="0" w:type="dxa"/>
        <w:tblLayout w:type="fixed"/>
        <w:tblCellMar>
          <w:top w:w="0" w:type="dxa"/>
          <w:left w:w="0" w:type="dxa"/>
          <w:bottom w:w="0" w:type="dxa"/>
          <w:right w:w="0" w:type="dxa"/>
        </w:tblCellMar>
      </w:tblPr>
      <w:tblGrid>
        <w:gridCol w:w="890"/>
        <w:gridCol w:w="5075"/>
      </w:tblGrid>
      <w:tr>
        <w:trPr/>
        <w:tc>
          <w:tcPr>
            <w:tcW w:w="89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29" w:name="i15"/>
            <w:bookmarkEnd w:id="29"/>
            <w:r>
              <w:rPr>
                <w:rFonts w:ascii="Times New Roman;Times;serif" w:hAnsi="Times New Roman;Times;serif"/>
                <w:b/>
                <w:sz w:val="20"/>
              </w:rPr>
              <w:t>ITEM  15.</w:t>
            </w:r>
          </w:p>
        </w:tc>
        <w:tc>
          <w:tcPr>
            <w:tcW w:w="50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EXHIBITS AND FINANCIAL STATEMENT SCHEDULES </w:t>
            </w:r>
          </w:p>
        </w:tc>
      </w:tr>
    </w:tbl>
    <w:p>
      <w:pPr>
        <w:pStyle w:val="TextBody"/>
        <w:bidi w:val="0"/>
        <w:spacing w:before="0" w:after="0"/>
        <w:ind w:left="0" w:right="0" w:hanging="0"/>
        <w:jc w:val="left"/>
        <w:rPr/>
      </w:pPr>
      <w:r>
        <w:rPr/>
        <w:t> </w:t>
      </w:r>
    </w:p>
    <w:p>
      <w:pPr>
        <w:pStyle w:val="TextBody"/>
        <w:bidi w:val="0"/>
        <w:spacing w:before="0" w:after="0"/>
        <w:ind w:left="0" w:right="0" w:firstLine="450"/>
        <w:jc w:val="left"/>
        <w:rPr>
          <w:rFonts w:ascii="Times New Roman;Times;serif" w:hAnsi="Times New Roman;Times;serif"/>
          <w:sz w:val="20"/>
        </w:rPr>
      </w:pPr>
      <w:r>
        <w:rPr>
          <w:rFonts w:ascii="Times New Roman;Times;serif" w:hAnsi="Times New Roman;Times;serif"/>
          <w:sz w:val="20"/>
        </w:rPr>
        <w:t xml:space="preserve">(a)(1) </w:t>
      </w:r>
      <w:r>
        <w:rPr>
          <w:rFonts w:ascii="Times New Roman;Times;serif" w:hAnsi="Times New Roman;Times;serif"/>
          <w:i/>
          <w:sz w:val="20"/>
        </w:rPr>
        <w:t xml:space="preserve">Financial Statements </w:t>
      </w:r>
    </w:p>
    <w:p>
      <w:pPr>
        <w:pStyle w:val="TextBody"/>
        <w:bidi w:val="0"/>
        <w:spacing w:before="0" w:after="0"/>
        <w:ind w:left="0" w:right="0" w:hanging="0"/>
        <w:jc w:val="left"/>
        <w:rPr/>
      </w:pPr>
      <w:r>
        <w:rPr/>
        <w:t> </w:t>
      </w:r>
    </w:p>
    <w:p>
      <w:pPr>
        <w:pStyle w:val="TextBody"/>
        <w:bidi w:val="0"/>
        <w:spacing w:before="0" w:after="0"/>
        <w:ind w:left="450" w:right="0" w:hanging="0"/>
        <w:jc w:val="both"/>
        <w:rPr>
          <w:rFonts w:ascii="Times New Roman;Times;serif" w:hAnsi="Times New Roman;Times;serif"/>
          <w:sz w:val="20"/>
        </w:rPr>
      </w:pPr>
      <w:r>
        <w:rPr>
          <w:rFonts w:ascii="Times New Roman;Times;serif" w:hAnsi="Times New Roman;Times;serif"/>
          <w:sz w:val="20"/>
        </w:rPr>
        <w:t>The financial statements and schedules set forth below are filed on the indicated pages as part of this Annual Report on Form 10-K.</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9750"/>
        <w:gridCol w:w="455"/>
      </w:tblGrid>
      <w:tr>
        <w:trPr/>
        <w:tc>
          <w:tcPr>
            <w:tcW w:w="9750" w:type="dxa"/>
            <w:tcBorders/>
            <w:vAlign w:val="center"/>
          </w:tcPr>
          <w:p>
            <w:pPr>
              <w:pStyle w:val="TableContents"/>
              <w:bidi w:val="0"/>
              <w:spacing w:before="0" w:after="0"/>
              <w:ind w:left="0" w:right="0" w:hanging="0"/>
              <w:jc w:val="left"/>
              <w:rPr/>
            </w:pPr>
            <w:r>
              <w:rPr/>
              <w:t> </w:t>
            </w:r>
          </w:p>
        </w:tc>
        <w:tc>
          <w:tcPr>
            <w:tcW w:w="455"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Page</w:t>
            </w:r>
          </w:p>
        </w:tc>
      </w:tr>
      <w:tr>
        <w:trPr/>
        <w:tc>
          <w:tcPr>
            <w:tcW w:w="9750" w:type="dxa"/>
            <w:tcBorders/>
            <w:vAlign w:val="center"/>
          </w:tcPr>
          <w:p>
            <w:pPr>
              <w:pStyle w:val="TableContents"/>
              <w:bidi w:val="0"/>
              <w:spacing w:before="0" w:after="0"/>
              <w:ind w:left="240" w:right="0" w:hanging="240"/>
              <w:jc w:val="left"/>
              <w:rPr/>
            </w:pPr>
            <w:hyperlink w:anchor="report">
              <w:r>
                <w:rPr>
                  <w:rStyle w:val="InternetLink"/>
                  <w:rFonts w:ascii="Times New Roman;Times;serif" w:hAnsi="Times New Roman;Times;serif"/>
                  <w:sz w:val="20"/>
                </w:rPr>
                <w:t>Report of Independent Registered Public Accounting Firm (PCAOB ID: 42)</w:t>
              </w:r>
            </w:hyperlink>
          </w:p>
        </w:tc>
        <w:tc>
          <w:tcPr>
            <w:tcW w:w="455" w:type="dxa"/>
            <w:tcBorders/>
            <w:vAlign w:val="center"/>
          </w:tcPr>
          <w:p>
            <w:pPr>
              <w:pStyle w:val="TableContents"/>
              <w:bidi w:val="0"/>
              <w:spacing w:before="0" w:after="283"/>
              <w:jc w:val="center"/>
              <w:rPr/>
            </w:pPr>
            <w:hyperlink w:anchor="report">
              <w:r>
                <w:rPr>
                  <w:rStyle w:val="InternetLink"/>
                  <w:rFonts w:ascii="Times New Roman;Times;serif" w:hAnsi="Times New Roman;Times;serif"/>
                  <w:sz w:val="20"/>
                </w:rPr>
                <w:t>41</w:t>
              </w:r>
            </w:hyperlink>
          </w:p>
        </w:tc>
      </w:tr>
      <w:tr>
        <w:trPr/>
        <w:tc>
          <w:tcPr>
            <w:tcW w:w="9750" w:type="dxa"/>
            <w:tcBorders/>
            <w:vAlign w:val="center"/>
          </w:tcPr>
          <w:p>
            <w:pPr>
              <w:pStyle w:val="TableContents"/>
              <w:bidi w:val="0"/>
              <w:spacing w:before="0" w:after="0"/>
              <w:ind w:left="240" w:right="0" w:hanging="240"/>
              <w:jc w:val="left"/>
              <w:rPr/>
            </w:pPr>
            <w:hyperlink w:anchor="bs">
              <w:r>
                <w:rPr>
                  <w:rStyle w:val="InternetLink"/>
                  <w:rFonts w:ascii="Times New Roman;Times;serif" w:hAnsi="Times New Roman;Times;serif"/>
                  <w:sz w:val="20"/>
                  <w:shd w:fill="FFFFFF" w:val="clear"/>
                </w:rPr>
                <w:t xml:space="preserve">Consolidated Balance Sheets as of </w:t>
              </w:r>
            </w:hyperlink>
            <w:hyperlink w:anchor="bs">
              <w:r>
                <w:rPr>
                  <w:rStyle w:val="InternetLink"/>
                  <w:rFonts w:ascii="Times New Roman;Times;serif" w:hAnsi="Times New Roman;Times;serif"/>
                  <w:sz w:val="20"/>
                  <w:shd w:fill="FFFFFF" w:val="clear"/>
                </w:rPr>
                <w:t>February 3, 2024</w:t>
              </w:r>
            </w:hyperlink>
            <w:hyperlink w:anchor="bs">
              <w:r>
                <w:rPr>
                  <w:rStyle w:val="InternetLink"/>
                  <w:rFonts w:ascii="Times New Roman;Times;serif" w:hAnsi="Times New Roman;Times;serif"/>
                  <w:sz w:val="20"/>
                  <w:shd w:fill="FFFFFF" w:val="clear"/>
                </w:rPr>
                <w:t xml:space="preserve"> and </w:t>
              </w:r>
            </w:hyperlink>
            <w:hyperlink w:anchor="bs">
              <w:r>
                <w:rPr>
                  <w:rStyle w:val="InternetLink"/>
                  <w:rFonts w:ascii="Times New Roman;Times;serif" w:hAnsi="Times New Roman;Times;serif"/>
                  <w:sz w:val="20"/>
                  <w:shd w:fill="FFFFFF" w:val="clear"/>
                </w:rPr>
                <w:t>January 28, 2023</w:t>
              </w:r>
            </w:hyperlink>
          </w:p>
        </w:tc>
        <w:tc>
          <w:tcPr>
            <w:tcW w:w="455" w:type="dxa"/>
            <w:tcBorders/>
            <w:vAlign w:val="center"/>
          </w:tcPr>
          <w:p>
            <w:pPr>
              <w:pStyle w:val="TableContents"/>
              <w:bidi w:val="0"/>
              <w:spacing w:before="0" w:after="283"/>
              <w:jc w:val="center"/>
              <w:rPr/>
            </w:pPr>
            <w:hyperlink w:anchor="bs">
              <w:r>
                <w:rPr>
                  <w:rStyle w:val="InternetLink"/>
                  <w:rFonts w:ascii="Times New Roman;Times;serif" w:hAnsi="Times New Roman;Times;serif"/>
                  <w:sz w:val="20"/>
                </w:rPr>
                <w:t>43</w:t>
              </w:r>
            </w:hyperlink>
          </w:p>
        </w:tc>
      </w:tr>
      <w:tr>
        <w:trPr/>
        <w:tc>
          <w:tcPr>
            <w:tcW w:w="9750" w:type="dxa"/>
            <w:tcBorders/>
            <w:vAlign w:val="center"/>
          </w:tcPr>
          <w:p>
            <w:pPr>
              <w:pStyle w:val="TableContents"/>
              <w:bidi w:val="0"/>
              <w:spacing w:before="0" w:after="0"/>
              <w:ind w:left="240" w:right="0" w:hanging="240"/>
              <w:jc w:val="left"/>
              <w:rPr/>
            </w:pPr>
            <w:hyperlink w:anchor="sci">
              <w:r>
                <w:rPr>
                  <w:rStyle w:val="InternetLink"/>
                  <w:rFonts w:ascii="Times New Roman;Times;serif" w:hAnsi="Times New Roman;Times;serif"/>
                  <w:sz w:val="20"/>
                  <w:shd w:fill="FFFFFF" w:val="clear"/>
                </w:rPr>
                <w:t xml:space="preserve">Consolidated Statements of Operations and Comprehensive Income (Loss) for the fiscal years ended </w:t>
              </w:r>
            </w:hyperlink>
            <w:hyperlink w:anchor="sci">
              <w:r>
                <w:rPr>
                  <w:rStyle w:val="InternetLink"/>
                  <w:rFonts w:ascii="Times New Roman;Times;serif" w:hAnsi="Times New Roman;Times;serif"/>
                  <w:sz w:val="20"/>
                  <w:shd w:fill="FFFFFF" w:val="clear"/>
                </w:rPr>
                <w:t>February 3, 2024</w:t>
              </w:r>
            </w:hyperlink>
            <w:hyperlink w:anchor="sci">
              <w:r>
                <w:rPr>
                  <w:rStyle w:val="InternetLink"/>
                  <w:rFonts w:ascii="Times New Roman;Times;serif" w:hAnsi="Times New Roman;Times;serif"/>
                  <w:sz w:val="20"/>
                  <w:shd w:fill="FFFFFF" w:val="clear"/>
                </w:rPr>
                <w:t xml:space="preserve"> and January 28, 2023</w:t>
              </w:r>
            </w:hyperlink>
          </w:p>
        </w:tc>
        <w:tc>
          <w:tcPr>
            <w:tcW w:w="455" w:type="dxa"/>
            <w:tcBorders/>
            <w:vAlign w:val="center"/>
          </w:tcPr>
          <w:p>
            <w:pPr>
              <w:pStyle w:val="TableContents"/>
              <w:bidi w:val="0"/>
              <w:spacing w:before="0" w:after="283"/>
              <w:jc w:val="center"/>
              <w:rPr/>
            </w:pPr>
            <w:hyperlink w:anchor="sci">
              <w:r>
                <w:rPr>
                  <w:rStyle w:val="InternetLink"/>
                  <w:rFonts w:ascii="Times New Roman;Times;serif" w:hAnsi="Times New Roman;Times;serif"/>
                  <w:sz w:val="20"/>
                </w:rPr>
                <w:t>44</w:t>
              </w:r>
            </w:hyperlink>
          </w:p>
        </w:tc>
      </w:tr>
      <w:tr>
        <w:trPr/>
        <w:tc>
          <w:tcPr>
            <w:tcW w:w="9750" w:type="dxa"/>
            <w:tcBorders/>
            <w:vAlign w:val="center"/>
          </w:tcPr>
          <w:p>
            <w:pPr>
              <w:pStyle w:val="TableContents"/>
              <w:bidi w:val="0"/>
              <w:spacing w:before="0" w:after="0"/>
              <w:ind w:left="0" w:right="0" w:hanging="0"/>
              <w:jc w:val="left"/>
              <w:rPr/>
            </w:pPr>
            <w:hyperlink w:anchor="se">
              <w:r>
                <w:rPr>
                  <w:rStyle w:val="InternetLink"/>
                  <w:rFonts w:ascii="Times New Roman;Times;serif" w:hAnsi="Times New Roman;Times;serif"/>
                  <w:sz w:val="20"/>
                  <w:shd w:fill="FFFFFF" w:val="clear"/>
                </w:rPr>
                <w:t xml:space="preserve">Consolidated Statements of Stockholders’ Equity for the fiscal years ended </w:t>
              </w:r>
            </w:hyperlink>
            <w:hyperlink w:anchor="se">
              <w:r>
                <w:rPr>
                  <w:rStyle w:val="InternetLink"/>
                  <w:rFonts w:ascii="Times New Roman;Times;serif" w:hAnsi="Times New Roman;Times;serif"/>
                  <w:sz w:val="20"/>
                  <w:shd w:fill="FFFFFF" w:val="clear"/>
                </w:rPr>
                <w:t>February 3, 2024</w:t>
              </w:r>
            </w:hyperlink>
            <w:hyperlink w:anchor="se">
              <w:r>
                <w:rPr>
                  <w:rStyle w:val="InternetLink"/>
                  <w:rFonts w:ascii="Times New Roman;Times;serif" w:hAnsi="Times New Roman;Times;serif"/>
                  <w:sz w:val="20"/>
                  <w:shd w:fill="FFFFFF" w:val="clear"/>
                </w:rPr>
                <w:t xml:space="preserve"> and </w:t>
              </w:r>
            </w:hyperlink>
            <w:hyperlink w:anchor="se">
              <w:r>
                <w:rPr>
                  <w:rStyle w:val="InternetLink"/>
                  <w:rFonts w:ascii="Times New Roman;Times;serif" w:hAnsi="Times New Roman;Times;serif"/>
                  <w:sz w:val="20"/>
                  <w:shd w:fill="FFFFFF" w:val="clear"/>
                </w:rPr>
                <w:t>January 28, 2023</w:t>
              </w:r>
            </w:hyperlink>
          </w:p>
        </w:tc>
        <w:tc>
          <w:tcPr>
            <w:tcW w:w="455" w:type="dxa"/>
            <w:tcBorders/>
            <w:vAlign w:val="center"/>
          </w:tcPr>
          <w:p>
            <w:pPr>
              <w:pStyle w:val="TableContents"/>
              <w:bidi w:val="0"/>
              <w:spacing w:before="0" w:after="283"/>
              <w:jc w:val="center"/>
              <w:rPr/>
            </w:pPr>
            <w:hyperlink w:anchor="se">
              <w:r>
                <w:rPr>
                  <w:rStyle w:val="InternetLink"/>
                  <w:rFonts w:ascii="Times New Roman;Times;serif" w:hAnsi="Times New Roman;Times;serif"/>
                  <w:sz w:val="20"/>
                </w:rPr>
                <w:t>45</w:t>
              </w:r>
            </w:hyperlink>
          </w:p>
        </w:tc>
      </w:tr>
      <w:tr>
        <w:trPr/>
        <w:tc>
          <w:tcPr>
            <w:tcW w:w="9750" w:type="dxa"/>
            <w:tcBorders/>
            <w:vAlign w:val="center"/>
          </w:tcPr>
          <w:p>
            <w:pPr>
              <w:pStyle w:val="TableContents"/>
              <w:bidi w:val="0"/>
              <w:spacing w:before="0" w:after="0"/>
              <w:ind w:left="0" w:right="0" w:hanging="0"/>
              <w:jc w:val="left"/>
              <w:rPr/>
            </w:pPr>
            <w:hyperlink w:anchor="scf">
              <w:r>
                <w:rPr>
                  <w:rStyle w:val="InternetLink"/>
                  <w:rFonts w:ascii="Times New Roman;Times;serif" w:hAnsi="Times New Roman;Times;serif"/>
                  <w:sz w:val="20"/>
                  <w:shd w:fill="FFFFFF" w:val="clear"/>
                </w:rPr>
                <w:t>Consolidated Statements of Cash Flows for the fiscal years ended February 3, 2024</w:t>
              </w:r>
            </w:hyperlink>
            <w:hyperlink w:anchor="scf">
              <w:r>
                <w:rPr>
                  <w:rStyle w:val="InternetLink"/>
                  <w:rFonts w:ascii="Times New Roman;Times;serif" w:hAnsi="Times New Roman;Times;serif"/>
                  <w:sz w:val="20"/>
                  <w:shd w:fill="FFFFFF" w:val="clear"/>
                </w:rPr>
                <w:t xml:space="preserve"> and </w:t>
              </w:r>
            </w:hyperlink>
            <w:hyperlink w:anchor="scf">
              <w:r>
                <w:rPr>
                  <w:rStyle w:val="InternetLink"/>
                  <w:rFonts w:ascii="Times New Roman;Times;serif" w:hAnsi="Times New Roman;Times;serif"/>
                  <w:sz w:val="20"/>
                  <w:shd w:fill="FFFFFF" w:val="clear"/>
                </w:rPr>
                <w:t>January 28, 2023</w:t>
              </w:r>
            </w:hyperlink>
          </w:p>
        </w:tc>
        <w:tc>
          <w:tcPr>
            <w:tcW w:w="455" w:type="dxa"/>
            <w:tcBorders/>
            <w:vAlign w:val="center"/>
          </w:tcPr>
          <w:p>
            <w:pPr>
              <w:pStyle w:val="TableContents"/>
              <w:bidi w:val="0"/>
              <w:spacing w:before="0" w:after="283"/>
              <w:jc w:val="center"/>
              <w:rPr/>
            </w:pPr>
            <w:hyperlink w:anchor="scf">
              <w:r>
                <w:rPr>
                  <w:rStyle w:val="InternetLink"/>
                  <w:rFonts w:ascii="Times New Roman;Times;serif" w:hAnsi="Times New Roman;Times;serif"/>
                  <w:sz w:val="20"/>
                </w:rPr>
                <w:t>46</w:t>
              </w:r>
            </w:hyperlink>
          </w:p>
        </w:tc>
      </w:tr>
      <w:tr>
        <w:trPr/>
        <w:tc>
          <w:tcPr>
            <w:tcW w:w="9750" w:type="dxa"/>
            <w:tcBorders/>
            <w:vAlign w:val="center"/>
          </w:tcPr>
          <w:p>
            <w:pPr>
              <w:pStyle w:val="TableContents"/>
              <w:bidi w:val="0"/>
              <w:spacing w:before="0" w:after="0"/>
              <w:ind w:left="240" w:right="0" w:hanging="240"/>
              <w:jc w:val="left"/>
              <w:rPr/>
            </w:pPr>
            <w:hyperlink w:anchor="notes">
              <w:r>
                <w:rPr>
                  <w:rStyle w:val="InternetLink"/>
                  <w:rFonts w:ascii="Times New Roman;Times;serif" w:hAnsi="Times New Roman;Times;serif"/>
                  <w:sz w:val="20"/>
                </w:rPr>
                <w:t>Notes to Consolidated Financial Statements</w:t>
              </w:r>
            </w:hyperlink>
          </w:p>
        </w:tc>
        <w:tc>
          <w:tcPr>
            <w:tcW w:w="455" w:type="dxa"/>
            <w:tcBorders/>
            <w:vAlign w:val="center"/>
          </w:tcPr>
          <w:p>
            <w:pPr>
              <w:pStyle w:val="TableContents"/>
              <w:bidi w:val="0"/>
              <w:spacing w:before="0" w:after="283"/>
              <w:jc w:val="center"/>
              <w:rPr/>
            </w:pPr>
            <w:hyperlink w:anchor="notes">
              <w:r>
                <w:rPr>
                  <w:rStyle w:val="InternetLink"/>
                  <w:rFonts w:ascii="Times New Roman;Times;serif" w:hAnsi="Times New Roman;Times;serif"/>
                  <w:sz w:val="20"/>
                </w:rPr>
                <w:t>47</w:t>
              </w:r>
            </w:hyperlink>
          </w:p>
        </w:tc>
      </w:tr>
      <w:tr>
        <w:trPr/>
        <w:tc>
          <w:tcPr>
            <w:tcW w:w="9750" w:type="dxa"/>
            <w:tcBorders/>
            <w:vAlign w:val="center"/>
          </w:tcPr>
          <w:p>
            <w:pPr>
              <w:pStyle w:val="TableContents"/>
              <w:bidi w:val="0"/>
              <w:spacing w:before="0" w:after="0"/>
              <w:ind w:left="240" w:right="0" w:hanging="240"/>
              <w:jc w:val="left"/>
              <w:rPr/>
            </w:pPr>
            <w:hyperlink w:anchor="sch2">
              <w:r>
                <w:rPr>
                  <w:rStyle w:val="InternetLink"/>
                  <w:rFonts w:ascii="Times New Roman;Times;serif" w:hAnsi="Times New Roman;Times;serif"/>
                  <w:sz w:val="20"/>
                </w:rPr>
                <w:t>Schedule II - Valuation and Qualifying Accounts</w:t>
              </w:r>
            </w:hyperlink>
          </w:p>
        </w:tc>
        <w:tc>
          <w:tcPr>
            <w:tcW w:w="455" w:type="dxa"/>
            <w:tcBorders/>
            <w:vAlign w:val="center"/>
          </w:tcPr>
          <w:p>
            <w:pPr>
              <w:pStyle w:val="TableContents"/>
              <w:bidi w:val="0"/>
              <w:spacing w:before="0" w:after="283"/>
              <w:jc w:val="center"/>
              <w:rPr/>
            </w:pPr>
            <w:hyperlink w:anchor="sch2">
              <w:r>
                <w:rPr>
                  <w:rStyle w:val="InternetLink"/>
                  <w:rFonts w:ascii="Times New Roman;Times;serif" w:hAnsi="Times New Roman;Times;serif"/>
                  <w:sz w:val="20"/>
                </w:rPr>
                <w:t>65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30" w:name="report"/>
      <w:bookmarkEnd w:id="30"/>
      <w:r>
        <w:rPr>
          <w:rFonts w:ascii="Times New Roman;Times;serif" w:hAnsi="Times New Roman;Times;serif"/>
          <w:b/>
          <w:sz w:val="20"/>
        </w:rPr>
        <w:t>Report of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To the Shareholders and the Board of Directors of Build-A-Bear Workshop, Inc.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Opinion on the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have audited the accompanying consolidated balance sheets of Build-A-Bear Workshop, Inc. and Subsidiaries (collectively, the Company) as of February 3, 2024 and January 28, 2023, the related consolidated statements of operations and comprehensive income, stockholders' equity and cash flows for each of the two years in the period ended February 3, 2024, and the related notes and the financial statement schedule listed in the Index at Item 15(a) (collectively referred to as the “consolidated financial statements”). In our opinion, the consolidated financial statements present fairly, in all material respects, the financial position of the Company at February 3, 2024 and January 28, 2023, and the results of its operations and its cash flows for each of the two years in the period ended February 3, 2024, in conformity with U.S. generally accepted accounting principles.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shd w:fill="FFFFFF" w:val="clear"/>
        </w:rPr>
        <w:t xml:space="preserve">We also have audited, in accordance with the standards of the Public Company Accounting Oversight Board (United States) (PCAOB), the Company’s internal control over financial reporting as of </w:t>
      </w:r>
      <w:r>
        <w:rPr>
          <w:rFonts w:ascii="Times New Roman" w:hAnsi="Times New Roman"/>
          <w:caps w:val="false"/>
          <w:smallCaps w:val="false"/>
          <w:sz w:val="20"/>
        </w:rPr>
        <w:t>February 3, 2024</w:t>
      </w:r>
      <w:r>
        <w:rPr>
          <w:rFonts w:ascii="Times New Roman" w:hAnsi="Times New Roman"/>
          <w:caps w:val="false"/>
          <w:smallCaps w:val="false"/>
          <w:sz w:val="20"/>
          <w:shd w:fill="FFFFFF" w:val="clear"/>
        </w:rPr>
        <w:t>, based on criteria established in Internal Control-Integrated Framework issued by the Committee of Sponsoring Organizations of the Treadway Commission (2013 Framework) and our report dated April 18, 2024 expressed an unqualified opinion thereon.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Basis for Opinion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Critical Audit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shd w:fill="FFFFFF" w:val="clear"/>
        </w:rPr>
      </w:pPr>
      <w:r>
        <w:rPr>
          <w:rFonts w:ascii="Times New Roman" w:hAnsi="Times New Roman"/>
          <w:b/>
          <w:caps w:val="false"/>
          <w:smallCaps w:val="false"/>
          <w:sz w:val="20"/>
          <w:shd w:fill="FFFFFF" w:val="clear"/>
        </w:rPr>
        <w:t>Revenue recognition - gift card breakage</w:t>
      </w:r>
    </w:p>
    <w:p>
      <w:pPr>
        <w:pStyle w:val="TextBody"/>
        <w:bidi w:val="0"/>
        <w:spacing w:before="0" w:after="0"/>
        <w:ind w:left="16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277"/>
        <w:gridCol w:w="60"/>
        <w:gridCol w:w="8868"/>
      </w:tblGrid>
      <w:tr>
        <w:trPr/>
        <w:tc>
          <w:tcPr>
            <w:tcW w:w="1277" w:type="dxa"/>
            <w:tcBorders/>
            <w:vAlign w:val="center"/>
          </w:tcPr>
          <w:p>
            <w:pPr>
              <w:pStyle w:val="TableContents"/>
              <w:bidi w:val="0"/>
              <w:spacing w:before="0" w:after="0"/>
              <w:ind w:left="0" w:right="0" w:hanging="0"/>
              <w:jc w:val="both"/>
              <w:rPr>
                <w:rFonts w:ascii="Times New Roman;Times;serif" w:hAnsi="Times New Roman;Times;serif"/>
                <w:i/>
                <w:caps w:val="false"/>
                <w:smallCaps w:val="false"/>
                <w:sz w:val="20"/>
                <w:shd w:fill="FFFFFF" w:val="clear"/>
              </w:rPr>
            </w:pPr>
            <w:r>
              <w:rPr>
                <w:rFonts w:ascii="Times New Roman;Times;serif" w:hAnsi="Times New Roman;Times;serif"/>
                <w:i/>
                <w:caps w:val="false"/>
                <w:smallCaps w:val="false"/>
                <w:sz w:val="20"/>
                <w:shd w:fill="FFFFFF" w:val="clear"/>
              </w:rPr>
              <w:t>Description of the Matter</w:t>
            </w:r>
          </w:p>
        </w:tc>
        <w:tc>
          <w:tcPr>
            <w:tcW w:w="60" w:type="dxa"/>
            <w:tcBorders/>
            <w:vAlign w:val="center"/>
          </w:tcPr>
          <w:p>
            <w:pPr>
              <w:pStyle w:val="TableContents"/>
              <w:bidi w:val="0"/>
              <w:spacing w:before="0" w:after="283"/>
              <w:jc w:val="both"/>
              <w:rPr/>
            </w:pPr>
            <w:r>
              <w:rPr/>
              <w:t> </w:t>
            </w:r>
          </w:p>
        </w:tc>
        <w:tc>
          <w:tcPr>
            <w:tcW w:w="8868"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shd w:fill="FFFFFF" w:val="clear"/>
              </w:rPr>
              <w:t xml:space="preserve">As described in Note 3, for the Company’s gift cards, revenue is deferred for single transactions until redemption. The unredeemed gift cards or breakage revenue is recorded in proportion to the customer’s redemption pattern using an estimated breakage rate based on historical experience. For the year ended </w:t>
            </w:r>
            <w:r>
              <w:rPr>
                <w:rFonts w:ascii="Times New Roman;Times;serif" w:hAnsi="Times New Roman;Times;serif"/>
                <w:sz w:val="20"/>
              </w:rPr>
              <w:t>February 3, 2024</w:t>
            </w:r>
            <w:r>
              <w:rPr>
                <w:rFonts w:ascii="Times New Roman;Times;serif" w:hAnsi="Times New Roman;Times;serif"/>
                <w:sz w:val="20"/>
                <w:shd w:fill="FFFFFF" w:val="clear"/>
              </w:rPr>
              <w:t>, net retail sales included gift card breakage revenue of $6.3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88"/>
        <w:gridCol w:w="60"/>
        <w:gridCol w:w="8657"/>
      </w:tblGrid>
      <w:tr>
        <w:trPr/>
        <w:tc>
          <w:tcPr>
            <w:tcW w:w="1488" w:type="dxa"/>
            <w:tcBorders/>
            <w:vAlign w:val="center"/>
          </w:tcPr>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pPr>
            <w:r>
              <w:rPr/>
              <w:t> </w:t>
            </w:r>
          </w:p>
        </w:tc>
        <w:tc>
          <w:tcPr>
            <w:tcW w:w="8657"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Auditing the Company’s breakage revenue related to unredeemed gift cards was complex and judgmental due to the complexity of the model and the subjectivity related to the judgments that are made by the Company to estimate the breakage rate. Further, given the magnitude of the Company’s gift card liability, changes in breakage rates have a significant impact on the amount of breakage revenue recognized.</w:t>
            </w:r>
          </w:p>
          <w:p>
            <w:pPr>
              <w:pStyle w:val="TableContents"/>
              <w:bidi w:val="0"/>
              <w:spacing w:before="0" w:after="0"/>
              <w:ind w:left="0" w:right="0" w:hanging="0"/>
              <w:jc w:val="left"/>
              <w:rPr/>
            </w:pPr>
            <w:r>
              <w:rPr/>
              <w:t> </w:t>
            </w:r>
          </w:p>
        </w:tc>
      </w:tr>
      <w:tr>
        <w:trPr/>
        <w:tc>
          <w:tcPr>
            <w:tcW w:w="1488"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shd w:fill="FFFFFF" w:val="clear"/>
              </w:rPr>
            </w:pPr>
            <w:r>
              <w:rPr>
                <w:rFonts w:ascii="Times New Roman;Times;serif" w:hAnsi="Times New Roman;Times;serif"/>
                <w:i/>
                <w:caps w:val="false"/>
                <w:smallCaps w:val="false"/>
                <w:sz w:val="20"/>
                <w:shd w:fill="FFFFFF" w:val="clear"/>
              </w:rPr>
              <w:t>How We Addressed the Matter in Our Audit</w:t>
            </w:r>
          </w:p>
        </w:tc>
        <w:tc>
          <w:tcPr>
            <w:tcW w:w="60" w:type="dxa"/>
            <w:tcBorders/>
            <w:vAlign w:val="center"/>
          </w:tcPr>
          <w:p>
            <w:pPr>
              <w:pStyle w:val="TableContents"/>
              <w:bidi w:val="0"/>
              <w:spacing w:before="0" w:after="283"/>
              <w:jc w:val="both"/>
              <w:rPr/>
            </w:pPr>
            <w:r>
              <w:rPr/>
              <w:t> </w:t>
            </w:r>
          </w:p>
        </w:tc>
        <w:tc>
          <w:tcPr>
            <w:tcW w:w="8657" w:type="dxa"/>
            <w:tcBorders/>
            <w:vAlign w:val="center"/>
          </w:tcPr>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obtained an understanding, evaluated the design and tested the operating effectiveness of controls over management’s determination of gift card breakage revenue, including the model and data inputs used in the model, as well as significant underlying assumptions selected by management in establishing the breakage rates.</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Times;serif" w:hAnsi="Times New Roman;Times;serif"/>
                <w:sz w:val="20"/>
                <w:shd w:fill="FFFFFF" w:val="clear"/>
              </w:rPr>
            </w:pPr>
            <w:r>
              <w:rPr>
                <w:rFonts w:ascii="Times New Roman;Times;serif" w:hAnsi="Times New Roman;Times;serif"/>
                <w:sz w:val="20"/>
                <w:shd w:fill="FFFFFF" w:val="clear"/>
              </w:rPr>
              <w:t>We performed audit procedures that included, among others, evaluating the methodologies, assessing the judgments and testing the completeness and accuracy of the historical data used by the Company in its determination of the breakage rate. In addition, we performed sensitivity analyses over the breakage rate to evaluate the impact changes in breakage rates had on breakage revenue recorded.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/s/ Ernst &amp; Young LLP</w:t>
      </w:r>
    </w:p>
    <w:p>
      <w:pPr>
        <w:pStyle w:val="TextBody"/>
        <w:bidi w:val="0"/>
        <w:spacing w:before="0" w:after="0"/>
        <w:ind w:left="0" w:right="0" w:hanging="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We have served as the Company’s auditor since 2011.</w:t>
      </w:r>
    </w:p>
    <w:p>
      <w:pPr>
        <w:pStyle w:val="TextBody"/>
        <w:bidi w:val="0"/>
        <w:spacing w:before="0" w:after="0"/>
        <w:ind w:left="0" w:right="0" w:hanging="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St. Louis, Missouri</w:t>
      </w:r>
    </w:p>
    <w:p>
      <w:pPr>
        <w:pStyle w:val="TextBody"/>
        <w:bidi w:val="0"/>
        <w:spacing w:before="0" w:after="0"/>
        <w:ind w:left="0" w:right="0" w:hanging="0"/>
        <w:jc w:val="left"/>
        <w:rPr>
          <w:rFonts w:ascii="Times New Roman" w:hAnsi="Times New Roman"/>
          <w:caps w:val="false"/>
          <w:smallCaps w:val="false"/>
          <w:sz w:val="20"/>
          <w:shd w:fill="FFFFFF" w:val="clear"/>
        </w:rPr>
      </w:pPr>
      <w:r>
        <w:rPr>
          <w:rFonts w:ascii="Times New Roman" w:hAnsi="Times New Roman"/>
          <w:caps w:val="false"/>
          <w:smallCaps w:val="false"/>
          <w:sz w:val="20"/>
          <w:shd w:fill="FFFFFF" w:val="clear"/>
        </w:rPr>
        <w:t>April 18,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4985" w:type="dxa"/>
        <w:jc w:val="left"/>
        <w:tblInd w:w="0" w:type="dxa"/>
        <w:tblLayout w:type="fixed"/>
        <w:tblCellMar>
          <w:top w:w="0" w:type="dxa"/>
          <w:left w:w="0" w:type="dxa"/>
          <w:bottom w:w="0" w:type="dxa"/>
          <w:right w:w="0" w:type="dxa"/>
        </w:tblCellMar>
      </w:tblPr>
      <w:tblGrid>
        <w:gridCol w:w="4985"/>
      </w:tblGrid>
      <w:tr>
        <w:trPr/>
        <w:tc>
          <w:tcPr>
            <w:tcW w:w="4985"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31" w:name="bs"/>
            <w:bookmarkEnd w:id="31"/>
            <w:r>
              <w:rPr>
                <w:rFonts w:ascii="Times New Roman;Times;serif" w:hAnsi="Times New Roman;Times;serif"/>
                <w:b/>
                <w:sz w:val="20"/>
              </w:rPr>
              <w:t>BUILD-A-BEAR WORKSHOP, INC. AND SUBSIDIARIES</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share data)</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8041"/>
        <w:gridCol w:w="60"/>
        <w:gridCol w:w="142"/>
        <w:gridCol w:w="794"/>
        <w:gridCol w:w="80"/>
        <w:gridCol w:w="60"/>
        <w:gridCol w:w="143"/>
        <w:gridCol w:w="802"/>
        <w:gridCol w:w="83"/>
      </w:tblGrid>
      <w:tr>
        <w:trPr/>
        <w:tc>
          <w:tcPr>
            <w:tcW w:w="8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3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4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0122" w:type="dxa"/>
            <w:gridSpan w:val="8"/>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ASSETS</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42,198</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Inventories,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70,485</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Receivables, net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15,374</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19,374</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127,772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147,431</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73,443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71,791</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50,759</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6,592</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assets, net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280,794</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10122" w:type="dxa"/>
            <w:gridSpan w:val="8"/>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LIABILITIES AND STOCKHOLDERS' EQUITY</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10,286</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37,358</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Operating lease liability short term</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27,436</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Gift cards and customer deposits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19,425</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revenue and other</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6,646</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83,733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101,151</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long term</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59,080</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79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02"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79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02"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180" w:right="0" w:firstLine="180"/>
              <w:jc w:val="left"/>
              <w:rPr>
                <w:rFonts w:ascii="Times New Roman;Times;serif" w:hAnsi="Times New Roman;Times;serif"/>
                <w:sz w:val="20"/>
              </w:rPr>
            </w:pPr>
            <w:r>
              <w:rPr>
                <w:rFonts w:ascii="Times New Roman;Times;serif" w:hAnsi="Times New Roman;Times;serif"/>
                <w:sz w:val="20"/>
              </w:rPr>
              <w:t>Preferred stock, par value $0.01, Shares authorized: 15,000,000; No shares issued or outstanding at February 3, 2024 and January 28, 2023</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180" w:right="0" w:firstLine="180"/>
              <w:jc w:val="left"/>
              <w:rPr>
                <w:rFonts w:ascii="Times New Roman;Times;serif" w:hAnsi="Times New Roman;Times;serif"/>
                <w:sz w:val="20"/>
              </w:rPr>
            </w:pPr>
            <w:r>
              <w:rPr>
                <w:rFonts w:ascii="Times New Roman;Times;serif" w:hAnsi="Times New Roman;Times;serif"/>
                <w:sz w:val="20"/>
              </w:rPr>
              <w:t>Common stock, par value $0.01, Shares authorized: 50,000,000; Issued and outstanding: 14,172,362 and 14,802,338 shares, respectively</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7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69,868</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7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041"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Retained earnings</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61,375</w:t>
            </w:r>
          </w:p>
        </w:tc>
        <w:tc>
          <w:tcPr>
            <w:tcW w:w="83" w:type="dxa"/>
            <w:tcBorders/>
            <w:shd w:fill="FFFFFF" w:val="clear"/>
            <w:vAlign w:val="center"/>
          </w:tcPr>
          <w:p>
            <w:pPr>
              <w:pStyle w:val="TableContents"/>
              <w:bidi w:val="0"/>
              <w:spacing w:before="0" w:after="283"/>
              <w:jc w:val="left"/>
              <w:rPr/>
            </w:pPr>
            <w:r>
              <w:rPr/>
              <w:t> </w:t>
            </w:r>
          </w:p>
        </w:tc>
      </w:tr>
      <w:tr>
        <w:trPr/>
        <w:tc>
          <w:tcPr>
            <w:tcW w:w="8041"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119,117</w:t>
            </w:r>
          </w:p>
        </w:tc>
        <w:tc>
          <w:tcPr>
            <w:tcW w:w="83" w:type="dxa"/>
            <w:tcBorders/>
            <w:shd w:fill="CCEEFF" w:val="clear"/>
            <w:vAlign w:val="center"/>
          </w:tcPr>
          <w:p>
            <w:pPr>
              <w:pStyle w:val="TableContents"/>
              <w:bidi w:val="0"/>
              <w:spacing w:before="0" w:after="283"/>
              <w:jc w:val="left"/>
              <w:rPr/>
            </w:pPr>
            <w:r>
              <w:rPr/>
              <w:t> </w:t>
            </w:r>
          </w:p>
        </w:tc>
      </w:tr>
      <w:tr>
        <w:trPr/>
        <w:tc>
          <w:tcPr>
            <w:tcW w:w="8041"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Stockholders'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280,794</w:t>
            </w:r>
          </w:p>
        </w:tc>
        <w:tc>
          <w:tcPr>
            <w:tcW w:w="8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75" w:type="dxa"/>
        <w:jc w:val="left"/>
        <w:tblInd w:w="0" w:type="dxa"/>
        <w:tblLayout w:type="fixed"/>
        <w:tblCellMar>
          <w:top w:w="0" w:type="dxa"/>
          <w:left w:w="0" w:type="dxa"/>
          <w:bottom w:w="0" w:type="dxa"/>
          <w:right w:w="0" w:type="dxa"/>
        </w:tblCellMar>
      </w:tblPr>
      <w:tblGrid>
        <w:gridCol w:w="5075"/>
      </w:tblGrid>
      <w:tr>
        <w:trPr/>
        <w:tc>
          <w:tcPr>
            <w:tcW w:w="50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tbl>
      <w:tblPr>
        <w:tblW w:w="4985" w:type="dxa"/>
        <w:jc w:val="left"/>
        <w:tblInd w:w="0" w:type="dxa"/>
        <w:tblLayout w:type="fixed"/>
        <w:tblCellMar>
          <w:top w:w="0" w:type="dxa"/>
          <w:left w:w="0" w:type="dxa"/>
          <w:bottom w:w="0" w:type="dxa"/>
          <w:right w:w="0" w:type="dxa"/>
        </w:tblCellMar>
      </w:tblPr>
      <w:tblGrid>
        <w:gridCol w:w="4985"/>
      </w:tblGrid>
      <w:tr>
        <w:trPr/>
        <w:tc>
          <w:tcPr>
            <w:tcW w:w="4985"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32" w:name="sci"/>
            <w:bookmarkEnd w:id="32"/>
            <w:r>
              <w:rPr>
                <w:rFonts w:ascii="Times New Roman;Times;serif" w:hAnsi="Times New Roman;Times;serif"/>
                <w:b/>
                <w:sz w:val="20"/>
              </w:rPr>
              <w:t>BUILD-A-BEAR WORKSHOP, INC. AND SUBSIDIARIES</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OPERATIONS</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AND COMPREHENSIVE INCOME</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 except share and per share data)</w:t>
            </w:r>
          </w:p>
        </w:tc>
      </w:tr>
    </w:tbl>
    <w:p>
      <w:pPr>
        <w:pStyle w:val="TextBody"/>
        <w:bidi w:val="0"/>
        <w:spacing w:before="0" w:after="0"/>
        <w:ind w:left="0" w:right="0" w:hanging="0"/>
        <w:jc w:val="left"/>
        <w:rPr/>
      </w:pPr>
      <w:r>
        <w:rPr/>
        <w:t> </w:t>
      </w:r>
    </w:p>
    <w:tbl>
      <w:tblPr>
        <w:tblW w:w="6825" w:type="dxa"/>
        <w:jc w:val="left"/>
        <w:tblInd w:w="0" w:type="dxa"/>
        <w:tblLayout w:type="fixed"/>
        <w:tblCellMar>
          <w:top w:w="0" w:type="dxa"/>
          <w:left w:w="0" w:type="dxa"/>
          <w:bottom w:w="0" w:type="dxa"/>
          <w:right w:w="0" w:type="dxa"/>
        </w:tblCellMar>
      </w:tblPr>
      <w:tblGrid>
        <w:gridCol w:w="4415"/>
        <w:gridCol w:w="60"/>
        <w:gridCol w:w="125"/>
        <w:gridCol w:w="950"/>
        <w:gridCol w:w="80"/>
        <w:gridCol w:w="60"/>
        <w:gridCol w:w="125"/>
        <w:gridCol w:w="950"/>
        <w:gridCol w:w="60"/>
      </w:tblGrid>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Fiscal year ended</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Revenues: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retail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446,181</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Commercial revenue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18,523</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International franchising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revenues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467,937</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Costs and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Cost of merchandise sold - retail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211,489</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Cost of merchandise sold - commercial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8,591</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Cost of merchandise sold - international franchising</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Total cost of merchandise sold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221,722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222,065</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Consolidated 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264,392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245,872</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Selling, general and administrative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183,929</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Interest expense (income),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61,924</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13,939</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108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47,985</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Comprehensive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52,997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48,181</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per common share: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3.15</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used in computing common per share amounts: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14,342,931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14,940,770</w:t>
            </w:r>
          </w:p>
        </w:tc>
        <w:tc>
          <w:tcPr>
            <w:tcW w:w="6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Diluted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14,471,875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15,249,819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75" w:type="dxa"/>
        <w:jc w:val="left"/>
        <w:tblInd w:w="0" w:type="dxa"/>
        <w:tblLayout w:type="fixed"/>
        <w:tblCellMar>
          <w:top w:w="0" w:type="dxa"/>
          <w:left w:w="0" w:type="dxa"/>
          <w:bottom w:w="0" w:type="dxa"/>
          <w:right w:w="0" w:type="dxa"/>
        </w:tblCellMar>
      </w:tblPr>
      <w:tblGrid>
        <w:gridCol w:w="5075"/>
      </w:tblGrid>
      <w:tr>
        <w:trPr/>
        <w:tc>
          <w:tcPr>
            <w:tcW w:w="50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33" w:name="se"/>
            <w:bookmarkEnd w:id="33"/>
            <w:r>
              <w:rPr>
                <w:rFonts w:ascii="Times New Roman;Times;serif" w:hAnsi="Times New Roman;Times;serif"/>
                <w:b/>
                <w:sz w:val="20"/>
              </w:rPr>
              <w:t>BUILD-A-BEAR WORKSHOP, INC. AND SUBSIDIARIES</w:t>
            </w:r>
          </w:p>
        </w:tc>
      </w:tr>
      <w:tr>
        <w:trPr/>
        <w:tc>
          <w:tcPr>
            <w:tcW w:w="584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STOCKHOLDERS' EQUITY</w:t>
            </w:r>
          </w:p>
        </w:tc>
      </w:tr>
      <w:tr>
        <w:trPr/>
        <w:tc>
          <w:tcPr>
            <w:tcW w:w="584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tc>
      </w:tr>
    </w:tbl>
    <w:p>
      <w:pPr>
        <w:pStyle w:val="TextBody"/>
        <w:bidi w:val="0"/>
        <w:spacing w:before="0" w:after="0"/>
        <w:ind w:left="0" w:right="0" w:hanging="0"/>
        <w:jc w:val="left"/>
        <w:rPr/>
      </w:pPr>
      <w:r>
        <w:rPr/>
        <w:t> </w:t>
      </w:r>
    </w:p>
    <w:tbl>
      <w:tblPr>
        <w:tblW w:w="8750" w:type="dxa"/>
        <w:jc w:val="left"/>
        <w:tblInd w:w="0" w:type="dxa"/>
        <w:tblLayout w:type="fixed"/>
        <w:tblCellMar>
          <w:top w:w="0" w:type="dxa"/>
          <w:left w:w="0" w:type="dxa"/>
          <w:bottom w:w="0" w:type="dxa"/>
          <w:right w:w="0" w:type="dxa"/>
        </w:tblCellMar>
      </w:tblPr>
      <w:tblGrid>
        <w:gridCol w:w="3515"/>
        <w:gridCol w:w="60"/>
        <w:gridCol w:w="209"/>
        <w:gridCol w:w="561"/>
        <w:gridCol w:w="80"/>
        <w:gridCol w:w="60"/>
        <w:gridCol w:w="160"/>
        <w:gridCol w:w="760"/>
        <w:gridCol w:w="80"/>
        <w:gridCol w:w="60"/>
        <w:gridCol w:w="200"/>
        <w:gridCol w:w="1050"/>
        <w:gridCol w:w="80"/>
        <w:gridCol w:w="60"/>
        <w:gridCol w:w="125"/>
        <w:gridCol w:w="650"/>
        <w:gridCol w:w="80"/>
        <w:gridCol w:w="60"/>
        <w:gridCol w:w="125"/>
        <w:gridCol w:w="695"/>
        <w:gridCol w:w="80"/>
      </w:tblGrid>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January 29, 2022</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93,683</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employee stock plans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2,085</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withheld in lieu of tax withholdings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(2,179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Repurchase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(7,073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(17,083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(28</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47,985</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January 28, 2023</w:t>
            </w:r>
          </w:p>
        </w:tc>
        <w:tc>
          <w:tcPr>
            <w:tcW w:w="60" w:type="dxa"/>
            <w:tcBorders/>
            <w:shd w:fill="CCEEFF" w:val="clear"/>
            <w:vAlign w:val="center"/>
          </w:tcPr>
          <w:p>
            <w:pPr>
              <w:pStyle w:val="TableContents"/>
              <w:bidi w:val="0"/>
              <w:spacing w:before="0" w:after="283"/>
              <w:ind w:left="0" w:right="0" w:hanging="0"/>
              <w:jc w:val="left"/>
              <w:rPr/>
            </w:pPr>
            <w:r>
              <w:rPr/>
              <w:t> </w:t>
            </w:r>
          </w:p>
        </w:tc>
        <w:tc>
          <w:tcPr>
            <w:tcW w:w="209"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119,117</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Adoption of new ASU - ASC 326</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6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6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69,868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(12,274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60,590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118,332</w:t>
            </w:r>
          </w:p>
        </w:tc>
        <w:tc>
          <w:tcPr>
            <w:tcW w:w="80"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issued under employee stock plans</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2,899</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withheld in lieu of tax withholdings</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(3,640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 Repurchase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Dividend</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jc w:val="left"/>
              <w:rPr/>
            </w:pPr>
            <w:r>
              <w:rPr/>
              <w:t> </w:t>
            </w:r>
          </w:p>
        </w:tc>
        <w:tc>
          <w:tcPr>
            <w:tcW w:w="56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6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c>
          <w:tcPr>
            <w:tcW w:w="10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(22,014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jc w:val="left"/>
              <w:rPr/>
            </w:pPr>
            <w:r>
              <w:rPr/>
              <w:t> </w:t>
            </w:r>
          </w:p>
        </w:tc>
        <w:tc>
          <w:tcPr>
            <w:tcW w:w="56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6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c>
          <w:tcPr>
            <w:tcW w:w="1050" w:type="dxa"/>
            <w:tcBorders/>
            <w:shd w:fill="FFFFFF" w:val="clear"/>
            <w:vAlign w:val="center"/>
          </w:tcPr>
          <w:p>
            <w:pPr>
              <w:pStyle w:val="TableContents"/>
              <w:bidi w:val="0"/>
              <w:spacing w:before="0" w:after="283"/>
              <w:jc w:val="left"/>
              <w:rPr>
                <w:sz w:val="4"/>
                <w:szCs w:val="4"/>
              </w:rPr>
            </w:pPr>
            <w:r>
              <w:rPr>
                <w:sz w:val="4"/>
                <w:szCs w:val="4"/>
              </w:rPr>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comprehensive income</w:t>
            </w:r>
          </w:p>
        </w:tc>
        <w:tc>
          <w:tcPr>
            <w:tcW w:w="60" w:type="dxa"/>
            <w:tcBorders/>
            <w:shd w:fill="CCEEFF" w:val="clear"/>
            <w:vAlign w:val="center"/>
          </w:tcPr>
          <w:p>
            <w:pPr>
              <w:pStyle w:val="TableContents"/>
              <w:bidi w:val="0"/>
              <w:spacing w:before="0" w:after="283"/>
              <w:jc w:val="left"/>
              <w:rPr/>
            </w:pPr>
            <w:r>
              <w:rPr/>
              <w:t> </w:t>
            </w:r>
          </w:p>
        </w:tc>
        <w:tc>
          <w:tcPr>
            <w:tcW w:w="209" w:type="dxa"/>
            <w:tcBorders/>
            <w:shd w:fill="CCEEFF" w:val="clear"/>
            <w:vAlign w:val="center"/>
          </w:tcPr>
          <w:p>
            <w:pPr>
              <w:pStyle w:val="TableContents"/>
              <w:bidi w:val="0"/>
              <w:spacing w:before="0" w:after="283"/>
              <w:ind w:left="0" w:right="0" w:hanging="0"/>
              <w:jc w:val="left"/>
              <w:rPr/>
            </w:pPr>
            <w:r>
              <w:rPr/>
              <w:t> </w:t>
            </w:r>
          </w:p>
        </w:tc>
        <w:tc>
          <w:tcPr>
            <w:tcW w:w="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c>
          <w:tcPr>
            <w:tcW w:w="10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income</w:t>
            </w:r>
          </w:p>
        </w:tc>
        <w:tc>
          <w:tcPr>
            <w:tcW w:w="60" w:type="dxa"/>
            <w:tcBorders/>
            <w:shd w:fill="FFFFFF" w:val="clear"/>
            <w:vAlign w:val="center"/>
          </w:tcPr>
          <w:p>
            <w:pPr>
              <w:pStyle w:val="TableContents"/>
              <w:bidi w:val="0"/>
              <w:spacing w:before="0" w:after="283"/>
              <w:jc w:val="left"/>
              <w:rPr/>
            </w:pPr>
            <w:r>
              <w:rPr/>
              <w:t> </w:t>
            </w:r>
          </w:p>
        </w:tc>
        <w:tc>
          <w:tcPr>
            <w:tcW w:w="209" w:type="dxa"/>
            <w:tcBorders/>
            <w:shd w:fill="FFFFFF" w:val="clear"/>
            <w:vAlign w:val="center"/>
          </w:tcPr>
          <w:p>
            <w:pPr>
              <w:pStyle w:val="TableContents"/>
              <w:bidi w:val="0"/>
              <w:spacing w:before="0" w:after="283"/>
              <w:ind w:left="0" w:right="0" w:hanging="0"/>
              <w:jc w:val="left"/>
              <w:rPr/>
            </w:pPr>
            <w:r>
              <w:rPr/>
              <w:t> </w:t>
            </w:r>
          </w:p>
        </w:tc>
        <w:tc>
          <w:tcPr>
            <w:tcW w:w="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ind w:left="0" w:right="0" w:hanging="0"/>
              <w:jc w:val="left"/>
              <w:rPr/>
            </w:pPr>
            <w:r>
              <w:rPr/>
              <w:t> </w:t>
            </w:r>
          </w:p>
        </w:tc>
        <w:tc>
          <w:tcPr>
            <w:tcW w:w="10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52,805</w:t>
            </w:r>
          </w:p>
        </w:tc>
        <w:tc>
          <w:tcPr>
            <w:tcW w:w="80"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6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February 3, 2024</w:t>
            </w:r>
          </w:p>
        </w:tc>
        <w:tc>
          <w:tcPr>
            <w:tcW w:w="60" w:type="dxa"/>
            <w:tcBorders/>
            <w:shd w:fill="FFFFFF" w:val="clear"/>
            <w:vAlign w:val="center"/>
          </w:tcPr>
          <w:p>
            <w:pPr>
              <w:pStyle w:val="TableContents"/>
              <w:bidi w:val="0"/>
              <w:spacing w:before="0" w:after="283"/>
              <w:ind w:left="0" w:right="0" w:hanging="0"/>
              <w:jc w:val="left"/>
              <w:rPr/>
            </w:pPr>
            <w:r>
              <w:rPr/>
              <w:t> </w:t>
            </w:r>
          </w:p>
        </w:tc>
        <w:tc>
          <w:tcPr>
            <w:tcW w:w="20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129,662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075" w:type="dxa"/>
        <w:jc w:val="left"/>
        <w:tblInd w:w="0" w:type="dxa"/>
        <w:tblLayout w:type="fixed"/>
        <w:tblCellMar>
          <w:top w:w="0" w:type="dxa"/>
          <w:left w:w="0" w:type="dxa"/>
          <w:bottom w:w="0" w:type="dxa"/>
          <w:right w:w="0" w:type="dxa"/>
        </w:tblCellMar>
      </w:tblPr>
      <w:tblGrid>
        <w:gridCol w:w="5075"/>
      </w:tblGrid>
      <w:tr>
        <w:trPr/>
        <w:tc>
          <w:tcPr>
            <w:tcW w:w="507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tbl>
      <w:tblPr>
        <w:tblW w:w="4985" w:type="dxa"/>
        <w:jc w:val="left"/>
        <w:tblInd w:w="0" w:type="dxa"/>
        <w:tblLayout w:type="fixed"/>
        <w:tblCellMar>
          <w:top w:w="0" w:type="dxa"/>
          <w:left w:w="0" w:type="dxa"/>
          <w:bottom w:w="0" w:type="dxa"/>
          <w:right w:w="0" w:type="dxa"/>
        </w:tblCellMar>
      </w:tblPr>
      <w:tblGrid>
        <w:gridCol w:w="4985"/>
      </w:tblGrid>
      <w:tr>
        <w:trPr/>
        <w:tc>
          <w:tcPr>
            <w:tcW w:w="4985" w:type="dxa"/>
            <w:tcBorders/>
            <w:vAlign w:val="center"/>
          </w:tcPr>
          <w:p>
            <w:pPr>
              <w:pStyle w:val="TableContents"/>
              <w:bidi w:val="0"/>
              <w:spacing w:before="0" w:after="0"/>
              <w:ind w:left="0" w:right="0" w:hanging="0"/>
              <w:jc w:val="center"/>
              <w:rPr>
                <w:rFonts w:ascii="Times New Roman;Times;serif" w:hAnsi="Times New Roman;Times;serif"/>
                <w:b/>
                <w:sz w:val="20"/>
              </w:rPr>
            </w:pPr>
            <w:bookmarkStart w:id="34" w:name="scf"/>
            <w:bookmarkEnd w:id="34"/>
            <w:r>
              <w:rPr>
                <w:rFonts w:ascii="Times New Roman;Times;serif" w:hAnsi="Times New Roman;Times;serif"/>
                <w:b/>
                <w:sz w:val="20"/>
              </w:rPr>
              <w:t>BUILD-A-BEAR WORKSHOP, INC. AND SUBSIDIARIES</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CASH FLOWS</w:t>
            </w:r>
          </w:p>
        </w:tc>
      </w:tr>
      <w:tr>
        <w:trPr/>
        <w:tc>
          <w:tcPr>
            <w:tcW w:w="4985"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(Dollars in thousands)</w:t>
            </w:r>
          </w:p>
        </w:tc>
      </w:tr>
    </w:tbl>
    <w:p>
      <w:pPr>
        <w:pStyle w:val="TextBody"/>
        <w:bidi w:val="0"/>
        <w:spacing w:before="0" w:after="0"/>
        <w:ind w:left="0" w:right="0" w:hanging="0"/>
        <w:jc w:val="left"/>
        <w:rPr/>
      </w:pPr>
      <w:r>
        <w:rPr/>
        <w:t> </w:t>
      </w:r>
    </w:p>
    <w:tbl>
      <w:tblPr>
        <w:tblW w:w="8903" w:type="dxa"/>
        <w:jc w:val="left"/>
        <w:tblInd w:w="0" w:type="dxa"/>
        <w:tblLayout w:type="fixed"/>
        <w:tblCellMar>
          <w:top w:w="0" w:type="dxa"/>
          <w:left w:w="0" w:type="dxa"/>
          <w:bottom w:w="0" w:type="dxa"/>
          <w:right w:w="0" w:type="dxa"/>
        </w:tblCellMar>
      </w:tblPr>
      <w:tblGrid>
        <w:gridCol w:w="6560"/>
        <w:gridCol w:w="60"/>
        <w:gridCol w:w="164"/>
        <w:gridCol w:w="860"/>
        <w:gridCol w:w="80"/>
        <w:gridCol w:w="60"/>
        <w:gridCol w:w="167"/>
        <w:gridCol w:w="872"/>
        <w:gridCol w:w="80"/>
      </w:tblGrid>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Fiscal year ended</w:t>
            </w:r>
          </w:p>
        </w:tc>
        <w:tc>
          <w:tcPr>
            <w:tcW w:w="8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28,</w:t>
            </w:r>
          </w:p>
        </w:tc>
        <w:tc>
          <w:tcPr>
            <w:tcW w:w="8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2024</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r>
      <w:tr>
        <w:trPr/>
        <w:tc>
          <w:tcPr>
            <w:tcW w:w="6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283"/>
              <w:jc w:val="left"/>
              <w:rPr/>
            </w:pPr>
            <w:r>
              <w:rPr/>
              <w:t> </w:t>
            </w:r>
          </w:p>
        </w:tc>
        <w:tc>
          <w:tcPr>
            <w:tcW w:w="872"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provided by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47,985</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12,482</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and performance-based stock compensation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2,559</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992</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Provision/adjustments for doubtful accounts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property and equipment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change in film costs and advances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assets and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Receivables,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Gift cards and customer deposits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2,895</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64,310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47,276</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used in investing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used in financing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employee equity awards, net of tax</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Company's common stock</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dividends paid on vested participating securities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FFFFFF" w:val="clear"/>
            <w:vAlign w:val="center"/>
          </w:tcPr>
          <w:p>
            <w:pPr>
              <w:pStyle w:val="TableContents"/>
              <w:bidi w:val="0"/>
              <w:spacing w:before="0" w:after="0"/>
              <w:ind w:left="14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(25,056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rates on cash</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8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87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9,353</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32,845</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restricted cash,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42,198</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87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Reconciliation of cash, cash equivalents and restricted cash (1)</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41,748</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Restricted cash from long-term deposits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cash, cash equivalents and restricted cash</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42,198</w:t>
            </w:r>
          </w:p>
        </w:tc>
        <w:tc>
          <w:tcPr>
            <w:tcW w:w="80" w:type="dxa"/>
            <w:tcBorders/>
            <w:shd w:fill="CCEEFF" w:val="clear"/>
            <w:vAlign w:val="center"/>
          </w:tcPr>
          <w:p>
            <w:pPr>
              <w:pStyle w:val="TableContents"/>
              <w:bidi w:val="0"/>
              <w:spacing w:before="0" w:after="283"/>
              <w:jc w:val="left"/>
              <w:rPr/>
            </w:pPr>
            <w:r>
              <w:rPr/>
              <w:t> </w:t>
            </w:r>
          </w:p>
        </w:tc>
      </w:tr>
      <w:tr>
        <w:trPr/>
        <w:tc>
          <w:tcPr>
            <w:tcW w:w="65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86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87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5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paid during the period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17,364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(1) See cash, cash equivalents and restricted cash in Note 2 - "Summary of Significant Accounting Policies" for further discussion.</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accompanying notes to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46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sz w:val="20"/>
        </w:rPr>
      </w:pPr>
      <w:bookmarkStart w:id="35" w:name="notes"/>
      <w:bookmarkEnd w:id="35"/>
      <w:r>
        <w:rPr>
          <w:rFonts w:ascii="Times New Roman;Times;serif" w:hAnsi="Times New Roman;Times;serif"/>
          <w:b/>
          <w:sz w:val="20"/>
        </w:rPr>
        <w:t xml:space="preserve">Notes to Consolidated Financial Statements </w:t>
      </w:r>
    </w:p>
    <w:p>
      <w:pPr>
        <w:pStyle w:val="TextBody"/>
        <w:bidi w:val="0"/>
        <w:spacing w:before="0" w:after="0"/>
        <w:ind w:left="0" w:right="0" w:hanging="0"/>
        <w:jc w:val="both"/>
        <w:rPr/>
      </w:pPr>
      <w:r>
        <w:rPr/>
        <w:t> </w:t>
      </w:r>
    </w:p>
    <w:p>
      <w:pPr>
        <w:pStyle w:val="TextBody"/>
        <w:bidi w:val="0"/>
        <w:spacing w:before="0" w:after="0"/>
        <w:jc w:val="left"/>
        <w:rPr/>
      </w:pPr>
      <w:r>
        <w:rPr/>
        <w:t xml:space="preserve">  </w:t>
      </w:r>
    </w:p>
    <w:tbl>
      <w:tblPr>
        <w:tblW w:w="4405" w:type="dxa"/>
        <w:jc w:val="left"/>
        <w:tblInd w:w="0" w:type="dxa"/>
        <w:tblLayout w:type="fixed"/>
        <w:tblCellMar>
          <w:top w:w="0" w:type="dxa"/>
          <w:left w:w="0" w:type="dxa"/>
          <w:bottom w:w="0" w:type="dxa"/>
          <w:right w:w="0" w:type="dxa"/>
        </w:tblCellMar>
      </w:tblPr>
      <w:tblGrid>
        <w:gridCol w:w="290"/>
        <w:gridCol w:w="4115"/>
      </w:tblGrid>
      <w:tr>
        <w:trPr/>
        <w:tc>
          <w:tcPr>
            <w:tcW w:w="29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1</w:t>
            </w:r>
            <w:r>
              <w:rPr>
                <w:rFonts w:ascii="Times New Roman;Times;serif" w:hAnsi="Times New Roman;Times;serif"/>
                <w:b/>
                <w:sz w:val="20"/>
              </w:rPr>
              <w:t xml:space="preserve">) </w:t>
            </w:r>
          </w:p>
        </w:tc>
        <w:tc>
          <w:tcPr>
            <w:tcW w:w="411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Description of Business and Basis of Preparation</w:t>
            </w:r>
          </w:p>
        </w:tc>
      </w:tr>
    </w:tbl>
    <w:p>
      <w:pPr>
        <w:pStyle w:val="TextBody"/>
        <w:bidi w:val="0"/>
        <w:spacing w:before="0" w:after="0"/>
        <w:ind w:left="0" w:right="0" w:hanging="0"/>
        <w:jc w:val="both"/>
        <w:rPr/>
      </w:pPr>
      <w:r>
        <w:rPr/>
        <w:t> </w:t>
      </w:r>
    </w:p>
    <w:p>
      <w:pPr>
        <w:pStyle w:val="TextBody"/>
        <w:bidi w:val="0"/>
        <w:spacing w:before="0" w:after="0"/>
        <w:ind w:left="0" w:right="144" w:firstLine="540"/>
        <w:jc w:val="both"/>
        <w:rPr/>
      </w:pPr>
      <w:r>
        <w:rPr>
          <w:rFonts w:ascii="Times New Roman;Times;serif" w:hAnsi="Times New Roman;Times;serif"/>
          <w:sz w:val="20"/>
        </w:rPr>
        <w:t xml:space="preserve">Build-A-Bear Workshop, Inc. and subsidiaries (collectively, the “Company”) is a multi-channel retailer of plush animals and related products. The Company began operations in </w:t>
      </w:r>
      <w:r>
        <w:rPr>
          <w:rStyle w:val="Emphasis"/>
          <w:rFonts w:ascii="Times New Roman;Times;serif" w:hAnsi="Times New Roman;Times;serif"/>
          <w:sz w:val="20"/>
        </w:rPr>
        <w:t xml:space="preserve">October 1997. </w:t>
      </w:r>
      <w:r>
        <w:rPr>
          <w:rFonts w:ascii="Times New Roman;Times;serif" w:hAnsi="Times New Roman;Times;serif"/>
          <w:sz w:val="20"/>
        </w:rPr>
        <w:t>The Company sells its products through its </w:t>
      </w:r>
      <w:r>
        <w:rPr>
          <w:rStyle w:val="Emphasis"/>
          <w:rFonts w:ascii="Times New Roman;Times;serif" w:hAnsi="Times New Roman;Times;serif"/>
          <w:sz w:val="20"/>
        </w:rPr>
        <w:t>359</w:t>
      </w:r>
      <w:r>
        <w:rPr>
          <w:rFonts w:ascii="Times New Roman;Times;serif" w:hAnsi="Times New Roman;Times;serif"/>
          <w:sz w:val="20"/>
        </w:rPr>
        <w:t xml:space="preserve"> corporately-managed locations operated primarily in leased mall locations in the U.S., Canada, Ireland, and the U.K. along with its e-commerce sites. As of the balance sheet date, operations in foreign countries where the Company does </w:t>
      </w:r>
      <w:r>
        <w:rPr>
          <w:rStyle w:val="Emphasis"/>
          <w:rFonts w:ascii="Times New Roman;Times;serif" w:hAnsi="Times New Roman;Times;serif"/>
          <w:sz w:val="20"/>
        </w:rPr>
        <w:t>not</w:t>
      </w:r>
      <w:r>
        <w:rPr>
          <w:rFonts w:ascii="Times New Roman;Times;serif" w:hAnsi="Times New Roman;Times;serif"/>
          <w:sz w:val="20"/>
        </w:rPr>
        <w:t xml:space="preserve"> have corporately-managed locations are through franchise agreements. The Company also sold product through its "third-party retail" model at </w:t>
      </w:r>
      <w:r>
        <w:rPr>
          <w:rStyle w:val="Emphasis"/>
          <w:rFonts w:ascii="Times New Roman;Times;serif" w:hAnsi="Times New Roman;Times;serif"/>
          <w:sz w:val="20"/>
        </w:rPr>
        <w:t>92</w:t>
      </w:r>
      <w:r>
        <w:rPr>
          <w:rFonts w:ascii="Times New Roman;Times;serif" w:hAnsi="Times New Roman;Times;serif"/>
          <w:sz w:val="20"/>
        </w:rPr>
        <w:t> stores in which it sells its products on a wholesale basis to other companies that then in turn execute the Company's retail experience.</w:t>
      </w:r>
    </w:p>
    <w:p>
      <w:pPr>
        <w:pStyle w:val="TextBody"/>
        <w:bidi w:val="0"/>
        <w:spacing w:before="0" w:after="0"/>
        <w:ind w:left="0" w:right="0" w:hanging="0"/>
        <w:jc w:val="both"/>
        <w:rPr/>
      </w:pPr>
      <w:r>
        <w:rPr/>
        <w:t> </w:t>
      </w:r>
    </w:p>
    <w:p>
      <w:pPr>
        <w:pStyle w:val="TextBody"/>
        <w:bidi w:val="0"/>
        <w:spacing w:before="0" w:after="0"/>
        <w:ind w:left="0" w:right="144" w:firstLine="540"/>
        <w:jc w:val="both"/>
        <w:rPr/>
      </w:pPr>
      <w:r>
        <w:rPr>
          <w:rFonts w:ascii="Times New Roman;Times;serif" w:hAnsi="Times New Roman;Times;serif"/>
          <w:sz w:val="20"/>
        </w:rPr>
        <w:t xml:space="preserve">The Company’s consolidated financial statements have been prepared in accordance U.S. GAAP. Certain amounts in prior fiscal periods have been reclassified to conform to current year presentation with </w:t>
      </w:r>
      <w:r>
        <w:rPr>
          <w:rStyle w:val="Emphasis"/>
          <w:rFonts w:ascii="Times New Roman;Times;serif" w:hAnsi="Times New Roman;Times;serif"/>
          <w:sz w:val="20"/>
        </w:rPr>
        <w:t>no</w:t>
      </w:r>
      <w:r>
        <w:rPr>
          <w:rFonts w:ascii="Times New Roman;Times;serif" w:hAnsi="Times New Roman;Times;serif"/>
          <w:sz w:val="20"/>
        </w:rPr>
        <w:t xml:space="preserve"> impact to the consolidated statement of operations and comprehensive income.</w:t>
      </w:r>
    </w:p>
    <w:p>
      <w:pPr>
        <w:pStyle w:val="TextBody"/>
        <w:bidi w:val="0"/>
        <w:spacing w:before="0" w:after="0"/>
        <w:ind w:left="0" w:right="0" w:firstLine="540"/>
        <w:jc w:val="both"/>
        <w:rPr/>
      </w:pPr>
      <w:r>
        <w:rPr/>
        <w:t> </w:t>
      </w:r>
    </w:p>
    <w:p>
      <w:pPr>
        <w:pStyle w:val="TextBody"/>
        <w:bidi w:val="0"/>
        <w:spacing w:before="0" w:after="0"/>
        <w:jc w:val="left"/>
        <w:rPr/>
      </w:pPr>
      <w:r>
        <w:rPr/>
        <w:t xml:space="preserve">  </w:t>
      </w:r>
    </w:p>
    <w:tbl>
      <w:tblPr>
        <w:tblW w:w="4030" w:type="dxa"/>
        <w:jc w:val="left"/>
        <w:tblInd w:w="0" w:type="dxa"/>
        <w:tblLayout w:type="fixed"/>
        <w:tblCellMar>
          <w:top w:w="0" w:type="dxa"/>
          <w:left w:w="0" w:type="dxa"/>
          <w:bottom w:w="0" w:type="dxa"/>
          <w:right w:w="0" w:type="dxa"/>
        </w:tblCellMar>
      </w:tblPr>
      <w:tblGrid>
        <w:gridCol w:w="290"/>
        <w:gridCol w:w="3740"/>
      </w:tblGrid>
      <w:tr>
        <w:trPr/>
        <w:tc>
          <w:tcPr>
            <w:tcW w:w="29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2</w:t>
            </w:r>
            <w:r>
              <w:rPr>
                <w:rFonts w:ascii="Times New Roman;Times;serif" w:hAnsi="Times New Roman;Times;serif"/>
                <w:b/>
                <w:sz w:val="20"/>
              </w:rPr>
              <w:t xml:space="preserve">) </w:t>
            </w:r>
          </w:p>
        </w:tc>
        <w:tc>
          <w:tcPr>
            <w:tcW w:w="3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both"/>
        <w:rPr/>
      </w:pPr>
      <w:r>
        <w:rPr/>
        <w:t> </w:t>
      </w:r>
    </w:p>
    <w:p>
      <w:pPr>
        <w:pStyle w:val="TextBody"/>
        <w:bidi w:val="0"/>
        <w:spacing w:before="0" w:after="0"/>
        <w:ind w:left="0" w:right="144" w:firstLine="540"/>
        <w:jc w:val="both"/>
        <w:rPr/>
      </w:pPr>
      <w:r>
        <w:rPr>
          <w:rFonts w:ascii="Times New Roman;Times;serif" w:hAnsi="Times New Roman;Times;serif"/>
          <w:sz w:val="20"/>
        </w:rPr>
        <w:t xml:space="preserve">For each accounting topic that is addressed in its own note, the description of the accounting policy </w:t>
      </w:r>
      <w:r>
        <w:rPr>
          <w:rStyle w:val="Emphasis"/>
          <w:rFonts w:ascii="Times New Roman;Times;serif" w:hAnsi="Times New Roman;Times;serif"/>
          <w:sz w:val="20"/>
        </w:rPr>
        <w:t xml:space="preserve">may </w:t>
      </w:r>
      <w:r>
        <w:rPr>
          <w:rFonts w:ascii="Times New Roman;Times;serif" w:hAnsi="Times New Roman;Times;serif"/>
          <w:sz w:val="20"/>
        </w:rPr>
        <w:t>be found in the related note. The Company’s other significant accounting policies applied in the preparation of the accompanying consolidated financial statements are as follows:</w:t>
      </w:r>
    </w:p>
    <w:p>
      <w:pPr>
        <w:pStyle w:val="TextBody"/>
        <w:bidi w:val="0"/>
        <w:spacing w:before="0" w:after="0"/>
        <w:ind w:left="0" w:right="0" w:hanging="0"/>
        <w:jc w:val="both"/>
        <w:rPr/>
      </w:pPr>
      <w:r>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Principles of Consolidation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accompanying consolidated financial statements include the accounts of Build-A-Bear Workshop, Inc. and its wholly-owned subsidiaries. All intercompany accounts are eliminated in consolidation.</w:t>
      </w:r>
    </w:p>
    <w:p>
      <w:pPr>
        <w:pStyle w:val="TextBody"/>
        <w:bidi w:val="0"/>
        <w:spacing w:before="0" w:after="0"/>
        <w:ind w:left="0" w:right="0" w:hanging="0"/>
        <w:jc w:val="both"/>
        <w:rPr/>
      </w:pPr>
      <w:r>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Fiscal Year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operates on a </w:t>
      </w:r>
      <w:r>
        <w:rPr>
          <w:rStyle w:val="Emphasis"/>
          <w:rFonts w:ascii="Times New Roman;Times;serif" w:hAnsi="Times New Roman;Times;serif"/>
          <w:sz w:val="20"/>
        </w:rPr>
        <w:t>52</w:t>
      </w:r>
      <w:r>
        <w:rPr>
          <w:rFonts w:ascii="Times New Roman;Times;serif" w:hAnsi="Times New Roman;Times;serif"/>
          <w:sz w:val="20"/>
        </w:rPr>
        <w:t xml:space="preserve">- or </w:t>
      </w:r>
      <w:r>
        <w:rPr>
          <w:rStyle w:val="Emphasis"/>
          <w:rFonts w:ascii="Times New Roman;Times;serif" w:hAnsi="Times New Roman;Times;serif"/>
          <w:sz w:val="20"/>
        </w:rPr>
        <w:t>53</w:t>
      </w:r>
      <w:r>
        <w:rPr>
          <w:rFonts w:ascii="Times New Roman;Times;serif" w:hAnsi="Times New Roman;Times;serif"/>
          <w:sz w:val="20"/>
        </w:rPr>
        <w:t xml:space="preserve">-week fiscal year ending on the Saturday closest to </w:t>
      </w:r>
      <w:r>
        <w:rPr>
          <w:rStyle w:val="Emphasis"/>
          <w:rFonts w:ascii="Times New Roman;Times;serif" w:hAnsi="Times New Roman;Times;serif"/>
          <w:sz w:val="20"/>
        </w:rPr>
        <w:t>January 31.</w:t>
      </w:r>
      <w:r>
        <w:rPr>
          <w:rFonts w:ascii="Times New Roman;Times;serif" w:hAnsi="Times New Roman;Times;serif"/>
          <w:sz w:val="20"/>
        </w:rPr>
        <w:t xml:space="preserve"> The periods presented in these financial statements are fiscal </w:t>
      </w:r>
      <w:r>
        <w:rPr>
          <w:rStyle w:val="Emphasis"/>
          <w:rFonts w:ascii="Times New Roman;Times;serif" w:hAnsi="Times New Roman;Times;serif"/>
          <w:sz w:val="20"/>
        </w:rPr>
        <w:t>2023</w:t>
      </w:r>
      <w:r>
        <w:rPr>
          <w:rFonts w:ascii="Times New Roman;Times;serif" w:hAnsi="Times New Roman;Times;serif"/>
          <w:sz w:val="20"/>
        </w:rPr>
        <w:t xml:space="preserve"> (</w:t>
      </w:r>
      <w:r>
        <w:rPr>
          <w:rStyle w:val="Emphasis"/>
          <w:rFonts w:ascii="Times New Roman;Times;serif" w:hAnsi="Times New Roman;Times;serif"/>
          <w:sz w:val="20"/>
        </w:rPr>
        <w:t>53</w:t>
      </w:r>
      <w:r>
        <w:rPr>
          <w:rFonts w:ascii="Times New Roman;Times;serif" w:hAnsi="Times New Roman;Times;serif"/>
          <w:sz w:val="20"/>
        </w:rPr>
        <w:t xml:space="preserve"> weeks ended </w:t>
      </w:r>
      <w:r>
        <w:rPr>
          <w:rStyle w:val="Emphasis"/>
          <w:rFonts w:ascii="Times New Roman;Times;serif" w:hAnsi="Times New Roman;Times;serif"/>
          <w:sz w:val="20"/>
        </w:rPr>
        <w:t>February 3, 2024</w:t>
      </w:r>
      <w:r>
        <w:rPr>
          <w:rFonts w:ascii="Times New Roman;Times;serif" w:hAnsi="Times New Roman;Times;serif"/>
          <w:sz w:val="20"/>
        </w:rPr>
        <w:t>) and fiscal </w:t>
      </w:r>
      <w:r>
        <w:rPr>
          <w:rStyle w:val="Emphasis"/>
          <w:rFonts w:ascii="Times New Roman;Times;serif" w:hAnsi="Times New Roman;Times;serif"/>
          <w:sz w:val="20"/>
        </w:rPr>
        <w:t>2022</w:t>
      </w:r>
      <w:r>
        <w:rPr>
          <w:rFonts w:ascii="Times New Roman;Times;serif" w:hAnsi="Times New Roman;Times;serif"/>
          <w:sz w:val="20"/>
        </w:rPr>
        <w:t xml:space="preserve"> (</w:t>
      </w:r>
      <w:r>
        <w:rPr>
          <w:rStyle w:val="Emphasis"/>
          <w:rFonts w:ascii="Times New Roman;Times;serif" w:hAnsi="Times New Roman;Times;serif"/>
          <w:sz w:val="20"/>
        </w:rPr>
        <w:t>52</w:t>
      </w:r>
      <w:r>
        <w:rPr>
          <w:rFonts w:ascii="Times New Roman;Times;serif" w:hAnsi="Times New Roman;Times;serif"/>
          <w:sz w:val="20"/>
        </w:rPr>
        <w:t xml:space="preserve"> weeks ended </w:t>
      </w:r>
      <w:r>
        <w:rPr>
          <w:rStyle w:val="Emphasis"/>
          <w:rFonts w:ascii="Times New Roman;Times;serif" w:hAnsi="Times New Roman;Times;serif"/>
          <w:sz w:val="20"/>
        </w:rPr>
        <w:t>January 28, 2023</w:t>
      </w:r>
      <w:r>
        <w:rPr>
          <w:rFonts w:ascii="Times New Roman;Times;serif" w:hAnsi="Times New Roman;Times;serif"/>
          <w:sz w:val="20"/>
        </w:rPr>
        <w:t>). References to years in these financial statements relate to fiscal years or year ends rather than calendar years. </w:t>
      </w:r>
    </w:p>
    <w:p>
      <w:pPr>
        <w:pStyle w:val="TextBody"/>
        <w:bidi w:val="0"/>
        <w:spacing w:before="0" w:after="0"/>
        <w:ind w:left="0" w:right="0" w:hanging="0"/>
        <w:jc w:val="both"/>
        <w:rPr/>
      </w:pPr>
      <w:r>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Cash, Cash Equivalents and Restricted Cash</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Cas</w:t>
      </w:r>
      <w:r>
        <w:rPr>
          <w:rFonts w:ascii="Times New Roman;Times;serif" w:hAnsi="Times New Roman;Times;serif"/>
          <w:sz w:val="20"/>
        </w:rPr>
        <w:t>h and cash equivalents include cash, money market funds, and short-term highly liquid investments with an original maturity of </w:t>
      </w:r>
      <w:r>
        <w:rPr>
          <w:rStyle w:val="Emphasis"/>
          <w:rFonts w:ascii="Times New Roman;Times;serif" w:hAnsi="Times New Roman;Times;serif"/>
          <w:sz w:val="20"/>
        </w:rPr>
        <w:t>three</w:t>
      </w:r>
      <w:r>
        <w:rPr>
          <w:rFonts w:ascii="Times New Roman;Times;serif" w:hAnsi="Times New Roman;Times;serif"/>
          <w:sz w:val="20"/>
        </w:rPr>
        <w:t> months or less held in both domestic and foreign financial institutions. In addition, the Company has a long-term deposit to satisfy contractual terms with the UK Customs Authority (unrelated to the matter discussed in Note </w:t>
      </w:r>
      <w:r>
        <w:rPr>
          <w:rStyle w:val="Emphasis"/>
          <w:rFonts w:ascii="Times New Roman;Times;serif" w:hAnsi="Times New Roman;Times;serif"/>
          <w:i/>
          <w:sz w:val="20"/>
        </w:rPr>
        <w:t>10</w:t>
      </w:r>
      <w:r>
        <w:rPr>
          <w:rFonts w:ascii="Times New Roman;Times;serif" w:hAnsi="Times New Roman;Times;serif"/>
          <w:sz w:val="20"/>
        </w:rPr>
        <w:t> - Commitments and Contingencies). The Company also has deposits from franchisees under contractual agreements which are refundable. The long-term and franchisee deposits are considered restricted cash and disclosed within the supplemental disclosure within the consolidated statement of cash flows. Cash equivalents also include amounts due from </w:t>
      </w:r>
      <w:r>
        <w:rPr>
          <w:rStyle w:val="Emphasis"/>
          <w:rFonts w:ascii="Times New Roman;Times;serif" w:hAnsi="Times New Roman;Times;serif"/>
          <w:sz w:val="20"/>
        </w:rPr>
        <w:t>third</w:t>
      </w:r>
      <w:r>
        <w:rPr>
          <w:rFonts w:ascii="Times New Roman;Times;serif" w:hAnsi="Times New Roman;Times;serif"/>
          <w:sz w:val="20"/>
        </w:rPr>
        <w:t>-party financial institutions for credit and debit card transactions. The carrying amount of cash and cash equivalents approximates fair value, given the short maturity of those instruments.</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majority of the Company’s cash and cash equivalents exceed federal deposit insurance limits. The Company has </w:t>
      </w:r>
      <w:r>
        <w:rPr>
          <w:rStyle w:val="Emphasis"/>
          <w:rFonts w:ascii="Times New Roman;Times;serif" w:hAnsi="Times New Roman;Times;serif"/>
          <w:sz w:val="20"/>
        </w:rPr>
        <w:t>not</w:t>
      </w:r>
      <w:r>
        <w:rPr>
          <w:rFonts w:ascii="Times New Roman;Times;serif" w:hAnsi="Times New Roman;Times;serif"/>
          <w:sz w:val="20"/>
        </w:rPr>
        <w:t xml:space="preserve"> experienced any losses in such accounts and management believes that the Company is </w:t>
      </w:r>
      <w:r>
        <w:rPr>
          <w:rStyle w:val="Emphasis"/>
          <w:rFonts w:ascii="Times New Roman;Times;serif" w:hAnsi="Times New Roman;Times;serif"/>
          <w:sz w:val="20"/>
        </w:rPr>
        <w:t>not</w:t>
      </w:r>
      <w:r>
        <w:rPr>
          <w:rFonts w:ascii="Times New Roman;Times;serif" w:hAnsi="Times New Roman;Times;serif"/>
          <w:sz w:val="20"/>
        </w:rPr>
        <w:t xml:space="preserve"> exposed to any significant credit risk on cash, cash equivalents, and restricted cash.</w:t>
      </w:r>
    </w:p>
    <w:p>
      <w:pPr>
        <w:pStyle w:val="TextBody"/>
        <w:bidi w:val="0"/>
        <w:spacing w:before="0" w:after="0"/>
        <w:ind w:left="0" w:right="0" w:firstLine="490"/>
        <w:jc w:val="both"/>
        <w:rPr/>
      </w:pPr>
      <w:r>
        <w:rPr/>
        <w:t> </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Inventories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Inventories are stated at the lower of cost or net realizable value, with cost determined on an average-cost basis. Inventory includes supplies of $4.1 million and $4.7 million as of </w:t>
      </w:r>
      <w:r>
        <w:rPr>
          <w:rStyle w:val="Emphasis"/>
          <w:rFonts w:ascii="Times New Roman;Times;serif" w:hAnsi="Times New Roman;Times;serif"/>
          <w:sz w:val="20"/>
        </w:rPr>
        <w:t>February 3, 2024</w:t>
      </w:r>
      <w:r>
        <w:rPr>
          <w:rFonts w:ascii="Times New Roman;Times;serif" w:hAnsi="Times New Roman;Times;serif"/>
          <w:sz w:val="20"/>
        </w:rPr>
        <w:t xml:space="preserve"> and </w:t>
      </w:r>
      <w:r>
        <w:rPr>
          <w:rStyle w:val="Emphasis"/>
          <w:rFonts w:ascii="Times New Roman;Times;serif" w:hAnsi="Times New Roman;Times;serif"/>
          <w:sz w:val="20"/>
        </w:rPr>
        <w:t>January 28, 2023</w:t>
      </w:r>
      <w:r>
        <w:rPr>
          <w:rFonts w:ascii="Times New Roman;Times;serif" w:hAnsi="Times New Roman;Times;serif"/>
          <w:sz w:val="20"/>
        </w:rPr>
        <w:t>, respectively. A reserve for estimated shortage is accrued throughout the year based on detailed historical averages. The inventory reserve was $1.1 million as of both </w:t>
      </w:r>
      <w:r>
        <w:rPr>
          <w:rStyle w:val="Emphasis"/>
          <w:rFonts w:ascii="Times New Roman;Times;serif" w:hAnsi="Times New Roman;Times;serif"/>
          <w:sz w:val="20"/>
        </w:rPr>
        <w:t xml:space="preserve"> February 3, 2024</w:t>
      </w:r>
      <w:r>
        <w:rPr>
          <w:rFonts w:ascii="Times New Roman;Times;serif" w:hAnsi="Times New Roman;Times;serif"/>
          <w:sz w:val="20"/>
        </w:rPr>
        <w:t xml:space="preserve"> and </w:t>
      </w:r>
      <w:r>
        <w:rPr>
          <w:rStyle w:val="Emphasis"/>
          <w:rFonts w:ascii="Times New Roman;Times;serif" w:hAnsi="Times New Roman;Times;serif"/>
          <w:sz w:val="20"/>
        </w:rPr>
        <w:t>January 28, 2023</w:t>
      </w:r>
      <w:r>
        <w:rPr>
          <w:rFonts w:ascii="Times New Roman;Times;serif" w:hAnsi="Times New Roman;Times;serif"/>
          <w:sz w:val="20"/>
        </w:rPr>
        <w:t>.</w:t>
      </w:r>
    </w:p>
    <w:p>
      <w:pPr>
        <w:pStyle w:val="TextBody"/>
        <w:bidi w:val="0"/>
        <w:spacing w:before="0" w:after="0"/>
        <w:ind w:left="0" w:right="0" w:firstLine="490"/>
        <w:jc w:val="both"/>
        <w:rPr/>
      </w:pPr>
      <w:r>
        <w:rPr/>
        <w:t> </w:t>
      </w:r>
    </w:p>
    <w:p>
      <w:pPr>
        <w:pStyle w:val="TextBody"/>
        <w:bidi w:val="0"/>
        <w:spacing w:before="0" w:after="0"/>
        <w:jc w:val="center"/>
        <w:rPr/>
      </w:pPr>
      <w:r>
        <w:rPr>
          <w:rStyle w:val="Emphasis"/>
          <w:rFonts w:ascii="Times New Roman" w:hAnsi="Times New Roman"/>
          <w:sz w:val="20"/>
        </w:rPr>
        <w:t>47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Receivables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Receivables consist primarily of amounts due to the Company in relation to wholesale and corporate product sales, franchisee royalties and product sales, tenant allowances, certain amounts due from taxing authorities, receivables due from insurance providers, and licensing revenue. The Company assesses the collectability of all receivables on an ongoing basis by considering its historical credit loss experience, current economic conditions, and other relevant factors. At the beginning of fiscal </w:t>
      </w:r>
      <w:r>
        <w:rPr>
          <w:rStyle w:val="Emphasis"/>
          <w:rFonts w:ascii="Times New Roman;Times;serif" w:hAnsi="Times New Roman;Times;serif"/>
          <w:sz w:val="20"/>
        </w:rPr>
        <w:t>2023,</w:t>
      </w:r>
      <w:r>
        <w:rPr>
          <w:rFonts w:ascii="Times New Roman;Times;serif" w:hAnsi="Times New Roman;Times;serif"/>
          <w:sz w:val="20"/>
        </w:rPr>
        <w:t> the Company adopted ASU </w:t>
      </w:r>
      <w:r>
        <w:rPr>
          <w:rStyle w:val="Emphasis"/>
          <w:rFonts w:ascii="Times New Roman;Times;serif" w:hAnsi="Times New Roman;Times;serif"/>
          <w:i/>
          <w:sz w:val="20"/>
        </w:rPr>
        <w:t>No.</w:t>
      </w:r>
      <w:r>
        <w:rPr>
          <w:rFonts w:ascii="Times New Roman;Times;serif" w:hAnsi="Times New Roman;Times;serif"/>
          <w:sz w:val="20"/>
        </w:rPr>
        <w:t> </w:t>
      </w:r>
      <w:r>
        <w:rPr>
          <w:rStyle w:val="Emphasis"/>
          <w:rFonts w:ascii="Times New Roman;Times;serif" w:hAnsi="Times New Roman;Times;serif"/>
          <w:i/>
          <w:sz w:val="20"/>
        </w:rPr>
        <w:t>2016</w:t>
      </w:r>
      <w:r>
        <w:rPr>
          <w:rFonts w:ascii="Times New Roman;Times;serif" w:hAnsi="Times New Roman;Times;serif"/>
          <w:sz w:val="20"/>
        </w:rPr>
        <w:t>-</w:t>
      </w:r>
      <w:r>
        <w:rPr>
          <w:rStyle w:val="Emphasis"/>
          <w:rFonts w:ascii="Times New Roman;Times;serif" w:hAnsi="Times New Roman;Times;serif"/>
          <w:i/>
          <w:sz w:val="20"/>
        </w:rPr>
        <w:t>13,</w:t>
      </w:r>
      <w:r>
        <w:rPr>
          <w:rFonts w:ascii="Times New Roman;Times;serif" w:hAnsi="Times New Roman;Times;serif"/>
          <w:sz w:val="20"/>
        </w:rPr>
        <w:t> “Financial Instruments - Credit Losses (Topic </w:t>
      </w:r>
      <w:r>
        <w:rPr>
          <w:rStyle w:val="Emphasis"/>
          <w:rFonts w:ascii="Times New Roman;Times;serif" w:hAnsi="Times New Roman;Times;serif"/>
          <w:i/>
          <w:sz w:val="20"/>
        </w:rPr>
        <w:t>326</w:t>
      </w:r>
      <w:r>
        <w:rPr>
          <w:rFonts w:ascii="Times New Roman;Times;serif" w:hAnsi="Times New Roman;Times;serif"/>
          <w:sz w:val="20"/>
        </w:rPr>
        <w:t>):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Upon adoption, the Company recognized a charge of $0.8 million to the opening balance of retained earnings which represents a reduction in its account receivable balance associated with expected credit losses. </w:t>
      </w:r>
    </w:p>
    <w:p>
      <w:pPr>
        <w:pStyle w:val="TextBody"/>
        <w:bidi w:val="0"/>
        <w:spacing w:before="0" w:after="0"/>
        <w:ind w:left="0" w:right="0" w:hanging="0"/>
        <w:jc w:val="both"/>
        <w:rPr/>
      </w:pPr>
      <w:r>
        <w:rPr/>
        <w:t> </w:t>
      </w:r>
    </w:p>
    <w:p>
      <w:pPr>
        <w:pStyle w:val="TextBody"/>
        <w:bidi w:val="0"/>
        <w:spacing w:before="0" w:after="0"/>
        <w:ind w:left="0" w:right="0" w:firstLine="500"/>
        <w:jc w:val="both"/>
        <w:rPr>
          <w:rFonts w:ascii="Times New Roman;Times;serif" w:hAnsi="Times New Roman;Times;serif"/>
          <w:b/>
          <w:i/>
          <w:sz w:val="20"/>
        </w:rPr>
      </w:pPr>
      <w:r>
        <w:rPr>
          <w:rFonts w:ascii="Times New Roman;Times;serif" w:hAnsi="Times New Roman;Times;serif"/>
          <w:b/>
          <w:i/>
          <w:sz w:val="20"/>
        </w:rPr>
        <w:t xml:space="preserve">Property and Equipment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Property and equipment consist of leasehold improvements, furniture and fixtures, computer equipment and software, building and land and are stated at cost. Leasehold improvements are depreciated using the straight-line method over the shorter of the useful life of the assets or the life of the lease ranging from one to ten years. Furniture and fixtures and computer equipment are depreciated using the straight-line method over the estimated service lives ranging from three to seven years. Computer software includes certain costs, including internal payroll costs incurred in connection with the development or acquisition of software for internal use and is amortized using the straight-line method over a period of three to five years. New store construction deposits are recorded at the time the deposit is made as construction-in-progress and reclassified to the appropriate property and equipment category at the time of completion of construction, when operations of the store commence. Maintenance and repairs are expensed as incurred and improvements are capitalized. Gains or losses on the disposition of fixed assets are recorded upon disposal.</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b/>
          <w:i/>
          <w:sz w:val="20"/>
        </w:rPr>
      </w:pPr>
      <w:r>
        <w:rPr>
          <w:rFonts w:ascii="Times New Roman;Times;serif" w:hAnsi="Times New Roman;Times;serif"/>
          <w:b/>
          <w:i/>
          <w:sz w:val="20"/>
        </w:rPr>
        <w:t>Leases</w:t>
      </w:r>
    </w:p>
    <w:p>
      <w:pPr>
        <w:pStyle w:val="TextBody"/>
        <w:bidi w:val="0"/>
        <w:spacing w:before="0" w:after="0"/>
        <w:ind w:left="0" w:right="0" w:firstLine="540"/>
        <w:jc w:val="both"/>
        <w:rPr/>
      </w:pPr>
      <w:r>
        <w:rPr/>
        <w:t> </w:t>
      </w:r>
    </w:p>
    <w:p>
      <w:pPr>
        <w:pStyle w:val="TextBody"/>
        <w:bidi w:val="0"/>
        <w:spacing w:before="0" w:after="0"/>
        <w:ind w:left="0" w:right="144" w:firstLine="540"/>
        <w:jc w:val="both"/>
        <w:rPr/>
      </w:pPr>
      <w:r>
        <w:rPr>
          <w:rFonts w:ascii="Times New Roman;Times;serif" w:hAnsi="Times New Roman;Times;serif"/>
          <w:sz w:val="20"/>
        </w:rPr>
        <w:t xml:space="preserve">The majority of the Company's leases relate to retail stores, corporate offices, and storage locations. For leases with terms greater than </w:t>
      </w:r>
      <w:r>
        <w:rPr>
          <w:rStyle w:val="Emphasis"/>
          <w:rFonts w:ascii="Times New Roman;Times;serif" w:hAnsi="Times New Roman;Times;serif"/>
          <w:sz w:val="20"/>
        </w:rPr>
        <w:t>12</w:t>
      </w:r>
      <w:r>
        <w:rPr>
          <w:rFonts w:ascii="Times New Roman;Times;serif" w:hAnsi="Times New Roman;Times;serif"/>
          <w:sz w:val="20"/>
        </w:rPr>
        <w:t xml:space="preserve"> months, the Company records the related asset and obligation at the present value of lease payments over the term. Most retail store leases have an original term of five to ten-year base period and the term can be extended on a lease-by-lease basis with additional terms that are typically much shorter than the original lease term giving the Company lease optionality. The renewal options are </w:t>
      </w:r>
      <w:r>
        <w:rPr>
          <w:rStyle w:val="Emphasis"/>
          <w:rFonts w:ascii="Times New Roman;Times;serif" w:hAnsi="Times New Roman;Times;serif"/>
          <w:sz w:val="20"/>
        </w:rPr>
        <w:t>not</w:t>
      </w:r>
      <w:r>
        <w:rPr>
          <w:rFonts w:ascii="Times New Roman;Times;serif" w:hAnsi="Times New Roman;Times;serif"/>
          <w:sz w:val="20"/>
        </w:rPr>
        <w:t xml:space="preserve"> included in the measurement of the right of use assets and right of use liabilities unless the Company is reasonably certain to exercise the optional renewal periods. Some leases also include early termination options, which can be exercised under specific conditions. Additionally, the Company </w:t>
      </w:r>
      <w:r>
        <w:rPr>
          <w:rStyle w:val="Emphasis"/>
          <w:rFonts w:ascii="Times New Roman;Times;serif" w:hAnsi="Times New Roman;Times;serif"/>
          <w:sz w:val="20"/>
        </w:rPr>
        <w:t xml:space="preserve">may </w:t>
      </w:r>
      <w:r>
        <w:rPr>
          <w:rFonts w:ascii="Times New Roman;Times;serif" w:hAnsi="Times New Roman;Times;serif"/>
          <w:sz w:val="20"/>
        </w:rPr>
        <w:t xml:space="preserve">operate stores for a period of time on a month-to-month basis after the expiration of the lease term. The Company's lease agreements do </w:t>
      </w:r>
      <w:r>
        <w:rPr>
          <w:rStyle w:val="Emphasis"/>
          <w:rFonts w:ascii="Times New Roman;Times;serif" w:hAnsi="Times New Roman;Times;serif"/>
          <w:sz w:val="20"/>
        </w:rPr>
        <w:t>not</w:t>
      </w:r>
      <w:r>
        <w:rPr>
          <w:rFonts w:ascii="Times New Roman;Times;serif" w:hAnsi="Times New Roman;Times;serif"/>
          <w:sz w:val="20"/>
        </w:rPr>
        <w:t xml:space="preserve"> contain any material residual value guarantees or material restrictive covenants. Certain leases contain incentives, such as construction allowances from landlords and/or rent abatements subsequent to taking possession of the leased property. These incentives reduce the right-of-use asset related to the lease and are amortized through the right-of-use asset as reductions of expense over the lease term.</w:t>
      </w:r>
    </w:p>
    <w:p>
      <w:pPr>
        <w:pStyle w:val="TextBody"/>
        <w:bidi w:val="0"/>
        <w:ind w:left="0" w:right="0" w:firstLine="540"/>
        <w:jc w:val="both"/>
        <w:rPr/>
      </w:pPr>
      <w:r>
        <w:rPr/>
        <w:t xml:space="preserve">  </w:t>
      </w:r>
    </w:p>
    <w:p>
      <w:pPr>
        <w:pStyle w:val="TextBody"/>
        <w:bidi w:val="0"/>
        <w:spacing w:before="0" w:after="0"/>
        <w:ind w:left="0" w:right="144" w:firstLine="540"/>
        <w:jc w:val="both"/>
        <w:rPr/>
      </w:pPr>
      <w:r>
        <w:rPr>
          <w:rFonts w:ascii="Times New Roman;Times;serif" w:hAnsi="Times New Roman;Times;serif"/>
          <w:sz w:val="20"/>
        </w:rPr>
        <w:t xml:space="preserve">The Company's leases typically contain rent escalations over the lease term and the Company recognizes expense for these leases on a straight-line basis over the lease term. The Company recognizes the related rental expense on a straight-line basis and records the difference between the recognized rental expense and amounts payable under the lease as part of the lease right-of-use asset. Some of the Company's leases include rent escalations based on inflation indexes and fair market value adjustments. Operating lease liabilities are calculated using the prevailing index or rate at lease commencement. Subsequent escalations in the index or rate and contingent rental payments are recognized as variable lease expenses. Certain leases contain contingent rental provisions that include a fixed base rent plus an additional percentage of the store’s sales in excess of stipulated amounts and certain leases </w:t>
      </w:r>
      <w:r>
        <w:rPr>
          <w:rStyle w:val="Emphasis"/>
          <w:rFonts w:ascii="Times New Roman;Times;serif" w:hAnsi="Times New Roman;Times;serif"/>
          <w:sz w:val="20"/>
        </w:rPr>
        <w:t xml:space="preserve">may </w:t>
      </w:r>
      <w:r>
        <w:rPr>
          <w:rFonts w:ascii="Times New Roman;Times;serif" w:hAnsi="Times New Roman;Times;serif"/>
          <w:sz w:val="20"/>
        </w:rPr>
        <w:t>contain rental provisions that only include a provision for a percentage of a store's total sales, instead of a fixed base rent amount. Such rents based on a percentage of store's total sales are recorded as variable lease expenses.</w:t>
      </w:r>
    </w:p>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The Company has elected the practical expedient allowed by the standard to account for all fixed consideration in a lease as a single lease compone</w:t>
      </w:r>
      <w:r>
        <w:rPr>
          <w:rFonts w:ascii="Times New Roman;Times;serif" w:hAnsi="Times New Roman;Times;serif"/>
          <w:sz w:val="20"/>
          <w:shd w:fill="FFFFFF" w:val="clear"/>
        </w:rPr>
        <w:t>nt. Therefore, the lease payments used to measure the lease liability for these leases include fixed minimum rentals along with fixed operating costs such as common area maintenance and utilities.</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Most of the Company’s leases do </w:t>
      </w:r>
      <w:r>
        <w:rPr>
          <w:rStyle w:val="Emphasis"/>
          <w:rFonts w:ascii="Times New Roman;Times;serif" w:hAnsi="Times New Roman;Times;serif"/>
          <w:sz w:val="20"/>
        </w:rPr>
        <w:t>not</w:t>
      </w:r>
      <w:r>
        <w:rPr>
          <w:rFonts w:ascii="Times New Roman;Times;serif" w:hAnsi="Times New Roman;Times;serif"/>
          <w:sz w:val="20"/>
        </w:rPr>
        <w:t xml:space="preserve"> provide a readily available implicit interest rate. Therefore, the Company estimates the incremental borrowing discount rate based on information available at lease commencement. The discount rates used are indicative of a synthetic credit rating based on quantitative and qualitative analysis and adjusted to estimate a secured credit rating. For non-U.S. locations, a risk-free rate yield based on the currency of the lease is used to adjust the estimate of the incremental borrowing rate.</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48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Times;serif" w:hAnsi="Times New Roman;Times;serif"/>
          <w:b/>
          <w:i/>
          <w:sz w:val="20"/>
        </w:rPr>
      </w:pPr>
      <w:r>
        <w:rPr>
          <w:rFonts w:ascii="Times New Roman;Times;serif" w:hAnsi="Times New Roman;Times;serif"/>
          <w:b/>
          <w:i/>
          <w:sz w:val="20"/>
        </w:rPr>
        <w:t xml:space="preserve">Long-lived Assets </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 w:hAnsi="Times New Roman"/>
          <w:caps w:val="false"/>
          <w:smallCaps w:val="false"/>
          <w:sz w:val="20"/>
        </w:rPr>
        <w:t>Whenever facts and circumstances indicate that the carrying value of a long-lived asset (asset group) and right-of-use operating lease assets </w:t>
      </w:r>
      <w:r>
        <w:rPr>
          <w:rStyle w:val="Emphasis"/>
          <w:rFonts w:ascii="Times New Roman" w:hAnsi="Times New Roman"/>
          <w:caps w:val="false"/>
          <w:smallCaps w:val="false"/>
          <w:sz w:val="20"/>
        </w:rPr>
        <w:t xml:space="preserve"> may not</w:t>
      </w:r>
      <w:r>
        <w:rPr>
          <w:rFonts w:ascii="Times New Roman" w:hAnsi="Times New Roman"/>
          <w:caps w:val="false"/>
          <w:smallCaps w:val="false"/>
          <w:sz w:val="20"/>
        </w:rPr>
        <w:t> be recoverable, the carrying value of those assets is reviewed for potential impairment. If this review indicates that the carrying value of the asset (asset group) will </w:t>
      </w:r>
      <w:r>
        <w:rPr>
          <w:rStyle w:val="Emphasis"/>
          <w:rFonts w:ascii="Times New Roman" w:hAnsi="Times New Roman"/>
          <w:caps w:val="false"/>
          <w:smallCaps w:val="false"/>
          <w:sz w:val="20"/>
        </w:rPr>
        <w:t>not</w:t>
      </w:r>
      <w:r>
        <w:rPr>
          <w:rFonts w:ascii="Times New Roman" w:hAnsi="Times New Roman"/>
          <w:caps w:val="false"/>
          <w:smallCaps w:val="false"/>
          <w:sz w:val="20"/>
        </w:rPr>
        <w:t> be recovered, as determined based on projected undiscounted cash flows related to the asset (asset group) over its remaining life, the carrying value of the asset (asset group) is reduced to its estimated fair value. The Company typically performs an annual assessment of its store assets in the DTC segment, based on operating performance and forecasts of future performance. For the purposes of evaluating store assets for impairment, the Company has determined that each store location is an asset group, inclusive of the right-of-use asset attributable to each store. In periods where the Company identifies indicators of impairment for its store fleet, the Company performs a recoverability test for these assets by comparing the estimated undiscounted future cash flows over the remaining useful life of the asset (asset group) to the carry value of the asset (asset group). The estimated undiscounted future cash flows involve expectations for future operations and projected cash flows, including estimates of revenue, operating expenses and market conditions. Based on this, the Company determines if certain stores had long-lived and right-of-use assets with carrying values that exceed their estimated undiscounted future cash flows for the remaining useful life of the respective assets.</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ind w:left="0" w:right="0" w:firstLine="540"/>
        <w:jc w:val="both"/>
        <w:rPr/>
      </w:pPr>
      <w:r>
        <w:rPr>
          <w:rFonts w:ascii="Times New Roman" w:hAnsi="Times New Roman"/>
          <w:caps w:val="false"/>
          <w:smallCaps w:val="false"/>
          <w:sz w:val="20"/>
          <w:shd w:fill="FFFFFF" w:val="clear"/>
        </w:rPr>
        <w:t xml:space="preserve">An impairment charge is recognized to the extent the carrying value exceeded the fair value of the asset (asset group). The Company estimates fair values of these long-lived assets based on its discounted future cash flow analysis for the remaining useful life of the asset or its market rent assessment. An individual asset within an asset group is </w:t>
      </w:r>
      <w:r>
        <w:rPr>
          <w:rStyle w:val="Emphasis"/>
          <w:rFonts w:ascii="Times New Roman" w:hAnsi="Times New Roman"/>
          <w:caps w:val="false"/>
          <w:smallCaps w:val="false"/>
          <w:sz w:val="20"/>
          <w:shd w:fill="FFFFFF" w:val="clear"/>
        </w:rPr>
        <w:t>not</w:t>
      </w:r>
      <w:r>
        <w:rPr>
          <w:rFonts w:ascii="Times New Roman" w:hAnsi="Times New Roman"/>
          <w:caps w:val="false"/>
          <w:smallCaps w:val="false"/>
          <w:sz w:val="20"/>
          <w:shd w:fill="FFFFFF" w:val="clear"/>
        </w:rPr>
        <w:t xml:space="preserve"> impaired below its estimated fair value. Asset impairment charges are recorded within the cost of merchandise sold - retail expense within the Consolidated Statement of Operations and Comprehensive Income. The Company's analysis identified indicators of impairment at </w:t>
      </w:r>
      <w:r>
        <w:rPr>
          <w:rStyle w:val="Emphasis"/>
          <w:rFonts w:ascii="Times New Roman" w:hAnsi="Times New Roman"/>
          <w:caps w:val="false"/>
          <w:smallCaps w:val="false"/>
          <w:sz w:val="20"/>
          <w:shd w:fill="FFFFFF" w:val="clear"/>
        </w:rPr>
        <w:t>two</w:t>
      </w:r>
      <w:r>
        <w:rPr>
          <w:rFonts w:ascii="Times New Roman" w:hAnsi="Times New Roman"/>
          <w:caps w:val="false"/>
          <w:smallCaps w:val="false"/>
          <w:sz w:val="20"/>
          <w:shd w:fill="FFFFFF" w:val="clear"/>
        </w:rPr>
        <w:t xml:space="preserve"> retail locations and the Company incurred immaterial impairment charges during fiscal </w:t>
      </w:r>
      <w:r>
        <w:rPr>
          <w:rStyle w:val="Emphasis"/>
          <w:rFonts w:ascii="Times New Roman" w:hAnsi="Times New Roman"/>
          <w:caps w:val="false"/>
          <w:smallCaps w:val="false"/>
          <w:sz w:val="20"/>
          <w:shd w:fill="FFFFFF" w:val="clear"/>
        </w:rPr>
        <w:t>2023</w:t>
      </w:r>
      <w:r>
        <w:rPr>
          <w:rFonts w:ascii="Times New Roman" w:hAnsi="Times New Roman"/>
          <w:caps w:val="false"/>
          <w:smallCaps w:val="false"/>
          <w:sz w:val="20"/>
          <w:shd w:fill="FFFFFF" w:val="clear"/>
        </w:rPr>
        <w:t xml:space="preserve"> for long-lived assets in the Company's DTC segment. The Company incurred immaterial impairment charges during fiscal </w:t>
      </w:r>
      <w:r>
        <w:rPr>
          <w:rStyle w:val="Emphasis"/>
          <w:rFonts w:ascii="Times New Roman" w:hAnsi="Times New Roman"/>
          <w:caps w:val="false"/>
          <w:smallCaps w:val="false"/>
          <w:sz w:val="20"/>
        </w:rPr>
        <w:t>2022</w:t>
      </w:r>
      <w:r>
        <w:rPr>
          <w:rFonts w:ascii="Times New Roman" w:hAnsi="Times New Roman"/>
          <w:caps w:val="false"/>
          <w:smallCaps w:val="false"/>
          <w:sz w:val="20"/>
          <w:shd w:fill="FFFFFF" w:val="clear"/>
        </w:rPr>
        <w:t> for long-lived assets.</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 w:hAnsi="Times New Roman"/>
          <w:caps w:val="false"/>
          <w:smallCaps w:val="false"/>
          <w:sz w:val="20"/>
        </w:rPr>
        <w:t>The estimates, all of which are considered Level </w:t>
      </w:r>
      <w:r>
        <w:rPr>
          <w:rStyle w:val="Emphasis"/>
          <w:rFonts w:ascii="Times New Roman" w:hAnsi="Times New Roman"/>
          <w:caps w:val="false"/>
          <w:smallCaps w:val="false"/>
          <w:sz w:val="20"/>
        </w:rPr>
        <w:t>3</w:t>
      </w:r>
      <w:r>
        <w:rPr>
          <w:rFonts w:ascii="Times New Roman" w:hAnsi="Times New Roman"/>
          <w:caps w:val="false"/>
          <w:smallCaps w:val="false"/>
          <w:sz w:val="20"/>
        </w:rPr>
        <w:t> inputs, used to calculate the fair value of the asset (asset group) include: the Company’s expectations for future operations and projected cash flows, including revenues, operating expenses including market rents, and market conditions. Changes in these estimates could have an impact on whether long-lived store assets should be further evaluated for impairment and could have a significant impact on the resulting impairment charge.</w:t>
      </w:r>
    </w:p>
    <w:p>
      <w:pPr>
        <w:pStyle w:val="TextBody"/>
        <w:bidi w:val="0"/>
        <w:spacing w:before="0" w:after="0"/>
        <w:ind w:left="0" w:right="0" w:firstLine="540"/>
        <w:jc w:val="both"/>
        <w:rPr>
          <w:caps w:val="false"/>
          <w:smallCaps w:val="false"/>
        </w:rPr>
      </w:pPr>
      <w:r>
        <w:rPr>
          <w:caps w:val="false"/>
          <w:smallCaps w:val="false"/>
        </w:rPr>
        <w:t> </w:t>
      </w:r>
    </w:p>
    <w:p>
      <w:pPr>
        <w:pStyle w:val="TextBody"/>
        <w:bidi w:val="0"/>
        <w:ind w:left="0" w:right="0" w:firstLine="540"/>
        <w:jc w:val="left"/>
        <w:rPr>
          <w:rFonts w:ascii="Times New Roman;Times;serif" w:hAnsi="Times New Roman;Times;serif"/>
          <w:sz w:val="20"/>
        </w:rPr>
      </w:pPr>
      <w:r>
        <w:rPr>
          <w:rFonts w:ascii="Times New Roman;Times;serif" w:hAnsi="Times New Roman;Times;serif"/>
          <w:b/>
          <w:i/>
          <w:sz w:val="20"/>
        </w:rPr>
        <w:t>Other Assets, net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Other assets consist primarily of the non-current portion of prepaid income taxes and deferred costs related to franchise agreemen</w:t>
      </w:r>
      <w:r>
        <w:rPr>
          <w:rFonts w:ascii="Times New Roman;Times;serif" w:hAnsi="Times New Roman;Times;serif"/>
          <w:sz w:val="20"/>
          <w:shd w:fill="FFFFFF" w:val="clear"/>
        </w:rPr>
        <w:t>ts, financing agreements, and capitalized film production costs. </w:t>
      </w:r>
      <w:r>
        <w:rPr>
          <w:rFonts w:ascii="Times New Roman;Times;serif" w:hAnsi="Times New Roman;Times;serif"/>
          <w:sz w:val="20"/>
        </w:rPr>
        <w:t>Deferred franchise costs are initial costs related to the Company’s franchise agreements that are deferred and amortized over the life of the respective franchise agreement. Deferred financing costs are the initial issuance costs and fees incurred in obtaining the Company's new credit agreement. The Company had </w:t>
      </w:r>
      <w:r>
        <w:rPr>
          <w:rStyle w:val="Emphasis"/>
          <w:rFonts w:ascii="Times New Roman;Times;serif" w:hAnsi="Times New Roman;Times;serif"/>
          <w:sz w:val="20"/>
        </w:rPr>
        <w:t>no</w:t>
      </w:r>
      <w:r>
        <w:rPr>
          <w:rFonts w:ascii="Times New Roman;Times;serif" w:hAnsi="Times New Roman;Times;serif"/>
          <w:sz w:val="20"/>
        </w:rPr>
        <w:t xml:space="preserve"> outstanding borrowings at the beginning of the facility or at of the date of the </w:t>
      </w:r>
      <w:r>
        <w:rPr>
          <w:rStyle w:val="Emphasis"/>
          <w:rFonts w:ascii="Times New Roman;Times;serif" w:hAnsi="Times New Roman;Times;serif"/>
          <w:sz w:val="20"/>
        </w:rPr>
        <w:t>second</w:t>
      </w:r>
      <w:r>
        <w:rPr>
          <w:rFonts w:ascii="Times New Roman;Times;serif" w:hAnsi="Times New Roman;Times;serif"/>
          <w:sz w:val="20"/>
        </w:rPr>
        <w:t xml:space="preserve"> amendment, therefore these costs and fees incurred for the original agreement and amendment were recorded as a deferred asset and the unamortized costs will be amortized over the length of the amended agreement. Film production costs include capitalizable direct costs, production overhead, interest and development costs and are stated at the lower of cost, less accumulated amortization, or fair value. </w:t>
      </w:r>
    </w:p>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b/>
          <w:i/>
          <w:caps w:val="false"/>
          <w:smallCaps w:val="false"/>
          <w:color w:val="000000"/>
          <w:sz w:val="20"/>
          <w:shd w:fill="FFFFFF" w:val="clear"/>
        </w:rPr>
      </w:pPr>
      <w:r>
        <w:rPr>
          <w:rFonts w:ascii="Times New Roman;Times;serif" w:hAnsi="Times New Roman;Times;serif"/>
          <w:b/>
          <w:i/>
          <w:caps w:val="false"/>
          <w:smallCaps w:val="false"/>
          <w:color w:val="000000"/>
          <w:sz w:val="20"/>
          <w:shd w:fill="FFFFFF" w:val="clear"/>
        </w:rPr>
        <w:t>Entertainment Production Costs</w:t>
      </w:r>
    </w:p>
    <w:p>
      <w:pPr>
        <w:pStyle w:val="TextBody"/>
        <w:bidi w:val="0"/>
        <w:spacing w:before="0" w:after="0"/>
        <w:ind w:left="0" w:right="0" w:hanging="0"/>
        <w:jc w:val="both"/>
        <w:rPr>
          <w:caps w:val="false"/>
          <w:smallCaps w:val="false"/>
          <w:color w:val="000000"/>
        </w:rPr>
      </w:pPr>
      <w:r>
        <w:rPr>
          <w:caps w:val="false"/>
          <w:smallCaps w:val="false"/>
          <w:color w:val="000000"/>
        </w:rPr>
        <w:t> </w:t>
      </w:r>
    </w:p>
    <w:p>
      <w:pPr>
        <w:pStyle w:val="TextBody"/>
        <w:bidi w:val="0"/>
        <w:spacing w:before="0" w:after="0"/>
        <w:ind w:left="0" w:right="0" w:firstLine="540"/>
        <w:jc w:val="both"/>
        <w:rPr/>
      </w:pPr>
      <w:r>
        <w:rPr>
          <w:rFonts w:ascii="Times New Roman;Times;serif" w:hAnsi="Times New Roman;Times;serif"/>
          <w:caps w:val="false"/>
          <w:smallCaps w:val="false"/>
          <w:color w:val="000000"/>
          <w:sz w:val="20"/>
          <w:shd w:fill="FFFFFF" w:val="clear"/>
        </w:rPr>
        <w:t>Costs of producing entertainment assets, which include direct costs, production overhead and development costs, are capitalized when incurred and are stated at the lower of cost, less accumulated amortization, or fair value. For film related costs, the Company expects assets to be monetized individually and are amortized using the individual film-forecast-computation method which amortizes such costs in the same ratio that current period actual revenue bears to the estimated remaining unrecognized total revenues (ultimate revenue). Ultimate revenue includes estimates over a period </w:t>
      </w:r>
      <w:r>
        <w:rPr>
          <w:rStyle w:val="Emphasis"/>
          <w:rFonts w:ascii="Times New Roman;Times;serif" w:hAnsi="Times New Roman;Times;serif"/>
          <w:caps w:val="false"/>
          <w:smallCaps w:val="false"/>
          <w:color w:val="000000"/>
          <w:sz w:val="20"/>
          <w:shd w:fill="FFFFFF" w:val="clear"/>
        </w:rPr>
        <w:t>not</w:t>
      </w:r>
      <w:r>
        <w:rPr>
          <w:rFonts w:ascii="Times New Roman;Times;serif" w:hAnsi="Times New Roman;Times;serif"/>
          <w:caps w:val="false"/>
          <w:smallCaps w:val="false"/>
          <w:color w:val="000000"/>
          <w:sz w:val="20"/>
          <w:shd w:fill="FFFFFF" w:val="clear"/>
        </w:rPr>
        <w:t> to exceed </w:t>
      </w:r>
      <w:r>
        <w:rPr>
          <w:rStyle w:val="Emphasis"/>
          <w:rFonts w:ascii="Times New Roman;Times;serif" w:hAnsi="Times New Roman;Times;serif"/>
          <w:caps w:val="false"/>
          <w:smallCaps w:val="false"/>
          <w:color w:val="000000"/>
          <w:sz w:val="20"/>
          <w:shd w:fill="FFFFFF" w:val="clear"/>
        </w:rPr>
        <w:t>ten</w:t>
      </w:r>
      <w:r>
        <w:rPr>
          <w:rFonts w:ascii="Times New Roman;Times;serif" w:hAnsi="Times New Roman;Times;serif"/>
          <w:caps w:val="false"/>
          <w:smallCaps w:val="false"/>
          <w:color w:val="000000"/>
          <w:sz w:val="20"/>
          <w:shd w:fill="FFFFFF" w:val="clear"/>
        </w:rPr>
        <w:t> years from the date of initial release of the film. Participation costs and residuals are accrued and expensed over the applicable product life cycle based upon the ratio of the current period's revenues to the estimated remaining total revenues for each production.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pPr>
      <w:r>
        <w:rPr>
          <w:rStyle w:val="Emphasis"/>
          <w:rFonts w:ascii="Times New Roman" w:hAnsi="Times New Roman"/>
          <w:sz w:val="20"/>
        </w:rPr>
        <w:t>49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Times;serif" w:hAnsi="Times New Roman;Times;serif"/>
          <w:caps w:val="false"/>
          <w:smallCaps w:val="false"/>
          <w:color w:val="000000"/>
          <w:sz w:val="20"/>
          <w:shd w:fill="FFFFFF" w:val="clear"/>
        </w:rPr>
        <w:t>Costs of entertainment productions are subject to recoverability assessments, whenever events or changes in circumstances indicate that the fair value of the film </w:t>
      </w:r>
      <w:r>
        <w:rPr>
          <w:rStyle w:val="Emphasis"/>
          <w:rFonts w:ascii="Times New Roman;Times;serif" w:hAnsi="Times New Roman;Times;serif"/>
          <w:caps w:val="false"/>
          <w:smallCaps w:val="false"/>
          <w:color w:val="000000"/>
          <w:sz w:val="20"/>
          <w:shd w:fill="FFFFFF" w:val="clear"/>
        </w:rPr>
        <w:t xml:space="preserve"> may </w:t>
      </w:r>
      <w:r>
        <w:rPr>
          <w:rFonts w:ascii="Times New Roman;Times;serif" w:hAnsi="Times New Roman;Times;serif"/>
          <w:caps w:val="false"/>
          <w:smallCaps w:val="false"/>
          <w:color w:val="000000"/>
          <w:sz w:val="20"/>
          <w:shd w:fill="FFFFFF" w:val="clear"/>
        </w:rPr>
        <w:t>be less than the unamortized cost, which for content predominantly monetized individually, involves comparing the estimated fair values with the unamortized cost. The fair value is determined based on a discounted cash flow analysis of the cash flows directly attributable to the entertainment assets. The discounted cash flow analysis includes cash flow estimates of ultimate revenue as well as a discount rate (a Level </w:t>
      </w:r>
      <w:r>
        <w:rPr>
          <w:rStyle w:val="Emphasis"/>
          <w:rFonts w:ascii="Times New Roman;Times;serif" w:hAnsi="Times New Roman;Times;serif"/>
          <w:caps w:val="false"/>
          <w:smallCaps w:val="false"/>
          <w:color w:val="000000"/>
          <w:sz w:val="20"/>
          <w:shd w:fill="FFFFFF" w:val="clear"/>
        </w:rPr>
        <w:t>3</w:t>
      </w:r>
      <w:r>
        <w:rPr>
          <w:rFonts w:ascii="Times New Roman;Times;serif" w:hAnsi="Times New Roman;Times;serif"/>
          <w:caps w:val="false"/>
          <w:smallCaps w:val="false"/>
          <w:color w:val="000000"/>
          <w:sz w:val="20"/>
          <w:shd w:fill="FFFFFF" w:val="clear"/>
        </w:rPr>
        <w:t> fair value measurement). The discount rate used in the Company’s discounted cash flow model reflects the time value of money, expectations about variation in the amount or timing of the most likely cash flows, and the price market participants would seek for bearing the uncertainty inherent with the film asset. The amount by which the unamortized costs of entertainment assets exceed their estimated fair values are written off. As of </w:t>
      </w:r>
      <w:r>
        <w:rPr>
          <w:rStyle w:val="Emphasis"/>
          <w:rFonts w:ascii="Times New Roman;Times;serif" w:hAnsi="Times New Roman;Times;serif"/>
          <w:caps w:val="false"/>
          <w:smallCaps w:val="false"/>
          <w:color w:val="000000"/>
          <w:sz w:val="20"/>
        </w:rPr>
        <w:t xml:space="preserve"> February 3, 2024</w:t>
      </w:r>
      <w:r>
        <w:rPr>
          <w:rFonts w:ascii="Times New Roman;Times;serif" w:hAnsi="Times New Roman;Times;serif"/>
          <w:caps w:val="false"/>
          <w:smallCaps w:val="false"/>
          <w:color w:val="000000"/>
          <w:sz w:val="20"/>
          <w:shd w:fill="FFFFFF" w:val="clear"/>
        </w:rPr>
        <w:t xml:space="preserve"> and </w:t>
      </w:r>
      <w:r>
        <w:rPr>
          <w:rStyle w:val="Emphasis"/>
          <w:rFonts w:ascii="Times New Roman;Times;serif" w:hAnsi="Times New Roman;Times;serif"/>
          <w:caps w:val="false"/>
          <w:smallCaps w:val="false"/>
          <w:color w:val="000000"/>
          <w:sz w:val="20"/>
        </w:rPr>
        <w:t>January 28, 2023</w:t>
      </w:r>
      <w:r>
        <w:rPr>
          <w:rFonts w:ascii="Times New Roman;Times;serif" w:hAnsi="Times New Roman;Times;serif"/>
          <w:caps w:val="false"/>
          <w:smallCaps w:val="false"/>
          <w:color w:val="000000"/>
          <w:sz w:val="20"/>
          <w:shd w:fill="FFFFFF" w:val="clear"/>
        </w:rPr>
        <w:t>, the Company had net capitalized entertainment production costs of $</w:t>
      </w:r>
      <w:r>
        <w:rPr>
          <w:rFonts w:ascii="Times New Roman;Times;serif" w:hAnsi="Times New Roman;Times;serif"/>
          <w:caps w:val="false"/>
          <w:smallCaps w:val="false"/>
          <w:color w:val="000000"/>
          <w:sz w:val="20"/>
        </w:rPr>
        <w:t>4.7</w:t>
      </w:r>
      <w:r>
        <w:rPr>
          <w:rFonts w:ascii="Times New Roman;Times;serif" w:hAnsi="Times New Roman;Times;serif"/>
          <w:caps w:val="false"/>
          <w:smallCaps w:val="false"/>
          <w:color w:val="000000"/>
          <w:sz w:val="20"/>
          <w:shd w:fill="FFFFFF" w:val="clear"/>
        </w:rPr>
        <w:t> million and $</w:t>
      </w:r>
      <w:r>
        <w:rPr>
          <w:rFonts w:ascii="Times New Roman;Times;serif" w:hAnsi="Times New Roman;Times;serif"/>
          <w:caps w:val="false"/>
          <w:smallCaps w:val="false"/>
          <w:color w:val="000000"/>
          <w:sz w:val="20"/>
        </w:rPr>
        <w:t>2.9</w:t>
      </w:r>
      <w:r>
        <w:rPr>
          <w:rFonts w:ascii="Times New Roman;Times;serif" w:hAnsi="Times New Roman;Times;serif"/>
          <w:caps w:val="false"/>
          <w:smallCaps w:val="false"/>
          <w:color w:val="000000"/>
          <w:sz w:val="20"/>
          <w:shd w:fill="FFFFFF" w:val="clear"/>
        </w:rPr>
        <w:t xml:space="preserve"> million, respectively. The </w:t>
      </w:r>
      <w:r>
        <w:rPr>
          <w:rStyle w:val="Emphasis"/>
          <w:rFonts w:ascii="Times New Roman;Times;serif" w:hAnsi="Times New Roman;Times;serif"/>
          <w:caps w:val="false"/>
          <w:smallCaps w:val="false"/>
          <w:color w:val="000000"/>
          <w:sz w:val="20"/>
        </w:rPr>
        <w:t xml:space="preserve"> February 3, 2024</w:t>
      </w:r>
      <w:r>
        <w:rPr>
          <w:rFonts w:ascii="Times New Roman;Times;serif" w:hAnsi="Times New Roman;Times;serif"/>
          <w:caps w:val="false"/>
          <w:smallCaps w:val="false"/>
          <w:color w:val="000000"/>
          <w:sz w:val="20"/>
          <w:shd w:fill="FFFFFF" w:val="clear"/>
        </w:rPr>
        <w:t> balance for entertainment production costs is comprised of unamortized, released assets, and several in-development entertainment projects.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pPr>
      <w:r>
        <w:rPr>
          <w:rFonts w:ascii="Times New Roman;Times;serif" w:hAnsi="Times New Roman;Times;serif"/>
          <w:caps w:val="false"/>
          <w:smallCaps w:val="false"/>
          <w:color w:val="000000"/>
          <w:sz w:val="20"/>
          <w:shd w:fill="FFFFFF" w:val="clear"/>
        </w:rPr>
        <w:t xml:space="preserve">The main purpose of the Company's production assets is to drive consumer engagement with its own intellectual property, similar to a marketing campaign. As such, the amortization of production assets and any related impairment charges are recorded as advertising expenses with the Selling, general, and administrative line within the Consolidated Statement of Operations and Comprehensive Income and includes this expense in the financial information of the Commercial reportable segment presented in Note </w:t>
      </w:r>
      <w:r>
        <w:rPr>
          <w:rStyle w:val="Emphasis"/>
          <w:rFonts w:ascii="Times New Roman;Times;serif" w:hAnsi="Times New Roman;Times;serif"/>
          <w:caps w:val="false"/>
          <w:smallCaps w:val="false"/>
          <w:color w:val="000000"/>
          <w:sz w:val="20"/>
          <w:shd w:fill="FFFFFF" w:val="clear"/>
        </w:rPr>
        <w:t>15</w:t>
      </w:r>
      <w:r>
        <w:rPr>
          <w:rFonts w:ascii="Times New Roman;Times;serif" w:hAnsi="Times New Roman;Times;serif"/>
          <w:caps w:val="false"/>
          <w:smallCaps w:val="false"/>
          <w:color w:val="000000"/>
          <w:sz w:val="20"/>
          <w:shd w:fill="FFFFFF" w:val="clear"/>
        </w:rPr>
        <w:t xml:space="preserve"> - Segment Information. In </w:t>
      </w:r>
      <w:r>
        <w:rPr>
          <w:rStyle w:val="Emphasis"/>
          <w:rFonts w:ascii="Times New Roman;Times;serif" w:hAnsi="Times New Roman;Times;serif"/>
          <w:caps w:val="false"/>
          <w:smallCaps w:val="false"/>
          <w:color w:val="000000"/>
          <w:sz w:val="20"/>
          <w:shd w:fill="FFFFFF" w:val="clear"/>
        </w:rPr>
        <w:t xml:space="preserve">November 2023, </w:t>
      </w:r>
      <w:r>
        <w:rPr>
          <w:rFonts w:ascii="Times New Roman;Times;serif" w:hAnsi="Times New Roman;Times;serif"/>
          <w:caps w:val="false"/>
          <w:smallCaps w:val="false"/>
          <w:color w:val="000000"/>
          <w:sz w:val="20"/>
          <w:shd w:fill="FFFFFF" w:val="clear"/>
        </w:rPr>
        <w:t xml:space="preserve">the Company released the film Glisten and the Merry Mission and recorded $1.0 million in film cost amortization during fiscal </w:t>
      </w:r>
      <w:r>
        <w:rPr>
          <w:rStyle w:val="Emphasis"/>
          <w:rFonts w:ascii="Times New Roman;Times;serif" w:hAnsi="Times New Roman;Times;serif"/>
          <w:caps w:val="false"/>
          <w:smallCaps w:val="false"/>
          <w:color w:val="000000"/>
          <w:sz w:val="20"/>
          <w:shd w:fill="FFFFFF" w:val="clear"/>
        </w:rPr>
        <w:t>2023</w:t>
      </w:r>
      <w:r>
        <w:rPr>
          <w:rFonts w:ascii="Times New Roman;Times;serif" w:hAnsi="Times New Roman;Times;serif"/>
          <w:caps w:val="false"/>
          <w:smallCaps w:val="false"/>
          <w:color w:val="000000"/>
          <w:sz w:val="20"/>
          <w:shd w:fill="FFFFFF" w:val="clear"/>
        </w:rPr>
        <w:t xml:space="preserve"> based on the individual film's production asset carrying value and its current period actual revenue as a percentage of the ultimate revenue estimate. Additionally, as of </w:t>
      </w:r>
      <w:r>
        <w:rPr>
          <w:rStyle w:val="Emphasis"/>
          <w:rFonts w:ascii="Times New Roman;Times;serif" w:hAnsi="Times New Roman;Times;serif"/>
          <w:caps w:val="false"/>
          <w:smallCaps w:val="false"/>
          <w:color w:val="000000"/>
          <w:sz w:val="20"/>
        </w:rPr>
        <w:t xml:space="preserve"> February 3, 2024</w:t>
      </w:r>
      <w:r>
        <w:rPr>
          <w:rFonts w:ascii="Times New Roman;Times;serif" w:hAnsi="Times New Roman;Times;serif"/>
          <w:caps w:val="false"/>
          <w:smallCaps w:val="false"/>
          <w:color w:val="000000"/>
          <w:sz w:val="20"/>
          <w:shd w:fill="FFFFFF" w:val="clear"/>
        </w:rPr>
        <w:t xml:space="preserve">, the Company performed a recoverability assessment of the Glisten and the Merry Mission assets and determined there were indicators of impairment. A discounted cash flow analysis was used to estimate the fair value of the asset and determined the carry value of the production asset was greater than its fair value. As a result, the Company recorded $0.6 million in film asset impairment. The Company recorded a total of $2.4 million in film costs amortization in fiscal </w:t>
      </w:r>
      <w:r>
        <w:rPr>
          <w:rStyle w:val="Emphasis"/>
          <w:rFonts w:ascii="Times New Roman;Times;serif" w:hAnsi="Times New Roman;Times;serif"/>
          <w:caps w:val="false"/>
          <w:smallCaps w:val="false"/>
          <w:color w:val="000000"/>
          <w:sz w:val="20"/>
          <w:shd w:fill="FFFFFF" w:val="clear"/>
        </w:rPr>
        <w:t>2023</w:t>
      </w:r>
      <w:r>
        <w:rPr>
          <w:rFonts w:ascii="Times New Roman;Times;serif" w:hAnsi="Times New Roman;Times;serif"/>
          <w:caps w:val="false"/>
          <w:smallCaps w:val="false"/>
          <w:color w:val="000000"/>
          <w:sz w:val="20"/>
          <w:shd w:fill="FFFFFF" w:val="clear"/>
        </w:rPr>
        <w:t xml:space="preserve"> and a total of $0.3 million in fiscal </w:t>
      </w:r>
      <w:r>
        <w:rPr>
          <w:rStyle w:val="Emphasis"/>
          <w:rFonts w:ascii="Times New Roman;Times;serif" w:hAnsi="Times New Roman;Times;serif"/>
          <w:caps w:val="false"/>
          <w:smallCaps w:val="false"/>
          <w:color w:val="000000"/>
          <w:sz w:val="20"/>
          <w:shd w:fill="FFFFFF" w:val="clear"/>
        </w:rPr>
        <w:t>2022.</w:t>
      </w:r>
      <w:r>
        <w:rPr>
          <w:rFonts w:ascii="Times New Roman;Times;serif" w:hAnsi="Times New Roman;Times;serif"/>
          <w:caps w:val="false"/>
          <w:smallCaps w:val="false"/>
          <w:color w:val="000000"/>
          <w:sz w:val="20"/>
          <w:shd w:fill="FFFFFF" w:val="clear"/>
        </w:rPr>
        <w:t> </w:t>
      </w:r>
    </w:p>
    <w:p>
      <w:pPr>
        <w:pStyle w:val="TextBody"/>
        <w:bidi w:val="0"/>
        <w:spacing w:before="0" w:after="0"/>
        <w:ind w:left="980" w:right="0" w:hanging="490"/>
        <w:jc w:val="both"/>
        <w:rPr/>
      </w:pPr>
      <w:r>
        <w:rPr/>
        <w:t> </w:t>
      </w:r>
    </w:p>
    <w:p>
      <w:pPr>
        <w:pStyle w:val="TextBody"/>
        <w:bidi w:val="0"/>
        <w:spacing w:before="0" w:after="0"/>
        <w:ind w:left="980" w:right="0" w:hanging="490"/>
        <w:jc w:val="both"/>
        <w:rPr>
          <w:rFonts w:ascii="Times New Roman;Times;serif" w:hAnsi="Times New Roman;Times;serif"/>
          <w:b/>
          <w:i/>
          <w:sz w:val="20"/>
        </w:rPr>
      </w:pPr>
      <w:r>
        <w:rPr>
          <w:rFonts w:ascii="Times New Roman;Times;serif" w:hAnsi="Times New Roman;Times;serif"/>
          <w:b/>
          <w:i/>
          <w:sz w:val="20"/>
        </w:rPr>
        <w:t>Revenue</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See Note </w:t>
      </w:r>
      <w:r>
        <w:rPr>
          <w:rStyle w:val="Emphasis"/>
          <w:rFonts w:ascii="Times New Roman;Times;serif" w:hAnsi="Times New Roman;Times;serif"/>
          <w:sz w:val="20"/>
        </w:rPr>
        <w:t>3</w:t>
      </w:r>
      <w:r>
        <w:rPr>
          <w:rFonts w:ascii="Times New Roman;Times;serif" w:hAnsi="Times New Roman;Times;serif"/>
          <w:sz w:val="20"/>
        </w:rPr>
        <w:t> — Revenue for additional accounting information.</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b/>
          <w:i/>
          <w:sz w:val="20"/>
        </w:rPr>
      </w:pPr>
      <w:r>
        <w:rPr>
          <w:rFonts w:ascii="Times New Roman;Times;serif" w:hAnsi="Times New Roman;Times;serif"/>
          <w:b/>
          <w:i/>
          <w:sz w:val="20"/>
        </w:rPr>
        <w:t xml:space="preserve">Cost of Merchandise Sold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Cost of merchandise sold - retail includes the cost of the merchandise, including royalties paid to licensors of </w:t>
      </w:r>
      <w:r>
        <w:rPr>
          <w:rStyle w:val="Emphasis"/>
          <w:rFonts w:ascii="Times New Roman;Times;serif" w:hAnsi="Times New Roman;Times;serif"/>
          <w:sz w:val="20"/>
        </w:rPr>
        <w:t>third</w:t>
      </w:r>
      <w:r>
        <w:rPr>
          <w:rFonts w:ascii="Times New Roman;Times;serif" w:hAnsi="Times New Roman;Times;serif"/>
          <w:sz w:val="20"/>
        </w:rPr>
        <w:t xml:space="preserve">-party branded merchandise; store occupancy cost, including store depreciation; cost of warehousing and distribution; packaging; stuffing; damages and shortages; and shipping and handling costs incurred in shipment to consumers. Cost of merchandise sold - commercial includes the cost of the merchandise, including royalties paid to licensors of </w:t>
      </w:r>
      <w:r>
        <w:rPr>
          <w:rStyle w:val="Emphasis"/>
          <w:rFonts w:ascii="Times New Roman;Times;serif" w:hAnsi="Times New Roman;Times;serif"/>
          <w:sz w:val="20"/>
        </w:rPr>
        <w:t>third</w:t>
      </w:r>
      <w:r>
        <w:rPr>
          <w:rFonts w:ascii="Times New Roman;Times;serif" w:hAnsi="Times New Roman;Times;serif"/>
          <w:sz w:val="20"/>
        </w:rPr>
        <w:t>-party branded merchandise; cost of warehousing and distribution; packaging; stuffing; damages and shortages; and shipping and handling costs incurred in shipment to consumers.</w:t>
      </w:r>
    </w:p>
    <w:p>
      <w:pPr>
        <w:pStyle w:val="TextBody"/>
        <w:bidi w:val="0"/>
        <w:spacing w:before="0" w:after="0"/>
        <w:ind w:left="0" w:right="0" w:hanging="0"/>
        <w:jc w:val="both"/>
        <w:rPr/>
      </w:pPr>
      <w:r>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Selling, General, and Administrative Expenses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Selling, general, and administrative expenses include store payroll and related benefits, advertising, credit card fees, store supplies and store closing costs, as well as central office management payroll and related benefits, travel, information systems, accounting, insurance, legal, and public relations costs. It also includes depreciation and amortization of central office leasehold improvements, furniture, fixtures, and equipment. In addition, bad debt expenses and accounts receivable related charges are included. Further, it includes store preopening expenses which represent costs incurred prior to store openings, remodels and relocations including certain store set-up, labor and hiring costs, rental charges, payroll, government grants, marketing, travel and relocation costs and recoveries.</w:t>
      </w:r>
    </w:p>
    <w:p>
      <w:pPr>
        <w:pStyle w:val="TextBody"/>
        <w:bidi w:val="0"/>
        <w:spacing w:before="0" w:after="0"/>
        <w:ind w:left="0" w:right="0" w:hanging="0"/>
        <w:jc w:val="both"/>
        <w:rPr/>
      </w:pPr>
      <w:r>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Advertising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costs of advertising and marketing programs are charged to operations in the </w:t>
      </w:r>
      <w:r>
        <w:rPr>
          <w:rStyle w:val="Emphasis"/>
          <w:rFonts w:ascii="Times New Roman;Times;serif" w:hAnsi="Times New Roman;Times;serif"/>
          <w:sz w:val="20"/>
        </w:rPr>
        <w:t>first</w:t>
      </w:r>
      <w:r>
        <w:rPr>
          <w:rFonts w:ascii="Times New Roman;Times;serif" w:hAnsi="Times New Roman;Times;serif"/>
          <w:sz w:val="20"/>
        </w:rPr>
        <w:t xml:space="preserve"> period the program takes place. Advertising expense was $24.3 million and $19.6 million for fiscal years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caps w:val="false"/>
          <w:smallCaps w:val="false"/>
          <w:sz w:val="20"/>
        </w:rPr>
        <w:t>50</w:t>
      </w:r>
      <w:r>
        <w:rPr>
          <w:rFonts w:ascii="Times New Roman" w:hAnsi="Times New Roman"/>
          <w:caps w:val="false"/>
          <w:smallCaps w:val="false"/>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Income Taxes </w:t>
      </w:r>
    </w:p>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Income taxes are accounted for using a balance sheet approach known as the liability method. The liability method accounts for deferred income taxes by applying the rate, based on enacted tax law, that will be in effect in the period in which the temporary differences between the book basis and the tax basis of assets and liabilities reverse or are settled. Deferred taxes are reported on a jurisdictional basis.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Tax positions are reviewed at least quarterly and adjusted as new information becomes available. The recoverability of deferred tax assets is evaluated by assessing the adequacy of future expected taxable income from all sources, including reversal of taxable temporary differences, forecasted operating earnings and available tax planning strategies. These estimates of future taxable income inherently require significant judgment. To the extent it is considered more likely than </w:t>
      </w:r>
      <w:r>
        <w:rPr>
          <w:rStyle w:val="Emphasis"/>
          <w:rFonts w:ascii="Times New Roman;Times;serif" w:hAnsi="Times New Roman;Times;serif"/>
          <w:sz w:val="20"/>
        </w:rPr>
        <w:t>not</w:t>
      </w:r>
      <w:r>
        <w:rPr>
          <w:rFonts w:ascii="Times New Roman;Times;serif" w:hAnsi="Times New Roman;Times;serif"/>
          <w:sz w:val="20"/>
        </w:rPr>
        <w:t xml:space="preserve"> that a deferred tax asset will be </w:t>
      </w:r>
      <w:r>
        <w:rPr>
          <w:rStyle w:val="Emphasis"/>
          <w:rFonts w:ascii="Times New Roman;Times;serif" w:hAnsi="Times New Roman;Times;serif"/>
          <w:sz w:val="20"/>
        </w:rPr>
        <w:t>not</w:t>
      </w:r>
      <w:r>
        <w:rPr>
          <w:rFonts w:ascii="Times New Roman;Times;serif" w:hAnsi="Times New Roman;Times;serif"/>
          <w:sz w:val="20"/>
        </w:rPr>
        <w:t xml:space="preserve"> recovered, a valuation allowance is established.</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assesses its total liability for uncertain tax positions on a quarterly basis. The Company recognizes estimated interest and penalties related to unrecognized tax benefits in income tax expense. See Note </w:t>
      </w:r>
      <w:r>
        <w:rPr>
          <w:rStyle w:val="Emphasis"/>
          <w:rFonts w:ascii="Times New Roman;Times;serif" w:hAnsi="Times New Roman;Times;serif"/>
          <w:sz w:val="20"/>
        </w:rPr>
        <w:t>8—"Income</w:t>
      </w:r>
      <w:r>
        <w:rPr>
          <w:rFonts w:ascii="Times New Roman;Times;serif" w:hAnsi="Times New Roman;Times;serif"/>
          <w:sz w:val="20"/>
        </w:rPr>
        <w:t xml:space="preserve"> Taxes" for further discussion.</w:t>
      </w:r>
    </w:p>
    <w:p>
      <w:pPr>
        <w:pStyle w:val="TextBody"/>
        <w:bidi w:val="0"/>
        <w:spacing w:before="0" w:after="0"/>
        <w:ind w:left="260" w:right="0" w:firstLine="540"/>
        <w:jc w:val="left"/>
        <w:rPr>
          <w:caps w:val="false"/>
          <w:smallCaps w:val="false"/>
        </w:rPr>
      </w:pPr>
      <w:r>
        <w:rPr>
          <w:caps w:val="false"/>
          <w:smallCaps w:val="false"/>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Income Per Share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Basic income per share is determined by dividing net income allocated to common stockholders by the weighted average number of common shares outstanding during the period. Diluted income per share reflects the potential dilution that could occur if options to issue common stock were exercised. In periods in which the inclusion of such instruments is anti-dilutive, the effect of such securities is </w:t>
      </w:r>
      <w:r>
        <w:rPr>
          <w:rStyle w:val="Emphasis"/>
          <w:rFonts w:ascii="Times New Roman;Times;serif" w:hAnsi="Times New Roman;Times;serif"/>
          <w:sz w:val="20"/>
        </w:rPr>
        <w:t>not</w:t>
      </w:r>
      <w:r>
        <w:rPr>
          <w:rFonts w:ascii="Times New Roman;Times;serif" w:hAnsi="Times New Roman;Times;serif"/>
          <w:sz w:val="20"/>
        </w:rPr>
        <w:t xml:space="preserve"> given consideration.</w:t>
      </w:r>
    </w:p>
    <w:p>
      <w:pPr>
        <w:pStyle w:val="TextBody"/>
        <w:bidi w:val="0"/>
        <w:spacing w:before="0" w:after="0"/>
        <w:ind w:left="0" w:right="0" w:firstLine="490"/>
        <w:jc w:val="both"/>
        <w:rPr/>
      </w:pPr>
      <w:r>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 xml:space="preserve">Stock-Based Compensation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has share-based compensation plans covering certain management groups and its Board of Directors. The Company accounts for share-based payments utilizing the fair value recognition provisions of ASC </w:t>
      </w:r>
      <w:r>
        <w:rPr>
          <w:rStyle w:val="Emphasis"/>
          <w:rFonts w:ascii="Times New Roman;Times;serif" w:hAnsi="Times New Roman;Times;serif"/>
          <w:sz w:val="20"/>
        </w:rPr>
        <w:t>718</w:t>
      </w:r>
      <w:r>
        <w:rPr>
          <w:rFonts w:ascii="Times New Roman;Times;serif" w:hAnsi="Times New Roman;Times;serif"/>
          <w:sz w:val="20"/>
        </w:rPr>
        <w:t xml:space="preserve"> Compensation - Stock Compensation. The Company recognizes compensation cost for graded-vested equity awards on a straight-line basis over the requisite service period for the entire award and forfeitures as they occur. See Note </w:t>
      </w:r>
      <w:r>
        <w:rPr>
          <w:rStyle w:val="Emphasis"/>
          <w:rFonts w:ascii="Times New Roman;Times;serif" w:hAnsi="Times New Roman;Times;serif"/>
          <w:sz w:val="20"/>
        </w:rPr>
        <w:t>12</w:t>
      </w:r>
      <w:r>
        <w:rPr>
          <w:rFonts w:ascii="Times New Roman;Times;serif" w:hAnsi="Times New Roman;Times;serif"/>
          <w:sz w:val="20"/>
        </w:rPr>
        <w:t> — "Stock Incentive Plans" for additional information. </w:t>
      </w:r>
    </w:p>
    <w:p>
      <w:pPr>
        <w:pStyle w:val="TextBody"/>
        <w:bidi w:val="0"/>
        <w:spacing w:before="0" w:after="0"/>
        <w:ind w:left="0" w:right="0" w:hanging="0"/>
        <w:jc w:val="left"/>
        <w:rPr/>
      </w:pPr>
      <w:r>
        <w:rPr/>
        <w:t> </w:t>
      </w:r>
    </w:p>
    <w:p>
      <w:pPr>
        <w:pStyle w:val="TextBody"/>
        <w:bidi w:val="0"/>
        <w:spacing w:before="0" w:after="0"/>
        <w:ind w:left="979" w:right="0" w:hanging="490"/>
        <w:jc w:val="both"/>
        <w:rPr>
          <w:rFonts w:ascii="Times New Roman;Times;serif" w:hAnsi="Times New Roman;Times;serif"/>
          <w:b/>
          <w:i/>
          <w:sz w:val="20"/>
        </w:rPr>
      </w:pPr>
      <w:r>
        <w:rPr>
          <w:rFonts w:ascii="Times New Roman;Times;serif" w:hAnsi="Times New Roman;Times;serif"/>
          <w:b/>
          <w:i/>
          <w:sz w:val="20"/>
        </w:rPr>
        <w:t>Comprehensive Income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Comprehensive income is comprised of net income and foreign currency translation adjustments.</w:t>
      </w:r>
    </w:p>
    <w:p>
      <w:pPr>
        <w:pStyle w:val="TextBody"/>
        <w:bidi w:val="0"/>
        <w:spacing w:before="0" w:after="0"/>
        <w:ind w:left="0" w:right="0" w:hanging="0"/>
        <w:jc w:val="left"/>
        <w:rPr/>
      </w:pPr>
      <w:r>
        <w:rPr/>
        <w:t> </w:t>
      </w:r>
    </w:p>
    <w:p>
      <w:pPr>
        <w:pStyle w:val="TextBody"/>
        <w:bidi w:val="0"/>
        <w:spacing w:before="0" w:after="0"/>
        <w:ind w:left="980" w:right="0" w:hanging="490"/>
        <w:jc w:val="both"/>
        <w:rPr>
          <w:rFonts w:ascii="Times New Roman;Times;serif" w:hAnsi="Times New Roman;Times;serif"/>
          <w:b/>
          <w:i/>
          <w:sz w:val="20"/>
        </w:rPr>
      </w:pPr>
      <w:r>
        <w:rPr>
          <w:rFonts w:ascii="Times New Roman;Times;serif" w:hAnsi="Times New Roman;Times;serif"/>
          <w:b/>
          <w:i/>
          <w:sz w:val="20"/>
        </w:rPr>
        <w:t xml:space="preserve">Deferred Compensation Plan </w:t>
      </w:r>
    </w:p>
    <w:p>
      <w:pPr>
        <w:pStyle w:val="TextBody"/>
        <w:bidi w:val="0"/>
        <w:spacing w:before="0" w:after="0"/>
        <w:ind w:left="0" w:right="0" w:hanging="0"/>
        <w:jc w:val="both"/>
        <w:rPr/>
      </w:pPr>
      <w:r>
        <w:rPr/>
        <w:t> </w:t>
      </w:r>
    </w:p>
    <w:p>
      <w:pPr>
        <w:pStyle w:val="TextBody"/>
        <w:bidi w:val="0"/>
        <w:spacing w:before="0" w:after="0"/>
        <w:ind w:left="0" w:right="0" w:firstLine="489"/>
        <w:jc w:val="both"/>
        <w:rPr/>
      </w:pPr>
      <w:r>
        <w:rPr>
          <w:rFonts w:ascii="Times New Roman;Times;serif" w:hAnsi="Times New Roman;Times;serif"/>
          <w:sz w:val="20"/>
        </w:rPr>
        <w:t xml:space="preserve">The Company maintains a Deferred Compensation Plan for the benefit of certain management employees. The investment funds offered to participants generally correspond to the funds offered in the Company’s </w:t>
      </w:r>
      <w:r>
        <w:rPr>
          <w:rStyle w:val="Emphasis"/>
          <w:rFonts w:ascii="Times New Roman;Times;serif" w:hAnsi="Times New Roman;Times;serif"/>
          <w:sz w:val="20"/>
        </w:rPr>
        <w:t>401</w:t>
      </w:r>
      <w:r>
        <w:rPr>
          <w:rFonts w:ascii="Times New Roman;Times;serif" w:hAnsi="Times New Roman;Times;serif"/>
          <w:sz w:val="20"/>
        </w:rPr>
        <w:t xml:space="preserve">(k) plan, and the account balance fluctuates with the investment returns on those funds. The fair value of the assets, classified as trading securities, and corresponding liabilities are based on unadjusted quoted market prices for the funds in active markets with sufficient volume and frequency (Level </w:t>
      </w:r>
      <w:r>
        <w:rPr>
          <w:rStyle w:val="Emphasis"/>
          <w:rFonts w:ascii="Times New Roman;Times;serif" w:hAnsi="Times New Roman;Times;serif"/>
          <w:sz w:val="20"/>
        </w:rPr>
        <w:t>1</w:t>
      </w:r>
      <w:r>
        <w:rPr>
          <w:rFonts w:ascii="Times New Roman;Times;serif" w:hAnsi="Times New Roman;Times;serif"/>
          <w:sz w:val="20"/>
        </w:rPr>
        <w:t xml:space="preserve">). As of </w:t>
      </w:r>
      <w:r>
        <w:rPr>
          <w:rStyle w:val="Emphasis"/>
          <w:rFonts w:ascii="Times New Roman;Times;serif" w:hAnsi="Times New Roman;Times;serif"/>
          <w:sz w:val="20"/>
        </w:rPr>
        <w:t>February 3, 2024</w:t>
      </w:r>
      <w:r>
        <w:rPr>
          <w:rFonts w:ascii="Times New Roman;Times;serif" w:hAnsi="Times New Roman;Times;serif"/>
          <w:sz w:val="20"/>
        </w:rPr>
        <w:t xml:space="preserve">, the current portions of the assets and related liabilities of less than $0.1 million are presented in prepaid expenses and other current assets and accrued expenses in the accompanying Consolidated Balance Sheets, and the non-current portions of the assets and the related liabilities of $0.7 million are presented in other assets, net and other liabilities in the accompanying Consolidated Balance Sheets. As of </w:t>
      </w:r>
      <w:r>
        <w:rPr>
          <w:rStyle w:val="Emphasis"/>
          <w:rFonts w:ascii="Times New Roman;Times;serif" w:hAnsi="Times New Roman;Times;serif"/>
          <w:sz w:val="20"/>
        </w:rPr>
        <w:t>January 28, 2023</w:t>
      </w:r>
      <w:r>
        <w:rPr>
          <w:rFonts w:ascii="Times New Roman;Times;serif" w:hAnsi="Times New Roman;Times;serif"/>
          <w:sz w:val="20"/>
        </w:rPr>
        <w:t>, the current portions of the assets and related liabilities of $0.1 million are presented in prepaid expenses and other current assets and accrued expenses in the accompanying Consolidated Balance Sheets, and the non-current portions of the assets and the related liabilities of $0.7 million are presented in other assets, net and other liabilities in the accompanying Consolidated Balance Sheets.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ind w:left="0" w:right="0" w:firstLine="540"/>
        <w:jc w:val="left"/>
        <w:rPr>
          <w:rFonts w:ascii="Times New Roman;Times;serif" w:hAnsi="Times New Roman;Times;serif"/>
          <w:b/>
          <w:i/>
          <w:sz w:val="20"/>
        </w:rPr>
      </w:pPr>
      <w:r>
        <w:rPr>
          <w:rFonts w:ascii="Times New Roman;Times;serif" w:hAnsi="Times New Roman;Times;serif"/>
          <w:b/>
          <w:i/>
          <w:sz w:val="20"/>
        </w:rPr>
        <w:t xml:space="preserve">Fair Value of Financial Instruments </w:t>
      </w:r>
    </w:p>
    <w:p>
      <w:pPr>
        <w:pStyle w:val="TextBody"/>
        <w:bidi w:val="0"/>
        <w:spacing w:before="0" w:after="283"/>
        <w:jc w:val="left"/>
        <w:rPr/>
      </w:pPr>
      <w:r>
        <w:rPr/>
        <w:t> </w:t>
      </w:r>
    </w:p>
    <w:p>
      <w:pPr>
        <w:pStyle w:val="TextBody"/>
        <w:bidi w:val="0"/>
        <w:spacing w:before="0" w:after="0"/>
        <w:ind w:left="0" w:right="0" w:firstLine="540"/>
        <w:jc w:val="left"/>
        <w:rPr/>
      </w:pPr>
      <w:r>
        <w:rPr>
          <w:rFonts w:ascii="Times New Roman;Times;serif" w:hAnsi="Times New Roman;Times;serif"/>
          <w:sz w:val="20"/>
        </w:rPr>
        <w:t>For purposes of financial reporting, management has determined that the fair value of financial instruments, including cash, cash equivalents and restricted cash, receivables, short term investments, accounts payable and accrued expenses, approximates book value at </w:t>
      </w:r>
      <w:r>
        <w:rPr>
          <w:rStyle w:val="Emphasis"/>
          <w:rFonts w:ascii="Times New Roman;Times;serif" w:hAnsi="Times New Roman;Times;serif"/>
          <w:sz w:val="20"/>
        </w:rPr>
        <w:t xml:space="preserve"> February 3, 2024</w:t>
      </w:r>
      <w:r>
        <w:rPr>
          <w:rFonts w:ascii="Times New Roman;Times;serif" w:hAnsi="Times New Roman;Times;serif"/>
          <w:sz w:val="20"/>
        </w:rPr>
        <w:t xml:space="preserve"> and </w:t>
      </w:r>
      <w:r>
        <w:rPr>
          <w:rStyle w:val="Emphasis"/>
          <w:rFonts w:ascii="Times New Roman;Times;serif" w:hAnsi="Times New Roman;Times;serif"/>
          <w:sz w:val="20"/>
        </w:rPr>
        <w:t>January 28, 2023</w:t>
      </w:r>
      <w:r>
        <w:rPr>
          <w:rFonts w:ascii="Times New Roman;Times;serif" w:hAnsi="Times New Roman;Times;serif"/>
          <w:sz w:val="20"/>
        </w:rPr>
        <w:t xml:space="preserve">. </w:t>
      </w:r>
    </w:p>
    <w:p>
      <w:pPr>
        <w:pStyle w:val="TextBody"/>
        <w:bidi w:val="0"/>
        <w:spacing w:before="0" w:after="0"/>
        <w:ind w:left="0" w:right="0" w:firstLine="540"/>
        <w:jc w:val="left"/>
        <w:rPr/>
      </w:pPr>
      <w:r>
        <w:rPr/>
        <w:t xml:space="preserve">  </w:t>
      </w:r>
    </w:p>
    <w:p>
      <w:pPr>
        <w:pStyle w:val="TextBody"/>
        <w:bidi w:val="0"/>
        <w:spacing w:before="0" w:after="0"/>
        <w:ind w:left="0" w:right="0" w:firstLine="540"/>
        <w:jc w:val="left"/>
        <w:rPr>
          <w:rFonts w:ascii="Times New Roman;Times;serif" w:hAnsi="Times New Roman;Times;serif"/>
          <w:b/>
          <w:i/>
          <w:sz w:val="20"/>
        </w:rPr>
      </w:pPr>
      <w:r>
        <w:rPr>
          <w:rFonts w:ascii="Times New Roman;Times;serif" w:hAnsi="Times New Roman;Times;serif"/>
          <w:b/>
          <w:i/>
          <w:sz w:val="20"/>
        </w:rPr>
        <w:t xml:space="preserve">Use of Estimates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Times;serif" w:hAnsi="Times New Roman;Times;serif"/>
          <w:sz w:val="20"/>
        </w:rPr>
        <w:t xml:space="preserve">The preparation of the consolidated financial statements requires management of the Company to make a number of estimates and assumptions relating to the reported amount of assets and liabilities and the disclosure of contingent assets and liabilities at the date of the consolidated financial statements and the reported amounts of revenues and expenses during the reporting period. The assumptions used by management in future estimates could change significantly due to changes in circumstances, including, but </w:t>
      </w:r>
      <w:r>
        <w:rPr>
          <w:rStyle w:val="Emphasis"/>
          <w:rFonts w:ascii="Times New Roman;Times;serif" w:hAnsi="Times New Roman;Times;serif"/>
          <w:sz w:val="20"/>
        </w:rPr>
        <w:t>not</w:t>
      </w:r>
      <w:r>
        <w:rPr>
          <w:rFonts w:ascii="Times New Roman;Times;serif" w:hAnsi="Times New Roman;Times;serif"/>
          <w:sz w:val="20"/>
        </w:rPr>
        <w:t xml:space="preserve"> limited to, challenging economic conditions. Accordingly, future estimates </w:t>
      </w:r>
      <w:r>
        <w:rPr>
          <w:rStyle w:val="Emphasis"/>
          <w:rFonts w:ascii="Times New Roman;Times;serif" w:hAnsi="Times New Roman;Times;serif"/>
          <w:sz w:val="20"/>
        </w:rPr>
        <w:t xml:space="preserve">may </w:t>
      </w:r>
      <w:r>
        <w:rPr>
          <w:rFonts w:ascii="Times New Roman;Times;serif" w:hAnsi="Times New Roman;Times;serif"/>
          <w:sz w:val="20"/>
        </w:rPr>
        <w:t>change significantly. Significant items subject to such estimates and assumptions include the calculation of revenue from gift card breakage, valuation of long-lived asset for asset impairments, income tax valuation allowances on deferred income tax assets, and the determination of deferred revenue under the Company’s customer loyalty program.</w:t>
      </w:r>
    </w:p>
    <w:p>
      <w:pPr>
        <w:pStyle w:val="TextBody"/>
        <w:bidi w:val="0"/>
        <w:spacing w:before="0" w:after="0"/>
        <w:ind w:left="0" w:right="0" w:firstLine="540"/>
        <w:jc w:val="left"/>
        <w:rPr/>
      </w:pPr>
      <w:r>
        <w:rPr/>
        <w:t> </w:t>
      </w:r>
    </w:p>
    <w:p>
      <w:pPr>
        <w:pStyle w:val="TextBody"/>
        <w:bidi w:val="0"/>
        <w:spacing w:before="0" w:after="0"/>
        <w:ind w:left="980" w:right="0" w:hanging="490"/>
        <w:jc w:val="both"/>
        <w:rPr>
          <w:rFonts w:ascii="Times New Roman;Times;serif" w:hAnsi="Times New Roman;Times;serif"/>
          <w:b/>
          <w:i/>
          <w:sz w:val="20"/>
        </w:rPr>
      </w:pPr>
      <w:r>
        <w:rPr>
          <w:rFonts w:ascii="Times New Roman;Times;serif" w:hAnsi="Times New Roman;Times;serif"/>
          <w:b/>
          <w:i/>
          <w:sz w:val="20"/>
        </w:rPr>
        <w:t xml:space="preserve">Sales Tax Policy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Company’s revenues in the consolidated statement of operations are net of sales taxes.</w:t>
      </w:r>
    </w:p>
    <w:p>
      <w:pPr>
        <w:pStyle w:val="TextBody"/>
        <w:bidi w:val="0"/>
        <w:spacing w:before="0" w:after="0"/>
        <w:ind w:left="0" w:right="0" w:hanging="0"/>
        <w:jc w:val="both"/>
        <w:rPr/>
      </w:pPr>
      <w:r>
        <w:rPr/>
        <w:t> </w:t>
      </w:r>
    </w:p>
    <w:p>
      <w:pPr>
        <w:pStyle w:val="TextBody"/>
        <w:bidi w:val="0"/>
        <w:spacing w:before="0" w:after="0"/>
        <w:ind w:left="980" w:right="0" w:hanging="490"/>
        <w:jc w:val="both"/>
        <w:rPr>
          <w:rFonts w:ascii="Times New Roman;Times;serif" w:hAnsi="Times New Roman;Times;serif"/>
          <w:b/>
          <w:i/>
          <w:sz w:val="20"/>
        </w:rPr>
      </w:pPr>
      <w:r>
        <w:rPr>
          <w:rFonts w:ascii="Times New Roman;Times;serif" w:hAnsi="Times New Roman;Times;serif"/>
          <w:b/>
          <w:i/>
          <w:sz w:val="20"/>
        </w:rPr>
        <w:t xml:space="preserve">Foreign Currency </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Assets and liabilities of the Company’s foreign operations with functional currencies other than the U.S. dollar are translated at the exchange rate in effect at the balance sheet date, while revenues and expenses are translated at average rates prevailing during the year. Translation adjustments are reported in accumulated other comprehensive income, a separate component of stockholders’ equity. Gains and losses resulting from foreign exchange transactions, including the impact of the re-measurement of the Company’s balance sheet, are recorded as a component of selling, general and administrative expenses. The Company recorded a loss of $0.1 million and $0.6 million related to foreign currency in fiscal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respectively.</w:t>
      </w:r>
    </w:p>
    <w:p>
      <w:pPr>
        <w:pStyle w:val="TextBody"/>
        <w:bidi w:val="0"/>
        <w:spacing w:before="0" w:after="0"/>
        <w:ind w:left="0" w:right="0" w:hanging="0"/>
        <w:jc w:val="left"/>
        <w:rPr/>
      </w:pPr>
      <w:r>
        <w:rPr/>
        <w:t> </w:t>
      </w:r>
    </w:p>
    <w:p>
      <w:pPr>
        <w:pStyle w:val="TextBody"/>
        <w:bidi w:val="0"/>
        <w:spacing w:lineRule="auto" w:line="273" w:before="0" w:after="0"/>
        <w:ind w:left="0" w:right="0" w:firstLine="540"/>
        <w:jc w:val="both"/>
        <w:rPr>
          <w:rFonts w:ascii="Times New Roman;Times;serif" w:hAnsi="Times New Roman;Times;serif"/>
          <w:sz w:val="20"/>
        </w:rPr>
      </w:pPr>
      <w:r>
        <w:rPr>
          <w:rFonts w:ascii="Times New Roman;Times;serif" w:hAnsi="Times New Roman;Times;serif"/>
          <w:b/>
          <w:i/>
          <w:sz w:val="20"/>
          <w:shd w:fill="FFFFFF" w:val="clear"/>
        </w:rPr>
        <w:t>Recent Accounting Pronouncements</w:t>
      </w:r>
      <w:r>
        <w:rPr>
          <w:rFonts w:ascii="Times New Roman;Times;serif" w:hAnsi="Times New Roman;Times;serif"/>
          <w:sz w:val="20"/>
          <w:shd w:fill="FFFFFF" w:val="clear"/>
        </w:rPr>
        <w:t xml:space="preserve"> – </w:t>
      </w:r>
      <w:r>
        <w:rPr>
          <w:rFonts w:ascii="Times New Roman;Times;serif" w:hAnsi="Times New Roman;Times;serif"/>
          <w:b/>
          <w:i/>
          <w:sz w:val="20"/>
          <w:shd w:fill="FFFFFF" w:val="clear"/>
        </w:rPr>
        <w:t>Adopted in the current year</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shd w:fill="FFFFFF" w:val="clear"/>
        </w:rPr>
        <w:t xml:space="preserve">At the beginning of fiscal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the Company adopted ASU </w:t>
      </w:r>
      <w:r>
        <w:rPr>
          <w:rStyle w:val="Emphasis"/>
          <w:rFonts w:ascii="Times New Roman;Times;serif" w:hAnsi="Times New Roman;Times;serif"/>
          <w:i/>
          <w:sz w:val="20"/>
          <w:shd w:fill="FFFFFF" w:val="clear"/>
        </w:rPr>
        <w:t>No.</w:t>
      </w:r>
      <w:r>
        <w:rPr>
          <w:rFonts w:ascii="Times New Roman;Times;serif" w:hAnsi="Times New Roman;Times;serif"/>
          <w:i/>
          <w:sz w:val="20"/>
          <w:shd w:fill="FFFFFF" w:val="clear"/>
        </w:rPr>
        <w:t xml:space="preserve"> </w:t>
      </w:r>
      <w:r>
        <w:rPr>
          <w:rStyle w:val="Emphasis"/>
          <w:rFonts w:ascii="Times New Roman;Times;serif" w:hAnsi="Times New Roman;Times;serif"/>
          <w:i/>
          <w:sz w:val="20"/>
          <w:shd w:fill="FFFFFF" w:val="clear"/>
        </w:rPr>
        <w:t>2016</w:t>
      </w:r>
      <w:r>
        <w:rPr>
          <w:rFonts w:ascii="Times New Roman;Times;serif" w:hAnsi="Times New Roman;Times;serif"/>
          <w:i/>
          <w:sz w:val="20"/>
          <w:shd w:fill="FFFFFF" w:val="clear"/>
        </w:rPr>
        <w:t>-</w:t>
      </w:r>
      <w:r>
        <w:rPr>
          <w:rStyle w:val="Emphasis"/>
          <w:rFonts w:ascii="Times New Roman;Times;serif" w:hAnsi="Times New Roman;Times;serif"/>
          <w:i/>
          <w:sz w:val="20"/>
          <w:shd w:fill="FFFFFF" w:val="clear"/>
        </w:rPr>
        <w:t>13</w:t>
      </w:r>
      <w:r>
        <w:rPr>
          <w:rFonts w:ascii="Times New Roman;Times;serif" w:hAnsi="Times New Roman;Times;serif"/>
          <w:sz w:val="20"/>
          <w:shd w:fill="FFFFFF" w:val="clear"/>
        </w:rPr>
        <w:t xml:space="preserve">, “Financial Instruments - Credit Losses (Topic </w:t>
      </w:r>
      <w:r>
        <w:rPr>
          <w:rStyle w:val="Emphasis"/>
          <w:rFonts w:ascii="Times New Roman;Times;serif" w:hAnsi="Times New Roman;Times;serif"/>
          <w:sz w:val="20"/>
          <w:shd w:fill="FFFFFF" w:val="clear"/>
        </w:rPr>
        <w:t>326</w:t>
      </w:r>
      <w:r>
        <w:rPr>
          <w:rFonts w:ascii="Times New Roman;Times;serif" w:hAnsi="Times New Roman;Times;serif"/>
          <w:sz w:val="20"/>
          <w:shd w:fill="FFFFFF" w:val="clear"/>
        </w:rPr>
        <w:t xml:space="preserve">): Measurement of Credit Losses on Financial Instruments.” This ASU requires entities to report “expected” credit losses on financial instruments and other commitments to extend credit rather than the current “incurred loss” model. These expected credit losses for financial assets held at the reporting date are to be based on historical experience, current conditions and reasonable and supportable forecasts. </w:t>
      </w:r>
      <w:r>
        <w:rPr>
          <w:rFonts w:ascii="Times New Roman;Times;serif" w:hAnsi="Times New Roman;Times;serif"/>
          <w:sz w:val="20"/>
        </w:rPr>
        <w:t>Upon adoption, the Company recognized a charge of </w:t>
      </w:r>
      <w:r>
        <w:rPr>
          <w:rStyle w:val="Emphasis"/>
          <w:rFonts w:ascii="Times New Roman;Times;serif" w:hAnsi="Times New Roman;Times;serif"/>
          <w:sz w:val="20"/>
        </w:rPr>
        <w:t>$0.8</w:t>
      </w:r>
      <w:r>
        <w:rPr>
          <w:rFonts w:ascii="Times New Roman;Times;serif" w:hAnsi="Times New Roman;Times;serif"/>
          <w:sz w:val="20"/>
        </w:rPr>
        <w:t> million to the opening balance of retained earnings which represents a reduction in its account receivable balance associated with expected credit losses.</w:t>
      </w:r>
    </w:p>
    <w:p>
      <w:pPr>
        <w:pStyle w:val="TextBody"/>
        <w:bidi w:val="0"/>
        <w:spacing w:before="0" w:after="0"/>
        <w:ind w:left="0" w:right="0" w:firstLine="54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b/>
          <w:i/>
          <w:sz w:val="20"/>
          <w:shd w:fill="FFFFFF" w:val="clear"/>
        </w:rPr>
        <w:t>Recent Accounting Pronouncements</w:t>
      </w:r>
      <w:r>
        <w:rPr>
          <w:rFonts w:ascii="Times New Roman;Times;serif" w:hAnsi="Times New Roman;Times;serif"/>
          <w:sz w:val="20"/>
          <w:shd w:fill="FFFFFF" w:val="clear"/>
        </w:rPr>
        <w:t xml:space="preserve"> – </w:t>
      </w:r>
      <w:r>
        <w:rPr>
          <w:rFonts w:ascii="Times New Roman;Times;serif" w:hAnsi="Times New Roman;Times;serif"/>
          <w:b/>
          <w:i/>
          <w:sz w:val="20"/>
          <w:shd w:fill="FFFFFF" w:val="clear"/>
        </w:rPr>
        <w:t>Pending adoption</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November 2023, </w:t>
      </w:r>
      <w:r>
        <w:rPr>
          <w:rFonts w:ascii="Times New Roman;Times;serif" w:hAnsi="Times New Roman;Times;serif"/>
          <w:sz w:val="20"/>
        </w:rPr>
        <w:t xml:space="preserve">the FASB issued ASU </w:t>
      </w:r>
      <w:r>
        <w:rPr>
          <w:rStyle w:val="Emphasis"/>
          <w:rFonts w:ascii="Times New Roman;Times;serif" w:hAnsi="Times New Roman;Times;serif"/>
          <w:i/>
          <w:sz w:val="20"/>
        </w:rPr>
        <w:t>No.</w:t>
      </w:r>
      <w:r>
        <w:rPr>
          <w:rFonts w:ascii="Times New Roman;Times;serif" w:hAnsi="Times New Roman;Times;serif"/>
          <w:i/>
          <w:sz w:val="20"/>
        </w:rPr>
        <w:t> </w:t>
      </w:r>
      <w:r>
        <w:rPr>
          <w:rStyle w:val="Emphasis"/>
          <w:rFonts w:ascii="Times New Roman;Times;serif" w:hAnsi="Times New Roman;Times;serif"/>
          <w:i/>
          <w:sz w:val="20"/>
        </w:rPr>
        <w:t>2023</w:t>
      </w:r>
      <w:r>
        <w:rPr>
          <w:rFonts w:ascii="Times New Roman;Times;serif" w:hAnsi="Times New Roman;Times;serif"/>
          <w:i/>
          <w:sz w:val="20"/>
        </w:rPr>
        <w:t>-</w:t>
      </w:r>
      <w:r>
        <w:rPr>
          <w:rStyle w:val="Emphasis"/>
          <w:rFonts w:ascii="Times New Roman;Times;serif" w:hAnsi="Times New Roman;Times;serif"/>
          <w:i/>
          <w:sz w:val="20"/>
        </w:rPr>
        <w:t>07</w:t>
      </w:r>
      <w:r>
        <w:rPr>
          <w:rFonts w:ascii="Times New Roman;Times;serif" w:hAnsi="Times New Roman;Times;serif"/>
          <w:sz w:val="20"/>
        </w:rPr>
        <w:t xml:space="preserve">, "Segment Reporting (Topic </w:t>
      </w:r>
      <w:r>
        <w:rPr>
          <w:rStyle w:val="Emphasis"/>
          <w:rFonts w:ascii="Times New Roman;Times;serif" w:hAnsi="Times New Roman;Times;serif"/>
          <w:sz w:val="20"/>
        </w:rPr>
        <w:t>280</w:t>
      </w:r>
      <w:r>
        <w:rPr>
          <w:rFonts w:ascii="Times New Roman;Times;serif" w:hAnsi="Times New Roman;Times;serif"/>
          <w:sz w:val="20"/>
        </w:rPr>
        <w:t xml:space="preserve">): Improvements to Reportable Segment Disclosures." This ASU updates reportable segment disclosure requirements primarily through enhanced disclosures about significant segment expenses. The amendments are effective for fiscal years beginning after </w:t>
      </w:r>
      <w:r>
        <w:rPr>
          <w:rStyle w:val="Emphasis"/>
          <w:rFonts w:ascii="Times New Roman;Times;serif" w:hAnsi="Times New Roman;Times;serif"/>
          <w:sz w:val="20"/>
        </w:rPr>
        <w:t xml:space="preserve">December 15, 2023, </w:t>
      </w:r>
      <w:r>
        <w:rPr>
          <w:rFonts w:ascii="Times New Roman;Times;serif" w:hAnsi="Times New Roman;Times;serif"/>
          <w:sz w:val="20"/>
        </w:rPr>
        <w:t xml:space="preserve">and for interim periods within fiscal years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The amendments should be applied retrospectively to all prior periods presented in the financial statements. Management is currently evaluating this ASU to determine its impact on the Company's disclosures.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In </w:t>
      </w:r>
      <w:r>
        <w:rPr>
          <w:rStyle w:val="Emphasis"/>
          <w:rFonts w:ascii="Times New Roman;Times;serif" w:hAnsi="Times New Roman;Times;serif"/>
          <w:sz w:val="20"/>
        </w:rPr>
        <w:t xml:space="preserve">December 2023, </w:t>
      </w:r>
      <w:r>
        <w:rPr>
          <w:rFonts w:ascii="Times New Roman;Times;serif" w:hAnsi="Times New Roman;Times;serif"/>
          <w:sz w:val="20"/>
        </w:rPr>
        <w:t xml:space="preserve">the FASB issued ASU </w:t>
      </w:r>
      <w:r>
        <w:rPr>
          <w:rStyle w:val="Emphasis"/>
          <w:rFonts w:ascii="Times New Roman;Times;serif" w:hAnsi="Times New Roman;Times;serif"/>
          <w:i/>
          <w:sz w:val="20"/>
        </w:rPr>
        <w:t>No.</w:t>
      </w:r>
      <w:r>
        <w:rPr>
          <w:rFonts w:ascii="Times New Roman;Times;serif" w:hAnsi="Times New Roman;Times;serif"/>
          <w:i/>
          <w:sz w:val="20"/>
        </w:rPr>
        <w:t xml:space="preserve"> </w:t>
      </w:r>
      <w:r>
        <w:rPr>
          <w:rStyle w:val="Emphasis"/>
          <w:rFonts w:ascii="Times New Roman;Times;serif" w:hAnsi="Times New Roman;Times;serif"/>
          <w:i/>
          <w:sz w:val="20"/>
        </w:rPr>
        <w:t>2023</w:t>
      </w:r>
      <w:r>
        <w:rPr>
          <w:rFonts w:ascii="Times New Roman;Times;serif" w:hAnsi="Times New Roman;Times;serif"/>
          <w:i/>
          <w:sz w:val="20"/>
        </w:rPr>
        <w:t>-</w:t>
      </w:r>
      <w:r>
        <w:rPr>
          <w:rStyle w:val="Emphasis"/>
          <w:rFonts w:ascii="Times New Roman;Times;serif" w:hAnsi="Times New Roman;Times;serif"/>
          <w:i/>
          <w:sz w:val="20"/>
        </w:rPr>
        <w:t>09</w:t>
      </w:r>
      <w:r>
        <w:rPr>
          <w:rFonts w:ascii="Times New Roman;Times;serif" w:hAnsi="Times New Roman;Times;serif"/>
          <w:sz w:val="20"/>
        </w:rPr>
        <w:t xml:space="preserve">, "Income Taxes (Topic </w:t>
      </w:r>
      <w:r>
        <w:rPr>
          <w:rStyle w:val="Emphasis"/>
          <w:rFonts w:ascii="Times New Roman;Times;serif" w:hAnsi="Times New Roman;Times;serif"/>
          <w:sz w:val="20"/>
        </w:rPr>
        <w:t>740</w:t>
      </w:r>
      <w:r>
        <w:rPr>
          <w:rFonts w:ascii="Times New Roman;Times;serif" w:hAnsi="Times New Roman;Times;serif"/>
          <w:sz w:val="20"/>
        </w:rPr>
        <w:t xml:space="preserve">): Improvements to Income Tax Disclosures." This ASU expands the requirements for income tax disclosures in order to provide greater transparency. The amendments are effective for fiscal years beginning after </w:t>
      </w:r>
      <w:r>
        <w:rPr>
          <w:rStyle w:val="Emphasis"/>
          <w:rFonts w:ascii="Times New Roman;Times;serif" w:hAnsi="Times New Roman;Times;serif"/>
          <w:sz w:val="20"/>
        </w:rPr>
        <w:t xml:space="preserve">December 15, 2024 </w:t>
      </w:r>
      <w:r>
        <w:rPr>
          <w:rFonts w:ascii="Times New Roman;Times;serif" w:hAnsi="Times New Roman;Times;serif"/>
          <w:sz w:val="20"/>
        </w:rPr>
        <w:t>and the amendments should be applied prospectively. Management is currently evaluating this ASU to determine its impact on the Company's disclosures.</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52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tbl>
      <w:tblPr>
        <w:tblW w:w="1075" w:type="dxa"/>
        <w:jc w:val="left"/>
        <w:tblInd w:w="0" w:type="dxa"/>
        <w:tblLayout w:type="fixed"/>
        <w:tblCellMar>
          <w:top w:w="0" w:type="dxa"/>
          <w:left w:w="0" w:type="dxa"/>
          <w:bottom w:w="0" w:type="dxa"/>
          <w:right w:w="0" w:type="dxa"/>
        </w:tblCellMar>
      </w:tblPr>
      <w:tblGrid>
        <w:gridCol w:w="290"/>
        <w:gridCol w:w="785"/>
      </w:tblGrid>
      <w:tr>
        <w:trPr/>
        <w:tc>
          <w:tcPr>
            <w:tcW w:w="29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3</w:t>
            </w:r>
            <w:r>
              <w:rPr>
                <w:rFonts w:ascii="Times New Roman;Times;serif" w:hAnsi="Times New Roman;Times;serif"/>
                <w:b/>
                <w:sz w:val="20"/>
              </w:rPr>
              <w:t xml:space="preserve">) </w:t>
            </w:r>
          </w:p>
        </w:tc>
        <w:tc>
          <w:tcPr>
            <w:tcW w:w="785" w:type="dxa"/>
            <w:tcBorders/>
            <w:vAlign w:val="center"/>
          </w:tcPr>
          <w:p>
            <w:pPr>
              <w:pStyle w:val="TableContents"/>
              <w:bidi w:val="0"/>
              <w:spacing w:before="0" w:after="0"/>
              <w:ind w:left="0" w:right="0" w:hanging="0"/>
              <w:jc w:val="both"/>
              <w:rPr>
                <w:rFonts w:ascii="Times New Roman;Times;serif" w:hAnsi="Times New Roman;Times;serif"/>
                <w:b/>
                <w:sz w:val="20"/>
                <w:shd w:fill="FFFFFF" w:val="clear"/>
              </w:rPr>
            </w:pPr>
            <w:r>
              <w:rPr>
                <w:rFonts w:ascii="Times New Roman;Times;serif" w:hAnsi="Times New Roman;Times;serif"/>
                <w:b/>
                <w:sz w:val="20"/>
                <w:shd w:fill="FFFFFF" w:val="clear"/>
              </w:rPr>
              <w:t xml:space="preserve">Revenue </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Nearly all of the Company’s revenue is derived from retail sales (including e-commerce sites) and is recognized when control of the merchandise is transferred to the customer. The Company accounts for revenue in accordance with Topic </w:t>
      </w:r>
      <w:r>
        <w:rPr>
          <w:rStyle w:val="Emphasis"/>
          <w:rFonts w:ascii="Times New Roman;Times;serif" w:hAnsi="Times New Roman;Times;serif"/>
          <w:sz w:val="20"/>
        </w:rPr>
        <w:t>606,</w:t>
      </w:r>
      <w:r>
        <w:rPr>
          <w:rFonts w:ascii="Times New Roman;Times;serif" w:hAnsi="Times New Roman;Times;serif"/>
          <w:sz w:val="20"/>
        </w:rPr>
        <w:t xml:space="preserve"> Revenue from Contracts with Customers. The Company's disaggregated revenue is fully disclosed as net sales to external customers by reporting segment and by geographic area (See Note </w:t>
      </w:r>
      <w:r>
        <w:rPr>
          <w:rStyle w:val="Emphasis"/>
          <w:rFonts w:ascii="Times New Roman;Times;serif" w:hAnsi="Times New Roman;Times;serif"/>
          <w:sz w:val="20"/>
        </w:rPr>
        <w:t>15</w:t>
      </w:r>
      <w:r>
        <w:rPr>
          <w:rFonts w:ascii="Times New Roman;Times;serif" w:hAnsi="Times New Roman;Times;serif"/>
          <w:sz w:val="20"/>
        </w:rPr>
        <w:t> — "Segment Information" for additional information). The Company's direct-to-consumer reporting segment represents nearly 94% of consolidated revenue. The majority of these sales transactions are single performance obligations that are recorded when control is transferred to the customer.</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is a description of principal activities from which the Company generates its revenue, by reportable segment.</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Company’s direct-to-consumer segment includes the operating activities of corporately-managed stores, other retail-delivered operations and online sales. Direct-to-consumer revenue is recognized when control of the merchandise is transferred to the customer and for the Company’s online sales, control generally transfers upon delivery to the customer. Revenue is measured as the amount of consideration, including any discounts or incentives, the Company expects to receive in exchange for transferring the merchandise. Product returns have historically averaged less than </w:t>
      </w:r>
      <w:r>
        <w:rPr>
          <w:rStyle w:val="Emphasis"/>
          <w:rFonts w:ascii="Times New Roman;Times;serif" w:hAnsi="Times New Roman;Times;serif"/>
          <w:sz w:val="20"/>
        </w:rPr>
        <w:t>one</w:t>
      </w:r>
      <w:r>
        <w:rPr>
          <w:rFonts w:ascii="Times New Roman;Times;serif" w:hAnsi="Times New Roman;Times;serif"/>
          <w:sz w:val="20"/>
        </w:rPr>
        <w:t xml:space="preserve">-half of </w:t>
      </w:r>
      <w:r>
        <w:rPr>
          <w:rStyle w:val="Emphasis"/>
          <w:rFonts w:ascii="Times New Roman;Times;serif" w:hAnsi="Times New Roman;Times;serif"/>
          <w:sz w:val="20"/>
        </w:rPr>
        <w:t>one</w:t>
      </w:r>
      <w:r>
        <w:rPr>
          <w:rFonts w:ascii="Times New Roman;Times;serif" w:hAnsi="Times New Roman;Times;serif"/>
          <w:sz w:val="20"/>
        </w:rPr>
        <w:t xml:space="preserve"> percent due to the interactive nature of sales, where consumers customize their own stuffed animal. The Company has elected to exclude from revenue all collected sales, value-add and other taxes paid by its customers.</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For the Company’s gift cards, revenue is deferred for single transactions until redemption including any related gift card discounts. Approximately 80% of gift cards issued have been redeemed within three years of issuance and over the last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 xml:space="preserve"> years, approximately 65% of gift cards issued have been redeemed within the </w:t>
      </w:r>
      <w:r>
        <w:rPr>
          <w:rStyle w:val="Emphasis"/>
          <w:rFonts w:ascii="Times New Roman;Times;serif" w:hAnsi="Times New Roman;Times;serif"/>
          <w:sz w:val="20"/>
          <w:shd w:fill="FFFFFF" w:val="clear"/>
        </w:rPr>
        <w:t>first</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twelve</w:t>
      </w:r>
      <w:r>
        <w:rPr>
          <w:rFonts w:ascii="Times New Roman;Times;serif" w:hAnsi="Times New Roman;Times;serif"/>
          <w:sz w:val="20"/>
          <w:shd w:fill="FFFFFF" w:val="clear"/>
        </w:rPr>
        <w:t xml:space="preserve"> months. In addition, unredeemed gift cards or breakage revenue is recorded in proportion to the customer’s redemption pattern using an estimated breakage rate based on historical experience. </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Subsequent to stores reopening following shutdowns caused by COVID, the Company has experienced lower redemptions of its gift cards for all periods of outstanding activated cards compared to pre-pandemic redemption patterns (fiscal year </w:t>
      </w:r>
      <w:r>
        <w:rPr>
          <w:rStyle w:val="Emphasis"/>
          <w:rFonts w:ascii="Times New Roman;Times;serif" w:hAnsi="Times New Roman;Times;serif"/>
          <w:sz w:val="20"/>
          <w:shd w:fill="FFFFFF" w:val="clear"/>
        </w:rPr>
        <w:t>2019</w:t>
      </w:r>
      <w:r>
        <w:rPr>
          <w:rFonts w:ascii="Times New Roman;Times;serif" w:hAnsi="Times New Roman;Times;serif"/>
          <w:sz w:val="20"/>
          <w:shd w:fill="FFFFFF" w:val="clear"/>
        </w:rPr>
        <w:t xml:space="preserve"> and earlier), which impacts the gift card breakage rate. The Company does </w:t>
      </w:r>
      <w:r>
        <w:rPr>
          <w:rStyle w:val="Emphasis"/>
          <w:rFonts w:ascii="Times New Roman;Times;serif" w:hAnsi="Times New Roman;Times;serif"/>
          <w:sz w:val="20"/>
          <w:shd w:fill="FFFFFF" w:val="clear"/>
        </w:rPr>
        <w:t>not</w:t>
      </w:r>
      <w:r>
        <w:rPr>
          <w:rFonts w:ascii="Times New Roman;Times;serif" w:hAnsi="Times New Roman;Times;serif"/>
          <w:sz w:val="20"/>
          <w:shd w:fill="FFFFFF" w:val="clear"/>
        </w:rPr>
        <w:t xml:space="preserve"> believe that the redemption pattern experienced during the pandemic reflects the pattern in the future and has adjusted the historical redemption data used to calculate the breakage rate. The Company continues to evaluate expected breakage annually and adjusts the breakage rates in the </w:t>
      </w:r>
      <w:r>
        <w:rPr>
          <w:rStyle w:val="Emphasis"/>
          <w:rFonts w:ascii="Times New Roman;Times;serif" w:hAnsi="Times New Roman;Times;serif"/>
          <w:sz w:val="20"/>
          <w:shd w:fill="FFFFFF" w:val="clear"/>
        </w:rPr>
        <w:t>fourth</w:t>
      </w:r>
      <w:r>
        <w:rPr>
          <w:rFonts w:ascii="Times New Roman;Times;serif" w:hAnsi="Times New Roman;Times;serif"/>
          <w:sz w:val="20"/>
          <w:shd w:fill="FFFFFF" w:val="clear"/>
        </w:rPr>
        <w:t xml:space="preserve"> quarter of each year, or other times, if significant changes in customer behavior are detected. Changes to breakage estimates impact revenue recognition prospectively.  Further, given the magnitude of the Company's gift card liability, the changes in breakage rates could have a significant impact on the amount of breakage revenue recognized in future periods. For the fiscal years ended </w:t>
      </w:r>
      <w:r>
        <w:rPr>
          <w:rStyle w:val="Emphasis"/>
          <w:rFonts w:ascii="Times New Roman;Times;serif" w:hAnsi="Times New Roman;Times;serif"/>
          <w:sz w:val="20"/>
        </w:rPr>
        <w:t>February 3, 2024</w:t>
      </w:r>
      <w:r>
        <w:rPr>
          <w:rFonts w:ascii="Times New Roman;Times;serif" w:hAnsi="Times New Roman;Times;serif"/>
          <w:sz w:val="20"/>
        </w:rPr>
        <w:t xml:space="preserve"> and </w:t>
      </w:r>
      <w:r>
        <w:rPr>
          <w:rStyle w:val="Emphasis"/>
          <w:rFonts w:ascii="Times New Roman;Times;serif" w:hAnsi="Times New Roman;Times;serif"/>
          <w:sz w:val="20"/>
        </w:rPr>
        <w:t>January 28, 2023</w:t>
      </w:r>
      <w:r>
        <w:rPr>
          <w:rFonts w:ascii="Times New Roman;Times;serif" w:hAnsi="Times New Roman;Times;serif"/>
          <w:sz w:val="20"/>
          <w:shd w:fill="FFFFFF" w:val="clear"/>
        </w:rPr>
        <w:t>, net retail sales included gift card breakage revenue of $</w:t>
      </w:r>
      <w:r>
        <w:rPr>
          <w:rFonts w:ascii="Times New Roman;Times;serif" w:hAnsi="Times New Roman;Times;serif"/>
          <w:sz w:val="20"/>
        </w:rPr>
        <w:t>6.3</w:t>
      </w:r>
      <w:r>
        <w:rPr>
          <w:rFonts w:ascii="Times New Roman;Times;serif" w:hAnsi="Times New Roman;Times;serif"/>
          <w:sz w:val="20"/>
          <w:shd w:fill="FFFFFF" w:val="clear"/>
        </w:rPr>
        <w:t xml:space="preserve"> million and $</w:t>
      </w:r>
      <w:r>
        <w:rPr>
          <w:rFonts w:ascii="Times New Roman;Times;serif" w:hAnsi="Times New Roman;Times;serif"/>
          <w:sz w:val="20"/>
        </w:rPr>
        <w:t>5.1</w:t>
      </w:r>
      <w:r>
        <w:rPr>
          <w:rFonts w:ascii="Times New Roman;Times;serif" w:hAnsi="Times New Roman;Times;serif"/>
          <w:sz w:val="20"/>
          <w:shd w:fill="FFFFFF" w:val="clear"/>
        </w:rPr>
        <w:t xml:space="preserve"> million, respectively. In regard to the consolidated balance sheet, contract liabilities for gift cards are classified as gift cards and customer deposits. </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For certain qualifying transactions, a portion of revenue transactions are deferred for the obligation related to the Company’s loyalty program or when a material right in the form of a future discount is granted. In these transactions, the transaction price is allocated to the separate performance obligations based on the relative standalone selling price. The standalone selling price for the points earned for the Company’s loyalty program is estimated using the net retail value of the merchandise purchased, adjusted for estimated breakage based on historical redemption patterns. The revenue associated with the initial merchandise purchased is recognized immediately and the value assigned to the points is deferred until the points are redeemed, forfeited or expired. The Company issues certifications daily for those loyalty program members who have earned </w:t>
      </w:r>
      <w:r>
        <w:rPr>
          <w:rStyle w:val="Emphasis"/>
          <w:rFonts w:ascii="Times New Roman;Times;serif" w:hAnsi="Times New Roman;Times;serif"/>
          <w:sz w:val="20"/>
        </w:rPr>
        <w:t>100</w:t>
      </w:r>
      <w:r>
        <w:rPr>
          <w:rFonts w:ascii="Times New Roman;Times;serif" w:hAnsi="Times New Roman;Times;serif"/>
          <w:sz w:val="20"/>
        </w:rPr>
        <w:t xml:space="preserve"> or more points in the previous day in North America and </w:t>
      </w:r>
      <w:r>
        <w:rPr>
          <w:rStyle w:val="Emphasis"/>
          <w:rFonts w:ascii="Times New Roman;Times;serif" w:hAnsi="Times New Roman;Times;serif"/>
          <w:sz w:val="20"/>
        </w:rPr>
        <w:t>50</w:t>
      </w:r>
      <w:r>
        <w:rPr>
          <w:rFonts w:ascii="Times New Roman;Times;serif" w:hAnsi="Times New Roman;Times;serif"/>
          <w:sz w:val="20"/>
        </w:rPr>
        <w:t xml:space="preserve"> points or more in the U.K. with certifications historically expiring in </w:t>
      </w:r>
      <w:r>
        <w:rPr>
          <w:rStyle w:val="Emphasis"/>
          <w:rFonts w:ascii="Times New Roman;Times;serif" w:hAnsi="Times New Roman;Times;serif"/>
          <w:sz w:val="20"/>
        </w:rPr>
        <w:t>six</w:t>
      </w:r>
      <w:r>
        <w:rPr>
          <w:rFonts w:ascii="Times New Roman;Times;serif" w:hAnsi="Times New Roman;Times;serif"/>
          <w:sz w:val="20"/>
        </w:rPr>
        <w:t xml:space="preserve"> months if </w:t>
      </w:r>
      <w:r>
        <w:rPr>
          <w:rStyle w:val="Emphasis"/>
          <w:rFonts w:ascii="Times New Roman;Times;serif" w:hAnsi="Times New Roman;Times;serif"/>
          <w:sz w:val="20"/>
        </w:rPr>
        <w:t>not</w:t>
      </w:r>
      <w:r>
        <w:rPr>
          <w:rFonts w:ascii="Times New Roman;Times;serif" w:hAnsi="Times New Roman;Times;serif"/>
          <w:sz w:val="20"/>
        </w:rPr>
        <w:t xml:space="preserve"> redeemed. The Company assesses the redemption rates of its certifications on a quarterly basis to update the rate at which loyalty program points turn into certifications and the rate that certifications are redeemed. In regard to the consolidated balance sheet, contract liabilities related to the loyalty program are classified as deferred revenue and other.</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Company’s commercial segment includes transactions with other businesses and are mainly comprised of wholesale sales of merchandise, supplies and fixtures, licensing the Company’s intellectual properties for </w:t>
      </w:r>
      <w:r>
        <w:rPr>
          <w:rStyle w:val="Emphasis"/>
          <w:rFonts w:ascii="Times New Roman;Times;serif" w:hAnsi="Times New Roman;Times;serif"/>
          <w:sz w:val="20"/>
        </w:rPr>
        <w:t>third</w:t>
      </w:r>
      <w:r>
        <w:rPr>
          <w:rFonts w:ascii="Times New Roman;Times;serif" w:hAnsi="Times New Roman;Times;serif"/>
          <w:sz w:val="20"/>
        </w:rPr>
        <w:t xml:space="preserve">-party use, and revenues generated from entertainment activities. Revenue for wholesale sales is recognized when control of the merchandise or fixtures is transferred to the customer, which generally occurs upon delivery to the customer. The license agreements provide the customer with highly interrelated rights that are </w:t>
      </w:r>
      <w:r>
        <w:rPr>
          <w:rStyle w:val="Emphasis"/>
          <w:rFonts w:ascii="Times New Roman;Times;serif" w:hAnsi="Times New Roman;Times;serif"/>
          <w:sz w:val="20"/>
        </w:rPr>
        <w:t>not</w:t>
      </w:r>
      <w:r>
        <w:rPr>
          <w:rFonts w:ascii="Times New Roman;Times;serif" w:hAnsi="Times New Roman;Times;serif"/>
          <w:sz w:val="20"/>
        </w:rPr>
        <w:t xml:space="preserve"> distinct in the context of the contract and, therefore, have been accounted for as a single performance obligation and recognized as licensee sales occur. If the contract includes a guaranteed minimum, the minimum guarantee is recognized as licensee sales occur over the guarantee term until such time as royalties earned through licensee sales exceed the minimum guarantee. The Company classifies these guaranteed minimum contract liabilities as deferred revenue and other on the consolidated balance sheet. Entertainment revenue is generated through the sale of entertainment assets directly to customers or through licensing agreements.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Times;serif" w:hAnsi="Times New Roman;Times;serif"/>
          <w:sz w:val="20"/>
        </w:rPr>
        <w:t xml:space="preserve">The Company’s international franchising segment includes the activities with franchisees who operate store locations in certain countries and includes development fees, sales-based royalties, merchandise, supplies and fixture sales. The Company’s obligations under the franchise agreement are ongoing and include operations and product development support and training, generally concentrated around new store openings. These obligations are highly interrelated rights that are </w:t>
      </w:r>
      <w:r>
        <w:rPr>
          <w:rStyle w:val="Emphasis"/>
          <w:rFonts w:ascii="Times New Roman;Times;serif" w:hAnsi="Times New Roman;Times;serif"/>
          <w:sz w:val="20"/>
        </w:rPr>
        <w:t>not</w:t>
      </w:r>
      <w:r>
        <w:rPr>
          <w:rFonts w:ascii="Times New Roman;Times;serif" w:hAnsi="Times New Roman;Times;serif"/>
          <w:sz w:val="20"/>
        </w:rPr>
        <w:t xml:space="preserve"> distinct in the context of the contract and, therefore, have been accounted for as a single performance obligation and recognized as franchisee sales occur. If the contract includes an initial, </w:t>
      </w:r>
      <w:r>
        <w:rPr>
          <w:rStyle w:val="Emphasis"/>
          <w:rFonts w:ascii="Times New Roman;Times;serif" w:hAnsi="Times New Roman;Times;serif"/>
          <w:sz w:val="20"/>
        </w:rPr>
        <w:t>one</w:t>
      </w:r>
      <w:r>
        <w:rPr>
          <w:rFonts w:ascii="Times New Roman;Times;serif" w:hAnsi="Times New Roman;Times;serif"/>
          <w:sz w:val="20"/>
        </w:rPr>
        <w:t xml:space="preserve">-time nonrefundable development fee, this fee is recognized on a straight-line basis over the term of the franchise agreement, which </w:t>
      </w:r>
      <w:r>
        <w:rPr>
          <w:rStyle w:val="Emphasis"/>
          <w:rFonts w:ascii="Times New Roman;Times;serif" w:hAnsi="Times New Roman;Times;serif"/>
          <w:sz w:val="20"/>
        </w:rPr>
        <w:t xml:space="preserve">may </w:t>
      </w:r>
      <w:r>
        <w:rPr>
          <w:rFonts w:ascii="Times New Roman;Times;serif" w:hAnsi="Times New Roman;Times;serif"/>
          <w:sz w:val="20"/>
        </w:rPr>
        <w:t xml:space="preserve">extend for periods up to 25 years. The Company classifies these initial, </w:t>
      </w:r>
      <w:r>
        <w:rPr>
          <w:rStyle w:val="Emphasis"/>
          <w:rFonts w:ascii="Times New Roman;Times;serif" w:hAnsi="Times New Roman;Times;serif"/>
          <w:sz w:val="20"/>
        </w:rPr>
        <w:t>one</w:t>
      </w:r>
      <w:r>
        <w:rPr>
          <w:rFonts w:ascii="Times New Roman;Times;serif" w:hAnsi="Times New Roman;Times;serif"/>
          <w:sz w:val="20"/>
        </w:rPr>
        <w:t>-time nonrefundable franchise fee contract liabilities as deferred revenue and other on the consolidated balance sheet. Revenue from merchandise and fixture sales is recognized when control is transferred to the franchisee which generally occurs upon delivery to the customer.</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 xml:space="preserve">The Company also incurs expenses directly related to the startup of new franchises, which </w:t>
      </w:r>
      <w:r>
        <w:rPr>
          <w:rStyle w:val="Emphasis"/>
          <w:rFonts w:ascii="Times New Roman;Times;serif" w:hAnsi="Times New Roman;Times;serif"/>
          <w:sz w:val="20"/>
        </w:rPr>
        <w:t xml:space="preserve">may </w:t>
      </w:r>
      <w:r>
        <w:rPr>
          <w:rFonts w:ascii="Times New Roman;Times;serif" w:hAnsi="Times New Roman;Times;serif"/>
          <w:sz w:val="20"/>
        </w:rPr>
        <w:t>include finder’s fees, legal and travel costs, expenses related to its ongoing support of the franchisees, and employee compensation. Accordingly, the Company’s policy is to capitalize the finder’s fee, an incremental cost, and expense all other costs as incurred. The Company amortizes these capitalized costs into expense in the same pattern as the development fee as described previously.</w:t>
      </w:r>
    </w:p>
    <w:p>
      <w:pPr>
        <w:pStyle w:val="TextBody"/>
        <w:bidi w:val="0"/>
        <w:spacing w:before="0" w:after="0"/>
        <w:ind w:left="0" w:right="0" w:firstLine="490"/>
        <w:jc w:val="both"/>
        <w:rPr/>
      </w:pPr>
      <w:r>
        <w:rPr/>
        <w:t> </w:t>
      </w:r>
    </w:p>
    <w:p>
      <w:pPr>
        <w:pStyle w:val="TextBody"/>
        <w:bidi w:val="0"/>
        <w:spacing w:before="0" w:after="0"/>
        <w:ind w:left="0" w:right="0" w:hanging="50"/>
        <w:jc w:val="both"/>
        <w:rPr>
          <w:rFonts w:ascii="Times New Roman;Times;serif" w:hAnsi="Times New Roman;Times;serif"/>
          <w:sz w:val="20"/>
        </w:rPr>
      </w:pPr>
      <w:r>
        <w:rPr>
          <w:rFonts w:ascii="Times New Roman;Times;serif" w:hAnsi="Times New Roman;Times;serif"/>
          <w:b/>
          <w:sz w:val="20"/>
        </w:rPr>
        <w:t>Allowance for Expected Credit Losses</w:t>
      </w:r>
      <w:r>
        <w:rPr>
          <w:rFonts w:ascii="Times New Roman;Times;serif" w:hAnsi="Times New Roman;Times;serif"/>
          <w:sz w:val="20"/>
        </w:rPr>
        <w:br/>
        <w:t> </w:t>
      </w:r>
    </w:p>
    <w:tbl>
      <w:tblPr>
        <w:tblW w:w="6035" w:type="dxa"/>
        <w:jc w:val="left"/>
        <w:tblInd w:w="0" w:type="dxa"/>
        <w:tblLayout w:type="fixed"/>
        <w:tblCellMar>
          <w:top w:w="0" w:type="dxa"/>
          <w:left w:w="0" w:type="dxa"/>
          <w:bottom w:w="0" w:type="dxa"/>
          <w:right w:w="0" w:type="dxa"/>
        </w:tblCellMar>
      </w:tblPr>
      <w:tblGrid>
        <w:gridCol w:w="4475"/>
        <w:gridCol w:w="60"/>
        <w:gridCol w:w="125"/>
        <w:gridCol w:w="485"/>
        <w:gridCol w:w="80"/>
        <w:gridCol w:w="60"/>
        <w:gridCol w:w="125"/>
        <w:gridCol w:w="545"/>
        <w:gridCol w:w="80"/>
      </w:tblGrid>
      <w:tr>
        <w:trPr/>
        <w:tc>
          <w:tcPr>
            <w:tcW w:w="447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7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2022</w:t>
            </w:r>
          </w:p>
        </w:tc>
        <w:tc>
          <w:tcPr>
            <w:tcW w:w="80" w:type="dxa"/>
            <w:tcBorders/>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7,056</w:t>
            </w:r>
          </w:p>
        </w:tc>
        <w:tc>
          <w:tcPr>
            <w:tcW w:w="80" w:type="dxa"/>
            <w:tcBorders/>
            <w:shd w:fill="CCEEFF" w:val="clear"/>
            <w:vAlign w:val="center"/>
          </w:tcPr>
          <w:p>
            <w:pPr>
              <w:pStyle w:val="TableContents"/>
              <w:bidi w:val="0"/>
              <w:spacing w:before="0" w:after="283"/>
              <w:jc w:val="left"/>
              <w:rPr/>
            </w:pPr>
            <w:r>
              <w:rPr/>
              <w:t> </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for expected credit losses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2,105</w:t>
            </w:r>
          </w:p>
        </w:tc>
        <w:tc>
          <w:tcPr>
            <w:tcW w:w="80" w:type="dxa"/>
            <w:tcBorders/>
            <w:shd w:fill="FFFFFF" w:val="clear"/>
            <w:vAlign w:val="center"/>
          </w:tcPr>
          <w:p>
            <w:pPr>
              <w:pStyle w:val="TableContents"/>
              <w:bidi w:val="0"/>
              <w:spacing w:before="0" w:after="283"/>
              <w:jc w:val="left"/>
              <w:rPr/>
            </w:pPr>
            <w:r>
              <w:rPr/>
              <w:t> </w:t>
            </w:r>
          </w:p>
        </w:tc>
      </w:tr>
      <w:tr>
        <w:trPr/>
        <w:tc>
          <w:tcPr>
            <w:tcW w:w="44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Uncollectible accounts written off, net of recoveries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Other receivables allowance for doubtful accounts represent uncollectible accounts written off, recoveries and the impact of currency translation</w:t>
      </w:r>
    </w:p>
    <w:p>
      <w:pPr>
        <w:pStyle w:val="TextBody"/>
        <w:bidi w:val="0"/>
        <w:spacing w:before="0" w:after="0"/>
        <w:jc w:val="left"/>
        <w:rPr/>
      </w:pPr>
      <w:r>
        <w:rPr/>
        <w:t xml:space="preserve">  </w:t>
      </w:r>
    </w:p>
    <w:tbl>
      <w:tblPr>
        <w:tblW w:w="880" w:type="dxa"/>
        <w:jc w:val="left"/>
        <w:tblInd w:w="0" w:type="dxa"/>
        <w:tblLayout w:type="fixed"/>
        <w:tblCellMar>
          <w:top w:w="0" w:type="dxa"/>
          <w:left w:w="0" w:type="dxa"/>
          <w:bottom w:w="0" w:type="dxa"/>
          <w:right w:w="0" w:type="dxa"/>
        </w:tblCellMar>
      </w:tblPr>
      <w:tblGrid>
        <w:gridCol w:w="290"/>
        <w:gridCol w:w="590"/>
      </w:tblGrid>
      <w:tr>
        <w:trPr/>
        <w:tc>
          <w:tcPr>
            <w:tcW w:w="29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4</w:t>
            </w:r>
            <w:r>
              <w:rPr>
                <w:rFonts w:ascii="Times New Roman;Times;serif" w:hAnsi="Times New Roman;Times;serif"/>
                <w:b/>
                <w:sz w:val="20"/>
              </w:rPr>
              <w:t xml:space="preserve">) </w:t>
            </w:r>
          </w:p>
        </w:tc>
        <w:tc>
          <w:tcPr>
            <w:tcW w:w="5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both"/>
        <w:rPr/>
      </w:pPr>
      <w:r>
        <w:rPr/>
        <w:t> </w:t>
      </w:r>
    </w:p>
    <w:p>
      <w:pPr>
        <w:pStyle w:val="TextBody"/>
        <w:bidi w:val="0"/>
        <w:spacing w:before="0" w:after="0"/>
        <w:ind w:left="0" w:right="144" w:firstLine="540"/>
        <w:jc w:val="both"/>
        <w:rPr>
          <w:rFonts w:ascii="Times New Roman;Times;serif" w:hAnsi="Times New Roman;Times;serif"/>
          <w:sz w:val="20"/>
        </w:rPr>
      </w:pPr>
      <w:r>
        <w:rPr>
          <w:rFonts w:ascii="Times New Roman;Times;serif" w:hAnsi="Times New Roman;Times;serif"/>
          <w:sz w:val="20"/>
        </w:rPr>
        <w:t>The table below presents information related to the lease costs for operating leases for the periods presented (in thousands).</w:t>
      </w:r>
    </w:p>
    <w:p>
      <w:pPr>
        <w:pStyle w:val="TextBody"/>
        <w:bidi w:val="0"/>
        <w:spacing w:before="0" w:after="0"/>
        <w:ind w:left="0" w:right="0" w:hanging="0"/>
        <w:jc w:val="left"/>
        <w:rPr/>
      </w:pPr>
      <w:r>
        <w:rPr/>
        <w:t> </w:t>
      </w:r>
    </w:p>
    <w:tbl>
      <w:tblPr>
        <w:tblW w:w="5451" w:type="dxa"/>
        <w:jc w:val="left"/>
        <w:tblInd w:w="0" w:type="dxa"/>
        <w:tblLayout w:type="fixed"/>
        <w:tblCellMar>
          <w:top w:w="0" w:type="dxa"/>
          <w:left w:w="0" w:type="dxa"/>
          <w:bottom w:w="0" w:type="dxa"/>
          <w:right w:w="0" w:type="dxa"/>
        </w:tblCellMar>
      </w:tblPr>
      <w:tblGrid>
        <w:gridCol w:w="2270"/>
        <w:gridCol w:w="60"/>
        <w:gridCol w:w="253"/>
        <w:gridCol w:w="1206"/>
        <w:gridCol w:w="64"/>
        <w:gridCol w:w="64"/>
        <w:gridCol w:w="257"/>
        <w:gridCol w:w="1217"/>
        <w:gridCol w:w="60"/>
      </w:tblGrid>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February 3, 2024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January 28, 2023</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jc w:val="left"/>
              <w:rPr/>
            </w:pPr>
            <w:r>
              <w:rPr/>
              <w:t> </w:t>
            </w:r>
          </w:p>
        </w:tc>
        <w:tc>
          <w:tcPr>
            <w:tcW w:w="1206"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jc w:val="left"/>
              <w:rPr/>
            </w:pPr>
            <w:r>
              <w:rPr/>
              <w:t> </w:t>
            </w:r>
          </w:p>
        </w:tc>
        <w:tc>
          <w:tcPr>
            <w:tcW w:w="12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costs</w:t>
            </w:r>
          </w:p>
        </w:tc>
        <w:tc>
          <w:tcPr>
            <w:tcW w:w="60" w:type="dxa"/>
            <w:tcBorders/>
            <w:shd w:fill="CCEEFF" w:val="clear"/>
            <w:vAlign w:val="center"/>
          </w:tcPr>
          <w:p>
            <w:pPr>
              <w:pStyle w:val="TableContents"/>
              <w:bidi w:val="0"/>
              <w:spacing w:before="0" w:after="283"/>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36,849</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34,738</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costs (1)</w:t>
            </w:r>
          </w:p>
        </w:tc>
        <w:tc>
          <w:tcPr>
            <w:tcW w:w="60" w:type="dxa"/>
            <w:tcBorders/>
            <w:shd w:fill="FFFFFF" w:val="clear"/>
            <w:vAlign w:val="center"/>
          </w:tcPr>
          <w:p>
            <w:pPr>
              <w:pStyle w:val="TableContents"/>
              <w:bidi w:val="0"/>
              <w:spacing w:before="0" w:after="283"/>
              <w:jc w:val="left"/>
              <w:rPr/>
            </w:pPr>
            <w:r>
              <w:rPr/>
              <w:t> </w:t>
            </w:r>
          </w:p>
        </w:tc>
        <w:tc>
          <w:tcPr>
            <w:tcW w:w="253" w:type="dxa"/>
            <w:tcBorders/>
            <w:shd w:fill="FFFFFF" w:val="clear"/>
            <w:vAlign w:val="center"/>
          </w:tcPr>
          <w:p>
            <w:pPr>
              <w:pStyle w:val="TableContents"/>
              <w:bidi w:val="0"/>
              <w:spacing w:before="0" w:after="283"/>
              <w:ind w:left="0" w:right="0" w:hanging="0"/>
              <w:jc w:val="left"/>
              <w:rPr/>
            </w:pPr>
            <w:r>
              <w:rPr/>
              <w:t> </w:t>
            </w:r>
          </w:p>
        </w:tc>
        <w:tc>
          <w:tcPr>
            <w:tcW w:w="120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10,782</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257" w:type="dxa"/>
            <w:tcBorders/>
            <w:shd w:fill="FFFFFF" w:val="clear"/>
            <w:vAlign w:val="center"/>
          </w:tcPr>
          <w:p>
            <w:pPr>
              <w:pStyle w:val="TableContents"/>
              <w:bidi w:val="0"/>
              <w:spacing w:before="0" w:after="283"/>
              <w:ind w:left="0" w:right="0" w:hanging="0"/>
              <w:jc w:val="left"/>
              <w:rPr/>
            </w:pPr>
            <w:r>
              <w:rPr/>
              <w:t> </w:t>
            </w:r>
          </w:p>
        </w:tc>
        <w:tc>
          <w:tcPr>
            <w:tcW w:w="12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60" w:type="dxa"/>
            <w:tcBorders/>
            <w:shd w:fill="FFFFFF" w:val="clear"/>
            <w:vAlign w:val="center"/>
          </w:tcPr>
          <w:p>
            <w:pPr>
              <w:pStyle w:val="TableContents"/>
              <w:bidi w:val="0"/>
              <w:spacing w:before="0" w:after="283"/>
              <w:jc w:val="left"/>
              <w:rPr/>
            </w:pPr>
            <w:r>
              <w:rPr/>
              <w:t> </w:t>
            </w:r>
          </w:p>
        </w:tc>
      </w:tr>
      <w:tr>
        <w:trPr/>
        <w:tc>
          <w:tcPr>
            <w:tcW w:w="22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 term lease costs</w:t>
            </w:r>
          </w:p>
        </w:tc>
        <w:tc>
          <w:tcPr>
            <w:tcW w:w="60" w:type="dxa"/>
            <w:tcBorders/>
            <w:shd w:fill="CCEEFF" w:val="clear"/>
            <w:vAlign w:val="center"/>
          </w:tcPr>
          <w:p>
            <w:pPr>
              <w:pStyle w:val="TableContents"/>
              <w:bidi w:val="0"/>
              <w:spacing w:before="0" w:after="283"/>
              <w:jc w:val="left"/>
              <w:rPr/>
            </w:pPr>
            <w:r>
              <w:rPr/>
              <w:t> </w:t>
            </w:r>
          </w:p>
        </w:tc>
        <w:tc>
          <w:tcPr>
            <w:tcW w:w="25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5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w:t>
            </w:r>
          </w:p>
        </w:tc>
        <w:tc>
          <w:tcPr>
            <w:tcW w:w="60" w:type="dxa"/>
            <w:tcBorders/>
            <w:shd w:fill="CCEEFF" w:val="clear"/>
            <w:vAlign w:val="center"/>
          </w:tcPr>
          <w:p>
            <w:pPr>
              <w:pStyle w:val="TableContents"/>
              <w:bidi w:val="0"/>
              <w:spacing w:before="0" w:after="283"/>
              <w:jc w:val="left"/>
              <w:rPr/>
            </w:pPr>
            <w:r>
              <w:rPr/>
              <w:t> </w:t>
            </w:r>
          </w:p>
        </w:tc>
      </w:tr>
      <w:tr>
        <w:trPr/>
        <w:tc>
          <w:tcPr>
            <w:tcW w:w="22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costs</w:t>
            </w:r>
          </w:p>
        </w:tc>
        <w:tc>
          <w:tcPr>
            <w:tcW w:w="60" w:type="dxa"/>
            <w:tcBorders/>
            <w:shd w:fill="FFFFFF" w:val="clear"/>
            <w:vAlign w:val="center"/>
          </w:tcPr>
          <w:p>
            <w:pPr>
              <w:pStyle w:val="TableContents"/>
              <w:bidi w:val="0"/>
              <w:spacing w:before="0" w:after="283"/>
              <w:ind w:left="0" w:right="0" w:hanging="0"/>
              <w:jc w:val="left"/>
              <w:rPr/>
            </w:pPr>
            <w:r>
              <w:rPr/>
              <w:t> </w:t>
            </w:r>
          </w:p>
        </w:tc>
        <w:tc>
          <w:tcPr>
            <w:tcW w:w="25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47,741</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25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44,866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Variable lease costs consist of leases with variable rent structures, which are intended to increase flexibility in an environment with expected high sales volatility and provide a natural hedge against potential sales declines.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Other information</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table below presents supplemental cash flow information related to leases for the periods presented (in thousands).</w:t>
      </w:r>
    </w:p>
    <w:p>
      <w:pPr>
        <w:pStyle w:val="TextBody"/>
        <w:bidi w:val="0"/>
        <w:spacing w:before="0" w:after="0"/>
        <w:ind w:left="0" w:right="0" w:firstLine="360"/>
        <w:jc w:val="left"/>
        <w:rPr/>
      </w:pPr>
      <w:r>
        <w:rPr/>
        <w:t> </w:t>
      </w:r>
    </w:p>
    <w:tbl>
      <w:tblPr>
        <w:tblW w:w="6516" w:type="dxa"/>
        <w:jc w:val="left"/>
        <w:tblInd w:w="0" w:type="dxa"/>
        <w:tblLayout w:type="fixed"/>
        <w:tblCellMar>
          <w:top w:w="0" w:type="dxa"/>
          <w:left w:w="0" w:type="dxa"/>
          <w:bottom w:w="0" w:type="dxa"/>
          <w:right w:w="0" w:type="dxa"/>
        </w:tblCellMar>
      </w:tblPr>
      <w:tblGrid>
        <w:gridCol w:w="3335"/>
        <w:gridCol w:w="60"/>
        <w:gridCol w:w="253"/>
        <w:gridCol w:w="1206"/>
        <w:gridCol w:w="64"/>
        <w:gridCol w:w="64"/>
        <w:gridCol w:w="257"/>
        <w:gridCol w:w="1217"/>
        <w:gridCol w:w="60"/>
      </w:tblGrid>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061" w:type="dxa"/>
            <w:gridSpan w:val="6"/>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For the Year Ended</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5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February 3, 2024</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14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January 28, 2023</w:t>
            </w:r>
          </w:p>
        </w:tc>
        <w:tc>
          <w:tcPr>
            <w:tcW w:w="60" w:type="dxa"/>
            <w:tcBorders/>
            <w:shd w:fill="FFFFFF" w:val="clear"/>
            <w:vAlign w:val="center"/>
          </w:tcPr>
          <w:p>
            <w:pPr>
              <w:pStyle w:val="TableContents"/>
              <w:bidi w:val="0"/>
              <w:spacing w:before="0" w:after="283"/>
              <w:jc w:val="left"/>
              <w:rPr/>
            </w:pPr>
            <w:r>
              <w:rPr/>
              <w:t> </w:t>
            </w:r>
          </w:p>
        </w:tc>
      </w:tr>
      <w:tr>
        <w:trPr/>
        <w:tc>
          <w:tcPr>
            <w:tcW w:w="3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for 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0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39,598</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25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37,285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Operating cash flows for operating leases for fiscal </w:t>
      </w:r>
      <w:r>
        <w:rPr>
          <w:rStyle w:val="Emphasis"/>
          <w:rFonts w:ascii="Times New Roman;Times;serif" w:hAnsi="Times New Roman;Times;serif"/>
          <w:sz w:val="20"/>
        </w:rPr>
        <w:t>2023</w:t>
      </w:r>
      <w:r>
        <w:rPr>
          <w:rFonts w:ascii="Times New Roman;Times;serif" w:hAnsi="Times New Roman;Times;serif"/>
          <w:sz w:val="20"/>
        </w:rPr>
        <w:t xml:space="preserve"> increased from the operating cash flows for operating leases for the same periods in fiscal </w:t>
      </w:r>
      <w:r>
        <w:rPr>
          <w:rStyle w:val="Emphasis"/>
          <w:rFonts w:ascii="Times New Roman;Times;serif" w:hAnsi="Times New Roman;Times;serif"/>
          <w:sz w:val="20"/>
        </w:rPr>
        <w:t>2022,</w:t>
      </w:r>
      <w:r>
        <w:rPr>
          <w:rFonts w:ascii="Times New Roman;Times;serif" w:hAnsi="Times New Roman;Times;serif"/>
          <w:sz w:val="20"/>
        </w:rPr>
        <w:t xml:space="preserve"> primarily due to increased corporately-managed store count and overall increases in market rent.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As of </w:t>
      </w:r>
      <w:r>
        <w:rPr>
          <w:rStyle w:val="Emphasis"/>
          <w:rFonts w:ascii="Times New Roman;Times;serif" w:hAnsi="Times New Roman;Times;serif"/>
          <w:sz w:val="20"/>
        </w:rPr>
        <w:t>February 3, 2024</w:t>
      </w:r>
      <w:r>
        <w:rPr>
          <w:rFonts w:ascii="Times New Roman;Times;serif" w:hAnsi="Times New Roman;Times;serif"/>
          <w:sz w:val="20"/>
        </w:rPr>
        <w:t>, the weighted-average remaining operating lease term was 4.3 years and the weighted-average discount rate was 6.7% for operating leases recognized on the consolidated balance sheet.</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54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 w:hAnsi="Times New Roman"/>
          <w:caps w:val="false"/>
          <w:smallCaps w:val="false"/>
          <w:sz w:val="20"/>
        </w:rPr>
        <w:t>The Company recorded immaterial impairment charges during</w:t>
      </w:r>
      <w:r>
        <w:rPr>
          <w:rFonts w:ascii="Times New Roman" w:hAnsi="Times New Roman"/>
          <w:caps w:val="false"/>
          <w:smallCaps w:val="false"/>
          <w:sz w:val="20"/>
          <w:shd w:fill="FFFFFF" w:val="clear"/>
        </w:rPr>
        <w:t xml:space="preserve"> fiscal </w:t>
      </w:r>
      <w:r>
        <w:rPr>
          <w:rStyle w:val="Emphasis"/>
          <w:rFonts w:ascii="Times New Roman" w:hAnsi="Times New Roman"/>
          <w:caps w:val="false"/>
          <w:smallCaps w:val="false"/>
          <w:sz w:val="20"/>
        </w:rPr>
        <w:t>2023</w:t>
      </w:r>
      <w:r>
        <w:rPr>
          <w:rFonts w:ascii="Times New Roman" w:hAnsi="Times New Roman"/>
          <w:caps w:val="false"/>
          <w:smallCaps w:val="false"/>
          <w:sz w:val="20"/>
          <w:shd w:fill="FFFFFF" w:val="clear"/>
        </w:rPr>
        <w:t> and</w:t>
      </w:r>
      <w:r>
        <w:rPr>
          <w:rFonts w:ascii="Times New Roman" w:hAnsi="Times New Roman"/>
          <w:caps w:val="false"/>
          <w:smallCaps w:val="false"/>
          <w:sz w:val="20"/>
        </w:rPr>
        <w:t> </w:t>
      </w:r>
      <w:r>
        <w:rPr>
          <w:rStyle w:val="Emphasis"/>
          <w:rFonts w:ascii="Times New Roman" w:hAnsi="Times New Roman"/>
          <w:caps w:val="false"/>
          <w:smallCaps w:val="false"/>
          <w:sz w:val="20"/>
        </w:rPr>
        <w:t>2022</w:t>
      </w:r>
      <w:r>
        <w:rPr>
          <w:rFonts w:ascii="Times New Roman" w:hAnsi="Times New Roman"/>
          <w:caps w:val="false"/>
          <w:smallCaps w:val="false"/>
          <w:sz w:val="20"/>
          <w:shd w:fill="FFFFFF" w:val="clear"/>
        </w:rPr>
        <w:t> against its right-of-use operating lease assets in the Company's DTC segment. </w:t>
      </w:r>
    </w:p>
    <w:p>
      <w:pPr>
        <w:pStyle w:val="TextBody"/>
        <w:bidi w:val="0"/>
        <w:spacing w:before="0" w:after="0"/>
        <w:ind w:left="0" w:right="0" w:firstLine="360"/>
        <w:jc w:val="both"/>
        <w:rPr/>
      </w:pPr>
      <w:r>
        <w:rPr/>
        <w:t>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Undiscounted cash flows</w:t>
      </w:r>
    </w:p>
    <w:p>
      <w:pPr>
        <w:pStyle w:val="TextBody"/>
        <w:bidi w:val="0"/>
        <w:spacing w:before="0" w:after="0"/>
        <w:ind w:left="0" w:right="0" w:firstLine="540"/>
        <w:jc w:val="both"/>
        <w:rPr/>
      </w:pPr>
      <w:r>
        <w:rPr>
          <w:rFonts w:ascii="Times New Roman;Times;serif" w:hAnsi="Times New Roman;Times;serif"/>
          <w:sz w:val="20"/>
        </w:rPr>
        <w:t xml:space="preserve">The table below reconciles the undiscounted cash flows for each of the </w:t>
      </w:r>
      <w:r>
        <w:rPr>
          <w:rStyle w:val="Emphasis"/>
          <w:rFonts w:ascii="Times New Roman;Times;serif" w:hAnsi="Times New Roman;Times;serif"/>
          <w:sz w:val="20"/>
        </w:rPr>
        <w:t>first</w:t>
      </w:r>
      <w:r>
        <w:rPr>
          <w:rFonts w:ascii="Times New Roman;Times;serif" w:hAnsi="Times New Roman;Times;serif"/>
          <w:sz w:val="20"/>
        </w:rPr>
        <w:t xml:space="preserve"> </w:t>
      </w:r>
      <w:r>
        <w:rPr>
          <w:rStyle w:val="Emphasis"/>
          <w:rFonts w:ascii="Times New Roman;Times;serif" w:hAnsi="Times New Roman;Times;serif"/>
          <w:sz w:val="20"/>
        </w:rPr>
        <w:t>five</w:t>
      </w:r>
      <w:r>
        <w:rPr>
          <w:rFonts w:ascii="Times New Roman;Times;serif" w:hAnsi="Times New Roman;Times;serif"/>
          <w:sz w:val="20"/>
        </w:rPr>
        <w:t xml:space="preserve"> years and total remaining years to the operating lease liabilities recorded on the balance sheet (in thousands).</w:t>
      </w:r>
    </w:p>
    <w:p>
      <w:pPr>
        <w:pStyle w:val="TextBody"/>
        <w:bidi w:val="0"/>
        <w:spacing w:before="0" w:after="0"/>
        <w:ind w:left="0" w:right="0" w:firstLine="360"/>
        <w:jc w:val="left"/>
        <w:rPr/>
      </w:pPr>
      <w:r>
        <w:rPr/>
        <w:t> </w:t>
      </w:r>
    </w:p>
    <w:tbl>
      <w:tblPr>
        <w:tblW w:w="5195" w:type="dxa"/>
        <w:jc w:val="left"/>
        <w:tblInd w:w="0" w:type="dxa"/>
        <w:tblLayout w:type="fixed"/>
        <w:tblCellMar>
          <w:top w:w="0" w:type="dxa"/>
          <w:left w:w="0" w:type="dxa"/>
          <w:bottom w:w="0" w:type="dxa"/>
          <w:right w:w="0" w:type="dxa"/>
        </w:tblCellMar>
      </w:tblPr>
      <w:tblGrid>
        <w:gridCol w:w="4280"/>
        <w:gridCol w:w="60"/>
        <w:gridCol w:w="125"/>
        <w:gridCol w:w="650"/>
        <w:gridCol w:w="80"/>
      </w:tblGrid>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Leases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2024</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29,604</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24,102</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15,223</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10,172</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5,652</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13,141</w:t>
            </w:r>
          </w:p>
        </w:tc>
        <w:tc>
          <w:tcPr>
            <w:tcW w:w="80" w:type="dxa"/>
            <w:tcBorders/>
            <w:shd w:fill="FFFFFF" w:val="clear"/>
            <w:vAlign w:val="center"/>
          </w:tcPr>
          <w:p>
            <w:pPr>
              <w:pStyle w:val="TableContents"/>
              <w:bidi w:val="0"/>
              <w:spacing w:before="0" w:after="283"/>
              <w:jc w:val="left"/>
              <w:rPr/>
            </w:pPr>
            <w:r>
              <w:rPr/>
              <w:t> </w:t>
            </w:r>
          </w:p>
        </w:tc>
      </w:tr>
      <w:tr>
        <w:trPr/>
        <w:tc>
          <w:tcPr>
            <w:tcW w:w="42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97,894</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amount of lease payments representing interest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Present value of future minimum lease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83,570</w:t>
            </w:r>
          </w:p>
        </w:tc>
        <w:tc>
          <w:tcPr>
            <w:tcW w:w="80" w:type="dxa"/>
            <w:tcBorders/>
            <w:shd w:fill="CCEEFF" w:val="clear"/>
            <w:vAlign w:val="center"/>
          </w:tcPr>
          <w:p>
            <w:pPr>
              <w:pStyle w:val="TableContents"/>
              <w:bidi w:val="0"/>
              <w:spacing w:before="0" w:after="283"/>
              <w:jc w:val="left"/>
              <w:rPr/>
            </w:pPr>
            <w:r>
              <w:rPr/>
              <w:t> </w:t>
            </w:r>
          </w:p>
        </w:tc>
      </w:tr>
      <w:tr>
        <w:trPr/>
        <w:tc>
          <w:tcPr>
            <w:tcW w:w="42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current obligations under leases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(25,961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2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Long-term lease obligations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57,609</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As of </w:t>
      </w:r>
      <w:r>
        <w:rPr>
          <w:rStyle w:val="Emphasis"/>
          <w:rFonts w:ascii="Times New Roman;Times;serif" w:hAnsi="Times New Roman;Times;serif"/>
          <w:sz w:val="20"/>
        </w:rPr>
        <w:t>February 3, 2024</w:t>
      </w:r>
      <w:r>
        <w:rPr>
          <w:rFonts w:ascii="Times New Roman;Times;serif" w:hAnsi="Times New Roman;Times;serif"/>
          <w:sz w:val="20"/>
        </w:rPr>
        <w:t xml:space="preserve">, the Company had additional executed leases that had </w:t>
      </w:r>
      <w:r>
        <w:rPr>
          <w:rStyle w:val="Emphasis"/>
          <w:rFonts w:ascii="Times New Roman;Times;serif" w:hAnsi="Times New Roman;Times;serif"/>
          <w:sz w:val="20"/>
        </w:rPr>
        <w:t>not</w:t>
      </w:r>
      <w:r>
        <w:rPr>
          <w:rFonts w:ascii="Times New Roman;Times;serif" w:hAnsi="Times New Roman;Times;serif"/>
          <w:sz w:val="20"/>
        </w:rPr>
        <w:t xml:space="preserve"> yet commenced with operating lease liabilities totaling $6.3 million. These leases are expected to commence in the </w:t>
      </w:r>
      <w:r>
        <w:rPr>
          <w:rStyle w:val="Emphasis"/>
          <w:rFonts w:ascii="Times New Roman;Times;serif" w:hAnsi="Times New Roman;Times;serif"/>
          <w:sz w:val="20"/>
        </w:rPr>
        <w:t>first</w:t>
      </w:r>
      <w:r>
        <w:rPr>
          <w:rFonts w:ascii="Times New Roman;Times;serif" w:hAnsi="Times New Roman;Times;serif"/>
          <w:sz w:val="20"/>
        </w:rPr>
        <w:t xml:space="preserve"> quarter of fiscal </w:t>
      </w:r>
      <w:r>
        <w:rPr>
          <w:rStyle w:val="Emphasis"/>
          <w:rFonts w:ascii="Times New Roman;Times;serif" w:hAnsi="Times New Roman;Times;serif"/>
          <w:sz w:val="20"/>
        </w:rPr>
        <w:t>2024</w:t>
      </w:r>
      <w:r>
        <w:rPr>
          <w:rFonts w:ascii="Times New Roman;Times;serif" w:hAnsi="Times New Roman;Times;serif"/>
          <w:sz w:val="20"/>
        </w:rPr>
        <w:t> with lease terms of seven to ten years. </w:t>
      </w:r>
    </w:p>
    <w:p>
      <w:pPr>
        <w:pStyle w:val="TextBody"/>
        <w:bidi w:val="0"/>
        <w:spacing w:before="0" w:after="0"/>
        <w:ind w:left="0" w:right="0" w:firstLine="540"/>
        <w:jc w:val="left"/>
        <w:rPr/>
      </w:pPr>
      <w:r>
        <w:rPr/>
        <w:t> </w:t>
      </w:r>
    </w:p>
    <w:p>
      <w:pPr>
        <w:pStyle w:val="TextBody"/>
        <w:bidi w:val="0"/>
        <w:spacing w:before="0" w:after="0"/>
        <w:jc w:val="left"/>
        <w:rPr/>
      </w:pPr>
      <w:r>
        <w:rPr/>
        <w:t xml:space="preserve">  </w:t>
      </w:r>
    </w:p>
    <w:tbl>
      <w:tblPr>
        <w:tblW w:w="4030" w:type="dxa"/>
        <w:jc w:val="left"/>
        <w:tblInd w:w="0" w:type="dxa"/>
        <w:tblLayout w:type="fixed"/>
        <w:tblCellMar>
          <w:top w:w="0" w:type="dxa"/>
          <w:left w:w="0" w:type="dxa"/>
          <w:bottom w:w="0" w:type="dxa"/>
          <w:right w:w="0" w:type="dxa"/>
        </w:tblCellMar>
      </w:tblPr>
      <w:tblGrid>
        <w:gridCol w:w="290"/>
        <w:gridCol w:w="3740"/>
      </w:tblGrid>
      <w:tr>
        <w:trPr/>
        <w:tc>
          <w:tcPr>
            <w:tcW w:w="29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5</w:t>
            </w:r>
            <w:r>
              <w:rPr>
                <w:rFonts w:ascii="Times New Roman;Times;serif" w:hAnsi="Times New Roman;Times;serif"/>
                <w:b/>
                <w:sz w:val="20"/>
              </w:rPr>
              <w:t xml:space="preserve">) </w:t>
            </w:r>
          </w:p>
        </w:tc>
        <w:tc>
          <w:tcPr>
            <w:tcW w:w="3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Prepaid Expenses and Other Current Assets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rFonts w:ascii="Times New Roman;Times;serif" w:hAnsi="Times New Roman;Times;serif"/>
          <w:color w:val="000000"/>
          <w:sz w:val="20"/>
        </w:rPr>
      </w:pPr>
      <w:r>
        <w:rPr>
          <w:rFonts w:ascii="Times New Roman;Times;serif" w:hAnsi="Times New Roman;Times;serif"/>
          <w:color w:val="000000"/>
          <w:sz w:val="20"/>
        </w:rPr>
        <w:t>Prepaid expenses and other current assets consist of the following (in thousands):</w:t>
      </w:r>
    </w:p>
    <w:p>
      <w:pPr>
        <w:pStyle w:val="TextBody"/>
        <w:bidi w:val="0"/>
        <w:spacing w:before="0" w:after="0"/>
        <w:ind w:left="0" w:right="0" w:firstLine="490"/>
        <w:jc w:val="center"/>
        <w:rPr/>
      </w:pPr>
      <w:r>
        <w:rPr/>
        <w:t> </w:t>
      </w:r>
    </w:p>
    <w:tbl>
      <w:tblPr>
        <w:tblW w:w="4213" w:type="dxa"/>
        <w:jc w:val="left"/>
        <w:tblInd w:w="0" w:type="dxa"/>
        <w:tblLayout w:type="fixed"/>
        <w:tblCellMar>
          <w:top w:w="0" w:type="dxa"/>
          <w:left w:w="0" w:type="dxa"/>
          <w:bottom w:w="0" w:type="dxa"/>
          <w:right w:w="0" w:type="dxa"/>
        </w:tblCellMar>
      </w:tblPr>
      <w:tblGrid>
        <w:gridCol w:w="1970"/>
        <w:gridCol w:w="60"/>
        <w:gridCol w:w="172"/>
        <w:gridCol w:w="822"/>
        <w:gridCol w:w="60"/>
        <w:gridCol w:w="60"/>
        <w:gridCol w:w="176"/>
        <w:gridCol w:w="833"/>
        <w:gridCol w:w="60"/>
      </w:tblGrid>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Prepaid occupancy (1)</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insurance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gift card fees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835</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royalties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301</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Prepaid taxes (2)</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Prepaid merchandise (3)</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6,047</w:t>
            </w:r>
          </w:p>
        </w:tc>
        <w:tc>
          <w:tcPr>
            <w:tcW w:w="60" w:type="dxa"/>
            <w:tcBorders/>
            <w:shd w:fill="FFFFFF" w:val="clear"/>
            <w:vAlign w:val="center"/>
          </w:tcPr>
          <w:p>
            <w:pPr>
              <w:pStyle w:val="TableContents"/>
              <w:bidi w:val="0"/>
              <w:spacing w:before="0" w:after="283"/>
              <w:jc w:val="left"/>
              <w:rPr/>
            </w:pPr>
            <w:r>
              <w:rPr/>
              <w:t> </w:t>
            </w:r>
          </w:p>
        </w:tc>
      </w:tr>
      <w:tr>
        <w:trPr/>
        <w:tc>
          <w:tcPr>
            <w:tcW w:w="197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Other (4)</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8,701</w:t>
            </w:r>
          </w:p>
        </w:tc>
        <w:tc>
          <w:tcPr>
            <w:tcW w:w="60" w:type="dxa"/>
            <w:tcBorders/>
            <w:shd w:fill="CCEEFF" w:val="clear"/>
            <w:vAlign w:val="center"/>
          </w:tcPr>
          <w:p>
            <w:pPr>
              <w:pStyle w:val="TableContents"/>
              <w:bidi w:val="0"/>
              <w:spacing w:before="0" w:after="283"/>
              <w:jc w:val="left"/>
              <w:rPr/>
            </w:pPr>
            <w:r>
              <w:rPr/>
              <w:t> </w:t>
            </w:r>
          </w:p>
        </w:tc>
      </w:tr>
      <w:tr>
        <w:trPr/>
        <w:tc>
          <w:tcPr>
            <w:tcW w:w="197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19,374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2340" w:right="0" w:hanging="239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Prepaid occupancy consists of prepaid expenses related to non-lease components.</w:t>
      </w:r>
    </w:p>
    <w:p>
      <w:pPr>
        <w:pStyle w:val="TextBody"/>
        <w:bidi w:val="0"/>
        <w:spacing w:before="0" w:after="0"/>
        <w:ind w:left="2340" w:right="0" w:hanging="239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Prepaid taxes consist of prepaid federal and state income tax.</w:t>
      </w:r>
    </w:p>
    <w:p>
      <w:pPr>
        <w:pStyle w:val="TextBody"/>
        <w:bidi w:val="0"/>
        <w:spacing w:before="0" w:after="0"/>
        <w:ind w:left="2340" w:right="0" w:hanging="239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 xml:space="preserve">) Prepaid merchandise consists of prepaid purchase orders of inventory that are </w:t>
      </w:r>
      <w:r>
        <w:rPr>
          <w:rStyle w:val="Emphasis"/>
          <w:rFonts w:ascii="Times New Roman;Times;serif" w:hAnsi="Times New Roman;Times;serif"/>
          <w:sz w:val="20"/>
        </w:rPr>
        <w:t>not</w:t>
      </w:r>
      <w:r>
        <w:rPr>
          <w:rFonts w:ascii="Times New Roman;Times;serif" w:hAnsi="Times New Roman;Times;serif"/>
          <w:sz w:val="20"/>
        </w:rPr>
        <w:t xml:space="preserve"> in transit as of fiscal year end.</w:t>
      </w:r>
    </w:p>
    <w:p>
      <w:pPr>
        <w:pStyle w:val="TextBody"/>
        <w:bidi w:val="0"/>
        <w:spacing w:before="0" w:after="0"/>
        <w:ind w:left="2340" w:right="0" w:hanging="2390"/>
        <w:jc w:val="both"/>
        <w:rPr/>
      </w:pPr>
      <w:r>
        <w:rPr>
          <w:rFonts w:ascii="Times New Roman;Times;serif" w:hAnsi="Times New Roman;Times;serif"/>
          <w:sz w:val="20"/>
        </w:rPr>
        <w:t>(</w:t>
      </w:r>
      <w:r>
        <w:rPr>
          <w:rStyle w:val="Emphasis"/>
          <w:rFonts w:ascii="Times New Roman;Times;serif" w:hAnsi="Times New Roman;Times;serif"/>
          <w:sz w:val="20"/>
        </w:rPr>
        <w:t>4</w:t>
      </w:r>
      <w:r>
        <w:rPr>
          <w:rFonts w:ascii="Times New Roman;Times;serif" w:hAnsi="Times New Roman;Times;serif"/>
          <w:sz w:val="20"/>
        </w:rPr>
        <w:t>) Other consists primarily of prepaid expenses related to IT maintenance contracts and software as a service.</w:t>
      </w:r>
    </w:p>
    <w:p>
      <w:pPr>
        <w:pStyle w:val="TextBody"/>
        <w:bidi w:val="0"/>
        <w:spacing w:before="0" w:after="0"/>
        <w:ind w:left="1980" w:right="0" w:hanging="1850"/>
        <w:jc w:val="both"/>
        <w:rPr/>
      </w:pPr>
      <w:r>
        <w:rPr/>
        <w:t> </w:t>
      </w:r>
    </w:p>
    <w:p>
      <w:pPr>
        <w:pStyle w:val="TextBody"/>
        <w:bidi w:val="0"/>
        <w:spacing w:before="0" w:after="0"/>
        <w:ind w:left="0" w:right="0" w:firstLine="540"/>
        <w:jc w:val="both"/>
        <w:rPr>
          <w:rFonts w:ascii="Times New Roman;Times;serif" w:hAnsi="Times New Roman;Times;serif"/>
          <w:color w:val="000000"/>
          <w:sz w:val="20"/>
        </w:rPr>
      </w:pPr>
      <w:r>
        <w:rPr>
          <w:rFonts w:ascii="Times New Roman;Times;serif" w:hAnsi="Times New Roman;Times;serif"/>
          <w:color w:val="000000"/>
          <w:sz w:val="20"/>
        </w:rPr>
        <w:t>Other non-current assets consist of the following (in thousands):</w:t>
      </w:r>
    </w:p>
    <w:p>
      <w:pPr>
        <w:pStyle w:val="TextBody"/>
        <w:bidi w:val="0"/>
        <w:spacing w:before="0" w:after="0"/>
        <w:ind w:left="1980" w:right="0" w:hanging="1850"/>
        <w:jc w:val="both"/>
        <w:rPr/>
      </w:pPr>
      <w:r>
        <w:rPr/>
        <w:t> </w:t>
      </w:r>
    </w:p>
    <w:tbl>
      <w:tblPr>
        <w:tblW w:w="4798" w:type="dxa"/>
        <w:jc w:val="left"/>
        <w:tblInd w:w="0" w:type="dxa"/>
        <w:tblLayout w:type="fixed"/>
        <w:tblCellMar>
          <w:top w:w="0" w:type="dxa"/>
          <w:left w:w="0" w:type="dxa"/>
          <w:bottom w:w="0" w:type="dxa"/>
          <w:right w:w="0" w:type="dxa"/>
        </w:tblCellMar>
      </w:tblPr>
      <w:tblGrid>
        <w:gridCol w:w="2555"/>
        <w:gridCol w:w="60"/>
        <w:gridCol w:w="202"/>
        <w:gridCol w:w="792"/>
        <w:gridCol w:w="60"/>
        <w:gridCol w:w="60"/>
        <w:gridCol w:w="206"/>
        <w:gridCol w:w="803"/>
        <w:gridCol w:w="60"/>
      </w:tblGrid>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Entertainment production asset</w:t>
            </w:r>
          </w:p>
        </w:tc>
        <w:tc>
          <w:tcPr>
            <w:tcW w:w="60"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2,939</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compensation</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7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80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853</w:t>
            </w:r>
          </w:p>
        </w:tc>
        <w:tc>
          <w:tcPr>
            <w:tcW w:w="60"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(1)</w:t>
            </w:r>
          </w:p>
        </w:tc>
        <w:tc>
          <w:tcPr>
            <w:tcW w:w="60" w:type="dxa"/>
            <w:tcBorders/>
            <w:shd w:fill="CCEEFF" w:val="clear"/>
            <w:vAlign w:val="center"/>
          </w:tcPr>
          <w:p>
            <w:pPr>
              <w:pStyle w:val="TableContents"/>
              <w:bidi w:val="0"/>
              <w:spacing w:before="0" w:after="283"/>
              <w:jc w:val="left"/>
              <w:rPr/>
            </w:pPr>
            <w:r>
              <w:rPr/>
              <w:t> </w:t>
            </w:r>
          </w:p>
        </w:tc>
        <w:tc>
          <w:tcPr>
            <w:tcW w:w="20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429</w:t>
            </w:r>
          </w:p>
        </w:tc>
        <w:tc>
          <w:tcPr>
            <w:tcW w:w="60"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9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Other consists primarily of deferred financing costs related to the Company's credit facility.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55</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2710" w:type="dxa"/>
        <w:jc w:val="left"/>
        <w:tblInd w:w="0" w:type="dxa"/>
        <w:tblLayout w:type="fixed"/>
        <w:tblCellMar>
          <w:top w:w="0" w:type="dxa"/>
          <w:left w:w="0" w:type="dxa"/>
          <w:bottom w:w="0" w:type="dxa"/>
          <w:right w:w="0" w:type="dxa"/>
        </w:tblCellMar>
      </w:tblPr>
      <w:tblGrid>
        <w:gridCol w:w="245"/>
        <w:gridCol w:w="2465"/>
      </w:tblGrid>
      <w:tr>
        <w:trPr/>
        <w:tc>
          <w:tcPr>
            <w:tcW w:w="245" w:type="dxa"/>
            <w:tcBorders/>
            <w:vAlign w:val="center"/>
          </w:tcPr>
          <w:p>
            <w:pPr>
              <w:pStyle w:val="TableContents"/>
              <w:bidi w:val="0"/>
              <w:spacing w:before="0" w:after="0"/>
              <w:ind w:left="0" w:right="0" w:hanging="0"/>
              <w:jc w:val="left"/>
              <w:rPr/>
            </w:pPr>
            <w:r>
              <w:rPr>
                <w:rFonts w:ascii="Times New Roman;Times;serif" w:hAnsi="Times New Roman;Times;serif"/>
                <w:b/>
                <w:sz w:val="20"/>
              </w:rPr>
              <w:t>(</w:t>
            </w:r>
            <w:r>
              <w:rPr>
                <w:rStyle w:val="Emphasis"/>
                <w:rFonts w:ascii="Times New Roman;Times;serif" w:hAnsi="Times New Roman;Times;serif"/>
                <w:b/>
                <w:sz w:val="20"/>
              </w:rPr>
              <w:t>6</w:t>
            </w:r>
            <w:r>
              <w:rPr>
                <w:rFonts w:ascii="Times New Roman;Times;serif" w:hAnsi="Times New Roman;Times;serif"/>
                <w:b/>
                <w:sz w:val="20"/>
              </w:rPr>
              <w:t>)</w:t>
            </w:r>
          </w:p>
        </w:tc>
        <w:tc>
          <w:tcPr>
            <w:tcW w:w="24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Property and Equipment, net</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Property and equipment, net consist of the following (in thousands):</w:t>
      </w:r>
    </w:p>
    <w:p>
      <w:pPr>
        <w:pStyle w:val="TextBody"/>
        <w:bidi w:val="0"/>
        <w:spacing w:before="0" w:after="0"/>
        <w:ind w:left="0" w:right="0" w:hanging="0"/>
        <w:jc w:val="both"/>
        <w:rPr/>
      </w:pPr>
      <w:r>
        <w:rPr/>
        <w:t> </w:t>
      </w:r>
    </w:p>
    <w:tbl>
      <w:tblPr>
        <w:tblW w:w="4768" w:type="dxa"/>
        <w:jc w:val="left"/>
        <w:tblInd w:w="0" w:type="dxa"/>
        <w:tblLayout w:type="fixed"/>
        <w:tblCellMar>
          <w:top w:w="0" w:type="dxa"/>
          <w:left w:w="0" w:type="dxa"/>
          <w:bottom w:w="0" w:type="dxa"/>
          <w:right w:w="0" w:type="dxa"/>
        </w:tblCellMar>
      </w:tblPr>
      <w:tblGrid>
        <w:gridCol w:w="2525"/>
        <w:gridCol w:w="60"/>
        <w:gridCol w:w="151"/>
        <w:gridCol w:w="843"/>
        <w:gridCol w:w="60"/>
        <w:gridCol w:w="60"/>
        <w:gridCol w:w="153"/>
        <w:gridCol w:w="856"/>
        <w:gridCol w:w="60"/>
      </w:tblGrid>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2,261</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Furniture and fixtures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26,134</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843"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16,296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15,556</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101,126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98,808</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14,969</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hardware</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ind w:left="0" w:right="0" w:hanging="0"/>
              <w:jc w:val="left"/>
              <w:rPr/>
            </w:pPr>
            <w:r>
              <w:rPr/>
              <w:t> </w:t>
            </w:r>
          </w:p>
        </w:tc>
        <w:tc>
          <w:tcPr>
            <w:tcW w:w="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21,509</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software</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25,696</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progress</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10,895</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ind w:left="0" w:right="0" w:hanging="0"/>
              <w:jc w:val="left"/>
              <w:rPr/>
            </w:pPr>
            <w:r>
              <w:rPr/>
              <w:t> </w:t>
            </w:r>
          </w:p>
        </w:tc>
        <w:tc>
          <w:tcPr>
            <w:tcW w:w="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215,828</w:t>
            </w:r>
          </w:p>
        </w:tc>
        <w:tc>
          <w:tcPr>
            <w:tcW w:w="60" w:type="dxa"/>
            <w:tcBorders/>
            <w:shd w:fill="CCEEFF" w:val="clear"/>
            <w:vAlign w:val="center"/>
          </w:tcPr>
          <w:p>
            <w:pPr>
              <w:pStyle w:val="TableContents"/>
              <w:bidi w:val="0"/>
              <w:spacing w:before="0" w:after="283"/>
              <w:jc w:val="left"/>
              <w:rPr/>
            </w:pPr>
            <w:r>
              <w:rPr/>
              <w:t> </w:t>
            </w:r>
          </w:p>
        </w:tc>
      </w:tr>
      <w:tr>
        <w:trPr/>
        <w:tc>
          <w:tcPr>
            <w:tcW w:w="252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170,393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165,069</w:t>
            </w:r>
          </w:p>
        </w:tc>
        <w:tc>
          <w:tcPr>
            <w:tcW w:w="60" w:type="dxa"/>
            <w:tcBorders/>
            <w:shd w:fill="FFFFFF" w:val="clear"/>
            <w:vAlign w:val="center"/>
          </w:tcPr>
          <w:p>
            <w:pPr>
              <w:pStyle w:val="TableContents"/>
              <w:bidi w:val="0"/>
              <w:spacing w:before="0" w:after="283"/>
              <w:jc w:val="left"/>
              <w:rPr/>
            </w:pPr>
            <w:r>
              <w:rPr/>
              <w:t> </w:t>
            </w:r>
          </w:p>
        </w:tc>
      </w:tr>
      <w:tr>
        <w:trPr/>
        <w:tc>
          <w:tcPr>
            <w:tcW w:w="252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net</w:t>
            </w:r>
          </w:p>
        </w:tc>
        <w:tc>
          <w:tcPr>
            <w:tcW w:w="60" w:type="dxa"/>
            <w:tcBorders/>
            <w:shd w:fill="CCEEFF" w:val="clear"/>
            <w:vAlign w:val="center"/>
          </w:tcPr>
          <w:p>
            <w:pPr>
              <w:pStyle w:val="TableContents"/>
              <w:bidi w:val="0"/>
              <w:spacing w:before="0" w:after="283"/>
              <w:ind w:left="0" w:right="0" w:hanging="0"/>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50,759</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rPr>
        <w:t>For fiscal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depreciation expense was $13.7 million and $12.5 million, respectively.</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The Company recorded immaterial impairment charges during fiscal </w:t>
      </w:r>
      <w:r>
        <w:rPr>
          <w:rStyle w:val="Emphasis"/>
          <w:rFonts w:ascii="Times New Roman;Times;serif" w:hAnsi="Times New Roman;Times;serif"/>
          <w:sz w:val="20"/>
        </w:rPr>
        <w:t>2023</w:t>
      </w:r>
      <w:r>
        <w:rPr>
          <w:rFonts w:ascii="Times New Roman;Times;serif" w:hAnsi="Times New Roman;Times;serif"/>
          <w:sz w:val="20"/>
        </w:rPr>
        <w:t> and </w:t>
      </w:r>
      <w:r>
        <w:rPr>
          <w:rStyle w:val="Emphasis"/>
          <w:rFonts w:ascii="Times New Roman;Times;serif" w:hAnsi="Times New Roman;Times;serif"/>
          <w:sz w:val="20"/>
        </w:rPr>
        <w:t>2022</w:t>
      </w:r>
      <w:r>
        <w:rPr>
          <w:rFonts w:ascii="Times New Roman;Times;serif" w:hAnsi="Times New Roman;Times;serif"/>
          <w:sz w:val="20"/>
        </w:rPr>
        <w:t>  for long-lived assets in the Company's DTC segment.</w:t>
      </w:r>
    </w:p>
    <w:p>
      <w:pPr>
        <w:pStyle w:val="TextBody"/>
        <w:bidi w:val="0"/>
        <w:spacing w:before="0" w:after="0"/>
        <w:ind w:left="0" w:right="0" w:firstLine="490"/>
        <w:jc w:val="both"/>
        <w:rPr/>
      </w:pPr>
      <w:r>
        <w:rPr/>
        <w:t> </w:t>
      </w:r>
    </w:p>
    <w:p>
      <w:pPr>
        <w:pStyle w:val="TextBody"/>
        <w:bidi w:val="0"/>
        <w:spacing w:before="0" w:after="0"/>
        <w:jc w:val="left"/>
        <w:rPr/>
      </w:pPr>
      <w:r>
        <w:rPr/>
        <w:t xml:space="preserve">  </w:t>
      </w:r>
    </w:p>
    <w:tbl>
      <w:tblPr>
        <w:tblW w:w="1840" w:type="dxa"/>
        <w:jc w:val="left"/>
        <w:tblInd w:w="0" w:type="dxa"/>
        <w:tblLayout w:type="fixed"/>
        <w:tblCellMar>
          <w:top w:w="0" w:type="dxa"/>
          <w:left w:w="0" w:type="dxa"/>
          <w:bottom w:w="0" w:type="dxa"/>
          <w:right w:w="0" w:type="dxa"/>
        </w:tblCellMar>
      </w:tblPr>
      <w:tblGrid>
        <w:gridCol w:w="290"/>
        <w:gridCol w:w="1550"/>
      </w:tblGrid>
      <w:tr>
        <w:trPr/>
        <w:tc>
          <w:tcPr>
            <w:tcW w:w="29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7</w:t>
            </w:r>
            <w:r>
              <w:rPr>
                <w:rFonts w:ascii="Times New Roman;Times;serif" w:hAnsi="Times New Roman;Times;serif"/>
                <w:b/>
                <w:sz w:val="20"/>
              </w:rPr>
              <w:t xml:space="preserve">) </w:t>
            </w:r>
          </w:p>
        </w:tc>
        <w:tc>
          <w:tcPr>
            <w:tcW w:w="15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Accrued Expenses</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Accrued expenses consist of the following (in thousands):</w:t>
      </w:r>
    </w:p>
    <w:p>
      <w:pPr>
        <w:pStyle w:val="TextBody"/>
        <w:bidi w:val="0"/>
        <w:spacing w:before="0" w:after="0"/>
        <w:ind w:left="0" w:right="0" w:hanging="0"/>
        <w:jc w:val="left"/>
        <w:rPr/>
      </w:pPr>
      <w:r>
        <w:rPr/>
        <w:t> </w:t>
      </w:r>
    </w:p>
    <w:tbl>
      <w:tblPr>
        <w:tblW w:w="5953" w:type="dxa"/>
        <w:jc w:val="left"/>
        <w:tblInd w:w="0" w:type="dxa"/>
        <w:tblLayout w:type="fixed"/>
        <w:tblCellMar>
          <w:top w:w="0" w:type="dxa"/>
          <w:left w:w="0" w:type="dxa"/>
          <w:bottom w:w="0" w:type="dxa"/>
          <w:right w:w="0" w:type="dxa"/>
        </w:tblCellMar>
      </w:tblPr>
      <w:tblGrid>
        <w:gridCol w:w="3710"/>
        <w:gridCol w:w="60"/>
        <w:gridCol w:w="172"/>
        <w:gridCol w:w="822"/>
        <w:gridCol w:w="60"/>
        <w:gridCol w:w="60"/>
        <w:gridCol w:w="176"/>
        <w:gridCol w:w="833"/>
        <w:gridCol w:w="60"/>
      </w:tblGrid>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wages, bonuses and related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23,767</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Sales tax payable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4,561</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Accrued rent and related expenses (1)</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taxes payable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w:t>
            </w:r>
          </w:p>
        </w:tc>
        <w:tc>
          <w:tcPr>
            <w:tcW w:w="60" w:type="dxa"/>
            <w:tcBorders/>
            <w:shd w:fill="FFFFFF" w:val="clear"/>
            <w:vAlign w:val="center"/>
          </w:tcPr>
          <w:p>
            <w:pPr>
              <w:pStyle w:val="TableContents"/>
              <w:bidi w:val="0"/>
              <w:spacing w:before="0" w:after="283"/>
              <w:jc w:val="left"/>
              <w:rPr/>
            </w:pPr>
            <w:r>
              <w:rPr/>
              <w:t> </w:t>
            </w:r>
          </w:p>
        </w:tc>
      </w:tr>
      <w:tr>
        <w:trPr/>
        <w:tc>
          <w:tcPr>
            <w:tcW w:w="3710"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sz w:val="20"/>
              </w:rPr>
            </w:pPr>
            <w:r>
              <w:rPr>
                <w:rFonts w:ascii="Times New Roman;Times;serif" w:hAnsi="Times New Roman;Times;serif"/>
                <w:sz w:val="20"/>
              </w:rPr>
              <w:t>Accrued expense - other (2)</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33"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4,100</w:t>
            </w:r>
          </w:p>
        </w:tc>
        <w:tc>
          <w:tcPr>
            <w:tcW w:w="60" w:type="dxa"/>
            <w:tcBorders/>
            <w:shd w:fill="CCEEFF" w:val="clear"/>
            <w:vAlign w:val="center"/>
          </w:tcPr>
          <w:p>
            <w:pPr>
              <w:pStyle w:val="TableContents"/>
              <w:bidi w:val="0"/>
              <w:spacing w:before="0" w:after="283"/>
              <w:jc w:val="left"/>
              <w:rPr/>
            </w:pPr>
            <w:r>
              <w:rPr/>
              <w:t> </w:t>
            </w:r>
          </w:p>
        </w:tc>
      </w:tr>
      <w:tr>
        <w:trPr/>
        <w:tc>
          <w:tcPr>
            <w:tcW w:w="371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37,358</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sz w:val="20"/>
        </w:rPr>
        <w:t xml:space="preserve">( </w:t>
      </w:r>
      <w:r>
        <w:rPr>
          <w:rStyle w:val="Emphasis"/>
          <w:sz w:val="20"/>
        </w:rPr>
        <w:t>1</w:t>
      </w:r>
      <w:r>
        <w:rPr>
          <w:sz w:val="20"/>
        </w:rPr>
        <w:t xml:space="preserve">) Accrued rent and related expenses consist of accrued costs associated with non-lease components. </w:t>
      </w:r>
    </w:p>
    <w:p>
      <w:pPr>
        <w:pStyle w:val="TextBody"/>
        <w:bidi w:val="0"/>
        <w:spacing w:before="0" w:after="283"/>
        <w:jc w:val="left"/>
        <w:rPr/>
      </w:pPr>
      <w:r>
        <w:rPr>
          <w:sz w:val="20"/>
        </w:rPr>
        <w:t xml:space="preserve">( </w:t>
      </w:r>
      <w:r>
        <w:rPr>
          <w:rStyle w:val="Emphasis"/>
          <w:sz w:val="20"/>
        </w:rPr>
        <w:t>2</w:t>
      </w:r>
      <w:r>
        <w:rPr>
          <w:sz w:val="20"/>
        </w:rPr>
        <w:t xml:space="preserve">) Accrued expense - other consists of accrued costs associated with a legal reserve accrual.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pPr>
      <w:r>
        <w:rPr>
          <w:rFonts w:ascii="Times New Roman" w:hAnsi="Times New Roman"/>
          <w:caps w:val="false"/>
          <w:smallCaps w:val="false"/>
          <w:sz w:val="20"/>
        </w:rPr>
        <w:t>For fiscal </w:t>
      </w:r>
      <w:r>
        <w:rPr>
          <w:rStyle w:val="Emphasis"/>
          <w:rFonts w:ascii="Times New Roman" w:hAnsi="Times New Roman"/>
          <w:caps w:val="false"/>
          <w:smallCaps w:val="false"/>
          <w:sz w:val="20"/>
        </w:rPr>
        <w:t>2023</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2022</w:t>
      </w:r>
      <w:r>
        <w:rPr>
          <w:rFonts w:ascii="Times New Roman" w:hAnsi="Times New Roman"/>
          <w:caps w:val="false"/>
          <w:smallCaps w:val="false"/>
          <w:sz w:val="20"/>
        </w:rPr>
        <w:t>, defined contribution expense was $1.5 million and $1.4 million, respectively, included within Accrued wages, bonuses and related expenses.</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56</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8</w:t>
            </w:r>
            <w:r>
              <w:rPr>
                <w:rFonts w:ascii="Times New Roman;Times;serif" w:hAnsi="Times New Roman;Times;serif"/>
                <w:b/>
                <w:sz w:val="20"/>
              </w:rPr>
              <w:t>)</w:t>
            </w:r>
          </w:p>
        </w:tc>
        <w:tc>
          <w:tcPr>
            <w:tcW w:w="12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Income Taxes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Company’s income before income taxes from domestic and foreign operations (which include the U.K., Canada, China, and Ireland), is as follows (in thousands):</w:t>
      </w:r>
    </w:p>
    <w:p>
      <w:pPr>
        <w:pStyle w:val="TextBody"/>
        <w:bidi w:val="0"/>
        <w:spacing w:before="0" w:after="0"/>
        <w:ind w:left="0" w:right="0" w:hanging="0"/>
        <w:jc w:val="left"/>
        <w:rPr/>
      </w:pPr>
      <w:r>
        <w:rPr/>
        <w:t> </w:t>
      </w:r>
    </w:p>
    <w:tbl>
      <w:tblPr>
        <w:tblW w:w="5008" w:type="dxa"/>
        <w:jc w:val="left"/>
        <w:tblInd w:w="0" w:type="dxa"/>
        <w:tblLayout w:type="fixed"/>
        <w:tblCellMar>
          <w:top w:w="0" w:type="dxa"/>
          <w:left w:w="0" w:type="dxa"/>
          <w:bottom w:w="0" w:type="dxa"/>
          <w:right w:w="0" w:type="dxa"/>
        </w:tblCellMar>
      </w:tblPr>
      <w:tblGrid>
        <w:gridCol w:w="2765"/>
        <w:gridCol w:w="60"/>
        <w:gridCol w:w="172"/>
        <w:gridCol w:w="822"/>
        <w:gridCol w:w="60"/>
        <w:gridCol w:w="60"/>
        <w:gridCol w:w="176"/>
        <w:gridCol w:w="833"/>
        <w:gridCol w:w="60"/>
      </w:tblGrid>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Fiscal year ended</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61,110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57,595</w:t>
            </w:r>
          </w:p>
        </w:tc>
        <w:tc>
          <w:tcPr>
            <w:tcW w:w="60" w:type="dxa"/>
            <w:tcBorders/>
            <w:shd w:fill="CCEEFF" w:val="clear"/>
            <w:vAlign w:val="center"/>
          </w:tcPr>
          <w:p>
            <w:pPr>
              <w:pStyle w:val="TableContents"/>
              <w:bidi w:val="0"/>
              <w:spacing w:before="0" w:after="283"/>
              <w:jc w:val="left"/>
              <w:rPr/>
            </w:pPr>
            <w:r>
              <w:rPr/>
              <w:t> </w:t>
            </w:r>
          </w:p>
        </w:tc>
      </w:tr>
      <w:tr>
        <w:trPr/>
        <w:tc>
          <w:tcPr>
            <w:tcW w:w="276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4,329</w:t>
            </w:r>
          </w:p>
        </w:tc>
        <w:tc>
          <w:tcPr>
            <w:tcW w:w="60" w:type="dxa"/>
            <w:tcBorders/>
            <w:shd w:fill="FFFFFF" w:val="clear"/>
            <w:vAlign w:val="center"/>
          </w:tcPr>
          <w:p>
            <w:pPr>
              <w:pStyle w:val="TableContents"/>
              <w:bidi w:val="0"/>
              <w:spacing w:before="0" w:after="283"/>
              <w:jc w:val="left"/>
              <w:rPr/>
            </w:pPr>
            <w:r>
              <w:rPr/>
              <w:t> </w:t>
            </w:r>
          </w:p>
        </w:tc>
      </w:tr>
      <w:tr>
        <w:trPr/>
        <w:tc>
          <w:tcPr>
            <w:tcW w:w="276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income before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The components of the income tax expense are as follows (in thousands):</w:t>
      </w:r>
    </w:p>
    <w:p>
      <w:pPr>
        <w:pStyle w:val="TextBody"/>
        <w:bidi w:val="0"/>
        <w:spacing w:before="0" w:after="0"/>
        <w:ind w:left="0" w:right="0" w:firstLine="450"/>
        <w:jc w:val="left"/>
        <w:rPr/>
      </w:pPr>
      <w:r>
        <w:rPr/>
        <w:t> </w:t>
      </w:r>
    </w:p>
    <w:tbl>
      <w:tblPr>
        <w:tblW w:w="3918" w:type="dxa"/>
        <w:jc w:val="left"/>
        <w:tblInd w:w="0" w:type="dxa"/>
        <w:tblLayout w:type="fixed"/>
        <w:tblCellMar>
          <w:top w:w="0" w:type="dxa"/>
          <w:left w:w="0" w:type="dxa"/>
          <w:bottom w:w="0" w:type="dxa"/>
          <w:right w:w="0" w:type="dxa"/>
        </w:tblCellMar>
      </w:tblPr>
      <w:tblGrid>
        <w:gridCol w:w="1640"/>
        <w:gridCol w:w="60"/>
        <w:gridCol w:w="172"/>
        <w:gridCol w:w="822"/>
        <w:gridCol w:w="80"/>
        <w:gridCol w:w="60"/>
        <w:gridCol w:w="176"/>
        <w:gridCol w:w="833"/>
        <w:gridCol w:w="75"/>
      </w:tblGrid>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Fiscal year ended</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75" w:type="dxa"/>
            <w:tcBorders/>
            <w:shd w:fill="FFFFFF" w:val="clear"/>
            <w:vAlign w:val="center"/>
          </w:tcPr>
          <w:p>
            <w:pPr>
              <w:pStyle w:val="TableContents"/>
              <w:bidi w:val="0"/>
              <w:spacing w:before="0" w:after="283"/>
              <w:jc w:val="left"/>
              <w:rPr/>
            </w:pPr>
            <w:r>
              <w:rPr/>
              <w:t> </w:t>
            </w:r>
          </w:p>
        </w:tc>
      </w:tr>
      <w:tr>
        <w:trPr/>
        <w:tc>
          <w:tcPr>
            <w:tcW w:w="16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82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833"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164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U.S. 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10,190</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U.S. State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2,617</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164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82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jc w:val="left"/>
              <w:rPr/>
            </w:pPr>
            <w:r>
              <w:rPr/>
              <w:t> </w:t>
            </w:r>
          </w:p>
        </w:tc>
        <w:tc>
          <w:tcPr>
            <w:tcW w:w="833"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164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U.S. Federal</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8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83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U.S. State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8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83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1640"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Foreign</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449</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Income tax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13,939</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540" w:right="0" w:hanging="0"/>
        <w:jc w:val="left"/>
        <w:rPr/>
      </w:pPr>
      <w:r>
        <w:rPr/>
        <w:t> </w:t>
      </w:r>
    </w:p>
    <w:p>
      <w:pPr>
        <w:pStyle w:val="TextBody"/>
        <w:bidi w:val="0"/>
        <w:spacing w:before="0" w:after="0"/>
        <w:ind w:left="540" w:right="0" w:hanging="0"/>
        <w:jc w:val="left"/>
        <w:rPr/>
      </w:pPr>
      <w:r>
        <w:rPr/>
        <w:t> </w:t>
      </w:r>
    </w:p>
    <w:p>
      <w:pPr>
        <w:pStyle w:val="TextBody"/>
        <w:bidi w:val="0"/>
        <w:spacing w:before="0" w:after="0"/>
        <w:ind w:left="540" w:right="0" w:hanging="0"/>
        <w:jc w:val="left"/>
        <w:rPr>
          <w:rFonts w:ascii="Times New Roman;Times;serif" w:hAnsi="Times New Roman;Times;serif"/>
          <w:sz w:val="20"/>
        </w:rPr>
      </w:pPr>
      <w:r>
        <w:rPr>
          <w:rFonts w:ascii="Times New Roman;Times;serif" w:hAnsi="Times New Roman;Times;serif"/>
          <w:sz w:val="20"/>
        </w:rPr>
        <w:t>A reconciliation of the significant differences between the U.S. statutory tax rate and the effective income tax rate on pre-tax income is as follows:</w:t>
      </w:r>
    </w:p>
    <w:p>
      <w:pPr>
        <w:pStyle w:val="TextBody"/>
        <w:bidi w:val="0"/>
        <w:spacing w:before="0" w:after="0"/>
        <w:ind w:left="540" w:right="0" w:hanging="0"/>
        <w:jc w:val="left"/>
        <w:rPr/>
      </w:pPr>
      <w:r>
        <w:rPr/>
        <w:t> </w:t>
      </w:r>
    </w:p>
    <w:tbl>
      <w:tblPr>
        <w:tblW w:w="7013" w:type="dxa"/>
        <w:jc w:val="left"/>
        <w:tblInd w:w="0" w:type="dxa"/>
        <w:tblLayout w:type="fixed"/>
        <w:tblCellMar>
          <w:top w:w="0" w:type="dxa"/>
          <w:left w:w="0" w:type="dxa"/>
          <w:bottom w:w="0" w:type="dxa"/>
          <w:right w:w="0" w:type="dxa"/>
        </w:tblCellMar>
      </w:tblPr>
      <w:tblGrid>
        <w:gridCol w:w="4415"/>
        <w:gridCol w:w="60"/>
        <w:gridCol w:w="180"/>
        <w:gridCol w:w="859"/>
        <w:gridCol w:w="185"/>
        <w:gridCol w:w="60"/>
        <w:gridCol w:w="184"/>
        <w:gridCol w:w="870"/>
        <w:gridCol w:w="200"/>
      </w:tblGrid>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39"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February 3,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054" w:type="dxa"/>
            <w:gridSpan w:val="2"/>
            <w:tcBorders/>
            <w:shd w:fill="CCEE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 xml:space="preserve">January 28, </w:t>
            </w:r>
          </w:p>
        </w:tc>
        <w:tc>
          <w:tcPr>
            <w:tcW w:w="200" w:type="dxa"/>
            <w:tcBorders/>
            <w:shd w:fill="CCEEFF" w:val="clear"/>
            <w:vAlign w:val="center"/>
          </w:tcPr>
          <w:p>
            <w:pPr>
              <w:pStyle w:val="TableContents"/>
              <w:bidi w:val="0"/>
              <w:spacing w:before="0" w:after="283"/>
              <w:jc w:val="left"/>
              <w:rPr/>
            </w:pPr>
            <w:r>
              <w:rPr/>
              <w:t> </w:t>
            </w:r>
          </w:p>
        </w:tc>
      </w:tr>
      <w:tr>
        <w:trPr/>
        <w:tc>
          <w:tcPr>
            <w:tcW w:w="44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3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200" w:type="dxa"/>
            <w:tcBorders/>
            <w:shd w:fill="FFFFFF" w:val="clear"/>
            <w:vAlign w:val="center"/>
          </w:tcPr>
          <w:p>
            <w:pPr>
              <w:pStyle w:val="TableContents"/>
              <w:bidi w:val="0"/>
              <w:spacing w:before="0" w:after="283"/>
              <w:jc w:val="left"/>
              <w:rPr/>
            </w:pPr>
            <w:r>
              <w:rPr/>
              <w:t> </w:t>
            </w:r>
          </w:p>
        </w:tc>
      </w:tr>
      <w:tr>
        <w:trPr/>
        <w:tc>
          <w:tcPr>
            <w:tcW w:w="44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jc w:val="left"/>
              <w:rPr/>
            </w:pPr>
            <w:r>
              <w:rPr/>
              <w:t> </w:t>
            </w:r>
          </w:p>
        </w:tc>
        <w:tc>
          <w:tcPr>
            <w:tcW w:w="870"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before income taxes</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61,924</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federal statutory income tax rate</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0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at statutory federal rate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13,929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13,004</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Valuation allowance</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State and local income taxes, net of federal tax benefit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 deductible executive compensation</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1,091</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lower foreign taxes</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 for unrecognized tax positions</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4" w:type="dxa"/>
            <w:tcBorders/>
            <w:shd w:fill="CCEEFF" w:val="clear"/>
            <w:vAlign w:val="center"/>
          </w:tcPr>
          <w:p>
            <w:pPr>
              <w:pStyle w:val="TableContents"/>
              <w:bidi w:val="0"/>
              <w:spacing w:before="0" w:after="283"/>
              <w:ind w:left="0" w:right="0" w:hanging="0"/>
              <w:jc w:val="left"/>
              <w:rPr/>
            </w:pPr>
            <w:r>
              <w:rPr/>
              <w:t> </w:t>
            </w:r>
          </w:p>
        </w:tc>
        <w:tc>
          <w:tcPr>
            <w:tcW w:w="8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items, net</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(1,967</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1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13,524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13,939</w:t>
            </w:r>
          </w:p>
        </w:tc>
        <w:tc>
          <w:tcPr>
            <w:tcW w:w="200" w:type="dxa"/>
            <w:tcBorders/>
            <w:shd w:fill="CCEEFF" w:val="clear"/>
            <w:vAlign w:val="center"/>
          </w:tcPr>
          <w:p>
            <w:pPr>
              <w:pStyle w:val="TableContents"/>
              <w:bidi w:val="0"/>
              <w:spacing w:before="0" w:after="283"/>
              <w:ind w:left="0" w:right="0" w:hanging="0"/>
              <w:jc w:val="left"/>
              <w:rPr/>
            </w:pPr>
            <w:r>
              <w:rPr/>
              <w:t> </w:t>
            </w:r>
          </w:p>
        </w:tc>
      </w:tr>
      <w:tr>
        <w:trPr/>
        <w:tc>
          <w:tcPr>
            <w:tcW w:w="44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Effective tax rate</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84" w:type="dxa"/>
            <w:tcBorders/>
            <w:shd w:fill="FFFFFF" w:val="clear"/>
            <w:vAlign w:val="center"/>
          </w:tcPr>
          <w:p>
            <w:pPr>
              <w:pStyle w:val="TableContents"/>
              <w:bidi w:val="0"/>
              <w:spacing w:before="0" w:after="283"/>
              <w:ind w:left="0" w:right="0" w:hanging="0"/>
              <w:jc w:val="left"/>
              <w:rPr/>
            </w:pPr>
            <w:r>
              <w:rPr/>
              <w:t> </w:t>
            </w:r>
          </w:p>
        </w:tc>
        <w:tc>
          <w:tcPr>
            <w:tcW w:w="8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20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color w:val="000000"/>
          <w:sz w:val="20"/>
        </w:rPr>
        <w:t xml:space="preserve">The </w:t>
      </w:r>
      <w:r>
        <w:rPr>
          <w:rStyle w:val="Emphasis"/>
          <w:rFonts w:ascii="Times New Roman;Times;serif" w:hAnsi="Times New Roman;Times;serif"/>
          <w:color w:val="000000"/>
          <w:sz w:val="20"/>
        </w:rPr>
        <w:t>2023</w:t>
      </w:r>
      <w:r>
        <w:rPr>
          <w:rFonts w:ascii="Times New Roman;Times;serif" w:hAnsi="Times New Roman;Times;serif"/>
          <w:color w:val="000000"/>
          <w:sz w:val="20"/>
        </w:rPr>
        <w:t xml:space="preserve"> effective rate of 20.4% differed from the statutory rate of 21% primarily due to the reversal of the valuation allowance in the U.K. partially offset by state income tax expense. The </w:t>
      </w:r>
      <w:r>
        <w:rPr>
          <w:rStyle w:val="Emphasis"/>
          <w:rFonts w:ascii="Times New Roman;Times;serif" w:hAnsi="Times New Roman;Times;serif"/>
          <w:color w:val="000000"/>
          <w:sz w:val="20"/>
        </w:rPr>
        <w:t>2022</w:t>
      </w:r>
      <w:r>
        <w:rPr>
          <w:rFonts w:ascii="Times New Roman;Times;serif" w:hAnsi="Times New Roman;Times;serif"/>
          <w:color w:val="000000"/>
          <w:sz w:val="20"/>
        </w:rPr>
        <w:t> effective rate of 22.5% differed from the statutory rate of 21% primarily due to state income tax expense.</w:t>
      </w:r>
    </w:p>
    <w:p>
      <w:pPr>
        <w:pStyle w:val="TextBody"/>
        <w:bidi w:val="0"/>
        <w:spacing w:before="0" w:after="0"/>
        <w:ind w:left="0" w:right="0" w:firstLine="540"/>
        <w:jc w:val="both"/>
        <w:rPr>
          <w:caps w:val="false"/>
          <w:smallCaps w:val="false"/>
          <w:color w:val="000000"/>
        </w:rPr>
      </w:pPr>
      <w:r>
        <w:rPr>
          <w:caps w:val="false"/>
          <w:smallCaps w:val="false"/>
          <w:color w:val="000000"/>
        </w:rPr>
        <w:t> </w:t>
      </w:r>
    </w:p>
    <w:p>
      <w:pPr>
        <w:pStyle w:val="TextBody"/>
        <w:bidi w:val="0"/>
        <w:spacing w:before="0" w:after="0"/>
        <w:ind w:left="0" w:right="0" w:firstLine="540"/>
        <w:jc w:val="both"/>
        <w:rPr/>
      </w:pPr>
      <w:r>
        <w:rPr>
          <w:rFonts w:ascii="Times New Roman;Times;serif" w:hAnsi="Times New Roman;Times;serif"/>
          <w:caps w:val="false"/>
          <w:smallCaps w:val="false"/>
          <w:color w:val="000000"/>
          <w:sz w:val="20"/>
        </w:rPr>
        <w:t xml:space="preserve">The Company periodically assesses whether it is more likely than </w:t>
      </w:r>
      <w:r>
        <w:rPr>
          <w:rStyle w:val="Emphasis"/>
          <w:rFonts w:ascii="Times New Roman;Times;serif" w:hAnsi="Times New Roman;Times;serif"/>
          <w:caps w:val="false"/>
          <w:smallCaps w:val="false"/>
          <w:color w:val="000000"/>
          <w:sz w:val="20"/>
        </w:rPr>
        <w:t>not</w:t>
      </w:r>
      <w:r>
        <w:rPr>
          <w:rFonts w:ascii="Times New Roman;Times;serif" w:hAnsi="Times New Roman;Times;serif"/>
          <w:caps w:val="false"/>
          <w:smallCaps w:val="false"/>
          <w:color w:val="000000"/>
          <w:sz w:val="20"/>
        </w:rPr>
        <w:t xml:space="preserve"> that it will generate sufficient taxable income to realize its deferred income tax assets based on all available positive and negative evidence. In the </w:t>
      </w:r>
      <w:r>
        <w:rPr>
          <w:rStyle w:val="Emphasis"/>
          <w:rFonts w:ascii="Times New Roman;Times;serif" w:hAnsi="Times New Roman;Times;serif"/>
          <w:caps w:val="false"/>
          <w:smallCaps w:val="false"/>
          <w:color w:val="000000"/>
          <w:sz w:val="20"/>
        </w:rPr>
        <w:t>fourth</w:t>
      </w:r>
      <w:r>
        <w:rPr>
          <w:rFonts w:ascii="Times New Roman;Times;serif" w:hAnsi="Times New Roman;Times;serif"/>
          <w:caps w:val="false"/>
          <w:smallCaps w:val="false"/>
          <w:color w:val="000000"/>
          <w:sz w:val="20"/>
        </w:rPr>
        <w:t xml:space="preserve"> quarter of fiscal </w:t>
      </w:r>
      <w:r>
        <w:rPr>
          <w:rStyle w:val="Emphasis"/>
          <w:rFonts w:ascii="Times New Roman;Times;serif" w:hAnsi="Times New Roman;Times;serif"/>
          <w:caps w:val="false"/>
          <w:smallCaps w:val="false"/>
          <w:color w:val="000000"/>
          <w:sz w:val="20"/>
        </w:rPr>
        <w:t>2023</w:t>
      </w:r>
      <w:r>
        <w:rPr>
          <w:rFonts w:ascii="Times New Roman;Times;serif" w:hAnsi="Times New Roman;Times;serif"/>
          <w:caps w:val="false"/>
          <w:smallCaps w:val="false"/>
          <w:color w:val="000000"/>
          <w:sz w:val="20"/>
        </w:rPr>
        <w:t xml:space="preserve">, as the Company was in a cumulative income position in the U.K. and continues to be profitable in the jurisdiction, the Company recorded a benefit of $5.1 million for the reversal of the valuation allowance on deferred tax assets expected to be realized in the U.K. Changes in the valuation allowance in fiscal </w:t>
      </w:r>
      <w:r>
        <w:rPr>
          <w:rStyle w:val="Emphasis"/>
          <w:rFonts w:ascii="Times New Roman;Times;serif" w:hAnsi="Times New Roman;Times;serif"/>
          <w:caps w:val="false"/>
          <w:smallCaps w:val="false"/>
          <w:color w:val="000000"/>
          <w:sz w:val="20"/>
        </w:rPr>
        <w:t>2023</w:t>
      </w:r>
      <w:r>
        <w:rPr>
          <w:rFonts w:ascii="Times New Roman;Times;serif" w:hAnsi="Times New Roman;Times;serif"/>
          <w:caps w:val="false"/>
          <w:smallCaps w:val="false"/>
          <w:color w:val="000000"/>
          <w:sz w:val="20"/>
        </w:rPr>
        <w:t xml:space="preserve"> primarily related to the U.K. valuation reversal, balance sheet adjustments and functional currency fluctuations.</w:t>
      </w:r>
    </w:p>
    <w:p>
      <w:pPr>
        <w:pStyle w:val="TextBody"/>
        <w:bidi w:val="0"/>
        <w:spacing w:before="0" w:after="0"/>
        <w:ind w:left="0" w:right="0" w:firstLine="540"/>
        <w:jc w:val="both"/>
        <w:rPr>
          <w:caps w:val="false"/>
          <w:smallCaps w:val="false"/>
          <w:color w:val="000000"/>
        </w:rPr>
      </w:pPr>
      <w:r>
        <w:rPr>
          <w:caps w:val="false"/>
          <w:smallCaps w:val="false"/>
          <w:color w:val="000000"/>
        </w:rPr>
        <w:t> </w:t>
      </w:r>
    </w:p>
    <w:p>
      <w:pPr>
        <w:pStyle w:val="TextBody"/>
        <w:bidi w:val="0"/>
        <w:spacing w:before="0" w:after="0"/>
        <w:jc w:val="center"/>
        <w:rPr/>
      </w:pPr>
      <w:r>
        <w:rPr>
          <w:rStyle w:val="Emphasis"/>
          <w:rFonts w:ascii="Times New Roman" w:hAnsi="Times New Roman"/>
          <w:sz w:val="20"/>
        </w:rPr>
        <w:t>57</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rFonts w:ascii="Times New Roman;Times;serif" w:hAnsi="Times New Roman;Times;serif"/>
          <w:color w:val="000000"/>
          <w:sz w:val="20"/>
        </w:rPr>
      </w:pPr>
      <w:r>
        <w:rPr>
          <w:rFonts w:ascii="Times New Roman;Times;serif" w:hAnsi="Times New Roman;Times;serif"/>
          <w:color w:val="000000"/>
          <w:sz w:val="20"/>
        </w:rPr>
        <w:t>Temporary differences that gave rise to deferred tax assets and liabilities are as follows (in thousands):</w:t>
      </w:r>
    </w:p>
    <w:p>
      <w:pPr>
        <w:pStyle w:val="TextBody"/>
        <w:bidi w:val="0"/>
        <w:spacing w:before="0" w:after="0"/>
        <w:ind w:left="489" w:right="0" w:hanging="0"/>
        <w:jc w:val="left"/>
        <w:rPr/>
      </w:pPr>
      <w:r>
        <w:rPr/>
        <w:t> </w:t>
      </w:r>
    </w:p>
    <w:tbl>
      <w:tblPr>
        <w:tblW w:w="6533" w:type="dxa"/>
        <w:jc w:val="left"/>
        <w:tblInd w:w="0" w:type="dxa"/>
        <w:tblLayout w:type="fixed"/>
        <w:tblCellMar>
          <w:top w:w="0" w:type="dxa"/>
          <w:left w:w="0" w:type="dxa"/>
          <w:bottom w:w="0" w:type="dxa"/>
          <w:right w:w="0" w:type="dxa"/>
        </w:tblCellMar>
      </w:tblPr>
      <w:tblGrid>
        <w:gridCol w:w="4235"/>
        <w:gridCol w:w="60"/>
        <w:gridCol w:w="160"/>
        <w:gridCol w:w="834"/>
        <w:gridCol w:w="80"/>
        <w:gridCol w:w="60"/>
        <w:gridCol w:w="162"/>
        <w:gridCol w:w="847"/>
        <w:gridCol w:w="95"/>
      </w:tblGrid>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February 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January 28,</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2023</w:t>
            </w:r>
          </w:p>
        </w:tc>
        <w:tc>
          <w:tcPr>
            <w:tcW w:w="95" w:type="dxa"/>
            <w:tcBorders/>
            <w:shd w:fill="FFFF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Operating lease liability</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21,091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21,877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3,116</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Accrued compensation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2,776</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1,581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Investment in affiliates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1,576</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Accrued expenses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1,213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compensation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842</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Receivables write-offs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Carryforward of tax credits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Intangible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gross deferred tax assets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38,402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deferred tax assets, net of valuation allowance</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30,402</w:t>
            </w:r>
          </w:p>
        </w:tc>
        <w:tc>
          <w:tcPr>
            <w:tcW w:w="95" w:type="dxa"/>
            <w:tcBorders/>
            <w:shd w:fill="CCEEFF" w:val="clear"/>
            <w:vAlign w:val="center"/>
          </w:tcPr>
          <w:p>
            <w:pPr>
              <w:pStyle w:val="TableContents"/>
              <w:bidi w:val="0"/>
              <w:spacing w:before="0" w:after="283"/>
              <w:jc w:val="left"/>
              <w:rPr/>
            </w:pPr>
            <w:r>
              <w:rPr/>
              <w:t> </w:t>
            </w:r>
          </w:p>
        </w:tc>
      </w:tr>
      <w:tr>
        <w:trPr/>
        <w:tc>
          <w:tcPr>
            <w:tcW w:w="42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8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jc w:val="left"/>
              <w:rPr/>
            </w:pPr>
            <w:r>
              <w:rPr/>
              <w:t> </w:t>
            </w:r>
          </w:p>
        </w:tc>
        <w:tc>
          <w:tcPr>
            <w:tcW w:w="847"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2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tax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jc w:val="left"/>
              <w:rPr/>
            </w:pPr>
            <w:r>
              <w:rPr/>
              <w:t> </w:t>
            </w:r>
          </w:p>
        </w:tc>
        <w:tc>
          <w:tcPr>
            <w:tcW w:w="847"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(17,999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(17,828</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Depreciation</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Deferred expense</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8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(1,402</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Inventories</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8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(928</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360" w:right="0" w:hanging="0"/>
              <w:jc w:val="left"/>
              <w:rPr>
                <w:rFonts w:ascii="Times New Roman;Times;serif" w:hAnsi="Times New Roman;Times;serif"/>
                <w:sz w:val="20"/>
              </w:rPr>
            </w:pPr>
            <w:r>
              <w:rPr>
                <w:rFonts w:ascii="Times New Roman;Times;serif" w:hAnsi="Times New Roman;Times;serif"/>
                <w:sz w:val="20"/>
              </w:rPr>
              <w:t>Other</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9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CCEE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(24,369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(23,810</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235" w:type="dxa"/>
            <w:tcBorders/>
            <w:shd w:fill="FFFFFF" w:val="clear"/>
            <w:vAlign w:val="center"/>
          </w:tcPr>
          <w:p>
            <w:pPr>
              <w:pStyle w:val="TableContents"/>
              <w:bidi w:val="0"/>
              <w:spacing w:before="0" w:after="0"/>
              <w:ind w:left="720" w:right="0" w:hanging="0"/>
              <w:jc w:val="left"/>
              <w:rPr>
                <w:rFonts w:ascii="Times New Roman;Times;serif" w:hAnsi="Times New Roman;Times;serif"/>
                <w:sz w:val="20"/>
              </w:rPr>
            </w:pPr>
            <w:r>
              <w:rPr>
                <w:rFonts w:ascii="Times New Roman;Times;serif" w:hAnsi="Times New Roman;Times;serif"/>
                <w:sz w:val="20"/>
              </w:rPr>
              <w:t>Net deferred tax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6,592</w:t>
            </w:r>
          </w:p>
        </w:tc>
        <w:tc>
          <w:tcPr>
            <w:tcW w:w="9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color w:val="000000"/>
          <w:sz w:val="20"/>
        </w:rPr>
        <w:t xml:space="preserve">As of </w:t>
      </w:r>
      <w:r>
        <w:rPr>
          <w:rStyle w:val="Emphasis"/>
          <w:rFonts w:ascii="Times New Roman;Times;serif" w:hAnsi="Times New Roman;Times;serif"/>
          <w:color w:val="000000"/>
          <w:sz w:val="20"/>
        </w:rPr>
        <w:t>February 3, 2024</w:t>
      </w:r>
      <w:r>
        <w:rPr>
          <w:rFonts w:ascii="Times New Roman;Times;serif" w:hAnsi="Times New Roman;Times;serif"/>
          <w:color w:val="000000"/>
          <w:sz w:val="20"/>
        </w:rPr>
        <w:t xml:space="preserve">, the Company had gross net operating loss (NOL) carryforwards of approximately $3.3 million, $1.9 million of which relate to the U.K. where NOLs have </w:t>
      </w:r>
      <w:r>
        <w:rPr>
          <w:rStyle w:val="Emphasis"/>
          <w:rFonts w:ascii="Times New Roman;Times;serif" w:hAnsi="Times New Roman;Times;serif"/>
          <w:color w:val="000000"/>
          <w:sz w:val="20"/>
        </w:rPr>
        <w:t>no</w:t>
      </w:r>
      <w:r>
        <w:rPr>
          <w:rFonts w:ascii="Times New Roman;Times;serif" w:hAnsi="Times New Roman;Times;serif"/>
          <w:color w:val="000000"/>
          <w:sz w:val="20"/>
        </w:rPr>
        <w:t xml:space="preserve"> expiration date. The remaining NOLs in certain other foreign jurisdictions are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expected to be utilized.</w:t>
      </w:r>
    </w:p>
    <w:p>
      <w:pPr>
        <w:pStyle w:val="TextBody"/>
        <w:bidi w:val="0"/>
        <w:spacing w:before="0" w:after="0"/>
        <w:ind w:left="0" w:right="144" w:firstLine="720"/>
        <w:jc w:val="both"/>
        <w:rPr/>
      </w:pPr>
      <w:r>
        <w:rPr/>
        <w:t> </w:t>
      </w:r>
    </w:p>
    <w:p>
      <w:pPr>
        <w:pStyle w:val="TextBody"/>
        <w:bidi w:val="0"/>
        <w:spacing w:before="0" w:after="0"/>
        <w:ind w:left="0" w:right="0" w:firstLine="540"/>
        <w:jc w:val="both"/>
        <w:rPr/>
      </w:pPr>
      <w:r>
        <w:rPr>
          <w:rFonts w:ascii="Times New Roman;Times;serif" w:hAnsi="Times New Roman;Times;serif"/>
          <w:color w:val="000000"/>
          <w:sz w:val="20"/>
        </w:rPr>
        <w:t xml:space="preserve">The Company continues to assert its investments in foreign subsidiaries are permanent in duration and it is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practical to estimate the income tax liability on the outside basis differences.</w:t>
      </w:r>
    </w:p>
    <w:p>
      <w:pPr>
        <w:pStyle w:val="TextBody"/>
        <w:bidi w:val="0"/>
        <w:spacing w:before="0" w:after="0"/>
        <w:ind w:left="144" w:right="144" w:hanging="0"/>
        <w:jc w:val="both"/>
        <w:rPr/>
      </w:pPr>
      <w:r>
        <w:rPr/>
        <w:t> </w:t>
      </w:r>
    </w:p>
    <w:p>
      <w:pPr>
        <w:pStyle w:val="TextBody"/>
        <w:bidi w:val="0"/>
        <w:spacing w:before="0" w:after="0"/>
        <w:ind w:left="0" w:right="0" w:firstLine="540"/>
        <w:jc w:val="both"/>
        <w:rPr/>
      </w:pPr>
      <w:r>
        <w:rPr>
          <w:rFonts w:ascii="Times New Roman;Times;serif" w:hAnsi="Times New Roman;Times;serif"/>
          <w:color w:val="000000"/>
          <w:sz w:val="20"/>
        </w:rPr>
        <w:t xml:space="preserve">As of </w:t>
      </w:r>
      <w:r>
        <w:rPr>
          <w:rStyle w:val="Emphasis"/>
          <w:rFonts w:ascii="Times New Roman;Times;serif" w:hAnsi="Times New Roman;Times;serif"/>
          <w:color w:val="000000"/>
          <w:sz w:val="20"/>
        </w:rPr>
        <w:t>February 3, 2024</w:t>
      </w:r>
      <w:r>
        <w:rPr>
          <w:rFonts w:ascii="Times New Roman;Times;serif" w:hAnsi="Times New Roman;Times;serif"/>
          <w:color w:val="000000"/>
          <w:sz w:val="20"/>
        </w:rPr>
        <w:t xml:space="preserve">, the Company had total unrecognized tax benefits of $0.1 million, of which approximately $0.1 million would favorably impact the Company’s provision for income taxes if recognized. As of </w:t>
      </w:r>
      <w:r>
        <w:rPr>
          <w:rStyle w:val="Emphasis"/>
          <w:rFonts w:ascii="Times New Roman;Times;serif" w:hAnsi="Times New Roman;Times;serif"/>
          <w:color w:val="000000"/>
          <w:sz w:val="20"/>
        </w:rPr>
        <w:t>January 28, 2023</w:t>
      </w:r>
      <w:r>
        <w:rPr>
          <w:rFonts w:ascii="Times New Roman;Times;serif" w:hAnsi="Times New Roman;Times;serif"/>
          <w:color w:val="000000"/>
          <w:sz w:val="20"/>
        </w:rPr>
        <w:t>, the Company had total unrecognized tax benefits of $0.1 million, of which approximately $0.1 million would favorably impact the Company’s provision for income taxes if recognized. The Company reviews its uncertain tax positions periodically and accrues interest and penalties accordingly. Accrued interest and penalties included within other liabilities in the consolidated balance sheets were less than $0.1 million for both years ended as of </w:t>
      </w:r>
      <w:r>
        <w:rPr>
          <w:rStyle w:val="Emphasis"/>
          <w:rFonts w:ascii="Times New Roman;Times;serif" w:hAnsi="Times New Roman;Times;serif"/>
          <w:color w:val="000000"/>
          <w:sz w:val="20"/>
        </w:rPr>
        <w:t xml:space="preserve"> February 3, 2024</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January 28, 2023</w:t>
      </w:r>
      <w:r>
        <w:rPr>
          <w:rFonts w:ascii="Times New Roman;Times;serif" w:hAnsi="Times New Roman;Times;serif"/>
          <w:color w:val="000000"/>
          <w:sz w:val="20"/>
        </w:rPr>
        <w:t>. The Company recognizes accrued interest and penalties related to unrecognized tax benefits as a component of the provision for income taxes within the consolidated statement of operations. For the years ended </w:t>
      </w:r>
      <w:r>
        <w:rPr>
          <w:rStyle w:val="Emphasis"/>
          <w:rFonts w:ascii="Times New Roman;Times;serif" w:hAnsi="Times New Roman;Times;serif"/>
          <w:color w:val="000000"/>
          <w:sz w:val="20"/>
        </w:rPr>
        <w:t xml:space="preserve"> February 3, 2024</w:t>
      </w:r>
      <w:r>
        <w:rPr>
          <w:rFonts w:ascii="Times New Roman;Times;serif" w:hAnsi="Times New Roman;Times;serif"/>
          <w:color w:val="000000"/>
          <w:sz w:val="20"/>
        </w:rPr>
        <w:t> and </w:t>
      </w:r>
      <w:r>
        <w:rPr>
          <w:rStyle w:val="Emphasis"/>
          <w:rFonts w:ascii="Times New Roman;Times;serif" w:hAnsi="Times New Roman;Times;serif"/>
          <w:color w:val="000000"/>
          <w:sz w:val="20"/>
        </w:rPr>
        <w:t xml:space="preserve"> January 28, 2023</w:t>
      </w:r>
      <w:r>
        <w:rPr>
          <w:rFonts w:ascii="Times New Roman;Times;serif" w:hAnsi="Times New Roman;Times;serif"/>
          <w:color w:val="000000"/>
          <w:sz w:val="20"/>
        </w:rPr>
        <w:t>, the Company recognized an (expense) benefit of less than ($0.1) million and $0.1 million, respectively, for interest and penalties.</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58</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8"/>
        <w:jc w:val="both"/>
        <w:rPr>
          <w:rFonts w:ascii="Times New Roman;Times;serif" w:hAnsi="Times New Roman;Times;serif"/>
          <w:sz w:val="20"/>
        </w:rPr>
      </w:pPr>
      <w:r>
        <w:rPr>
          <w:rFonts w:ascii="Times New Roman;Times;serif" w:hAnsi="Times New Roman;Times;serif"/>
          <w:sz w:val="20"/>
        </w:rPr>
        <w:t>A reconciliation of the beginning and ending amount of unrecognized tax benefits is as follows (in thousands):</w:t>
      </w:r>
    </w:p>
    <w:p>
      <w:pPr>
        <w:pStyle w:val="TextBody"/>
        <w:bidi w:val="0"/>
        <w:spacing w:before="0" w:after="0"/>
        <w:ind w:left="0" w:right="0" w:firstLine="547"/>
        <w:jc w:val="left"/>
        <w:rPr/>
      </w:pPr>
      <w:r>
        <w:rPr/>
        <w:t> </w:t>
      </w:r>
    </w:p>
    <w:p>
      <w:pPr>
        <w:pStyle w:val="TextBody"/>
        <w:bidi w:val="0"/>
        <w:spacing w:before="0" w:after="0"/>
        <w:ind w:left="0" w:right="0" w:firstLine="547"/>
        <w:jc w:val="left"/>
        <w:rPr/>
      </w:pPr>
      <w:r>
        <w:rPr/>
        <w:t> </w:t>
      </w:r>
    </w:p>
    <w:tbl>
      <w:tblPr>
        <w:tblW w:w="5208" w:type="dxa"/>
        <w:jc w:val="left"/>
        <w:tblInd w:w="0" w:type="dxa"/>
        <w:tblLayout w:type="fixed"/>
        <w:tblCellMar>
          <w:top w:w="0" w:type="dxa"/>
          <w:left w:w="0" w:type="dxa"/>
          <w:bottom w:w="0" w:type="dxa"/>
          <w:right w:w="0" w:type="dxa"/>
        </w:tblCellMar>
      </w:tblPr>
      <w:tblGrid>
        <w:gridCol w:w="2945"/>
        <w:gridCol w:w="60"/>
        <w:gridCol w:w="205"/>
        <w:gridCol w:w="789"/>
        <w:gridCol w:w="60"/>
        <w:gridCol w:w="60"/>
        <w:gridCol w:w="132"/>
        <w:gridCol w:w="877"/>
        <w:gridCol w:w="80"/>
      </w:tblGrid>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January 28,</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2023</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jc w:val="left"/>
              <w:rPr/>
            </w:pPr>
            <w:r>
              <w:rPr/>
              <w:t> </w:t>
            </w:r>
          </w:p>
        </w:tc>
        <w:tc>
          <w:tcPr>
            <w:tcW w:w="78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jc w:val="left"/>
              <w:rPr/>
            </w:pPr>
            <w:r>
              <w:rPr/>
              <w:t> </w:t>
            </w:r>
          </w:p>
        </w:tc>
        <w:tc>
          <w:tcPr>
            <w:tcW w:w="87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year</w:t>
            </w:r>
          </w:p>
        </w:tc>
        <w:tc>
          <w:tcPr>
            <w:tcW w:w="60" w:type="dxa"/>
            <w:tcBorders/>
            <w:shd w:fill="CCEEFF" w:val="clear"/>
            <w:vAlign w:val="center"/>
          </w:tcPr>
          <w:p>
            <w:pPr>
              <w:pStyle w:val="TableContents"/>
              <w:bidi w:val="0"/>
              <w:spacing w:before="0" w:after="283"/>
              <w:jc w:val="left"/>
              <w:rPr/>
            </w:pPr>
            <w:r>
              <w:rPr/>
              <w:t> </w:t>
            </w:r>
          </w:p>
        </w:tc>
        <w:tc>
          <w:tcPr>
            <w:tcW w:w="205" w:type="dxa"/>
            <w:tcBorders/>
            <w:shd w:fill="CCEEFF" w:val="clear"/>
            <w:vAlign w:val="center"/>
          </w:tcPr>
          <w:p>
            <w:pPr>
              <w:pStyle w:val="TableContents"/>
              <w:bidi w:val="0"/>
              <w:spacing w:before="0" w:after="283"/>
              <w:ind w:left="0" w:right="0" w:hanging="0"/>
              <w:jc w:val="left"/>
              <w:rPr/>
            </w:pPr>
            <w:r>
              <w:rPr/>
              <w:t> </w:t>
            </w:r>
          </w:p>
        </w:tc>
        <w:tc>
          <w:tcPr>
            <w:tcW w:w="78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ind w:left="0" w:right="0" w:hanging="0"/>
              <w:jc w:val="left"/>
              <w:rPr/>
            </w:pPr>
            <w:r>
              <w:rPr/>
              <w:t> </w:t>
            </w:r>
          </w:p>
        </w:tc>
        <w:tc>
          <w:tcPr>
            <w:tcW w:w="87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334</w:t>
            </w:r>
          </w:p>
        </w:tc>
        <w:tc>
          <w:tcPr>
            <w:tcW w:w="80" w:type="dxa"/>
            <w:tcBorders/>
            <w:shd w:fill="CCEEFF" w:val="clear"/>
            <w:vAlign w:val="center"/>
          </w:tcPr>
          <w:p>
            <w:pPr>
              <w:pStyle w:val="TableContents"/>
              <w:bidi w:val="0"/>
              <w:spacing w:before="0" w:after="283"/>
              <w:jc w:val="left"/>
              <w:rPr/>
            </w:pPr>
            <w:r>
              <w:rPr/>
              <w:t> </w:t>
            </w:r>
          </w:p>
        </w:tc>
      </w:tr>
      <w:tr>
        <w:trPr/>
        <w:tc>
          <w:tcPr>
            <w:tcW w:w="29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Increases for prior year tax positions</w:t>
            </w:r>
          </w:p>
        </w:tc>
        <w:tc>
          <w:tcPr>
            <w:tcW w:w="60" w:type="dxa"/>
            <w:tcBorders/>
            <w:shd w:fill="FFFFFF" w:val="clear"/>
            <w:vAlign w:val="center"/>
          </w:tcPr>
          <w:p>
            <w:pPr>
              <w:pStyle w:val="TableContents"/>
              <w:bidi w:val="0"/>
              <w:spacing w:before="0" w:after="283"/>
              <w:jc w:val="left"/>
              <w:rPr/>
            </w:pPr>
            <w:r>
              <w:rPr/>
              <w:t> </w:t>
            </w:r>
          </w:p>
        </w:tc>
        <w:tc>
          <w:tcPr>
            <w:tcW w:w="205" w:type="dxa"/>
            <w:tcBorders/>
            <w:shd w:fill="FFFFFF" w:val="clear"/>
            <w:vAlign w:val="center"/>
          </w:tcPr>
          <w:p>
            <w:pPr>
              <w:pStyle w:val="TableContents"/>
              <w:bidi w:val="0"/>
              <w:spacing w:before="0" w:after="283"/>
              <w:ind w:left="0" w:right="0" w:hanging="0"/>
              <w:jc w:val="left"/>
              <w:rPr/>
            </w:pPr>
            <w:r>
              <w:rPr/>
              <w:t> </w:t>
            </w:r>
          </w:p>
        </w:tc>
        <w:tc>
          <w:tcPr>
            <w:tcW w:w="78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shd w:fill="FFFFFF" w:val="clear"/>
            <w:vAlign w:val="center"/>
          </w:tcPr>
          <w:p>
            <w:pPr>
              <w:pStyle w:val="TableContents"/>
              <w:bidi w:val="0"/>
              <w:spacing w:before="0" w:after="283"/>
              <w:ind w:left="0" w:right="0" w:hanging="0"/>
              <w:jc w:val="left"/>
              <w:rPr/>
            </w:pPr>
            <w:r>
              <w:rPr/>
              <w:t> </w:t>
            </w:r>
          </w:p>
        </w:tc>
        <w:tc>
          <w:tcPr>
            <w:tcW w:w="87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29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w:t>
            </w:r>
          </w:p>
        </w:tc>
        <w:tc>
          <w:tcPr>
            <w:tcW w:w="60" w:type="dxa"/>
            <w:tcBorders/>
            <w:shd w:fill="CCEEFF" w:val="clear"/>
            <w:vAlign w:val="center"/>
          </w:tcPr>
          <w:p>
            <w:pPr>
              <w:pStyle w:val="TableContents"/>
              <w:bidi w:val="0"/>
              <w:spacing w:before="0" w:after="283"/>
              <w:jc w:val="left"/>
              <w:rPr/>
            </w:pPr>
            <w:r>
              <w:rPr/>
              <w:t> </w:t>
            </w:r>
          </w:p>
        </w:tc>
        <w:tc>
          <w:tcPr>
            <w:tcW w:w="20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year</w:t>
            </w:r>
          </w:p>
        </w:tc>
        <w:tc>
          <w:tcPr>
            <w:tcW w:w="60" w:type="dxa"/>
            <w:tcBorders/>
            <w:shd w:fill="FFFFFF" w:val="clear"/>
            <w:vAlign w:val="center"/>
          </w:tcPr>
          <w:p>
            <w:pPr>
              <w:pStyle w:val="TableContents"/>
              <w:bidi w:val="0"/>
              <w:spacing w:before="0" w:after="283"/>
              <w:jc w:val="left"/>
              <w:rPr/>
            </w:pPr>
            <w:r>
              <w:rPr/>
              <w:t> </w:t>
            </w:r>
          </w:p>
        </w:tc>
        <w:tc>
          <w:tcPr>
            <w:tcW w:w="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color w:val="000000"/>
          <w:sz w:val="20"/>
        </w:rPr>
        <w:t xml:space="preserve">Management does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expect the amount of unrecognized tax benefits to change by a material amount in the next </w:t>
      </w:r>
      <w:r>
        <w:rPr>
          <w:rStyle w:val="Emphasis"/>
          <w:rFonts w:ascii="Times New Roman;Times;serif" w:hAnsi="Times New Roman;Times;serif"/>
          <w:color w:val="000000"/>
          <w:sz w:val="20"/>
        </w:rPr>
        <w:t>twelve</w:t>
      </w:r>
      <w:r>
        <w:rPr>
          <w:rFonts w:ascii="Times New Roman;Times;serif" w:hAnsi="Times New Roman;Times;serif"/>
          <w:color w:val="000000"/>
          <w:sz w:val="20"/>
        </w:rPr>
        <w:t xml:space="preserve"> months.</w:t>
      </w:r>
    </w:p>
    <w:p>
      <w:pPr>
        <w:pStyle w:val="TextBody"/>
        <w:bidi w:val="0"/>
        <w:spacing w:before="0" w:after="0"/>
        <w:ind w:left="0" w:right="144" w:firstLine="540"/>
        <w:jc w:val="both"/>
        <w:rPr/>
      </w:pPr>
      <w:r>
        <w:rPr/>
        <w:t> </w:t>
      </w:r>
    </w:p>
    <w:p>
      <w:pPr>
        <w:pStyle w:val="TextBody"/>
        <w:bidi w:val="0"/>
        <w:spacing w:before="0" w:after="0"/>
        <w:ind w:left="0" w:right="0" w:firstLine="540"/>
        <w:jc w:val="both"/>
        <w:rPr/>
      </w:pPr>
      <w:r>
        <w:rPr>
          <w:rFonts w:ascii="Times New Roman;Times;serif" w:hAnsi="Times New Roman;Times;serif"/>
          <w:color w:val="000000"/>
          <w:sz w:val="20"/>
        </w:rPr>
        <w:t xml:space="preserve">The following tax years remain open in the Company’s major taxing jurisdictions as of </w:t>
      </w:r>
      <w:r>
        <w:rPr>
          <w:rStyle w:val="Emphasis"/>
          <w:rFonts w:ascii="Times New Roman;Times;serif" w:hAnsi="Times New Roman;Times;serif"/>
          <w:color w:val="000000"/>
          <w:sz w:val="20"/>
        </w:rPr>
        <w:t>February 3, 2024</w:t>
      </w:r>
      <w:r>
        <w:rPr>
          <w:rFonts w:ascii="Times New Roman;Times;serif" w:hAnsi="Times New Roman;Times;serif"/>
          <w:color w:val="000000"/>
          <w:sz w:val="20"/>
        </w:rPr>
        <w:t>:</w:t>
      </w:r>
    </w:p>
    <w:p>
      <w:pPr>
        <w:pStyle w:val="TextBody"/>
        <w:bidi w:val="0"/>
        <w:spacing w:before="0" w:after="0"/>
        <w:ind w:left="0" w:right="0" w:firstLine="490"/>
        <w:jc w:val="both"/>
        <w:rPr/>
      </w:pPr>
      <w:r>
        <w:rPr/>
        <w:t> </w:t>
      </w:r>
    </w:p>
    <w:tbl>
      <w:tblPr>
        <w:tblW w:w="3490" w:type="dxa"/>
        <w:jc w:val="left"/>
        <w:tblInd w:w="0" w:type="dxa"/>
        <w:tblLayout w:type="fixed"/>
        <w:tblCellMar>
          <w:top w:w="0" w:type="dxa"/>
          <w:left w:w="0" w:type="dxa"/>
          <w:bottom w:w="0" w:type="dxa"/>
          <w:right w:w="0" w:type="dxa"/>
        </w:tblCellMar>
      </w:tblPr>
      <w:tblGrid>
        <w:gridCol w:w="1880"/>
        <w:gridCol w:w="1610"/>
      </w:tblGrid>
      <w:tr>
        <w:trPr/>
        <w:tc>
          <w:tcPr>
            <w:tcW w:w="188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United States (Federal)</w:t>
            </w:r>
          </w:p>
        </w:tc>
        <w:tc>
          <w:tcPr>
            <w:tcW w:w="1610" w:type="dxa"/>
            <w:tcBorders/>
            <w:shd w:fill="CCEE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2020 through 2023</w:t>
            </w:r>
          </w:p>
        </w:tc>
      </w:tr>
      <w:tr>
        <w:trPr/>
        <w:tc>
          <w:tcPr>
            <w:tcW w:w="188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United Kingdom</w:t>
            </w:r>
          </w:p>
        </w:tc>
        <w:tc>
          <w:tcPr>
            <w:tcW w:w="1610" w:type="dxa"/>
            <w:tcBorders/>
            <w:shd w:fill="FFFFFF" w:val="cle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2019 through 2023</w:t>
            </w:r>
          </w:p>
        </w:tc>
      </w:tr>
    </w:tbl>
    <w:p>
      <w:pPr>
        <w:pStyle w:val="TextBody"/>
        <w:bidi w:val="0"/>
        <w:spacing w:before="0" w:after="0"/>
        <w:ind w:left="0" w:right="0" w:firstLine="540"/>
        <w:jc w:val="left"/>
        <w:rPr>
          <w:color w:val="000000"/>
        </w:rPr>
      </w:pPr>
      <w:r>
        <w:rPr>
          <w:color w:val="000000"/>
        </w:rPr>
        <w:t> </w:t>
      </w:r>
    </w:p>
    <w:p>
      <w:pPr>
        <w:pStyle w:val="TextBody"/>
        <w:bidi w:val="0"/>
        <w:spacing w:before="0" w:after="0"/>
        <w:jc w:val="left"/>
        <w:rPr/>
      </w:pPr>
      <w:r>
        <w:rPr/>
        <w:t xml:space="preserve">  </w:t>
      </w:r>
    </w:p>
    <w:tbl>
      <w:tblPr>
        <w:tblW w:w="1495" w:type="dxa"/>
        <w:jc w:val="left"/>
        <w:tblInd w:w="0" w:type="dxa"/>
        <w:tblLayout w:type="fixed"/>
        <w:tblCellMar>
          <w:top w:w="0" w:type="dxa"/>
          <w:left w:w="0" w:type="dxa"/>
          <w:bottom w:w="0" w:type="dxa"/>
          <w:right w:w="0" w:type="dxa"/>
        </w:tblCellMar>
      </w:tblPr>
      <w:tblGrid>
        <w:gridCol w:w="245"/>
        <w:gridCol w:w="1250"/>
      </w:tblGrid>
      <w:tr>
        <w:trPr/>
        <w:tc>
          <w:tcPr>
            <w:tcW w:w="245"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9</w:t>
            </w:r>
            <w:r>
              <w:rPr>
                <w:rFonts w:ascii="Times New Roman;Times;serif" w:hAnsi="Times New Roman;Times;serif"/>
                <w:b/>
                <w:sz w:val="20"/>
              </w:rPr>
              <w:t>)</w:t>
            </w:r>
          </w:p>
        </w:tc>
        <w:tc>
          <w:tcPr>
            <w:tcW w:w="125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b/>
                <w:sz w:val="20"/>
              </w:rPr>
              <w:t>Line of Credit</w:t>
            </w:r>
            <w:r>
              <w:rPr>
                <w:rFonts w:ascii="Times New Roman;Times;serif" w:hAnsi="Times New Roman;Times;serif"/>
                <w:sz w:val="20"/>
              </w:rPr>
              <w:t xml:space="preserve"> </w:t>
            </w:r>
          </w:p>
        </w:tc>
      </w:tr>
    </w:tbl>
    <w:p>
      <w:pPr>
        <w:pStyle w:val="TextBody"/>
        <w:bidi w:val="0"/>
        <w:spacing w:before="0" w:after="0"/>
        <w:ind w:left="0" w:right="0" w:hanging="0"/>
        <w:jc w:val="both"/>
        <w:rPr/>
      </w:pPr>
      <w:r>
        <w:rPr/>
        <w:t> </w:t>
      </w:r>
    </w:p>
    <w:p>
      <w:pPr>
        <w:pStyle w:val="TextBody"/>
        <w:bidi w:val="0"/>
        <w:spacing w:before="0" w:after="0"/>
        <w:ind w:left="0" w:right="0" w:firstLine="540"/>
        <w:jc w:val="left"/>
        <w:rPr/>
      </w:pPr>
      <w:r>
        <w:rPr>
          <w:rFonts w:ascii="Times New Roman" w:hAnsi="Times New Roman"/>
          <w:caps w:val="false"/>
          <w:smallCaps w:val="false"/>
          <w:sz w:val="20"/>
        </w:rPr>
        <w:t xml:space="preserve">The Company has a revolving credit and security agreement with PNC Bank, as agent, which expires on </w:t>
      </w:r>
      <w:r>
        <w:rPr>
          <w:rStyle w:val="Emphasis"/>
          <w:rFonts w:ascii="Times New Roman" w:hAnsi="Times New Roman"/>
          <w:caps w:val="false"/>
          <w:smallCaps w:val="false"/>
          <w:sz w:val="20"/>
        </w:rPr>
        <w:t xml:space="preserve">December 17, 2026, </w:t>
      </w:r>
      <w:r>
        <w:rPr>
          <w:rFonts w:ascii="Times New Roman" w:hAnsi="Times New Roman"/>
          <w:caps w:val="false"/>
          <w:smallCaps w:val="false"/>
          <w:sz w:val="20"/>
        </w:rPr>
        <w:t xml:space="preserve">and provides for a secured revolving loan in aggregate principal of up to $25.0 million, subject to a borrowing base formula. As of </w:t>
      </w:r>
      <w:r>
        <w:rPr>
          <w:rStyle w:val="Emphasis"/>
          <w:rFonts w:ascii="Times New Roman" w:hAnsi="Times New Roman"/>
          <w:caps w:val="false"/>
          <w:smallCaps w:val="false"/>
          <w:sz w:val="20"/>
        </w:rPr>
        <w:t>February 3, 2024</w:t>
      </w:r>
      <w:r>
        <w:rPr>
          <w:rFonts w:ascii="Times New Roman" w:hAnsi="Times New Roman"/>
          <w:caps w:val="false"/>
          <w:smallCaps w:val="false"/>
          <w:sz w:val="20"/>
        </w:rPr>
        <w:t>, borrowings under the agreement would bear interest at (a) a base rate determined under the agreement, or (b) the borrower's option, at a rate based on SOFR, plus in either case a margin based on average undrawn availability as determined in accordance with the agreement. </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59</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Times;serif" w:hAnsi="Times New Roman;Times;serif"/>
          <w:sz w:val="20"/>
        </w:rPr>
        <w:t xml:space="preserve">The Credit Agreement requires the Company to comply with </w:t>
      </w:r>
      <w:r>
        <w:rPr>
          <w:rStyle w:val="Emphasis"/>
          <w:rFonts w:ascii="Times New Roman;Times;serif" w:hAnsi="Times New Roman;Times;serif"/>
          <w:sz w:val="20"/>
        </w:rPr>
        <w:t>one</w:t>
      </w:r>
      <w:r>
        <w:rPr>
          <w:rFonts w:ascii="Times New Roman;Times;serif" w:hAnsi="Times New Roman;Times;serif"/>
          <w:sz w:val="20"/>
        </w:rPr>
        <w:t xml:space="preserve"> financial covenant, specifically, that the Company maintain availability (as determined in accordance with the Credit Agreement) at all times equal to or greater than the greater of (a) 10.0% of the Loan Cap and (b) $1,875,000 (subject to increase upon exercise of the Increase Option). The “Loan Cap” is the lesser of (</w:t>
      </w:r>
      <w:r>
        <w:rPr>
          <w:rStyle w:val="Emphasis"/>
          <w:rFonts w:ascii="Times New Roman;Times;serif" w:hAnsi="Times New Roman;Times;serif"/>
          <w:sz w:val="20"/>
        </w:rPr>
        <w:t>1</w:t>
      </w:r>
      <w:r>
        <w:rPr>
          <w:rFonts w:ascii="Times New Roman;Times;serif" w:hAnsi="Times New Roman;Times;serif"/>
          <w:sz w:val="20"/>
        </w:rPr>
        <w:t xml:space="preserve">) </w:t>
      </w:r>
      <w:r>
        <w:rPr>
          <w:rStyle w:val="Emphasis"/>
          <w:rFonts w:ascii="Times New Roman;Times;serif" w:hAnsi="Times New Roman;Times;serif"/>
          <w:sz w:val="20"/>
        </w:rPr>
        <w:t>$25,000,000</w:t>
      </w:r>
      <w:r>
        <w:rPr>
          <w:rFonts w:ascii="Times New Roman;Times;serif" w:hAnsi="Times New Roman;Times;serif"/>
          <w:sz w:val="20"/>
        </w:rPr>
        <w:t xml:space="preserve"> less the outstanding amount of loans and letters of credit under the Credit Agreement and (</w:t>
      </w:r>
      <w:r>
        <w:rPr>
          <w:rStyle w:val="Emphasis"/>
          <w:rFonts w:ascii="Times New Roman;Times;serif" w:hAnsi="Times New Roman;Times;serif"/>
          <w:sz w:val="20"/>
        </w:rPr>
        <w:t>2</w:t>
      </w:r>
      <w:r>
        <w:rPr>
          <w:rFonts w:ascii="Times New Roman;Times;serif" w:hAnsi="Times New Roman;Times;serif"/>
          <w:sz w:val="20"/>
        </w:rPr>
        <w:t>) the borrowing base from time to time under the Credit Agreement.</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Credit Agreement contains customary events of default, including without limitation events of default based on payment obligations, material inaccuracies of representations and warranties, covenant defaults, final judgments and orders, unenforceability of the Credit Agreement, material ERISA events, change in control, insolvency proceedings, and defaults under certain other obligations. An event of default </w:t>
      </w:r>
      <w:r>
        <w:rPr>
          <w:rStyle w:val="Emphasis"/>
          <w:rFonts w:ascii="Times New Roman;Times;serif" w:hAnsi="Times New Roman;Times;serif"/>
          <w:sz w:val="20"/>
        </w:rPr>
        <w:t xml:space="preserve">may </w:t>
      </w:r>
      <w:r>
        <w:rPr>
          <w:rFonts w:ascii="Times New Roman;Times;serif" w:hAnsi="Times New Roman;Times;serif"/>
          <w:sz w:val="20"/>
        </w:rPr>
        <w:t>cause the applicable interest rate and fees to increase by 2% until such event of default has been cured, waived, or amended.</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Credit Agreement contains typical negative covenants, including, among other things, that the Borrower will </w:t>
      </w:r>
      <w:r>
        <w:rPr>
          <w:rStyle w:val="Emphasis"/>
          <w:rFonts w:ascii="Times New Roman;Times;serif" w:hAnsi="Times New Roman;Times;serif"/>
          <w:sz w:val="20"/>
        </w:rPr>
        <w:t>not</w:t>
      </w:r>
      <w:r>
        <w:rPr>
          <w:rFonts w:ascii="Times New Roman;Times;serif" w:hAnsi="Times New Roman;Times;serif"/>
          <w:sz w:val="20"/>
        </w:rPr>
        <w:t xml:space="preserve"> incur indebtedness except for permitted indebtedness or make any investments except for permitted investments, declare dividends or repurchase its stock except as permitted, acquire any subsidiaries except in connection with a permitted acquisition, or merge or consolidate with any other entity or acquire all or substantially all of the assets of any other company outside the ordinary course of business. </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 is currently in compliance with the Credit Agreement covenants. As of </w:t>
      </w:r>
      <w:r>
        <w:rPr>
          <w:rStyle w:val="Emphasis"/>
          <w:rFonts w:ascii="Times New Roman;Times;serif" w:hAnsi="Times New Roman;Times;serif"/>
          <w:sz w:val="20"/>
        </w:rPr>
        <w:t>February 3, 2024</w:t>
      </w:r>
      <w:r>
        <w:rPr>
          <w:rFonts w:ascii="Times New Roman;Times;serif" w:hAnsi="Times New Roman;Times;serif"/>
          <w:sz w:val="20"/>
        </w:rPr>
        <w:t>, the Company had a borrowing base of </w:t>
      </w:r>
      <w:r>
        <w:rPr>
          <w:rFonts w:ascii="Times New Roman;Times;serif" w:hAnsi="Times New Roman;Times;serif"/>
          <w:sz w:val="20"/>
          <w:shd w:fill="FFFFFF" w:val="clear"/>
        </w:rPr>
        <w:t>$25.0 million. As a result of a $250,000 letter of credit against the line of credit at the end of fiscal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approximately $24.7 million was available for borrowing.</w:t>
      </w:r>
      <w:r>
        <w:rPr>
          <w:rFonts w:ascii="Times New Roman;Times;serif" w:hAnsi="Times New Roman;Times;serif"/>
          <w:sz w:val="20"/>
        </w:rPr>
        <w:t xml:space="preserve"> The Company had no outstanding borrowings as of </w:t>
      </w:r>
      <w:r>
        <w:rPr>
          <w:rStyle w:val="Emphasis"/>
          <w:rFonts w:ascii="Times New Roman;Times;serif" w:hAnsi="Times New Roman;Times;serif"/>
          <w:sz w:val="20"/>
        </w:rPr>
        <w:t>February 3, 2024</w:t>
      </w:r>
      <w:r>
        <w:rPr>
          <w:rFonts w:ascii="Times New Roman;Times;serif" w:hAnsi="Times New Roman;Times;serif"/>
          <w:sz w:val="20"/>
        </w:rPr>
        <w:t>.</w:t>
      </w:r>
      <w:r>
        <w:rPr>
          <w:rFonts w:ascii="Times New Roman;Times;serif" w:hAnsi="Times New Roman;Times;serif"/>
          <w:sz w:val="20"/>
          <w:shd w:fill="FFFFFF" w:val="clear"/>
        </w:rPr>
        <w:t> </w:t>
      </w:r>
    </w:p>
    <w:p>
      <w:pPr>
        <w:pStyle w:val="TextBody"/>
        <w:bidi w:val="0"/>
        <w:spacing w:before="0" w:after="0"/>
        <w:ind w:left="0" w:right="0" w:firstLine="540"/>
        <w:jc w:val="both"/>
        <w:rPr>
          <w:caps w:val="false"/>
          <w:smallCaps w:val="false"/>
        </w:rPr>
      </w:pPr>
      <w:r>
        <w:rPr>
          <w:caps w:val="false"/>
          <w:smallCaps w:val="false"/>
        </w:rPr>
        <w:t> </w:t>
      </w:r>
    </w:p>
    <w:p>
      <w:pPr>
        <w:pStyle w:val="TextBody"/>
        <w:bidi w:val="0"/>
        <w:spacing w:before="0" w:after="0"/>
        <w:jc w:val="left"/>
        <w:rPr/>
      </w:pPr>
      <w:r>
        <w:rPr/>
        <w:t xml:space="preserve">  </w:t>
      </w:r>
    </w:p>
    <w:tbl>
      <w:tblPr>
        <w:tblW w:w="3145" w:type="dxa"/>
        <w:jc w:val="left"/>
        <w:tblInd w:w="0" w:type="dxa"/>
        <w:tblLayout w:type="fixed"/>
        <w:tblCellMar>
          <w:top w:w="0" w:type="dxa"/>
          <w:left w:w="0" w:type="dxa"/>
          <w:bottom w:w="0" w:type="dxa"/>
          <w:right w:w="0" w:type="dxa"/>
        </w:tblCellMar>
      </w:tblPr>
      <w:tblGrid>
        <w:gridCol w:w="350"/>
        <w:gridCol w:w="2795"/>
      </w:tblGrid>
      <w:tr>
        <w:trPr/>
        <w:tc>
          <w:tcPr>
            <w:tcW w:w="35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10</w:t>
            </w:r>
            <w:r>
              <w:rPr>
                <w:rFonts w:ascii="Times New Roman;Times;serif" w:hAnsi="Times New Roman;Times;serif"/>
                <w:b/>
                <w:sz w:val="20"/>
              </w:rPr>
              <w:t>)</w:t>
            </w:r>
          </w:p>
        </w:tc>
        <w:tc>
          <w:tcPr>
            <w:tcW w:w="279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Commitments and Contingencies</w:t>
            </w:r>
            <w:bookmarkStart w:id="36" w:name="note10"/>
            <w:bookmarkEnd w:id="36"/>
          </w:p>
        </w:tc>
      </w:tr>
    </w:tbl>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Litigation</w:t>
      </w:r>
    </w:p>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 xml:space="preserve">In the normal course of business, the Company is subject to legal proceedings, government inquiries and claims, and other commercial disputes. If </w:t>
      </w:r>
      <w:r>
        <w:rPr>
          <w:rStyle w:val="Emphasis"/>
          <w:rFonts w:ascii="Times New Roman;Times;serif" w:hAnsi="Times New Roman;Times;serif"/>
          <w:sz w:val="20"/>
        </w:rPr>
        <w:t>one</w:t>
      </w:r>
      <w:r>
        <w:rPr>
          <w:rFonts w:ascii="Times New Roman;Times;serif" w:hAnsi="Times New Roman;Times;serif"/>
          <w:sz w:val="20"/>
        </w:rPr>
        <w:t xml:space="preserve"> or more of these matters has an unfavorable resolution, it is possible that the results of operations, liquidity or financial position of the Company could be materially affected in any particular period.  The Company accrues a liability for these types of contingencies when it believes that it is both probable that a liability has been incurred and that it can reasonably estimate the amount of the loss. Gain contingencies are recorded when the underlying uncertainty has been settled.</w:t>
      </w:r>
    </w:p>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Assessments made by the U.K. customs authority in </w:t>
      </w:r>
      <w:r>
        <w:rPr>
          <w:rStyle w:val="Emphasis"/>
          <w:rFonts w:ascii="Times New Roman;Times;serif" w:hAnsi="Times New Roman;Times;serif"/>
          <w:sz w:val="20"/>
        </w:rPr>
        <w:t>2012</w:t>
      </w:r>
      <w:r>
        <w:rPr>
          <w:rFonts w:ascii="Times New Roman;Times;serif" w:hAnsi="Times New Roman;Times;serif"/>
          <w:sz w:val="20"/>
        </w:rPr>
        <w:t xml:space="preserve"> were appealed by the Company, which has paid the disputed duty, strictly under protest, pending the outcome of the continuing dispute, and this is included in receivables, net in the DTC segment. The U.K. customs authority contested the Company's appeal. Rulings by the lower tribunal in </w:t>
      </w:r>
      <w:r>
        <w:rPr>
          <w:rStyle w:val="Emphasis"/>
          <w:rFonts w:ascii="Times New Roman;Times;serif" w:hAnsi="Times New Roman;Times;serif"/>
          <w:sz w:val="20"/>
        </w:rPr>
        <w:t xml:space="preserve">November 2019 </w:t>
      </w:r>
      <w:r>
        <w:rPr>
          <w:rFonts w:ascii="Times New Roman;Times;serif" w:hAnsi="Times New Roman;Times;serif"/>
          <w:sz w:val="20"/>
        </w:rPr>
        <w:t xml:space="preserve">and upper tribunal in </w:t>
      </w:r>
      <w:r>
        <w:rPr>
          <w:rStyle w:val="Emphasis"/>
          <w:rFonts w:ascii="Times New Roman;Times;serif" w:hAnsi="Times New Roman;Times;serif"/>
          <w:sz w:val="20"/>
        </w:rPr>
        <w:t xml:space="preserve">March 2021 </w:t>
      </w:r>
      <w:r>
        <w:rPr>
          <w:rFonts w:ascii="Times New Roman;Times;serif" w:hAnsi="Times New Roman;Times;serif"/>
          <w:sz w:val="20"/>
        </w:rPr>
        <w:t xml:space="preserve">held that duty was due on some, but </w:t>
      </w:r>
      <w:r>
        <w:rPr>
          <w:rStyle w:val="Emphasis"/>
          <w:rFonts w:ascii="Times New Roman;Times;serif" w:hAnsi="Times New Roman;Times;serif"/>
          <w:sz w:val="20"/>
        </w:rPr>
        <w:t>not</w:t>
      </w:r>
      <w:r>
        <w:rPr>
          <w:rFonts w:ascii="Times New Roman;Times;serif" w:hAnsi="Times New Roman;Times;serif"/>
          <w:sz w:val="20"/>
        </w:rPr>
        <w:t xml:space="preserve"> all, of the products at issue. The Company petitioned the Court of Appeal for permission to appeal certain elements of the Upper Tribunal decision and, in early </w:t>
      </w:r>
      <w:r>
        <w:rPr>
          <w:rStyle w:val="Emphasis"/>
          <w:rFonts w:ascii="Times New Roman;Times;serif" w:hAnsi="Times New Roman;Times;serif"/>
          <w:sz w:val="20"/>
        </w:rPr>
        <w:t xml:space="preserve"> November 2021, </w:t>
      </w:r>
      <w:r>
        <w:rPr>
          <w:rFonts w:ascii="Times New Roman;Times;serif" w:hAnsi="Times New Roman;Times;serif"/>
          <w:sz w:val="20"/>
        </w:rPr>
        <w:t>a judge granted the Company's petition for permission to appeal those elements of the Upper Tribunal decision on some, but </w:t>
      </w:r>
      <w:r>
        <w:rPr>
          <w:rStyle w:val="Emphasis"/>
          <w:rFonts w:ascii="Times New Roman;Times;serif" w:hAnsi="Times New Roman;Times;serif"/>
          <w:sz w:val="20"/>
        </w:rPr>
        <w:t>not</w:t>
      </w:r>
      <w:r>
        <w:rPr>
          <w:rFonts w:ascii="Times New Roman;Times;serif" w:hAnsi="Times New Roman;Times;serif"/>
          <w:sz w:val="20"/>
        </w:rPr>
        <w:t> all, of the grounds of appeal that the Company had put forward. An appeal was heard by the Court of Appeal during the </w:t>
      </w:r>
      <w:r>
        <w:rPr>
          <w:rStyle w:val="Emphasis"/>
          <w:rFonts w:ascii="Times New Roman;Times;serif" w:hAnsi="Times New Roman;Times;serif"/>
          <w:sz w:val="20"/>
        </w:rPr>
        <w:t>first</w:t>
      </w:r>
      <w:r>
        <w:rPr>
          <w:rFonts w:ascii="Times New Roman;Times;serif" w:hAnsi="Times New Roman;Times;serif"/>
          <w:sz w:val="20"/>
        </w:rPr>
        <w:t> quarter of fiscal </w:t>
      </w:r>
      <w:r>
        <w:rPr>
          <w:rStyle w:val="Emphasis"/>
          <w:rFonts w:ascii="Times New Roman;Times;serif" w:hAnsi="Times New Roman;Times;serif"/>
          <w:sz w:val="20"/>
        </w:rPr>
        <w:t>2022</w:t>
      </w:r>
      <w:r>
        <w:rPr>
          <w:rFonts w:ascii="Times New Roman;Times;serif" w:hAnsi="Times New Roman;Times;serif"/>
          <w:i/>
          <w:sz w:val="20"/>
        </w:rPr>
        <w:t>,</w:t>
      </w:r>
      <w:r>
        <w:rPr>
          <w:rFonts w:ascii="Times New Roman;Times;serif" w:hAnsi="Times New Roman;Times;serif"/>
          <w:sz w:val="20"/>
        </w:rPr>
        <w:t> and the Court of Appeal dismissed the appeal in the </w:t>
      </w:r>
      <w:r>
        <w:rPr>
          <w:rStyle w:val="Emphasis"/>
          <w:rFonts w:ascii="Times New Roman;Times;serif" w:hAnsi="Times New Roman;Times;serif"/>
          <w:sz w:val="20"/>
        </w:rPr>
        <w:t>third</w:t>
      </w:r>
      <w:r>
        <w:rPr>
          <w:rFonts w:ascii="Times New Roman;Times;serif" w:hAnsi="Times New Roman;Times;serif"/>
          <w:sz w:val="20"/>
        </w:rPr>
        <w:t> quarter of fiscal </w:t>
      </w:r>
      <w:r>
        <w:rPr>
          <w:rStyle w:val="Emphasis"/>
          <w:rFonts w:ascii="Times New Roman;Times;serif" w:hAnsi="Times New Roman;Times;serif"/>
          <w:sz w:val="20"/>
        </w:rPr>
        <w:t>2022.</w:t>
      </w:r>
      <w:r>
        <w:rPr>
          <w:rFonts w:ascii="Times New Roman;Times;serif" w:hAnsi="Times New Roman;Times;serif"/>
          <w:sz w:val="20"/>
        </w:rPr>
        <w:t xml:space="preserve"> During the </w:t>
      </w:r>
      <w:r>
        <w:rPr>
          <w:rStyle w:val="Emphasis"/>
          <w:rFonts w:ascii="Times New Roman;Times;serif" w:hAnsi="Times New Roman;Times;serif"/>
          <w:sz w:val="20"/>
        </w:rPr>
        <w:t>fourth</w:t>
      </w:r>
      <w:r>
        <w:rPr>
          <w:rFonts w:ascii="Times New Roman;Times;serif" w:hAnsi="Times New Roman;Times;serif"/>
          <w:sz w:val="20"/>
        </w:rPr>
        <w:t xml:space="preserve"> quarter of fiscal </w:t>
      </w:r>
      <w:r>
        <w:rPr>
          <w:rStyle w:val="Emphasis"/>
          <w:rFonts w:ascii="Times New Roman;Times;serif" w:hAnsi="Times New Roman;Times;serif"/>
          <w:sz w:val="20"/>
        </w:rPr>
        <w:t>2022,</w:t>
      </w:r>
      <w:r>
        <w:rPr>
          <w:rFonts w:ascii="Times New Roman;Times;serif" w:hAnsi="Times New Roman;Times;serif"/>
          <w:sz w:val="20"/>
        </w:rPr>
        <w:t xml:space="preserve"> the UK Supreme Court declined to hear the appeal. The Company is engaging with the customs authority to attempt to resolve all outstanding issues following the application of the determined principles. The case will return to the lower tribunal for a final ruling if outstanding issues cannot be resolved. The Company maintains a provision against the related receivable, based on a current evaluation of collectability, using the latest facts available in the dispute. As of </w:t>
      </w:r>
      <w:r>
        <w:rPr>
          <w:rStyle w:val="Emphasis"/>
          <w:rFonts w:ascii="Times New Roman;Times;serif" w:hAnsi="Times New Roman;Times;serif"/>
          <w:sz w:val="20"/>
        </w:rPr>
        <w:t>February 3, 2024</w:t>
      </w:r>
      <w:r>
        <w:rPr>
          <w:rFonts w:ascii="Times New Roman;Times;serif" w:hAnsi="Times New Roman;Times;serif"/>
          <w:sz w:val="20"/>
        </w:rPr>
        <w:t xml:space="preserve">, the Company had a gross receivable balance of $4.6 million and a reserve of $3.7 million, leaving a net receivable of $0.9 million. The Company believes that the outcome of this dispute will </w:t>
      </w:r>
      <w:r>
        <w:rPr>
          <w:rStyle w:val="Emphasis"/>
          <w:rFonts w:ascii="Times New Roman;Times;serif" w:hAnsi="Times New Roman;Times;serif"/>
          <w:sz w:val="20"/>
        </w:rPr>
        <w:t>not</w:t>
      </w:r>
      <w:r>
        <w:rPr>
          <w:rFonts w:ascii="Times New Roman;Times;serif" w:hAnsi="Times New Roman;Times;serif"/>
          <w:sz w:val="20"/>
        </w:rPr>
        <w:t xml:space="preserve"> have a material adverse impact on the results of operations, liquidity or financial position of the Company.</w:t>
      </w:r>
    </w:p>
    <w:p>
      <w:pPr>
        <w:pStyle w:val="TextBody"/>
        <w:bidi w:val="0"/>
        <w:spacing w:before="0" w:after="0"/>
        <w:ind w:left="0" w:right="0" w:firstLine="540"/>
        <w:jc w:val="both"/>
        <w:rPr/>
      </w:pPr>
      <w:r>
        <w:rPr/>
        <w:t> </w:t>
      </w:r>
    </w:p>
    <w:p>
      <w:pPr>
        <w:pStyle w:val="TextBody"/>
        <w:bidi w:val="0"/>
        <w:spacing w:before="0" w:after="0"/>
        <w:jc w:val="center"/>
        <w:rPr/>
      </w:pPr>
      <w:r>
        <w:rPr>
          <w:rStyle w:val="Emphasis"/>
          <w:rFonts w:ascii="Times New Roman" w:hAnsi="Times New Roman"/>
          <w:sz w:val="20"/>
        </w:rPr>
        <w:t>60</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left"/>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August 2021, </w:t>
      </w:r>
      <w:r>
        <w:rPr>
          <w:rFonts w:ascii="Times New Roman" w:hAnsi="Times New Roman"/>
          <w:caps w:val="false"/>
          <w:smallCaps w:val="false"/>
          <w:sz w:val="20"/>
        </w:rPr>
        <w:t xml:space="preserve">a putative class action lawsuit was filed against Build-A-Bear Workshop, Inc., asserting claims under the Telephone Consumer Protection Act (the "TCPA") alleging that the Company continued to send marketing text messages to mobile phone numbers registered on the National Do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Call Registry after allegedly opting-out of receiving them. The Company reached a settlement with the Plaintiff and an insurance carrier which has been approved by the Court and will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result in a significant expense for the Company. The action was dismissed, with prejudice, in </w:t>
      </w:r>
      <w:r>
        <w:rPr>
          <w:rStyle w:val="Emphasis"/>
          <w:rFonts w:ascii="Times New Roman" w:hAnsi="Times New Roman"/>
          <w:caps w:val="false"/>
          <w:smallCaps w:val="false"/>
          <w:sz w:val="20"/>
        </w:rPr>
        <w:t>October 2023.</w:t>
      </w:r>
    </w:p>
    <w:p>
      <w:pPr>
        <w:pStyle w:val="TextBody"/>
        <w:bidi w:val="0"/>
        <w:spacing w:before="0" w:after="0"/>
        <w:ind w:left="0" w:right="144" w:firstLine="540"/>
        <w:jc w:val="both"/>
        <w:rPr/>
      </w:pPr>
      <w:r>
        <w:rPr/>
        <w:t> </w:t>
      </w:r>
    </w:p>
    <w:p>
      <w:pPr>
        <w:pStyle w:val="TextBody"/>
        <w:bidi w:val="0"/>
        <w:spacing w:before="0" w:after="0"/>
        <w:jc w:val="left"/>
        <w:rPr/>
      </w:pPr>
      <w:r>
        <w:rPr/>
        <w:t xml:space="preserve">  </w:t>
      </w:r>
    </w:p>
    <w:tbl>
      <w:tblPr>
        <w:tblW w:w="2260" w:type="dxa"/>
        <w:jc w:val="left"/>
        <w:tblInd w:w="0" w:type="dxa"/>
        <w:tblLayout w:type="fixed"/>
        <w:tblCellMar>
          <w:top w:w="0" w:type="dxa"/>
          <w:left w:w="0" w:type="dxa"/>
          <w:bottom w:w="0" w:type="dxa"/>
          <w:right w:w="0" w:type="dxa"/>
        </w:tblCellMar>
      </w:tblPr>
      <w:tblGrid>
        <w:gridCol w:w="350"/>
        <w:gridCol w:w="1910"/>
      </w:tblGrid>
      <w:tr>
        <w:trPr/>
        <w:tc>
          <w:tcPr>
            <w:tcW w:w="35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11</w:t>
            </w:r>
            <w:r>
              <w:rPr>
                <w:rFonts w:ascii="Times New Roman;Times;serif" w:hAnsi="Times New Roman;Times;serif"/>
                <w:b/>
                <w:sz w:val="20"/>
              </w:rPr>
              <w:t>)</w:t>
            </w:r>
          </w:p>
        </w:tc>
        <w:tc>
          <w:tcPr>
            <w:tcW w:w="191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Net Income Per Share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rFonts w:ascii="Times New Roman;Times;serif" w:hAnsi="Times New Roman;Times;serif"/>
          <w:sz w:val="20"/>
        </w:rPr>
      </w:pPr>
      <w:r>
        <w:rPr>
          <w:rFonts w:ascii="Times New Roman;Times;serif" w:hAnsi="Times New Roman;Times;serif"/>
          <w:sz w:val="20"/>
        </w:rPr>
        <w:t>The Company computes both basic and diluted income per common share. The following table sets forth the computation of basic and diluted income per share (in thousands, except share and per share data):</w:t>
      </w:r>
    </w:p>
    <w:p>
      <w:pPr>
        <w:pStyle w:val="TextBody"/>
        <w:bidi w:val="0"/>
        <w:spacing w:before="0" w:after="0"/>
        <w:ind w:left="0" w:right="0" w:hanging="0"/>
        <w:jc w:val="left"/>
        <w:rPr/>
      </w:pPr>
      <w:r>
        <w:rPr/>
        <w:t> </w:t>
      </w:r>
    </w:p>
    <w:tbl>
      <w:tblPr>
        <w:tblW w:w="7855" w:type="dxa"/>
        <w:jc w:val="left"/>
        <w:tblInd w:w="0" w:type="dxa"/>
        <w:tblLayout w:type="fixed"/>
        <w:tblCellMar>
          <w:top w:w="0" w:type="dxa"/>
          <w:left w:w="0" w:type="dxa"/>
          <w:bottom w:w="0" w:type="dxa"/>
          <w:right w:w="0" w:type="dxa"/>
        </w:tblCellMar>
      </w:tblPr>
      <w:tblGrid>
        <w:gridCol w:w="5465"/>
        <w:gridCol w:w="60"/>
        <w:gridCol w:w="125"/>
        <w:gridCol w:w="950"/>
        <w:gridCol w:w="60"/>
        <w:gridCol w:w="60"/>
        <w:gridCol w:w="125"/>
        <w:gridCol w:w="950"/>
        <w:gridCol w:w="60"/>
      </w:tblGrid>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Fiscal year ended</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February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shd w:fill="FFFFFF" w:val="cle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January 28,</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2023</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52,805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47,985</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DENOMINATOR: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number of common shares outstanding - basic</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14,342,931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14,940,770</w:t>
            </w:r>
          </w:p>
        </w:tc>
        <w:tc>
          <w:tcPr>
            <w:tcW w:w="6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Dilutive effect of share-based awards: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128,944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309,049</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Weighted average number of common shares outstanding - dilutive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14,471,875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15,249,819</w:t>
            </w:r>
          </w:p>
        </w:tc>
        <w:tc>
          <w:tcPr>
            <w:tcW w:w="60" w:type="dxa"/>
            <w:tcBorders/>
            <w:shd w:fill="CCEEFF" w:val="clear"/>
            <w:vAlign w:val="center"/>
          </w:tcPr>
          <w:p>
            <w:pPr>
              <w:pStyle w:val="TableContents"/>
              <w:bidi w:val="0"/>
              <w:spacing w:before="0" w:after="283"/>
              <w:jc w:val="left"/>
              <w:rPr/>
            </w:pPr>
            <w:r>
              <w:rPr/>
              <w:t> </w:t>
            </w:r>
          </w:p>
        </w:tc>
      </w:tr>
      <w:tr>
        <w:trPr/>
        <w:tc>
          <w:tcPr>
            <w:tcW w:w="546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Basic income per common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3.21</w:t>
            </w:r>
          </w:p>
        </w:tc>
        <w:tc>
          <w:tcPr>
            <w:tcW w:w="60" w:type="dxa"/>
            <w:tcBorders/>
            <w:shd w:fill="FFFFFF" w:val="clear"/>
            <w:vAlign w:val="center"/>
          </w:tcPr>
          <w:p>
            <w:pPr>
              <w:pStyle w:val="TableContents"/>
              <w:bidi w:val="0"/>
              <w:spacing w:before="0" w:after="283"/>
              <w:jc w:val="left"/>
              <w:rPr/>
            </w:pPr>
            <w:r>
              <w:rPr/>
              <w:t> </w:t>
            </w:r>
          </w:p>
        </w:tc>
      </w:tr>
      <w:tr>
        <w:trPr/>
        <w:tc>
          <w:tcPr>
            <w:tcW w:w="546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Diluted income per common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color w:val="000000"/>
          <w:sz w:val="20"/>
        </w:rPr>
        <w:t>In calculating diluted earnings per share for fiscal </w:t>
      </w:r>
      <w:r>
        <w:rPr>
          <w:rStyle w:val="Emphasis"/>
          <w:rFonts w:ascii="Times New Roman;Times;serif" w:hAnsi="Times New Roman;Times;serif"/>
          <w:color w:val="000000"/>
          <w:sz w:val="20"/>
        </w:rPr>
        <w:t>2023</w:t>
      </w:r>
      <w:r>
        <w:rPr>
          <w:rFonts w:ascii="Times New Roman;Times;serif" w:hAnsi="Times New Roman;Times;serif"/>
          <w:color w:val="000000"/>
          <w:sz w:val="20"/>
        </w:rPr>
        <w:t xml:space="preserve"> and </w:t>
      </w:r>
      <w:r>
        <w:rPr>
          <w:rStyle w:val="Emphasis"/>
          <w:rFonts w:ascii="Times New Roman;Times;serif" w:hAnsi="Times New Roman;Times;serif"/>
          <w:color w:val="000000"/>
          <w:sz w:val="20"/>
        </w:rPr>
        <w:t>2022</w:t>
      </w:r>
      <w:r>
        <w:rPr>
          <w:rFonts w:ascii="Times New Roman;Times;serif" w:hAnsi="Times New Roman;Times;serif"/>
          <w:color w:val="000000"/>
          <w:sz w:val="20"/>
        </w:rPr>
        <w:t xml:space="preserve">, options to purchase 31,343 and 49,133 shares of common stock, respectively, were outstanding at the end of the period, but were </w:t>
      </w:r>
      <w:r>
        <w:rPr>
          <w:rStyle w:val="Emphasis"/>
          <w:rFonts w:ascii="Times New Roman;Times;serif" w:hAnsi="Times New Roman;Times;serif"/>
          <w:color w:val="000000"/>
          <w:sz w:val="20"/>
        </w:rPr>
        <w:t>not</w:t>
      </w:r>
      <w:r>
        <w:rPr>
          <w:rFonts w:ascii="Times New Roman;Times;serif" w:hAnsi="Times New Roman;Times;serif"/>
          <w:color w:val="000000"/>
          <w:sz w:val="20"/>
        </w:rPr>
        <w:t xml:space="preserve"> included in the computation of diluted income per share due to their anti-dilutive effect under provisions of ASC </w:t>
      </w:r>
      <w:r>
        <w:rPr>
          <w:rStyle w:val="Emphasis"/>
          <w:rFonts w:ascii="Times New Roman;Times;serif" w:hAnsi="Times New Roman;Times;serif"/>
          <w:color w:val="000000"/>
          <w:sz w:val="20"/>
        </w:rPr>
        <w:t>260</w:t>
      </w:r>
      <w:r>
        <w:rPr>
          <w:rFonts w:ascii="Times New Roman;Times;serif" w:hAnsi="Times New Roman;Times;serif"/>
          <w:color w:val="000000"/>
          <w:sz w:val="20"/>
        </w:rPr>
        <w:t>-</w:t>
      </w:r>
      <w:r>
        <w:rPr>
          <w:rStyle w:val="Emphasis"/>
          <w:rFonts w:ascii="Times New Roman;Times;serif" w:hAnsi="Times New Roman;Times;serif"/>
          <w:color w:val="000000"/>
          <w:sz w:val="20"/>
        </w:rPr>
        <w:t>10.</w:t>
      </w:r>
    </w:p>
    <w:p>
      <w:pPr>
        <w:pStyle w:val="TextBody"/>
        <w:bidi w:val="0"/>
        <w:spacing w:before="0" w:after="0"/>
        <w:ind w:left="0" w:right="0" w:firstLine="490"/>
        <w:jc w:val="both"/>
        <w:rPr/>
      </w:pPr>
      <w:r>
        <w:rPr/>
        <w:t> </w:t>
      </w:r>
    </w:p>
    <w:p>
      <w:pPr>
        <w:pStyle w:val="TextBody"/>
        <w:bidi w:val="0"/>
        <w:spacing w:before="0" w:after="0"/>
        <w:jc w:val="left"/>
        <w:rPr/>
      </w:pPr>
      <w:r>
        <w:rPr/>
        <w:t xml:space="preserve">  </w:t>
      </w:r>
    </w:p>
    <w:tbl>
      <w:tblPr>
        <w:tblW w:w="2215" w:type="dxa"/>
        <w:jc w:val="left"/>
        <w:tblInd w:w="0" w:type="dxa"/>
        <w:tblLayout w:type="fixed"/>
        <w:tblCellMar>
          <w:top w:w="0" w:type="dxa"/>
          <w:left w:w="0" w:type="dxa"/>
          <w:bottom w:w="0" w:type="dxa"/>
          <w:right w:w="0" w:type="dxa"/>
        </w:tblCellMar>
      </w:tblPr>
      <w:tblGrid>
        <w:gridCol w:w="350"/>
        <w:gridCol w:w="1865"/>
      </w:tblGrid>
      <w:tr>
        <w:trPr/>
        <w:tc>
          <w:tcPr>
            <w:tcW w:w="35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12</w:t>
            </w:r>
            <w:r>
              <w:rPr>
                <w:rFonts w:ascii="Times New Roman;Times;serif" w:hAnsi="Times New Roman;Times;serif"/>
                <w:b/>
                <w:sz w:val="20"/>
              </w:rPr>
              <w:t>)</w:t>
            </w:r>
          </w:p>
        </w:tc>
        <w:tc>
          <w:tcPr>
            <w:tcW w:w="18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Stock Incentive Plans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In </w:t>
      </w:r>
      <w:r>
        <w:rPr>
          <w:rStyle w:val="Emphasis"/>
          <w:rFonts w:ascii="Times New Roman;Times;serif" w:hAnsi="Times New Roman;Times;serif"/>
          <w:sz w:val="20"/>
        </w:rPr>
        <w:t>2004,</w:t>
      </w:r>
      <w:r>
        <w:rPr>
          <w:rFonts w:ascii="Times New Roman;Times;serif" w:hAnsi="Times New Roman;Times;serif"/>
          <w:sz w:val="20"/>
        </w:rPr>
        <w:t xml:space="preserve"> the Company adopted the Build-A-Bear Workshop, Inc. </w:t>
      </w:r>
      <w:r>
        <w:rPr>
          <w:rStyle w:val="Emphasis"/>
          <w:rFonts w:ascii="Times New Roman;Times;serif" w:hAnsi="Times New Roman;Times;serif"/>
          <w:sz w:val="20"/>
        </w:rPr>
        <w:t>2004</w:t>
      </w:r>
      <w:r>
        <w:rPr>
          <w:rFonts w:ascii="Times New Roman;Times;serif" w:hAnsi="Times New Roman;Times;serif"/>
          <w:sz w:val="20"/>
        </w:rPr>
        <w:t xml:space="preserve"> Stock Incentive Plan which the Company amended and restated in </w:t>
      </w:r>
      <w:r>
        <w:rPr>
          <w:rStyle w:val="Emphasis"/>
          <w:rFonts w:ascii="Times New Roman;Times;serif" w:hAnsi="Times New Roman;Times;serif"/>
          <w:sz w:val="20"/>
        </w:rPr>
        <w:t>2009</w:t>
      </w:r>
      <w:r>
        <w:rPr>
          <w:rFonts w:ascii="Times New Roman;Times;serif" w:hAnsi="Times New Roman;Times;serif"/>
          <w:sz w:val="20"/>
        </w:rPr>
        <w:t xml:space="preserve"> and </w:t>
      </w:r>
      <w:r>
        <w:rPr>
          <w:rStyle w:val="Emphasis"/>
          <w:rFonts w:ascii="Times New Roman;Times;serif" w:hAnsi="Times New Roman;Times;serif"/>
          <w:sz w:val="20"/>
        </w:rPr>
        <w:t>2014</w:t>
      </w:r>
      <w:r>
        <w:rPr>
          <w:rFonts w:ascii="Times New Roman;Times;serif" w:hAnsi="Times New Roman;Times;serif"/>
          <w:sz w:val="20"/>
        </w:rPr>
        <w:t xml:space="preserve"> (collectively, the Incentive Plans). In </w:t>
      </w:r>
      <w:r>
        <w:rPr>
          <w:rStyle w:val="Emphasis"/>
          <w:rFonts w:ascii="Times New Roman;Times;serif" w:hAnsi="Times New Roman;Times;serif"/>
          <w:sz w:val="20"/>
        </w:rPr>
        <w:t>2017,</w:t>
      </w:r>
      <w:r>
        <w:rPr>
          <w:rFonts w:ascii="Times New Roman;Times;serif" w:hAnsi="Times New Roman;Times;serif"/>
          <w:sz w:val="20"/>
        </w:rPr>
        <w:t xml:space="preserve"> the Company adopted the Build-A-Bear Workshop, Inc. </w:t>
      </w:r>
      <w:r>
        <w:rPr>
          <w:rStyle w:val="Emphasis"/>
          <w:rFonts w:ascii="Times New Roman;Times;serif" w:hAnsi="Times New Roman;Times;serif"/>
          <w:sz w:val="20"/>
        </w:rPr>
        <w:t>2017</w:t>
      </w:r>
      <w:r>
        <w:rPr>
          <w:rFonts w:ascii="Times New Roman;Times;serif" w:hAnsi="Times New Roman;Times;serif"/>
          <w:sz w:val="20"/>
        </w:rPr>
        <w:t xml:space="preserve"> Omnibus Incentive Plan.</w:t>
      </w:r>
    </w:p>
    <w:p>
      <w:pPr>
        <w:pStyle w:val="TextBody"/>
        <w:bidi w:val="0"/>
        <w:spacing w:before="0" w:after="0"/>
        <w:ind w:left="0" w:right="0" w:firstLine="540"/>
        <w:jc w:val="both"/>
        <w:rPr/>
      </w:pPr>
      <w:r>
        <w:rPr/>
        <w:t> </w:t>
      </w:r>
    </w:p>
    <w:p>
      <w:pPr>
        <w:pStyle w:val="TextBody"/>
        <w:bidi w:val="0"/>
        <w:spacing w:before="0" w:after="0"/>
        <w:ind w:left="0" w:right="0" w:firstLine="540"/>
        <w:jc w:val="both"/>
        <w:rPr/>
      </w:pPr>
      <w:r>
        <w:rPr>
          <w:rFonts w:ascii="Times New Roman;Times;serif" w:hAnsi="Times New Roman;Times;serif"/>
          <w:sz w:val="20"/>
        </w:rPr>
        <w:t>On </w:t>
      </w:r>
      <w:r>
        <w:rPr>
          <w:rStyle w:val="Emphasis"/>
          <w:rFonts w:ascii="Times New Roman;Times;serif" w:hAnsi="Times New Roman;Times;serif"/>
          <w:sz w:val="20"/>
        </w:rPr>
        <w:t xml:space="preserve"> April 14,</w:t>
      </w:r>
      <w:r>
        <w:rPr>
          <w:rFonts w:ascii="Times New Roman;Times;serif" w:hAnsi="Times New Roman;Times;serif"/>
          <w:sz w:val="20"/>
        </w:rPr>
        <w:t> </w:t>
      </w:r>
      <w:r>
        <w:rPr>
          <w:rStyle w:val="Emphasis"/>
          <w:rFonts w:ascii="Times New Roman;Times;serif" w:hAnsi="Times New Roman;Times;serif"/>
          <w:sz w:val="20"/>
        </w:rPr>
        <w:t>2020,</w:t>
      </w:r>
      <w:r>
        <w:rPr>
          <w:rFonts w:ascii="Times New Roman;Times;serif" w:hAnsi="Times New Roman;Times;serif"/>
          <w:sz w:val="20"/>
        </w:rPr>
        <w:t> the Board of Directors (the “Board”) of Build-A-Bear Workshop, Inc. (the “Company”) adopted, subject to stockholder approval, the Build-A-Bear Workshop, Inc. </w:t>
      </w:r>
      <w:r>
        <w:rPr>
          <w:rStyle w:val="Emphasis"/>
          <w:rFonts w:ascii="Times New Roman;Times;serif" w:hAnsi="Times New Roman;Times;serif"/>
          <w:sz w:val="20"/>
        </w:rPr>
        <w:t>2020</w:t>
      </w:r>
      <w:r>
        <w:rPr>
          <w:rFonts w:ascii="Times New Roman;Times;serif" w:hAnsi="Times New Roman;Times;serif"/>
          <w:sz w:val="20"/>
        </w:rPr>
        <w:t> Omnibus Incentive Plan (the </w:t>
      </w:r>
      <w:r>
        <w:rPr>
          <w:rStyle w:val="Emphasis"/>
          <w:rFonts w:ascii="Times New Roman;Times;serif" w:hAnsi="Times New Roman;Times;serif"/>
          <w:sz w:val="20"/>
        </w:rPr>
        <w:t>“2020</w:t>
      </w:r>
      <w:r>
        <w:rPr>
          <w:rFonts w:ascii="Times New Roman;Times;serif" w:hAnsi="Times New Roman;Times;serif"/>
          <w:sz w:val="20"/>
        </w:rPr>
        <w:t> Incentive Plan”). On </w:t>
      </w:r>
      <w:r>
        <w:rPr>
          <w:rStyle w:val="Emphasis"/>
          <w:rFonts w:ascii="Times New Roman;Times;serif" w:hAnsi="Times New Roman;Times;serif"/>
          <w:sz w:val="20"/>
        </w:rPr>
        <w:t xml:space="preserve"> June 11, 2020, </w:t>
      </w:r>
      <w:r>
        <w:rPr>
          <w:rFonts w:ascii="Times New Roman;Times;serif" w:hAnsi="Times New Roman;Times;serif"/>
          <w:sz w:val="20"/>
        </w:rPr>
        <w:t>at the Company’s </w:t>
      </w:r>
      <w:r>
        <w:rPr>
          <w:rStyle w:val="Emphasis"/>
          <w:rFonts w:ascii="Times New Roman;Times;serif" w:hAnsi="Times New Roman;Times;serif"/>
          <w:sz w:val="20"/>
        </w:rPr>
        <w:t>2020</w:t>
      </w:r>
      <w:r>
        <w:rPr>
          <w:rFonts w:ascii="Times New Roman;Times;serif" w:hAnsi="Times New Roman;Times;serif"/>
          <w:sz w:val="20"/>
        </w:rPr>
        <w:t> Annual Meeting of Stockholders (the “Annual Meeting”), the Company’s stockholders approved the </w:t>
      </w:r>
      <w:r>
        <w:rPr>
          <w:rStyle w:val="Emphasis"/>
          <w:rFonts w:ascii="Times New Roman;Times;serif" w:hAnsi="Times New Roman;Times;serif"/>
          <w:sz w:val="20"/>
        </w:rPr>
        <w:t>2020</w:t>
      </w:r>
      <w:r>
        <w:rPr>
          <w:rFonts w:ascii="Times New Roman;Times;serif" w:hAnsi="Times New Roman;Times;serif"/>
          <w:sz w:val="20"/>
        </w:rPr>
        <w:t> Incentive Plan. On </w:t>
      </w:r>
      <w:r>
        <w:rPr>
          <w:rStyle w:val="Emphasis"/>
          <w:rFonts w:ascii="Times New Roman;Times;serif" w:hAnsi="Times New Roman;Times;serif"/>
          <w:sz w:val="20"/>
        </w:rPr>
        <w:t xml:space="preserve"> April 11,</w:t>
      </w:r>
      <w:r>
        <w:rPr>
          <w:rFonts w:ascii="Times New Roman;Times;serif" w:hAnsi="Times New Roman;Times;serif"/>
          <w:sz w:val="20"/>
        </w:rPr>
        <w:t> </w:t>
      </w:r>
      <w:r>
        <w:rPr>
          <w:rStyle w:val="Emphasis"/>
          <w:rFonts w:ascii="Times New Roman;Times;serif" w:hAnsi="Times New Roman;Times;serif"/>
          <w:sz w:val="20"/>
        </w:rPr>
        <w:t>2023,</w:t>
      </w:r>
      <w:r>
        <w:rPr>
          <w:rFonts w:ascii="Times New Roman;Times;serif" w:hAnsi="Times New Roman;Times;serif"/>
          <w:sz w:val="20"/>
        </w:rPr>
        <w:t> the Board adopted, subject to stockholder approval, the Build-A-Bear Workshop, Inc. Amended and Restated </w:t>
      </w:r>
      <w:r>
        <w:rPr>
          <w:rStyle w:val="Emphasis"/>
          <w:rFonts w:ascii="Times New Roman;Times;serif" w:hAnsi="Times New Roman;Times;serif"/>
          <w:sz w:val="20"/>
        </w:rPr>
        <w:t>2020</w:t>
      </w:r>
      <w:r>
        <w:rPr>
          <w:rFonts w:ascii="Times New Roman;Times;serif" w:hAnsi="Times New Roman;Times;serif"/>
          <w:sz w:val="20"/>
        </w:rPr>
        <w:t> Omnibus Incentive Plan (the “Restated </w:t>
      </w:r>
      <w:r>
        <w:rPr>
          <w:rStyle w:val="Emphasis"/>
          <w:rFonts w:ascii="Times New Roman;Times;serif" w:hAnsi="Times New Roman;Times;serif"/>
          <w:sz w:val="20"/>
        </w:rPr>
        <w:t>2020</w:t>
      </w:r>
      <w:r>
        <w:rPr>
          <w:rFonts w:ascii="Times New Roman;Times;serif" w:hAnsi="Times New Roman;Times;serif"/>
          <w:sz w:val="20"/>
        </w:rPr>
        <w:t> Incentive Plan”). On </w:t>
      </w:r>
      <w:r>
        <w:rPr>
          <w:rStyle w:val="Emphasis"/>
          <w:rFonts w:ascii="Times New Roman;Times;serif" w:hAnsi="Times New Roman;Times;serif"/>
          <w:sz w:val="20"/>
        </w:rPr>
        <w:t xml:space="preserve"> June 8, 2023, </w:t>
      </w:r>
      <w:r>
        <w:rPr>
          <w:rFonts w:ascii="Times New Roman;Times;serif" w:hAnsi="Times New Roman;Times;serif"/>
          <w:sz w:val="20"/>
        </w:rPr>
        <w:t>at the Company’s </w:t>
      </w:r>
      <w:r>
        <w:rPr>
          <w:rStyle w:val="Emphasis"/>
          <w:rFonts w:ascii="Times New Roman;Times;serif" w:hAnsi="Times New Roman;Times;serif"/>
          <w:sz w:val="20"/>
        </w:rPr>
        <w:t>2023</w:t>
      </w:r>
      <w:r>
        <w:rPr>
          <w:rFonts w:ascii="Times New Roman;Times;serif" w:hAnsi="Times New Roman;Times;serif"/>
          <w:sz w:val="20"/>
        </w:rPr>
        <w:t> Annual Meeting of Stockholders (the “Annual Meeting”), the Company’s stockholders approved the Restated </w:t>
      </w:r>
      <w:r>
        <w:rPr>
          <w:rStyle w:val="Emphasis"/>
          <w:rFonts w:ascii="Times New Roman;Times;serif" w:hAnsi="Times New Roman;Times;serif"/>
          <w:sz w:val="20"/>
        </w:rPr>
        <w:t>2020</w:t>
      </w:r>
      <w:r>
        <w:rPr>
          <w:rFonts w:ascii="Times New Roman;Times;serif" w:hAnsi="Times New Roman;Times;serif"/>
          <w:sz w:val="20"/>
        </w:rPr>
        <w:t> Incentive Plan. The Restated </w:t>
      </w:r>
      <w:r>
        <w:rPr>
          <w:rStyle w:val="Emphasis"/>
          <w:rFonts w:ascii="Times New Roman;Times;serif" w:hAnsi="Times New Roman;Times;serif"/>
          <w:sz w:val="20"/>
        </w:rPr>
        <w:t>2020</w:t>
      </w:r>
      <w:r>
        <w:rPr>
          <w:rFonts w:ascii="Times New Roman;Times;serif" w:hAnsi="Times New Roman;Times;serif"/>
          <w:sz w:val="20"/>
        </w:rPr>
        <w:t> Incentive Plan, which is administered by the Compensation and Development Committee of the Board, permits the grant of stock options (including both incentive and non-qualified stock options), stock appreciation rights, other stock-based awards, including restricted stock and restricted stock units, cash-based awards, and performance awards pursuant to the terms of the Restated </w:t>
      </w:r>
      <w:r>
        <w:rPr>
          <w:rStyle w:val="Emphasis"/>
          <w:rFonts w:ascii="Times New Roman;Times;serif" w:hAnsi="Times New Roman;Times;serif"/>
          <w:sz w:val="20"/>
        </w:rPr>
        <w:t>2020</w:t>
      </w:r>
      <w:r>
        <w:rPr>
          <w:rFonts w:ascii="Times New Roman;Times;serif" w:hAnsi="Times New Roman;Times;serif"/>
          <w:sz w:val="20"/>
        </w:rPr>
        <w:t> Incentive Plan. The Restated </w:t>
      </w:r>
      <w:r>
        <w:rPr>
          <w:rStyle w:val="Emphasis"/>
          <w:rFonts w:ascii="Times New Roman;Times;serif" w:hAnsi="Times New Roman;Times;serif"/>
          <w:sz w:val="20"/>
        </w:rPr>
        <w:t>2020</w:t>
      </w:r>
      <w:r>
        <w:rPr>
          <w:rFonts w:ascii="Times New Roman;Times;serif" w:hAnsi="Times New Roman;Times;serif"/>
          <w:sz w:val="20"/>
        </w:rPr>
        <w:t> Incentive Plan will terminate on </w:t>
      </w:r>
      <w:r>
        <w:rPr>
          <w:rStyle w:val="Emphasis"/>
          <w:rFonts w:ascii="Times New Roman;Times;serif" w:hAnsi="Times New Roman;Times;serif"/>
          <w:sz w:val="20"/>
        </w:rPr>
        <w:t xml:space="preserve"> April 11, 2033, </w:t>
      </w:r>
      <w:r>
        <w:rPr>
          <w:rFonts w:ascii="Times New Roman;Times;serif" w:hAnsi="Times New Roman;Times;serif"/>
          <w:sz w:val="20"/>
        </w:rPr>
        <w:t>unless earlier terminated by the Board. The total number of shares of the Company’s common stock authorized for issuance under the Restated </w:t>
      </w:r>
      <w:r>
        <w:rPr>
          <w:rStyle w:val="Emphasis"/>
          <w:rFonts w:ascii="Times New Roman;Times;serif" w:hAnsi="Times New Roman;Times;serif"/>
          <w:sz w:val="20"/>
        </w:rPr>
        <w:t>2020</w:t>
      </w:r>
      <w:r>
        <w:rPr>
          <w:rFonts w:ascii="Times New Roman;Times;serif" w:hAnsi="Times New Roman;Times;serif"/>
          <w:sz w:val="20"/>
        </w:rPr>
        <w:t> Incentive Plan increased by 800,000 to a maximum  of 1,800,000 since its inception as the </w:t>
      </w:r>
      <w:r>
        <w:rPr>
          <w:rStyle w:val="Emphasis"/>
          <w:rFonts w:ascii="Times New Roman;Times;serif" w:hAnsi="Times New Roman;Times;serif"/>
          <w:sz w:val="20"/>
        </w:rPr>
        <w:t>2020</w:t>
      </w:r>
      <w:r>
        <w:rPr>
          <w:rFonts w:ascii="Times New Roman;Times;serif" w:hAnsi="Times New Roman;Times;serif"/>
          <w:sz w:val="20"/>
        </w:rPr>
        <w:t> Incentive Plan, subject to customary capitalization adjustments, substitutions of acquired company awards and certain additions of acquired company plan shares, plus shares that are subject to outstanding awards made under the Build-A-Bear Workshop, Inc. </w:t>
      </w:r>
      <w:r>
        <w:rPr>
          <w:rStyle w:val="Emphasis"/>
          <w:rFonts w:ascii="Times New Roman;Times;serif" w:hAnsi="Times New Roman;Times;serif"/>
          <w:sz w:val="20"/>
        </w:rPr>
        <w:t>2017</w:t>
      </w:r>
      <w:r>
        <w:rPr>
          <w:rFonts w:ascii="Times New Roman;Times;serif" w:hAnsi="Times New Roman;Times;serif"/>
          <w:sz w:val="20"/>
        </w:rPr>
        <w:t> Omnibus Incentive Plan (the </w:t>
      </w:r>
      <w:r>
        <w:rPr>
          <w:rStyle w:val="Emphasis"/>
          <w:rFonts w:ascii="Times New Roman;Times;serif" w:hAnsi="Times New Roman;Times;serif"/>
          <w:sz w:val="20"/>
        </w:rPr>
        <w:t>“2017</w:t>
      </w:r>
      <w:r>
        <w:rPr>
          <w:rFonts w:ascii="Times New Roman;Times;serif" w:hAnsi="Times New Roman;Times;serif"/>
          <w:sz w:val="20"/>
        </w:rPr>
        <w:t> Plan”) that on or after </w:t>
      </w:r>
      <w:r>
        <w:rPr>
          <w:rStyle w:val="Emphasis"/>
          <w:rFonts w:ascii="Times New Roman;Times;serif" w:hAnsi="Times New Roman;Times;serif"/>
          <w:sz w:val="20"/>
        </w:rPr>
        <w:t xml:space="preserve"> April 14, 2020  may </w:t>
      </w:r>
      <w:r>
        <w:rPr>
          <w:rFonts w:ascii="Times New Roman;Times;serif" w:hAnsi="Times New Roman;Times;serif"/>
          <w:sz w:val="20"/>
        </w:rPr>
        <w:t>be forfeited, expire or be settled for cash.</w:t>
      </w:r>
    </w:p>
    <w:p>
      <w:pPr>
        <w:pStyle w:val="TextBody"/>
        <w:bidi w:val="0"/>
        <w:spacing w:before="0" w:after="0"/>
        <w:ind w:left="0" w:right="0" w:hanging="0"/>
        <w:jc w:val="both"/>
        <w:rPr/>
      </w:pPr>
      <w:r>
        <w:rPr/>
        <w:t> </w:t>
      </w:r>
    </w:p>
    <w:p>
      <w:pPr>
        <w:pStyle w:val="TextBody"/>
        <w:bidi w:val="0"/>
        <w:spacing w:before="0" w:after="0"/>
        <w:jc w:val="center"/>
        <w:rPr/>
      </w:pPr>
      <w:r>
        <w:rPr>
          <w:rStyle w:val="Emphasis"/>
          <w:rFonts w:ascii="Times New Roman" w:hAnsi="Times New Roman"/>
          <w:sz w:val="20"/>
        </w:rPr>
        <w:t>61</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Times;serif" w:hAnsi="Times New Roman;Times;serif"/>
          <w:caps w:val="false"/>
          <w:smallCaps w:val="false"/>
          <w:color w:val="000000"/>
          <w:sz w:val="20"/>
          <w:shd w:fill="FFFFFF" w:val="clear"/>
        </w:rPr>
        <w:t>For the years ended </w:t>
      </w:r>
      <w:r>
        <w:rPr>
          <w:rStyle w:val="Emphasis"/>
          <w:rFonts w:ascii="Times New Roman;Times;serif" w:hAnsi="Times New Roman;Times;serif"/>
          <w:caps w:val="false"/>
          <w:smallCaps w:val="false"/>
          <w:color w:val="000000"/>
          <w:sz w:val="20"/>
          <w:shd w:fill="FFFFFF" w:val="clear"/>
        </w:rPr>
        <w:t xml:space="preserve"> February 3, 2024</w:t>
      </w:r>
      <w:r>
        <w:rPr>
          <w:rFonts w:ascii="Times New Roman;Times;serif" w:hAnsi="Times New Roman;Times;serif"/>
          <w:caps w:val="false"/>
          <w:smallCaps w:val="false"/>
          <w:color w:val="000000"/>
          <w:sz w:val="20"/>
          <w:shd w:fill="FFFFFF" w:val="clear"/>
        </w:rPr>
        <w:t> and </w:t>
      </w:r>
      <w:r>
        <w:rPr>
          <w:rStyle w:val="Emphasis"/>
          <w:rFonts w:ascii="Times New Roman;Times;serif" w:hAnsi="Times New Roman;Times;serif"/>
          <w:caps w:val="false"/>
          <w:smallCaps w:val="false"/>
          <w:color w:val="000000"/>
          <w:sz w:val="20"/>
          <w:shd w:fill="FFFFFF" w:val="clear"/>
        </w:rPr>
        <w:t xml:space="preserve"> January 28, 2023</w:t>
      </w:r>
      <w:r>
        <w:rPr>
          <w:rFonts w:ascii="Times New Roman;Times;serif" w:hAnsi="Times New Roman;Times;serif"/>
          <w:caps w:val="false"/>
          <w:smallCaps w:val="false"/>
          <w:color w:val="000000"/>
          <w:sz w:val="20"/>
          <w:shd w:fill="FFFFFF" w:val="clear"/>
        </w:rPr>
        <w:t>, Selling, general and administrative expense included stock-based compensation expense of $</w:t>
      </w:r>
      <w:r>
        <w:rPr>
          <w:rFonts w:ascii="Times New Roman;Times;serif" w:hAnsi="Times New Roman;Times;serif"/>
          <w:caps w:val="false"/>
          <w:smallCaps w:val="false"/>
          <w:color w:val="000000"/>
          <w:sz w:val="20"/>
        </w:rPr>
        <w:t>2.1</w:t>
      </w:r>
      <w:r>
        <w:rPr>
          <w:rFonts w:ascii="Times New Roman;Times;serif" w:hAnsi="Times New Roman;Times;serif"/>
          <w:caps w:val="false"/>
          <w:smallCaps w:val="false"/>
          <w:color w:val="000000"/>
          <w:sz w:val="20"/>
          <w:shd w:fill="FFFFFF" w:val="clear"/>
        </w:rPr>
        <w:t xml:space="preserve"> million and $</w:t>
      </w:r>
      <w:r>
        <w:rPr>
          <w:rFonts w:ascii="Times New Roman;Times;serif" w:hAnsi="Times New Roman;Times;serif"/>
          <w:caps w:val="false"/>
          <w:smallCaps w:val="false"/>
          <w:color w:val="000000"/>
          <w:sz w:val="20"/>
        </w:rPr>
        <w:t>2.6</w:t>
      </w:r>
      <w:r>
        <w:rPr>
          <w:rFonts w:ascii="Times New Roman;Times;serif" w:hAnsi="Times New Roman;Times;serif"/>
          <w:caps w:val="false"/>
          <w:smallCaps w:val="false"/>
          <w:color w:val="000000"/>
          <w:sz w:val="20"/>
          <w:shd w:fill="FFFFFF" w:val="clear"/>
        </w:rPr>
        <w:t xml:space="preserve"> million, respe</w:t>
      </w:r>
      <w:r>
        <w:rPr>
          <w:rFonts w:ascii="Times New Roman;Times;serif" w:hAnsi="Times New Roman;Times;serif"/>
          <w:caps w:val="false"/>
          <w:smallCaps w:val="false"/>
          <w:color w:val="000000"/>
          <w:sz w:val="20"/>
        </w:rPr>
        <w:t xml:space="preserve">ctively. As of </w:t>
      </w:r>
      <w:r>
        <w:rPr>
          <w:rStyle w:val="Emphasis"/>
          <w:rFonts w:ascii="Times New Roman;Times;serif" w:hAnsi="Times New Roman;Times;serif"/>
          <w:caps w:val="false"/>
          <w:smallCaps w:val="false"/>
          <w:color w:val="000000"/>
          <w:sz w:val="20"/>
        </w:rPr>
        <w:t>February 3, 2024</w:t>
      </w:r>
      <w:r>
        <w:rPr>
          <w:rFonts w:ascii="Times New Roman;Times;serif" w:hAnsi="Times New Roman;Times;serif"/>
          <w:caps w:val="false"/>
          <w:smallCaps w:val="false"/>
          <w:color w:val="000000"/>
          <w:sz w:val="20"/>
        </w:rPr>
        <w:t>, there was $2.0 million of total unrecognized compensation expense related to unvested stock awards which is expected to be recognized over a weighted-average period of 1.3 years. Future total shares available for options, non-vested stock and restricted stock grants were 1,010,666 and 186,624 at the end of </w:t>
      </w:r>
      <w:r>
        <w:rPr>
          <w:rStyle w:val="Emphasis"/>
          <w:rFonts w:ascii="Times New Roman;Times;serif" w:hAnsi="Times New Roman;Times;serif"/>
          <w:caps w:val="false"/>
          <w:smallCaps w:val="false"/>
          <w:color w:val="000000"/>
          <w:sz w:val="20"/>
        </w:rPr>
        <w:t>2023</w:t>
      </w:r>
      <w:r>
        <w:rPr>
          <w:rFonts w:ascii="Times New Roman;Times;serif" w:hAnsi="Times New Roman;Times;serif"/>
          <w:caps w:val="false"/>
          <w:smallCaps w:val="false"/>
          <w:color w:val="000000"/>
          <w:sz w:val="20"/>
        </w:rPr>
        <w:t xml:space="preserve"> and </w:t>
      </w:r>
      <w:r>
        <w:rPr>
          <w:rStyle w:val="Emphasis"/>
          <w:rFonts w:ascii="Times New Roman;Times;serif" w:hAnsi="Times New Roman;Times;serif"/>
          <w:caps w:val="false"/>
          <w:smallCaps w:val="false"/>
          <w:color w:val="000000"/>
          <w:sz w:val="20"/>
        </w:rPr>
        <w:t>2022</w:t>
      </w:r>
      <w:r>
        <w:rPr>
          <w:rFonts w:ascii="Times New Roman;Times;serif" w:hAnsi="Times New Roman;Times;serif"/>
          <w:caps w:val="false"/>
          <w:smallCaps w:val="false"/>
          <w:color w:val="000000"/>
          <w:sz w:val="20"/>
        </w:rPr>
        <w:t>, respectively.</w:t>
      </w:r>
    </w:p>
    <w:p>
      <w:pPr>
        <w:pStyle w:val="TextBody"/>
        <w:bidi w:val="0"/>
        <w:spacing w:before="0" w:after="0"/>
        <w:ind w:left="0" w:right="0" w:hanging="0"/>
        <w:jc w:val="both"/>
        <w:rPr/>
      </w:pPr>
      <w:r>
        <w:rPr/>
        <w:t> </w:t>
      </w:r>
    </w:p>
    <w:tbl>
      <w:tblPr>
        <w:tblW w:w="1525" w:type="dxa"/>
        <w:jc w:val="left"/>
        <w:tblInd w:w="0" w:type="dxa"/>
        <w:tblLayout w:type="fixed"/>
        <w:tblCellMar>
          <w:top w:w="0" w:type="dxa"/>
          <w:left w:w="0" w:type="dxa"/>
          <w:bottom w:w="0" w:type="dxa"/>
          <w:right w:w="0" w:type="dxa"/>
        </w:tblCellMar>
      </w:tblPr>
      <w:tblGrid>
        <w:gridCol w:w="60"/>
        <w:gridCol w:w="245"/>
        <w:gridCol w:w="1220"/>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(a)</w:t>
            </w:r>
          </w:p>
        </w:tc>
        <w:tc>
          <w:tcPr>
            <w:tcW w:w="1220"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Stock Options </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table is a summary of the balance and activity for the Plans related to stock options for the periods presented:</w:t>
      </w:r>
    </w:p>
    <w:p>
      <w:pPr>
        <w:pStyle w:val="TextBody"/>
        <w:bidi w:val="0"/>
        <w:spacing w:before="0" w:after="0"/>
        <w:ind w:left="0" w:right="0" w:firstLine="490"/>
        <w:jc w:val="left"/>
        <w:rPr/>
      </w:pPr>
      <w:r>
        <w:rPr/>
        <w:t> </w:t>
      </w:r>
    </w:p>
    <w:tbl>
      <w:tblPr>
        <w:tblW w:w="10205" w:type="dxa"/>
        <w:jc w:val="left"/>
        <w:tblInd w:w="0" w:type="dxa"/>
        <w:tblLayout w:type="fixed"/>
        <w:tblCellMar>
          <w:top w:w="0" w:type="dxa"/>
          <w:left w:w="0" w:type="dxa"/>
          <w:bottom w:w="0" w:type="dxa"/>
          <w:right w:w="0" w:type="dxa"/>
        </w:tblCellMar>
      </w:tblPr>
      <w:tblGrid>
        <w:gridCol w:w="1905"/>
        <w:gridCol w:w="60"/>
        <w:gridCol w:w="60"/>
        <w:gridCol w:w="755"/>
        <w:gridCol w:w="80"/>
        <w:gridCol w:w="60"/>
        <w:gridCol w:w="402"/>
        <w:gridCol w:w="1561"/>
        <w:gridCol w:w="60"/>
        <w:gridCol w:w="60"/>
        <w:gridCol w:w="495"/>
        <w:gridCol w:w="2278"/>
        <w:gridCol w:w="60"/>
        <w:gridCol w:w="60"/>
        <w:gridCol w:w="701"/>
        <w:gridCol w:w="1545"/>
        <w:gridCol w:w="63"/>
      </w:tblGrid>
      <w:tr>
        <w:trPr/>
        <w:tc>
          <w:tcPr>
            <w:tcW w:w="1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91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Options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2278"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center"/>
              <w:rPr/>
            </w:pPr>
            <w:r>
              <w:rPr>
                <w:rStyle w:val="Emphasis"/>
              </w:rPr>
              <w:t> </w:t>
            </w:r>
          </w:p>
        </w:tc>
        <w:tc>
          <w:tcPr>
            <w:tcW w:w="63" w:type="dxa"/>
            <w:tcBorders/>
            <w:shd w:fill="FFFFFF" w:val="clear"/>
            <w:vAlign w:val="center"/>
          </w:tcPr>
          <w:p>
            <w:pPr>
              <w:pStyle w:val="TableContents"/>
              <w:bidi w:val="0"/>
              <w:spacing w:before="0" w:after="283"/>
              <w:jc w:val="left"/>
              <w:rPr/>
            </w:pPr>
            <w:r>
              <w:rPr/>
              <w:t> </w:t>
            </w:r>
          </w:p>
        </w:tc>
      </w:tr>
      <w:tr>
        <w:trPr/>
        <w:tc>
          <w:tcPr>
            <w:tcW w:w="1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96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 Exercise Price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77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 Remaining Contractual Term</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Aggregate Intrinsic Value (in millions)</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28,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177,519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2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ind w:left="0" w:right="0" w:hanging="0"/>
              <w:jc w:val="left"/>
              <w:rPr/>
            </w:pPr>
            <w:r>
              <w:rPr/>
              <w:t> </w:t>
            </w:r>
          </w:p>
        </w:tc>
      </w:tr>
      <w:tr>
        <w:trPr/>
        <w:tc>
          <w:tcPr>
            <w:tcW w:w="19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ind w:left="0" w:right="0" w:hanging="0"/>
              <w:jc w:val="left"/>
              <w:rPr/>
            </w:pPr>
            <w:r>
              <w:rPr/>
              <w:t> </w:t>
            </w:r>
          </w:p>
        </w:tc>
        <w:tc>
          <w:tcPr>
            <w:tcW w:w="15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2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190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Exercised</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(165,144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ind w:left="0" w:right="0" w:hanging="0"/>
              <w:jc w:val="left"/>
              <w:rPr/>
            </w:pPr>
            <w:r>
              <w:rPr/>
              <w:t> </w:t>
            </w:r>
          </w:p>
        </w:tc>
        <w:tc>
          <w:tcPr>
            <w:tcW w:w="15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2278"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right"/>
              <w:rPr/>
            </w:pPr>
            <w:r>
              <w:rPr>
                <w:rStyle w:val="Emphasis"/>
              </w:rPr>
              <w:t> </w:t>
            </w:r>
          </w:p>
        </w:tc>
        <w:tc>
          <w:tcPr>
            <w:tcW w:w="63" w:type="dxa"/>
            <w:tcBorders/>
            <w:shd w:fill="CCEEFF" w:val="clear"/>
            <w:vAlign w:val="center"/>
          </w:tcPr>
          <w:p>
            <w:pPr>
              <w:pStyle w:val="TableContents"/>
              <w:bidi w:val="0"/>
              <w:spacing w:before="0" w:after="283"/>
              <w:jc w:val="left"/>
              <w:rPr/>
            </w:pPr>
            <w:r>
              <w:rPr/>
              <w:t> </w:t>
            </w:r>
          </w:p>
        </w:tc>
      </w:tr>
      <w:tr>
        <w:trPr/>
        <w:tc>
          <w:tcPr>
            <w:tcW w:w="19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Canceled or expired</w:t>
            </w:r>
          </w:p>
        </w:tc>
        <w:tc>
          <w:tcPr>
            <w:tcW w:w="60" w:type="dxa"/>
            <w:tcBorders/>
            <w:shd w:fill="FFFFFF" w:val="clear"/>
            <w:vAlign w:val="center"/>
          </w:tcPr>
          <w:p>
            <w:pPr>
              <w:pStyle w:val="TableContents"/>
              <w:bidi w:val="0"/>
              <w:spacing w:before="0" w:after="283"/>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56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2278"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right"/>
              <w:rPr/>
            </w:pPr>
            <w:r>
              <w:rPr>
                <w:rStyle w:val="Emphasis"/>
              </w:rPr>
              <w:t> </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February 3,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27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63" w:type="dxa"/>
            <w:tcBorders/>
            <w:shd w:fill="CCEEFF" w:val="clear"/>
            <w:vAlign w:val="center"/>
          </w:tcPr>
          <w:p>
            <w:pPr>
              <w:pStyle w:val="TableContents"/>
              <w:bidi w:val="0"/>
              <w:spacing w:before="0" w:after="283"/>
              <w:jc w:val="left"/>
              <w:rPr/>
            </w:pPr>
            <w:r>
              <w:rPr/>
              <w:t> </w:t>
            </w:r>
          </w:p>
        </w:tc>
      </w:tr>
      <w:tr>
        <w:trPr/>
        <w:tc>
          <w:tcPr>
            <w:tcW w:w="19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2" w:type="dxa"/>
            <w:tcBorders/>
            <w:shd w:fill="FFFFFF" w:val="clear"/>
            <w:vAlign w:val="center"/>
          </w:tcPr>
          <w:p>
            <w:pPr>
              <w:pStyle w:val="TableContents"/>
              <w:bidi w:val="0"/>
              <w:spacing w:before="0" w:after="283"/>
              <w:jc w:val="left"/>
              <w:rPr/>
            </w:pPr>
            <w:r>
              <w:rPr/>
              <w:t> </w:t>
            </w:r>
          </w:p>
        </w:tc>
        <w:tc>
          <w:tcPr>
            <w:tcW w:w="156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5" w:type="dxa"/>
            <w:tcBorders/>
            <w:shd w:fill="FFFFFF" w:val="clear"/>
            <w:vAlign w:val="center"/>
          </w:tcPr>
          <w:p>
            <w:pPr>
              <w:pStyle w:val="TableContents"/>
              <w:bidi w:val="0"/>
              <w:spacing w:before="0" w:after="283"/>
              <w:jc w:val="left"/>
              <w:rPr/>
            </w:pPr>
            <w:r>
              <w:rPr/>
              <w:t> </w:t>
            </w:r>
          </w:p>
        </w:tc>
        <w:tc>
          <w:tcPr>
            <w:tcW w:w="227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01" w:type="dxa"/>
            <w:tcBorders/>
            <w:shd w:fill="FFFFFF" w:val="clear"/>
            <w:vAlign w:val="center"/>
          </w:tcPr>
          <w:p>
            <w:pPr>
              <w:pStyle w:val="TableContents"/>
              <w:bidi w:val="0"/>
              <w:spacing w:before="0" w:after="283"/>
              <w:jc w:val="left"/>
              <w:rPr/>
            </w:pPr>
            <w:r>
              <w:rPr/>
              <w:t> </w:t>
            </w:r>
          </w:p>
        </w:tc>
        <w:tc>
          <w:tcPr>
            <w:tcW w:w="1545"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r>
      <w:tr>
        <w:trPr/>
        <w:tc>
          <w:tcPr>
            <w:tcW w:w="190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Options Exercisable as of:</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2" w:type="dxa"/>
            <w:tcBorders/>
            <w:shd w:fill="CCEEFF" w:val="clear"/>
            <w:vAlign w:val="center"/>
          </w:tcPr>
          <w:p>
            <w:pPr>
              <w:pStyle w:val="TableContents"/>
              <w:bidi w:val="0"/>
              <w:spacing w:before="0" w:after="283"/>
              <w:jc w:val="left"/>
              <w:rPr/>
            </w:pPr>
            <w:r>
              <w:rPr/>
              <w:t> </w:t>
            </w:r>
          </w:p>
        </w:tc>
        <w:tc>
          <w:tcPr>
            <w:tcW w:w="156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5" w:type="dxa"/>
            <w:tcBorders/>
            <w:shd w:fill="CCEEFF" w:val="clear"/>
            <w:vAlign w:val="center"/>
          </w:tcPr>
          <w:p>
            <w:pPr>
              <w:pStyle w:val="TableContents"/>
              <w:bidi w:val="0"/>
              <w:spacing w:before="0" w:after="283"/>
              <w:jc w:val="left"/>
              <w:rPr/>
            </w:pPr>
            <w:r>
              <w:rPr/>
              <w:t> </w:t>
            </w:r>
          </w:p>
        </w:tc>
        <w:tc>
          <w:tcPr>
            <w:tcW w:w="227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01" w:type="dxa"/>
            <w:tcBorders/>
            <w:shd w:fill="CCEEFF" w:val="clear"/>
            <w:vAlign w:val="center"/>
          </w:tcPr>
          <w:p>
            <w:pPr>
              <w:pStyle w:val="TableContents"/>
              <w:bidi w:val="0"/>
              <w:spacing w:before="0" w:after="283"/>
              <w:jc w:val="left"/>
              <w:rPr/>
            </w:pPr>
            <w:r>
              <w:rPr/>
              <w:t> </w:t>
            </w:r>
          </w:p>
        </w:tc>
        <w:tc>
          <w:tcPr>
            <w:tcW w:w="1545"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r>
      <w:tr>
        <w:trPr/>
        <w:tc>
          <w:tcPr>
            <w:tcW w:w="190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February 3, 2024</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27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0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5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w:t>
            </w:r>
          </w:p>
        </w:tc>
        <w:tc>
          <w:tcPr>
            <w:tcW w:w="63"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 xml:space="preserve">There were </w:t>
      </w:r>
      <w:r>
        <w:rPr>
          <w:rStyle w:val="Emphasis"/>
          <w:rFonts w:ascii="Times New Roman;Times;serif" w:hAnsi="Times New Roman;Times;serif"/>
          <w:sz w:val="20"/>
          <w:shd w:fill="FFFFFF" w:val="clear"/>
        </w:rPr>
        <w:t>no</w:t>
      </w:r>
      <w:r>
        <w:rPr>
          <w:rFonts w:ascii="Times New Roman;Times;serif" w:hAnsi="Times New Roman;Times;serif"/>
          <w:sz w:val="20"/>
          <w:shd w:fill="FFFFFF" w:val="clear"/>
        </w:rPr>
        <w:t xml:space="preserve"> options granted during fiscal </w:t>
      </w:r>
      <w:r>
        <w:rPr>
          <w:rStyle w:val="Emphasis"/>
          <w:rFonts w:ascii="Times New Roman;Times;serif" w:hAnsi="Times New Roman;Times;serif"/>
          <w:sz w:val="20"/>
        </w:rPr>
        <w:t>2023</w:t>
      </w:r>
      <w:r>
        <w:rPr>
          <w:rFonts w:ascii="Times New Roman;Times;serif" w:hAnsi="Times New Roman;Times;serif"/>
          <w:sz w:val="20"/>
          <w:shd w:fill="FFFFFF" w:val="clear"/>
        </w:rPr>
        <w:t xml:space="preserve"> or </w:t>
      </w:r>
      <w:r>
        <w:rPr>
          <w:rStyle w:val="Emphasis"/>
          <w:rFonts w:ascii="Times New Roman;Times;serif" w:hAnsi="Times New Roman;Times;serif"/>
          <w:sz w:val="20"/>
        </w:rPr>
        <w:t>2022</w:t>
      </w:r>
      <w:r>
        <w:rPr>
          <w:rFonts w:ascii="Times New Roman;Times;serif" w:hAnsi="Times New Roman;Times;serif"/>
          <w:sz w:val="20"/>
          <w:shd w:fill="FFFFFF" w:val="clear"/>
        </w:rPr>
        <w:t>.</w:t>
      </w:r>
      <w:r>
        <w:rPr>
          <w:rFonts w:ascii="Times New Roman;Times;serif" w:hAnsi="Times New Roman;Times;serif"/>
          <w:sz w:val="20"/>
        </w:rPr>
        <w:t xml:space="preserve"> The expense recorded related to options granted was determined using the Black-Scholes option pricing model and the provisions of SAB </w:t>
      </w:r>
      <w:r>
        <w:rPr>
          <w:rStyle w:val="Emphasis"/>
          <w:rFonts w:ascii="Times New Roman;Times;serif" w:hAnsi="Times New Roman;Times;serif"/>
          <w:sz w:val="20"/>
        </w:rPr>
        <w:t>107</w:t>
      </w:r>
      <w:r>
        <w:rPr>
          <w:rFonts w:ascii="Times New Roman;Times;serif" w:hAnsi="Times New Roman;Times;serif"/>
          <w:sz w:val="20"/>
        </w:rPr>
        <w:t xml:space="preserve"> and </w:t>
      </w:r>
      <w:r>
        <w:rPr>
          <w:rStyle w:val="Emphasis"/>
          <w:rFonts w:ascii="Times New Roman;Times;serif" w:hAnsi="Times New Roman;Times;serif"/>
          <w:sz w:val="20"/>
        </w:rPr>
        <w:t>110,</w:t>
      </w:r>
      <w:r>
        <w:rPr>
          <w:rFonts w:ascii="Times New Roman;Times;serif" w:hAnsi="Times New Roman;Times;serif"/>
          <w:sz w:val="20"/>
        </w:rPr>
        <w:t xml:space="preserve"> which allow the use of a simplified method to estimate the expected term of “plain vanilla” options.</w:t>
      </w:r>
    </w:p>
    <w:p>
      <w:pPr>
        <w:pStyle w:val="TextBody"/>
        <w:bidi w:val="0"/>
        <w:spacing w:before="0" w:after="0"/>
        <w:ind w:left="0" w:right="0" w:firstLine="490"/>
        <w:jc w:val="both"/>
        <w:rPr/>
      </w:pPr>
      <w:r>
        <w:rPr/>
        <w:t> </w:t>
      </w:r>
    </w:p>
    <w:p>
      <w:pPr>
        <w:pStyle w:val="TextBody"/>
        <w:bidi w:val="0"/>
        <w:spacing w:before="0" w:after="0"/>
        <w:ind w:left="0" w:right="0" w:firstLine="490"/>
        <w:jc w:val="both"/>
        <w:rPr/>
      </w:pPr>
      <w:r>
        <w:rPr>
          <w:rFonts w:ascii="Times New Roman;Times;serif" w:hAnsi="Times New Roman;Times;serif"/>
          <w:sz w:val="20"/>
          <w:shd w:fill="FFFFFF" w:val="clear"/>
        </w:rPr>
        <w:t>The total grant date fair value of options exercised in fiscal </w:t>
      </w:r>
      <w:r>
        <w:rPr>
          <w:rStyle w:val="Emphasis"/>
          <w:rFonts w:ascii="Times New Roman;Times;serif" w:hAnsi="Times New Roman;Times;serif"/>
          <w:sz w:val="20"/>
        </w:rPr>
        <w:t>2023</w:t>
      </w:r>
      <w:r>
        <w:rPr>
          <w:rFonts w:ascii="Times New Roman;Times;serif" w:hAnsi="Times New Roman;Times;serif"/>
          <w:sz w:val="20"/>
          <w:shd w:fill="FFFFFF" w:val="clear"/>
        </w:rPr>
        <w:t> was $</w:t>
      </w:r>
      <w:r>
        <w:rPr>
          <w:rFonts w:ascii="Times New Roman;Times;serif" w:hAnsi="Times New Roman;Times;serif"/>
          <w:sz w:val="20"/>
        </w:rPr>
        <w:t>1.2</w:t>
      </w:r>
      <w:r>
        <w:rPr>
          <w:rFonts w:ascii="Times New Roman;Times;serif" w:hAnsi="Times New Roman;Times;serif"/>
          <w:sz w:val="20"/>
          <w:shd w:fill="FFFFFF" w:val="clear"/>
        </w:rPr>
        <w:t xml:space="preserve"> million and the total intrinsic value was $1.2 million. The total grant date fair value of options exercised in fiscal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xml:space="preserve"> was $0.8 million and the total intrinsic value was $1.3 million. </w:t>
      </w:r>
      <w:r>
        <w:rPr>
          <w:rFonts w:ascii="Times New Roman;Times;serif" w:hAnsi="Times New Roman;Times;serif"/>
          <w:sz w:val="20"/>
        </w:rPr>
        <w:t>The Company generally issues new shares to satisfy option exercises. </w:t>
      </w:r>
    </w:p>
    <w:p>
      <w:pPr>
        <w:pStyle w:val="TextBody"/>
        <w:bidi w:val="0"/>
        <w:spacing w:before="0" w:after="0"/>
        <w:ind w:left="0" w:right="0" w:hanging="0"/>
        <w:jc w:val="left"/>
        <w:rPr/>
      </w:pPr>
      <w:r>
        <w:rPr/>
        <w:t> </w:t>
      </w:r>
    </w:p>
    <w:tbl>
      <w:tblPr>
        <w:tblW w:w="1720" w:type="dxa"/>
        <w:jc w:val="left"/>
        <w:tblInd w:w="0" w:type="dxa"/>
        <w:tblLayout w:type="fixed"/>
        <w:tblCellMar>
          <w:top w:w="0" w:type="dxa"/>
          <w:left w:w="0" w:type="dxa"/>
          <w:bottom w:w="0" w:type="dxa"/>
          <w:right w:w="0" w:type="dxa"/>
        </w:tblCellMar>
      </w:tblPr>
      <w:tblGrid>
        <w:gridCol w:w="60"/>
        <w:gridCol w:w="245"/>
        <w:gridCol w:w="1415"/>
      </w:tblGrid>
      <w:tr>
        <w:trPr/>
        <w:tc>
          <w:tcPr>
            <w:tcW w:w="60" w:type="dxa"/>
            <w:tcBorders/>
            <w:vAlign w:val="center"/>
          </w:tcPr>
          <w:p>
            <w:pPr>
              <w:pStyle w:val="TableContents"/>
              <w:bidi w:val="0"/>
              <w:spacing w:before="0" w:after="283"/>
              <w:jc w:val="both"/>
              <w:rPr/>
            </w:pPr>
            <w:r>
              <w:rPr/>
              <w:t> </w:t>
            </w:r>
          </w:p>
        </w:tc>
        <w:tc>
          <w:tcPr>
            <w:tcW w:w="245"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(b)</w:t>
            </w:r>
          </w:p>
        </w:tc>
        <w:tc>
          <w:tcPr>
            <w:tcW w:w="1415" w:type="dxa"/>
            <w:tcBorders/>
            <w:vAlign w:val="center"/>
          </w:tcPr>
          <w:p>
            <w:pPr>
              <w:pStyle w:val="TableContents"/>
              <w:bidi w:val="0"/>
              <w:spacing w:before="0" w:after="0"/>
              <w:ind w:left="0" w:right="0" w:hanging="0"/>
              <w:jc w:val="both"/>
              <w:rPr>
                <w:rFonts w:ascii="Times New Roman;Times;serif" w:hAnsi="Times New Roman;Times;serif"/>
                <w:b/>
                <w:i/>
                <w:sz w:val="20"/>
              </w:rPr>
            </w:pPr>
            <w:r>
              <w:rPr>
                <w:rFonts w:ascii="Times New Roman;Times;serif" w:hAnsi="Times New Roman;Times;serif"/>
                <w:b/>
                <w:i/>
                <w:sz w:val="20"/>
              </w:rPr>
              <w:t xml:space="preserve">Restricted Stock </w:t>
            </w:r>
          </w:p>
        </w:tc>
      </w:tr>
    </w:tbl>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Company granted restricted stock awards that vest over a one to three-year period. Recipients of time-based restricted stock awards have the right to vote and receive dividends as to all unvested shares, however, the receipt of such dividends is contingent on such time-based awards vesting. Recipients of performance-based restricted stock awards have the right to vote and receive dividends upon satisfaction of the performance criteria and certain of these awards’ dividend rights are also subject to time-based vesting. The following table is a summary of the balance and activity for the Plans related to unvested time-based and performance-based restricted stock granted as compensation to employees and directors for the periods presented: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33"/>
        <w:gridCol w:w="60"/>
        <w:gridCol w:w="79"/>
        <w:gridCol w:w="1000"/>
        <w:gridCol w:w="105"/>
        <w:gridCol w:w="79"/>
        <w:gridCol w:w="506"/>
        <w:gridCol w:w="1916"/>
        <w:gridCol w:w="60"/>
        <w:gridCol w:w="60"/>
        <w:gridCol w:w="95"/>
        <w:gridCol w:w="1205"/>
        <w:gridCol w:w="126"/>
        <w:gridCol w:w="95"/>
        <w:gridCol w:w="524"/>
        <w:gridCol w:w="1898"/>
        <w:gridCol w:w="64"/>
      </w:tblGrid>
      <w:tr>
        <w:trPr/>
        <w:tc>
          <w:tcPr>
            <w:tcW w:w="23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Time-Based Restricted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43"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Performance-Based Restricted Stock</w:t>
            </w:r>
          </w:p>
        </w:tc>
        <w:tc>
          <w:tcPr>
            <w:tcW w:w="64" w:type="dxa"/>
            <w:tcBorders/>
            <w:shd w:fill="FFFFFF"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7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Shares</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2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 Grant Date Fair Value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Shares</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242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Weighted Average Grant Date Fair Value</w:t>
            </w:r>
          </w:p>
        </w:tc>
        <w:tc>
          <w:tcPr>
            <w:tcW w:w="64" w:type="dxa"/>
            <w:tcBorders/>
            <w:shd w:fill="FFFFFF" w:val="clear"/>
            <w:vAlign w:val="center"/>
          </w:tcPr>
          <w:p>
            <w:pPr>
              <w:pStyle w:val="TableContents"/>
              <w:bidi w:val="0"/>
              <w:spacing w:before="0" w:after="283"/>
              <w:ind w:left="0" w:right="0" w:hanging="0"/>
              <w:jc w:val="left"/>
              <w:rPr/>
            </w:pPr>
            <w:r>
              <w:rPr/>
              <w:t> </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January 28, 2023</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287,983</w:t>
            </w:r>
          </w:p>
        </w:tc>
        <w:tc>
          <w:tcPr>
            <w:tcW w:w="105"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5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295,048</w:t>
            </w:r>
          </w:p>
        </w:tc>
        <w:tc>
          <w:tcPr>
            <w:tcW w:w="126"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52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8.13</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233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10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65,759</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ind w:left="0" w:right="0" w:hanging="0"/>
              <w:jc w:val="left"/>
              <w:rPr/>
            </w:pPr>
            <w:r>
              <w:rPr/>
              <w:t> </w:t>
            </w:r>
          </w:p>
        </w:tc>
        <w:tc>
          <w:tcPr>
            <w:tcW w:w="191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2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65,254</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ind w:left="0" w:right="0" w:hanging="0"/>
              <w:jc w:val="left"/>
              <w:rPr/>
            </w:pPr>
            <w:r>
              <w:rPr/>
              <w:t> </w:t>
            </w:r>
          </w:p>
        </w:tc>
        <w:tc>
          <w:tcPr>
            <w:tcW w:w="18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24.75</w:t>
            </w:r>
          </w:p>
        </w:tc>
        <w:tc>
          <w:tcPr>
            <w:tcW w:w="64" w:type="dxa"/>
            <w:tcBorders/>
            <w:shd w:fill="FFFFFF" w:val="clear"/>
            <w:vAlign w:val="center"/>
          </w:tcPr>
          <w:p>
            <w:pPr>
              <w:pStyle w:val="TableContents"/>
              <w:bidi w:val="0"/>
              <w:spacing w:before="0" w:after="283"/>
              <w:ind w:left="0" w:right="0" w:hanging="0"/>
              <w:jc w:val="left"/>
              <w:rPr/>
            </w:pPr>
            <w:r>
              <w:rPr/>
              <w:t> </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ind w:left="0" w:right="0" w:hanging="0"/>
              <w:jc w:val="left"/>
              <w:rPr/>
            </w:pPr>
            <w:r>
              <w:rPr/>
              <w:t> </w:t>
            </w:r>
          </w:p>
        </w:tc>
        <w:tc>
          <w:tcPr>
            <w:tcW w:w="10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(208,621</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jc w:val="left"/>
              <w:rPr/>
            </w:pPr>
            <w:r>
              <w:rPr/>
              <w:t> </w:t>
            </w:r>
          </w:p>
        </w:tc>
        <w:tc>
          <w:tcPr>
            <w:tcW w:w="506" w:type="dxa"/>
            <w:tcBorders/>
            <w:shd w:fill="CCEEFF" w:val="clear"/>
            <w:vAlign w:val="center"/>
          </w:tcPr>
          <w:p>
            <w:pPr>
              <w:pStyle w:val="TableContents"/>
              <w:bidi w:val="0"/>
              <w:spacing w:before="0" w:after="283"/>
              <w:ind w:left="0" w:right="0" w:hanging="0"/>
              <w:jc w:val="left"/>
              <w:rPr/>
            </w:pPr>
            <w:r>
              <w:rPr/>
              <w:t> </w:t>
            </w:r>
          </w:p>
        </w:tc>
        <w:tc>
          <w:tcPr>
            <w:tcW w:w="19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2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(215,130</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jc w:val="left"/>
              <w:rPr/>
            </w:pPr>
            <w:r>
              <w:rPr/>
              <w:t> </w:t>
            </w:r>
          </w:p>
        </w:tc>
        <w:tc>
          <w:tcPr>
            <w:tcW w:w="524" w:type="dxa"/>
            <w:tcBorders/>
            <w:shd w:fill="CCEEFF" w:val="clear"/>
            <w:vAlign w:val="center"/>
          </w:tcPr>
          <w:p>
            <w:pPr>
              <w:pStyle w:val="TableContents"/>
              <w:bidi w:val="0"/>
              <w:spacing w:before="0" w:after="283"/>
              <w:ind w:left="0" w:right="0" w:hanging="0"/>
              <w:jc w:val="left"/>
              <w:rPr/>
            </w:pPr>
            <w:r>
              <w:rPr/>
              <w:t> </w:t>
            </w:r>
          </w:p>
        </w:tc>
        <w:tc>
          <w:tcPr>
            <w:tcW w:w="18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w:t>
            </w:r>
          </w:p>
        </w:tc>
        <w:tc>
          <w:tcPr>
            <w:tcW w:w="64" w:type="dxa"/>
            <w:tcBorders/>
            <w:shd w:fill="CCEEFF" w:val="clear"/>
            <w:vAlign w:val="center"/>
          </w:tcPr>
          <w:p>
            <w:pPr>
              <w:pStyle w:val="TableContents"/>
              <w:bidi w:val="0"/>
              <w:spacing w:before="0" w:after="283"/>
              <w:jc w:val="left"/>
              <w:rPr/>
            </w:pPr>
            <w:r>
              <w:rPr/>
              <w:t> </w:t>
            </w:r>
          </w:p>
        </w:tc>
      </w:tr>
      <w:tr>
        <w:trPr/>
        <w:tc>
          <w:tcPr>
            <w:tcW w:w="233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Adjusted for performance achievement</w:t>
            </w:r>
          </w:p>
        </w:tc>
        <w:tc>
          <w:tcPr>
            <w:tcW w:w="60"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100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jc w:val="left"/>
              <w:rPr/>
            </w:pPr>
            <w:r>
              <w:rPr/>
              <w:t> </w:t>
            </w:r>
          </w:p>
        </w:tc>
        <w:tc>
          <w:tcPr>
            <w:tcW w:w="506" w:type="dxa"/>
            <w:tcBorders/>
            <w:shd w:fill="FFFFFF" w:val="clear"/>
            <w:vAlign w:val="center"/>
          </w:tcPr>
          <w:p>
            <w:pPr>
              <w:pStyle w:val="TableContents"/>
              <w:bidi w:val="0"/>
              <w:spacing w:before="0" w:after="283"/>
              <w:jc w:val="left"/>
              <w:rPr/>
            </w:pPr>
            <w:r>
              <w:rPr/>
              <w:t> </w:t>
            </w:r>
          </w:p>
        </w:tc>
        <w:tc>
          <w:tcPr>
            <w:tcW w:w="1916"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120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57,756</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c>
          <w:tcPr>
            <w:tcW w:w="524" w:type="dxa"/>
            <w:tcBorders/>
            <w:shd w:fill="FFFFFF" w:val="clear"/>
            <w:vAlign w:val="center"/>
          </w:tcPr>
          <w:p>
            <w:pPr>
              <w:pStyle w:val="TableContents"/>
              <w:bidi w:val="0"/>
              <w:spacing w:before="0" w:after="283"/>
              <w:jc w:val="left"/>
              <w:rPr/>
            </w:pPr>
            <w:r>
              <w:rPr/>
              <w:t> </w:t>
            </w:r>
          </w:p>
        </w:tc>
        <w:tc>
          <w:tcPr>
            <w:tcW w:w="1898"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2.78</w:t>
            </w:r>
          </w:p>
        </w:tc>
        <w:tc>
          <w:tcPr>
            <w:tcW w:w="64" w:type="dxa"/>
            <w:tcBorders/>
            <w:shd w:fill="FFFFFF" w:val="clear"/>
            <w:vAlign w:val="center"/>
          </w:tcPr>
          <w:p>
            <w:pPr>
              <w:pStyle w:val="TableContents"/>
              <w:bidi w:val="0"/>
              <w:spacing w:before="0" w:after="283"/>
              <w:jc w:val="left"/>
              <w:rPr/>
            </w:pPr>
            <w:r>
              <w:rPr/>
              <w:t> </w:t>
            </w:r>
          </w:p>
        </w:tc>
      </w:tr>
      <w:tr>
        <w:trPr/>
        <w:tc>
          <w:tcPr>
            <w:tcW w:w="233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Canceled or expired</w:t>
            </w:r>
          </w:p>
        </w:tc>
        <w:tc>
          <w:tcPr>
            <w:tcW w:w="60" w:type="dxa"/>
            <w:tcBorders/>
            <w:shd w:fill="CCEEFF" w:val="clear"/>
            <w:vAlign w:val="center"/>
          </w:tcPr>
          <w:p>
            <w:pPr>
              <w:pStyle w:val="TableContents"/>
              <w:bidi w:val="0"/>
              <w:spacing w:before="0" w:after="283"/>
              <w:ind w:left="0" w:right="0" w:hanging="0"/>
              <w:jc w:val="left"/>
              <w:rPr/>
            </w:pPr>
            <w:r>
              <w:rPr/>
              <w:t> </w:t>
            </w:r>
          </w:p>
        </w:tc>
        <w:tc>
          <w:tcPr>
            <w:tcW w:w="7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0"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(22,512</w:t>
            </w:r>
          </w:p>
        </w:tc>
        <w:tc>
          <w:tcPr>
            <w:tcW w:w="10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283"/>
              <w:ind w:left="0" w:right="0" w:hanging="0"/>
              <w:jc w:val="left"/>
              <w:rPr/>
            </w:pPr>
            <w:r>
              <w:rPr/>
              <w:t> </w:t>
            </w:r>
          </w:p>
        </w:tc>
        <w:tc>
          <w:tcPr>
            <w:tcW w:w="50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916"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0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(17,846</w:t>
            </w:r>
          </w:p>
        </w:tc>
        <w:tc>
          <w:tcPr>
            <w:tcW w:w="12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5" w:type="dxa"/>
            <w:tcBorders/>
            <w:shd w:fill="CCEEFF" w:val="clear"/>
            <w:vAlign w:val="center"/>
          </w:tcPr>
          <w:p>
            <w:pPr>
              <w:pStyle w:val="TableContents"/>
              <w:bidi w:val="0"/>
              <w:spacing w:before="0" w:after="283"/>
              <w:ind w:left="0" w:right="0" w:hanging="0"/>
              <w:jc w:val="left"/>
              <w:rPr/>
            </w:pPr>
            <w:r>
              <w:rPr/>
              <w:t> </w:t>
            </w:r>
          </w:p>
        </w:tc>
        <w:tc>
          <w:tcPr>
            <w:tcW w:w="52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898"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20.31</w:t>
            </w:r>
          </w:p>
        </w:tc>
        <w:tc>
          <w:tcPr>
            <w:tcW w:w="64" w:type="dxa"/>
            <w:tcBorders/>
            <w:shd w:fill="CCEEFF" w:val="clear"/>
            <w:vAlign w:val="center"/>
          </w:tcPr>
          <w:p>
            <w:pPr>
              <w:pStyle w:val="TableContents"/>
              <w:bidi w:val="0"/>
              <w:spacing w:before="0" w:after="283"/>
              <w:ind w:left="0" w:right="0" w:hanging="0"/>
              <w:jc w:val="left"/>
              <w:rPr/>
            </w:pPr>
            <w:r>
              <w:rPr/>
              <w:t> </w:t>
            </w:r>
          </w:p>
        </w:tc>
      </w:tr>
      <w:tr>
        <w:trPr/>
        <w:tc>
          <w:tcPr>
            <w:tcW w:w="233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February 3, 2024</w:t>
            </w:r>
          </w:p>
        </w:tc>
        <w:tc>
          <w:tcPr>
            <w:tcW w:w="60" w:type="dxa"/>
            <w:tcBorders/>
            <w:shd w:fill="FFFFFF" w:val="clear"/>
            <w:vAlign w:val="center"/>
          </w:tcPr>
          <w:p>
            <w:pPr>
              <w:pStyle w:val="TableContents"/>
              <w:bidi w:val="0"/>
              <w:spacing w:before="0" w:after="283"/>
              <w:jc w:val="left"/>
              <w:rPr/>
            </w:pPr>
            <w:r>
              <w:rPr/>
              <w:t> </w:t>
            </w:r>
          </w:p>
        </w:tc>
        <w:tc>
          <w:tcPr>
            <w:tcW w:w="7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122,609</w:t>
            </w:r>
          </w:p>
        </w:tc>
        <w:tc>
          <w:tcPr>
            <w:tcW w:w="105" w:type="dxa"/>
            <w:tcBorders/>
            <w:shd w:fill="FFFFFF" w:val="clear"/>
            <w:vAlign w:val="center"/>
          </w:tcPr>
          <w:p>
            <w:pPr>
              <w:pStyle w:val="TableContents"/>
              <w:bidi w:val="0"/>
              <w:spacing w:before="0" w:after="283"/>
              <w:jc w:val="left"/>
              <w:rPr/>
            </w:pPr>
            <w:r>
              <w:rPr/>
              <w:t> </w:t>
            </w:r>
          </w:p>
        </w:tc>
        <w:tc>
          <w:tcPr>
            <w:tcW w:w="79" w:type="dxa"/>
            <w:tcBorders/>
            <w:shd w:fill="FFFFFF" w:val="clear"/>
            <w:vAlign w:val="center"/>
          </w:tcPr>
          <w:p>
            <w:pPr>
              <w:pStyle w:val="TableContents"/>
              <w:bidi w:val="0"/>
              <w:spacing w:before="0" w:after="283"/>
              <w:ind w:left="0" w:right="0" w:hanging="0"/>
              <w:jc w:val="left"/>
              <w:rPr/>
            </w:pPr>
            <w:r>
              <w:rPr/>
              <w:t> </w:t>
            </w:r>
          </w:p>
        </w:tc>
        <w:tc>
          <w:tcPr>
            <w:tcW w:w="5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91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185,082</w:t>
            </w:r>
          </w:p>
        </w:tc>
        <w:tc>
          <w:tcPr>
            <w:tcW w:w="126"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52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89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17.37</w:t>
            </w:r>
          </w:p>
        </w:tc>
        <w:tc>
          <w:tcPr>
            <w:tcW w:w="64"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62</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540"/>
        <w:jc w:val="both"/>
        <w:rPr/>
      </w:pPr>
      <w:r>
        <w:rPr>
          <w:rFonts w:ascii="Times New Roman;Times;serif" w:hAnsi="Times New Roman;Times;serif"/>
          <w:caps w:val="false"/>
          <w:smallCaps w:val="false"/>
          <w:color w:val="000000"/>
          <w:sz w:val="20"/>
        </w:rPr>
        <w:t xml:space="preserve">In fiscal </w:t>
      </w:r>
      <w:r>
        <w:rPr>
          <w:rStyle w:val="Emphasis"/>
          <w:rFonts w:ascii="Times New Roman;Times;serif" w:hAnsi="Times New Roman;Times;serif"/>
          <w:caps w:val="false"/>
          <w:smallCaps w:val="false"/>
          <w:color w:val="000000"/>
          <w:sz w:val="20"/>
        </w:rPr>
        <w:t>2023</w:t>
      </w:r>
      <w:r>
        <w:rPr>
          <w:rFonts w:ascii="Times New Roman;Times;serif" w:hAnsi="Times New Roman;Times;serif"/>
          <w:i/>
          <w:caps w:val="false"/>
          <w:smallCaps w:val="false"/>
          <w:color w:val="000000"/>
          <w:sz w:val="20"/>
        </w:rPr>
        <w:t>,</w:t>
      </w:r>
      <w:r>
        <w:rPr>
          <w:rFonts w:ascii="Times New Roman;Times;serif" w:hAnsi="Times New Roman;Times;serif"/>
          <w:caps w:val="false"/>
          <w:smallCaps w:val="false"/>
          <w:color w:val="000000"/>
          <w:sz w:val="20"/>
        </w:rPr>
        <w:t> the Committee awarded three-year performance-based restricted stock, established specific profitability and revenue objectives for fiscal </w:t>
      </w:r>
      <w:r>
        <w:rPr>
          <w:rStyle w:val="Emphasis"/>
          <w:rFonts w:ascii="Times New Roman;Times;serif" w:hAnsi="Times New Roman;Times;serif"/>
          <w:caps w:val="false"/>
          <w:smallCaps w:val="false"/>
          <w:color w:val="000000"/>
          <w:sz w:val="20"/>
        </w:rPr>
        <w:t>2023,</w:t>
      </w:r>
      <w:r>
        <w:rPr>
          <w:rFonts w:ascii="Times New Roman;Times;serif" w:hAnsi="Times New Roman;Times;serif"/>
          <w:caps w:val="false"/>
          <w:smallCaps w:val="false"/>
          <w:color w:val="000000"/>
          <w:sz w:val="20"/>
        </w:rPr>
        <w:t> </w:t>
      </w:r>
      <w:r>
        <w:rPr>
          <w:rStyle w:val="Emphasis"/>
          <w:rFonts w:ascii="Times New Roman;Times;serif" w:hAnsi="Times New Roman;Times;serif"/>
          <w:caps w:val="false"/>
          <w:smallCaps w:val="false"/>
          <w:color w:val="000000"/>
          <w:sz w:val="20"/>
        </w:rPr>
        <w:t>2024,</w:t>
      </w:r>
      <w:r>
        <w:rPr>
          <w:rFonts w:ascii="Times New Roman;Times;serif" w:hAnsi="Times New Roman;Times;serif"/>
          <w:caps w:val="false"/>
          <w:smallCaps w:val="false"/>
          <w:color w:val="000000"/>
          <w:sz w:val="20"/>
        </w:rPr>
        <w:t> and </w:t>
      </w:r>
      <w:r>
        <w:rPr>
          <w:rStyle w:val="Emphasis"/>
          <w:rFonts w:ascii="Times New Roman;Times;serif" w:hAnsi="Times New Roman;Times;serif"/>
          <w:caps w:val="false"/>
          <w:smallCaps w:val="false"/>
          <w:color w:val="000000"/>
          <w:sz w:val="20"/>
        </w:rPr>
        <w:t>2025,</w:t>
      </w:r>
      <w:r>
        <w:rPr>
          <w:rFonts w:ascii="Times New Roman;Times;serif" w:hAnsi="Times New Roman;Times;serif"/>
          <w:caps w:val="false"/>
          <w:smallCaps w:val="false"/>
          <w:color w:val="000000"/>
          <w:sz w:val="20"/>
        </w:rPr>
        <w:t> and assigned a weighting to each objective. Profitability is measured by the Company’s achievement of established compound annual growth for consolidated EBITDA. Revenue will be measured by the Company's achievement of revenue growth, by meeting established compound annual growth rate targets for cumulative total revenue. The target number of shares awarded was 65,254 with a weighted average grant date fair value of $24.75 per share. If profitability and revenue exceed the threshold objectives, the performance-based restricted stock award has a payout opportunity ranging from 25% to 200% of the target number of shares.</w:t>
      </w:r>
    </w:p>
    <w:p>
      <w:pPr>
        <w:pStyle w:val="TextBody"/>
        <w:bidi w:val="0"/>
        <w:spacing w:before="0" w:after="0"/>
        <w:ind w:left="0" w:right="0" w:firstLine="540"/>
        <w:jc w:val="both"/>
        <w:rPr>
          <w:caps w:val="false"/>
          <w:smallCaps w:val="false"/>
          <w:color w:val="000000"/>
        </w:rPr>
      </w:pPr>
      <w:r>
        <w:rPr>
          <w:caps w:val="false"/>
          <w:smallCaps w:val="false"/>
          <w:color w:val="000000"/>
        </w:rPr>
        <w:t> </w:t>
      </w:r>
    </w:p>
    <w:p>
      <w:pPr>
        <w:pStyle w:val="TextBody"/>
        <w:bidi w:val="0"/>
        <w:spacing w:before="0" w:after="0"/>
        <w:ind w:left="0" w:right="0" w:firstLine="540"/>
        <w:jc w:val="both"/>
        <w:rPr/>
      </w:pPr>
      <w:r>
        <w:rPr>
          <w:rFonts w:ascii="Times New Roman;Times;serif" w:hAnsi="Times New Roman;Times;serif"/>
          <w:caps w:val="false"/>
          <w:smallCaps w:val="false"/>
          <w:color w:val="000000"/>
          <w:sz w:val="20"/>
        </w:rPr>
        <w:t xml:space="preserve">In fiscal </w:t>
      </w:r>
      <w:r>
        <w:rPr>
          <w:rStyle w:val="Emphasis"/>
          <w:rFonts w:ascii="Times New Roman;Times;serif" w:hAnsi="Times New Roman;Times;serif"/>
          <w:caps w:val="false"/>
          <w:smallCaps w:val="false"/>
          <w:color w:val="000000"/>
          <w:sz w:val="20"/>
        </w:rPr>
        <w:t>2022</w:t>
      </w:r>
      <w:r>
        <w:rPr>
          <w:rFonts w:ascii="Times New Roman;Times;serif" w:hAnsi="Times New Roman;Times;serif"/>
          <w:i/>
          <w:caps w:val="false"/>
          <w:smallCaps w:val="false"/>
          <w:color w:val="000000"/>
          <w:sz w:val="20"/>
        </w:rPr>
        <w:t>,</w:t>
      </w:r>
      <w:r>
        <w:rPr>
          <w:rFonts w:ascii="Times New Roman;Times;serif" w:hAnsi="Times New Roman;Times;serif"/>
          <w:caps w:val="false"/>
          <w:smallCaps w:val="false"/>
          <w:color w:val="000000"/>
          <w:sz w:val="20"/>
        </w:rPr>
        <w:t> the Committee awarded three-year performance-based restricted stock, established specific profitability and revenue objectives for fiscal </w:t>
      </w:r>
      <w:r>
        <w:rPr>
          <w:rStyle w:val="Emphasis"/>
          <w:rFonts w:ascii="Times New Roman;Times;serif" w:hAnsi="Times New Roman;Times;serif"/>
          <w:caps w:val="false"/>
          <w:smallCaps w:val="false"/>
          <w:color w:val="000000"/>
          <w:sz w:val="20"/>
        </w:rPr>
        <w:t>2022,</w:t>
      </w:r>
      <w:r>
        <w:rPr>
          <w:rFonts w:ascii="Times New Roman;Times;serif" w:hAnsi="Times New Roman;Times;serif"/>
          <w:caps w:val="false"/>
          <w:smallCaps w:val="false"/>
          <w:color w:val="000000"/>
          <w:sz w:val="20"/>
        </w:rPr>
        <w:t> </w:t>
      </w:r>
      <w:r>
        <w:rPr>
          <w:rStyle w:val="Emphasis"/>
          <w:rFonts w:ascii="Times New Roman;Times;serif" w:hAnsi="Times New Roman;Times;serif"/>
          <w:caps w:val="false"/>
          <w:smallCaps w:val="false"/>
          <w:color w:val="000000"/>
          <w:sz w:val="20"/>
        </w:rPr>
        <w:t>2023,</w:t>
      </w:r>
      <w:r>
        <w:rPr>
          <w:rFonts w:ascii="Times New Roman;Times;serif" w:hAnsi="Times New Roman;Times;serif"/>
          <w:caps w:val="false"/>
          <w:smallCaps w:val="false"/>
          <w:color w:val="000000"/>
          <w:sz w:val="20"/>
        </w:rPr>
        <w:t> and </w:t>
      </w:r>
      <w:r>
        <w:rPr>
          <w:rStyle w:val="Emphasis"/>
          <w:rFonts w:ascii="Times New Roman;Times;serif" w:hAnsi="Times New Roman;Times;serif"/>
          <w:caps w:val="false"/>
          <w:smallCaps w:val="false"/>
          <w:color w:val="000000"/>
          <w:sz w:val="20"/>
        </w:rPr>
        <w:t>2024,</w:t>
      </w:r>
      <w:r>
        <w:rPr>
          <w:rFonts w:ascii="Times New Roman;Times;serif" w:hAnsi="Times New Roman;Times;serif"/>
          <w:caps w:val="false"/>
          <w:smallCaps w:val="false"/>
          <w:color w:val="000000"/>
          <w:sz w:val="20"/>
        </w:rPr>
        <w:t> and assigned a weighting to each objective. Profitability is measured by the Company’s achievement of established compound annual growth for consolidated EBITDA. Revenue will be measured by the Company's achievement of revenue growth, by meeting established compound annual growth rate targets for cumulative total revenue. The target number of shares awarded was 84,579 with a weighted average grant date fair value of $18.03 per share. If profitability and revenue exceed the threshold objectives, the performance-based restricted stock award has a payout opportunity ranging from 25% to 200% of the target number of shares.</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firstLine="490"/>
        <w:jc w:val="both"/>
        <w:rPr/>
      </w:pPr>
      <w:r>
        <w:rPr>
          <w:rFonts w:ascii="Times New Roman;Times;serif" w:hAnsi="Times New Roman;Times;serif"/>
          <w:sz w:val="20"/>
        </w:rPr>
        <w:t xml:space="preserve">In fiscal </w:t>
      </w:r>
      <w:r>
        <w:rPr>
          <w:rStyle w:val="Emphasis"/>
          <w:rFonts w:ascii="Times New Roman;Times;serif" w:hAnsi="Times New Roman;Times;serif"/>
          <w:sz w:val="20"/>
        </w:rPr>
        <w:t>2021</w:t>
      </w:r>
      <w:r>
        <w:rPr>
          <w:rFonts w:ascii="Times New Roman;Times;serif" w:hAnsi="Times New Roman;Times;serif"/>
          <w:i/>
          <w:sz w:val="20"/>
        </w:rPr>
        <w:t>,</w:t>
      </w:r>
      <w:r>
        <w:rPr>
          <w:rFonts w:ascii="Times New Roman;Times;serif" w:hAnsi="Times New Roman;Times;serif"/>
          <w:sz w:val="20"/>
        </w:rPr>
        <w:t> the Committee awarded three-year performance-based restricted stock, established specific profitability and revenue objectives for fiscal </w:t>
      </w:r>
      <w:r>
        <w:rPr>
          <w:rStyle w:val="Emphasis"/>
          <w:rFonts w:ascii="Times New Roman;Times;serif" w:hAnsi="Times New Roman;Times;serif"/>
          <w:sz w:val="20"/>
        </w:rPr>
        <w:t>2021,</w:t>
      </w:r>
      <w:r>
        <w:rPr>
          <w:rFonts w:ascii="Times New Roman;Times;serif" w:hAnsi="Times New Roman;Times;serif"/>
          <w:sz w:val="20"/>
        </w:rPr>
        <w:t> </w:t>
      </w:r>
      <w:r>
        <w:rPr>
          <w:rStyle w:val="Emphasis"/>
          <w:rFonts w:ascii="Times New Roman;Times;serif" w:hAnsi="Times New Roman;Times;serif"/>
          <w:sz w:val="20"/>
        </w:rPr>
        <w:t>2022,</w:t>
      </w:r>
      <w:r>
        <w:rPr>
          <w:rFonts w:ascii="Times New Roman;Times;serif" w:hAnsi="Times New Roman;Times;serif"/>
          <w:sz w:val="20"/>
        </w:rPr>
        <w:t> and </w:t>
      </w:r>
      <w:r>
        <w:rPr>
          <w:rStyle w:val="Emphasis"/>
          <w:rFonts w:ascii="Times New Roman;Times;serif" w:hAnsi="Times New Roman;Times;serif"/>
          <w:sz w:val="20"/>
        </w:rPr>
        <w:t>2023,</w:t>
      </w:r>
      <w:r>
        <w:rPr>
          <w:rFonts w:ascii="Times New Roman;Times;serif" w:hAnsi="Times New Roman;Times;serif"/>
          <w:sz w:val="20"/>
        </w:rPr>
        <w:t> and assigned a weighting to each objective. Profitability is measured by the Company’s achievement of established cumulative consolidated EBITDA. Revenue will be measured by the Company's achievement of revenue growth, by meeting established compound annual growth rate targets for total web demand sales or cumulative total revenue objectives. The target number of shares awarded was 53,095 with a weighted average grant date fair value of $8.24 per share. If profitability and revenue exceed the threshold objectives, the performance-based restricted stock award has a payout opportunity ranging from 25% to 200% of the target number of shares.</w:t>
      </w:r>
    </w:p>
    <w:p>
      <w:pPr>
        <w:pStyle w:val="TextBody"/>
        <w:bidi w:val="0"/>
        <w:spacing w:before="0" w:after="0"/>
        <w:ind w:left="0" w:right="144" w:firstLine="540"/>
        <w:jc w:val="both"/>
        <w:rPr/>
      </w:pPr>
      <w:r>
        <w:rPr/>
        <w:t> </w:t>
      </w:r>
    </w:p>
    <w:p>
      <w:pPr>
        <w:pStyle w:val="TextBody"/>
        <w:bidi w:val="0"/>
        <w:spacing w:before="0" w:after="0"/>
        <w:ind w:left="0" w:right="144" w:firstLine="540"/>
        <w:jc w:val="both"/>
        <w:rPr/>
      </w:pPr>
      <w:r>
        <w:rPr>
          <w:rFonts w:ascii="Times New Roman;Times;serif" w:hAnsi="Times New Roman;Times;serif"/>
          <w:sz w:val="20"/>
          <w:shd w:fill="FFFFFF" w:val="clear"/>
        </w:rPr>
        <w:t>As of </w:t>
      </w:r>
      <w:r>
        <w:rPr>
          <w:rStyle w:val="Emphasis"/>
          <w:rFonts w:ascii="Times New Roman;Times;serif" w:hAnsi="Times New Roman;Times;serif"/>
          <w:sz w:val="20"/>
          <w:shd w:fill="FFFFFF" w:val="clear"/>
        </w:rPr>
        <w:t xml:space="preserve"> February 3, 2024</w:t>
      </w:r>
      <w:r>
        <w:rPr>
          <w:rFonts w:ascii="Times New Roman;Times;serif" w:hAnsi="Times New Roman;Times;serif"/>
          <w:sz w:val="20"/>
          <w:shd w:fill="FFFFFF" w:val="clear"/>
        </w:rPr>
        <w:t xml:space="preserve">, the Company had recorded aggregate expense for the fiscal </w:t>
      </w:r>
      <w:r>
        <w:rPr>
          <w:rStyle w:val="Emphasis"/>
          <w:rFonts w:ascii="Times New Roman;Times;serif" w:hAnsi="Times New Roman;Times;serif"/>
          <w:sz w:val="20"/>
          <w:shd w:fill="FFFFFF" w:val="clear"/>
        </w:rPr>
        <w:t>2021,</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2022,</w:t>
      </w:r>
      <w:r>
        <w:rPr>
          <w:rFonts w:ascii="Times New Roman;Times;serif" w:hAnsi="Times New Roman;Times;serif"/>
          <w:sz w:val="20"/>
          <w:shd w:fill="FFFFFF" w:val="clear"/>
        </w:rPr>
        <w:t xml:space="preserve"> and </w:t>
      </w:r>
      <w:r>
        <w:rPr>
          <w:rStyle w:val="Emphasis"/>
          <w:rFonts w:ascii="Times New Roman;Times;serif" w:hAnsi="Times New Roman;Times;serif"/>
          <w:sz w:val="20"/>
          <w:shd w:fill="FFFFFF" w:val="clear"/>
        </w:rPr>
        <w:t>2023</w:t>
      </w:r>
      <w:r>
        <w:rPr>
          <w:rFonts w:ascii="Times New Roman;Times;serif" w:hAnsi="Times New Roman;Times;serif"/>
          <w:sz w:val="20"/>
          <w:shd w:fill="FFFFFF" w:val="clear"/>
        </w:rPr>
        <w:t xml:space="preserve"> </w:t>
      </w:r>
      <w:r>
        <w:rPr>
          <w:rStyle w:val="Emphasis"/>
          <w:rFonts w:ascii="Times New Roman;Times;serif" w:hAnsi="Times New Roman;Times;serif"/>
          <w:sz w:val="20"/>
          <w:shd w:fill="FFFFFF" w:val="clear"/>
        </w:rPr>
        <w:t>three</w:t>
      </w:r>
      <w:r>
        <w:rPr>
          <w:rFonts w:ascii="Times New Roman;Times;serif" w:hAnsi="Times New Roman;Times;serif"/>
          <w:sz w:val="20"/>
          <w:shd w:fill="FFFFFF" w:val="clear"/>
        </w:rPr>
        <w:t>-year performance-based restricted stock awards of $</w:t>
      </w:r>
      <w:r>
        <w:rPr>
          <w:rFonts w:ascii="Times New Roman;Times;serif" w:hAnsi="Times New Roman;Times;serif"/>
          <w:sz w:val="20"/>
        </w:rPr>
        <w:t>1.6</w:t>
      </w:r>
      <w:r>
        <w:rPr>
          <w:rFonts w:ascii="Times New Roman;Times;serif" w:hAnsi="Times New Roman;Times;serif"/>
          <w:sz w:val="20"/>
          <w:shd w:fill="FFFFFF" w:val="clear"/>
        </w:rPr>
        <w:t> million.</w:t>
      </w:r>
    </w:p>
    <w:p>
      <w:pPr>
        <w:pStyle w:val="TextBody"/>
        <w:bidi w:val="0"/>
        <w:spacing w:before="0" w:after="0"/>
        <w:ind w:left="0" w:right="0" w:hanging="0"/>
        <w:jc w:val="both"/>
        <w:rPr/>
      </w:pPr>
      <w:r>
        <w:rPr/>
        <w:t> </w:t>
      </w:r>
    </w:p>
    <w:p>
      <w:pPr>
        <w:pStyle w:val="TextBody"/>
        <w:bidi w:val="0"/>
        <w:spacing w:before="0" w:after="0"/>
        <w:ind w:left="0" w:right="0" w:firstLine="490"/>
        <w:jc w:val="both"/>
        <w:rPr/>
      </w:pPr>
      <w:r>
        <w:rPr>
          <w:rFonts w:ascii="Times New Roman;Times;serif" w:hAnsi="Times New Roman;Times;serif"/>
          <w:sz w:val="20"/>
        </w:rPr>
        <w:t>The vesting date fair value of shares that vested in fiscal </w:t>
      </w:r>
      <w:r>
        <w:rPr>
          <w:rStyle w:val="Emphasis"/>
          <w:rFonts w:ascii="Times New Roman;Times;serif" w:hAnsi="Times New Roman;Times;serif"/>
          <w:sz w:val="20"/>
        </w:rPr>
        <w:t>2023</w:t>
      </w:r>
      <w:r>
        <w:rPr>
          <w:rFonts w:ascii="Times New Roman;Times;serif" w:hAnsi="Times New Roman;Times;serif"/>
          <w:sz w:val="20"/>
        </w:rPr>
        <w:t xml:space="preserve"> and </w:t>
      </w:r>
      <w:r>
        <w:rPr>
          <w:rStyle w:val="Emphasis"/>
          <w:rFonts w:ascii="Times New Roman;Times;serif" w:hAnsi="Times New Roman;Times;serif"/>
          <w:sz w:val="20"/>
        </w:rPr>
        <w:t>2022</w:t>
      </w:r>
      <w:r>
        <w:rPr>
          <w:rFonts w:ascii="Times New Roman;Times;serif" w:hAnsi="Times New Roman;Times;serif"/>
          <w:sz w:val="20"/>
        </w:rPr>
        <w:t xml:space="preserve"> was $2.1 million and $2.0 million, respectively.</w:t>
      </w:r>
    </w:p>
    <w:p>
      <w:pPr>
        <w:pStyle w:val="TextBody"/>
        <w:bidi w:val="0"/>
        <w:spacing w:before="0" w:after="0"/>
        <w:ind w:left="0" w:right="0" w:firstLine="490"/>
        <w:jc w:val="both"/>
        <w:rPr/>
      </w:pPr>
      <w:r>
        <w:rPr/>
        <w:t> </w:t>
      </w:r>
    </w:p>
    <w:p>
      <w:pPr>
        <w:pStyle w:val="TextBody"/>
        <w:bidi w:val="0"/>
        <w:spacing w:before="0" w:after="0"/>
        <w:jc w:val="left"/>
        <w:rPr/>
      </w:pPr>
      <w:r>
        <w:rPr/>
        <w:t xml:space="preserve">  </w:t>
      </w:r>
    </w:p>
    <w:tbl>
      <w:tblPr>
        <w:tblW w:w="2185" w:type="dxa"/>
        <w:jc w:val="left"/>
        <w:tblInd w:w="0" w:type="dxa"/>
        <w:tblLayout w:type="fixed"/>
        <w:tblCellMar>
          <w:top w:w="0" w:type="dxa"/>
          <w:left w:w="0" w:type="dxa"/>
          <w:bottom w:w="0" w:type="dxa"/>
          <w:right w:w="0" w:type="dxa"/>
        </w:tblCellMar>
      </w:tblPr>
      <w:tblGrid>
        <w:gridCol w:w="395"/>
        <w:gridCol w:w="1790"/>
      </w:tblGrid>
      <w:tr>
        <w:trPr/>
        <w:tc>
          <w:tcPr>
            <w:tcW w:w="395"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13</w:t>
            </w:r>
            <w:r>
              <w:rPr>
                <w:rFonts w:ascii="Times New Roman;Times;serif" w:hAnsi="Times New Roman;Times;serif"/>
                <w:b/>
                <w:sz w:val="20"/>
              </w:rPr>
              <w:t xml:space="preserve">) </w:t>
            </w:r>
          </w:p>
        </w:tc>
        <w:tc>
          <w:tcPr>
            <w:tcW w:w="179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Stockholders’ Equity</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following table summarizes the changes in outstanding shares of common stock for fiscal </w:t>
      </w:r>
      <w:r>
        <w:rPr>
          <w:rStyle w:val="Emphasis"/>
          <w:rFonts w:ascii="Times New Roman;Times;serif" w:hAnsi="Times New Roman;Times;serif"/>
          <w:sz w:val="20"/>
        </w:rPr>
        <w:t>2023</w:t>
      </w:r>
      <w:r>
        <w:rPr>
          <w:rFonts w:ascii="Times New Roman;Times;serif" w:hAnsi="Times New Roman;Times;serif"/>
          <w:sz w:val="20"/>
        </w:rPr>
        <w:t> and fiscal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hanging="0"/>
        <w:jc w:val="left"/>
        <w:rPr/>
      </w:pPr>
      <w:r>
        <w:rPr/>
        <w:t> </w:t>
      </w:r>
    </w:p>
    <w:tbl>
      <w:tblPr>
        <w:tblW w:w="8730" w:type="dxa"/>
        <w:jc w:val="left"/>
        <w:tblInd w:w="0" w:type="dxa"/>
        <w:tblLayout w:type="fixed"/>
        <w:tblCellMar>
          <w:top w:w="0" w:type="dxa"/>
          <w:left w:w="0" w:type="dxa"/>
          <w:bottom w:w="0" w:type="dxa"/>
          <w:right w:w="0" w:type="dxa"/>
        </w:tblCellMar>
      </w:tblPr>
      <w:tblGrid>
        <w:gridCol w:w="7580"/>
        <w:gridCol w:w="60"/>
        <w:gridCol w:w="60"/>
        <w:gridCol w:w="950"/>
        <w:gridCol w:w="80"/>
      </w:tblGrid>
      <w:tr>
        <w:trPr/>
        <w:tc>
          <w:tcPr>
            <w:tcW w:w="7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Common</w:t>
            </w:r>
          </w:p>
        </w:tc>
        <w:tc>
          <w:tcPr>
            <w:tcW w:w="80" w:type="dxa"/>
            <w:tcBorders/>
            <w:shd w:fill="FFFFFF" w:val="clear"/>
            <w:vAlign w:val="center"/>
          </w:tcPr>
          <w:p>
            <w:pPr>
              <w:pStyle w:val="TableContents"/>
              <w:bidi w:val="0"/>
              <w:spacing w:before="0" w:after="283"/>
              <w:jc w:val="left"/>
              <w:rPr/>
            </w:pPr>
            <w:r>
              <w:rPr/>
              <w:t> </w:t>
            </w:r>
          </w:p>
        </w:tc>
      </w:tr>
      <w:tr>
        <w:trPr/>
        <w:tc>
          <w:tcPr>
            <w:tcW w:w="7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1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Stock</w:t>
            </w:r>
          </w:p>
        </w:tc>
        <w:tc>
          <w:tcPr>
            <w:tcW w:w="80" w:type="dxa"/>
            <w:tcBorders/>
            <w:shd w:fill="FFFFFF" w:val="clear"/>
            <w:vAlign w:val="center"/>
          </w:tcPr>
          <w:p>
            <w:pPr>
              <w:pStyle w:val="TableContents"/>
              <w:bidi w:val="0"/>
              <w:spacing w:before="0" w:after="283"/>
              <w:jc w:val="left"/>
              <w:rPr/>
            </w:pPr>
            <w:r>
              <w:rPr/>
              <w:t> </w:t>
            </w:r>
          </w:p>
        </w:tc>
      </w:tr>
      <w:tr>
        <w:trPr/>
        <w:tc>
          <w:tcPr>
            <w:tcW w:w="75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5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as of January 29,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16,146,332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5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Shares issued under employee stock plans, net of shares withheld in lieu of tax withholding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189,509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5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Share repurchase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(1,533,503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as of January 28, 2023</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14,802,338</w:t>
            </w:r>
          </w:p>
        </w:tc>
        <w:tc>
          <w:tcPr>
            <w:tcW w:w="80" w:type="dxa"/>
            <w:tcBorders/>
            <w:shd w:fill="FFFFFF" w:val="clear"/>
            <w:vAlign w:val="center"/>
          </w:tcPr>
          <w:p>
            <w:pPr>
              <w:pStyle w:val="TableContents"/>
              <w:bidi w:val="0"/>
              <w:spacing w:before="0" w:after="283"/>
              <w:jc w:val="left"/>
              <w:rPr/>
            </w:pPr>
            <w:r>
              <w:rPr/>
              <w:t> </w:t>
            </w:r>
          </w:p>
        </w:tc>
      </w:tr>
      <w:tr>
        <w:trPr/>
        <w:tc>
          <w:tcPr>
            <w:tcW w:w="7580" w:type="dxa"/>
            <w:tcBorders/>
            <w:shd w:fill="CCEE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Shares issued under employee stock plans, net of shares withheld in lieu of tax withholding</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266,627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5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Share repurchase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(896,603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5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Shares as of February 3,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14,172,362</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pPr>
      <w:r>
        <w:rPr>
          <w:rFonts w:ascii="Times New Roman;Times;serif" w:hAnsi="Times New Roman;Times;serif"/>
          <w:sz w:val="20"/>
        </w:rPr>
        <w:t xml:space="preserve">The Company's Board of Directors declared an initial quarterly dividend of $0.20 per share paid on </w:t>
      </w:r>
      <w:r>
        <w:rPr>
          <w:rStyle w:val="Emphasis"/>
          <w:rFonts w:ascii="Times New Roman;Times;serif" w:hAnsi="Times New Roman;Times;serif"/>
          <w:sz w:val="20"/>
        </w:rPr>
        <w:t xml:space="preserve">April 11, 2024, </w:t>
      </w:r>
      <w:r>
        <w:rPr>
          <w:rFonts w:ascii="Times New Roman;Times;serif" w:hAnsi="Times New Roman;Times;serif"/>
          <w:sz w:val="20"/>
        </w:rPr>
        <w:t xml:space="preserve">to all shareholders of record as of </w:t>
      </w:r>
      <w:r>
        <w:rPr>
          <w:rStyle w:val="Emphasis"/>
          <w:rFonts w:ascii="Times New Roman;Times;serif" w:hAnsi="Times New Roman;Times;serif"/>
          <w:sz w:val="20"/>
        </w:rPr>
        <w:t>March 28, 2024.</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63</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tbl>
      <w:tblPr>
        <w:tblW w:w="1705" w:type="dxa"/>
        <w:jc w:val="left"/>
        <w:tblInd w:w="0" w:type="dxa"/>
        <w:tblLayout w:type="fixed"/>
        <w:tblCellMar>
          <w:top w:w="0" w:type="dxa"/>
          <w:left w:w="0" w:type="dxa"/>
          <w:bottom w:w="0" w:type="dxa"/>
          <w:right w:w="0" w:type="dxa"/>
        </w:tblCellMar>
      </w:tblPr>
      <w:tblGrid>
        <w:gridCol w:w="350"/>
        <w:gridCol w:w="1355"/>
      </w:tblGrid>
      <w:tr>
        <w:trPr/>
        <w:tc>
          <w:tcPr>
            <w:tcW w:w="350" w:type="dxa"/>
            <w:tcBorders/>
            <w:vAlign w:val="center"/>
          </w:tcPr>
          <w:p>
            <w:pPr>
              <w:pStyle w:val="TableContents"/>
              <w:bidi w:val="0"/>
              <w:spacing w:before="0" w:after="0"/>
              <w:ind w:left="0" w:right="0" w:hanging="0"/>
              <w:jc w:val="left"/>
              <w:rPr/>
            </w:pPr>
            <w:r>
              <w:rPr>
                <w:rFonts w:ascii="Times New Roman;Times;serif" w:hAnsi="Times New Roman;Times;serif"/>
                <w:b/>
                <w:sz w:val="20"/>
              </w:rPr>
              <w:t>(</w:t>
            </w:r>
            <w:r>
              <w:rPr>
                <w:rStyle w:val="Emphasis"/>
                <w:rFonts w:ascii="Times New Roman;Times;serif" w:hAnsi="Times New Roman;Times;serif"/>
                <w:b/>
                <w:sz w:val="20"/>
              </w:rPr>
              <w:t>14</w:t>
            </w:r>
            <w:r>
              <w:rPr>
                <w:rFonts w:ascii="Times New Roman;Times;serif" w:hAnsi="Times New Roman;Times;serif"/>
                <w:b/>
                <w:sz w:val="20"/>
              </w:rPr>
              <w:t>)</w:t>
            </w:r>
          </w:p>
        </w:tc>
        <w:tc>
          <w:tcPr>
            <w:tcW w:w="135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Major Vendors </w:t>
            </w:r>
          </w:p>
        </w:tc>
      </w:tr>
    </w:tbl>
    <w:p>
      <w:pPr>
        <w:pStyle w:val="TextBody"/>
        <w:bidi w:val="0"/>
        <w:spacing w:before="0" w:after="0"/>
        <w:ind w:left="0" w:right="0" w:hanging="0"/>
        <w:jc w:val="left"/>
        <w:rPr/>
      </w:pPr>
      <w:r>
        <w:rPr/>
        <w:t> </w:t>
      </w:r>
    </w:p>
    <w:p>
      <w:pPr>
        <w:pStyle w:val="TextBody"/>
        <w:bidi w:val="0"/>
        <w:spacing w:before="0" w:after="0"/>
        <w:ind w:left="0" w:right="0" w:firstLine="540"/>
        <w:jc w:val="both"/>
        <w:rPr/>
      </w:pPr>
      <w:r>
        <w:rPr>
          <w:rFonts w:ascii="Times New Roman;Times;serif" w:hAnsi="Times New Roman;Times;serif"/>
          <w:sz w:val="20"/>
        </w:rPr>
        <w:t>Five vendors, each of whose primary manufacturing facilities are located in Asia, accounted for approximately 73%of inventory purchases in </w:t>
      </w:r>
      <w:r>
        <w:rPr>
          <w:rStyle w:val="Emphasis"/>
          <w:rFonts w:ascii="Times New Roman;Times;serif" w:hAnsi="Times New Roman;Times;serif"/>
          <w:sz w:val="20"/>
        </w:rPr>
        <w:t>2023</w:t>
      </w:r>
      <w:r>
        <w:rPr>
          <w:rFonts w:ascii="Times New Roman;Times;serif" w:hAnsi="Times New Roman;Times;serif"/>
          <w:sz w:val="20"/>
        </w:rPr>
        <w:t xml:space="preserve"> and 77% in </w:t>
      </w:r>
      <w:r>
        <w:rPr>
          <w:rStyle w:val="Emphasis"/>
          <w:rFonts w:ascii="Times New Roman;Times;serif" w:hAnsi="Times New Roman;Times;serif"/>
          <w:sz w:val="20"/>
        </w:rPr>
        <w:t>2022</w:t>
      </w:r>
      <w:r>
        <w:rPr>
          <w:rFonts w:ascii="Times New Roman;Times;serif" w:hAnsi="Times New Roman;Times;serif"/>
          <w:sz w:val="20"/>
        </w:rPr>
        <w:t>.</w:t>
      </w:r>
    </w:p>
    <w:p>
      <w:pPr>
        <w:pStyle w:val="TextBody"/>
        <w:bidi w:val="0"/>
        <w:spacing w:before="0" w:after="0"/>
        <w:ind w:left="0" w:right="0" w:firstLine="540"/>
        <w:jc w:val="both"/>
        <w:rPr/>
      </w:pPr>
      <w:r>
        <w:rPr/>
        <w:t> </w:t>
      </w:r>
    </w:p>
    <w:p>
      <w:pPr>
        <w:pStyle w:val="TextBody"/>
        <w:bidi w:val="0"/>
        <w:spacing w:before="0" w:after="0"/>
        <w:jc w:val="left"/>
        <w:rPr/>
      </w:pPr>
      <w:r>
        <w:rPr/>
        <w:t xml:space="preserve">  </w:t>
      </w:r>
    </w:p>
    <w:tbl>
      <w:tblPr>
        <w:tblW w:w="2215" w:type="dxa"/>
        <w:jc w:val="left"/>
        <w:tblInd w:w="0" w:type="dxa"/>
        <w:tblLayout w:type="fixed"/>
        <w:tblCellMar>
          <w:top w:w="0" w:type="dxa"/>
          <w:left w:w="0" w:type="dxa"/>
          <w:bottom w:w="0" w:type="dxa"/>
          <w:right w:w="0" w:type="dxa"/>
        </w:tblCellMar>
      </w:tblPr>
      <w:tblGrid>
        <w:gridCol w:w="350"/>
        <w:gridCol w:w="1865"/>
      </w:tblGrid>
      <w:tr>
        <w:trPr/>
        <w:tc>
          <w:tcPr>
            <w:tcW w:w="350" w:type="dxa"/>
            <w:tcBorders/>
            <w:vAlign w:val="center"/>
          </w:tcPr>
          <w:p>
            <w:pPr>
              <w:pStyle w:val="TableContents"/>
              <w:bidi w:val="0"/>
              <w:spacing w:before="0" w:after="0"/>
              <w:ind w:left="0" w:right="0" w:hanging="0"/>
              <w:jc w:val="both"/>
              <w:rPr/>
            </w:pPr>
            <w:r>
              <w:rPr>
                <w:rFonts w:ascii="Times New Roman;Times;serif" w:hAnsi="Times New Roman;Times;serif"/>
                <w:b/>
                <w:sz w:val="20"/>
              </w:rPr>
              <w:t>(</w:t>
            </w:r>
            <w:r>
              <w:rPr>
                <w:rStyle w:val="Emphasis"/>
                <w:rFonts w:ascii="Times New Roman;Times;serif" w:hAnsi="Times New Roman;Times;serif"/>
                <w:b/>
                <w:sz w:val="20"/>
              </w:rPr>
              <w:t>15</w:t>
            </w:r>
            <w:r>
              <w:rPr>
                <w:rFonts w:ascii="Times New Roman;Times;serif" w:hAnsi="Times New Roman;Times;serif"/>
                <w:b/>
                <w:sz w:val="20"/>
              </w:rPr>
              <w:t>)</w:t>
            </w:r>
          </w:p>
        </w:tc>
        <w:tc>
          <w:tcPr>
            <w:tcW w:w="186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Segment Information </w:t>
            </w:r>
          </w:p>
        </w:tc>
      </w:tr>
    </w:tbl>
    <w:p>
      <w:pPr>
        <w:pStyle w:val="TextBody"/>
        <w:bidi w:val="0"/>
        <w:spacing w:before="0" w:after="0"/>
        <w:ind w:left="0" w:right="0" w:hanging="0"/>
        <w:jc w:val="both"/>
        <w:rPr/>
      </w:pPr>
      <w:r>
        <w:rPr/>
        <w:t> </w:t>
      </w:r>
    </w:p>
    <w:p>
      <w:pPr>
        <w:pStyle w:val="TextBody"/>
        <w:bidi w:val="0"/>
        <w:spacing w:before="0" w:after="0"/>
        <w:ind w:left="0" w:right="0" w:firstLine="540"/>
        <w:jc w:val="both"/>
        <w:rPr/>
      </w:pPr>
      <w:r>
        <w:rPr>
          <w:rFonts w:ascii="Times New Roman;Times;serif" w:hAnsi="Times New Roman;Times;serif"/>
          <w:sz w:val="20"/>
        </w:rPr>
        <w:t xml:space="preserve">The Company’s operations are conducted through three operating segments consisting of DTC, commercial and international franchising. The DTC segment includes the operating activities of corporately-managed locations and other retail delivery operations in the U.S., Canada, Ireland and the U.K., including the Company’s e-commerce sites and temporary stores. The commercial segment includes the Company’s transactions with other businesses, mainly comprised of wholesale activities, licensing the Company’s intellectual properties for </w:t>
      </w:r>
      <w:r>
        <w:rPr>
          <w:rStyle w:val="Emphasis"/>
          <w:rFonts w:ascii="Times New Roman;Times;serif" w:hAnsi="Times New Roman;Times;serif"/>
          <w:sz w:val="20"/>
        </w:rPr>
        <w:t>third</w:t>
      </w:r>
      <w:r>
        <w:rPr>
          <w:rFonts w:ascii="Times New Roman;Times;serif" w:hAnsi="Times New Roman;Times;serif"/>
          <w:sz w:val="20"/>
        </w:rPr>
        <w:t xml:space="preserve"> party use, and entertainment activities. The international franchising segment includes the licensing activities of the Company’s franchise agreements with store locations in select countries in Asia, Australia, the Middle East, Africa, and South America.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pStyle w:val="TextBody"/>
        <w:bidi w:val="0"/>
        <w:spacing w:before="0" w:after="0"/>
        <w:ind w:left="0" w:right="0" w:hanging="0"/>
        <w:jc w:val="both"/>
        <w:rPr/>
      </w:pPr>
      <w:r>
        <w:rPr/>
        <w:t>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Following is a summary of the financial information for the Company’s reporting segments (in thousands):</w:t>
      </w:r>
    </w:p>
    <w:p>
      <w:pPr>
        <w:pStyle w:val="TextBody"/>
        <w:bidi w:val="0"/>
        <w:spacing w:before="0" w:after="0"/>
        <w:ind w:left="0" w:right="0" w:firstLine="360"/>
        <w:jc w:val="left"/>
        <w:rPr/>
      </w:pPr>
      <w:r>
        <w:rPr/>
        <w:t> </w:t>
      </w:r>
    </w:p>
    <w:tbl>
      <w:tblPr>
        <w:tblW w:w="7710" w:type="dxa"/>
        <w:jc w:val="left"/>
        <w:tblInd w:w="0" w:type="dxa"/>
        <w:tblLayout w:type="fixed"/>
        <w:tblCellMar>
          <w:top w:w="0" w:type="dxa"/>
          <w:left w:w="0" w:type="dxa"/>
          <w:bottom w:w="0" w:type="dxa"/>
          <w:right w:w="0" w:type="dxa"/>
        </w:tblCellMar>
      </w:tblPr>
      <w:tblGrid>
        <w:gridCol w:w="3380"/>
        <w:gridCol w:w="60"/>
        <w:gridCol w:w="131"/>
        <w:gridCol w:w="729"/>
        <w:gridCol w:w="60"/>
        <w:gridCol w:w="60"/>
        <w:gridCol w:w="181"/>
        <w:gridCol w:w="859"/>
        <w:gridCol w:w="60"/>
        <w:gridCol w:w="60"/>
        <w:gridCol w:w="231"/>
        <w:gridCol w:w="899"/>
        <w:gridCol w:w="60"/>
        <w:gridCol w:w="60"/>
        <w:gridCol w:w="125"/>
        <w:gridCol w:w="695"/>
        <w:gridCol w:w="6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Direct-to-</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International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Consumer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Commercial</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Franchising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Fifty-three weeks ended February 3, 2024</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456,163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25,413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486,114</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56,613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66,329</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Capital expenditures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18,295</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13,657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Fifty-two weeks ended January 28, 2023</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467,937</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Income before income taxes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61,924</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Capital expenditures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13,634</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12,482</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jc w:val="left"/>
              <w:rPr/>
            </w:pPr>
            <w:r>
              <w:rPr/>
              <w:t> </w:t>
            </w:r>
          </w:p>
        </w:tc>
        <w:tc>
          <w:tcPr>
            <w:tcW w:w="89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Assets as of:</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jc w:val="left"/>
              <w:rPr/>
            </w:pPr>
            <w:r>
              <w:rPr/>
              <w:t> </w:t>
            </w:r>
          </w:p>
        </w:tc>
        <w:tc>
          <w:tcPr>
            <w:tcW w:w="8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jc w:val="left"/>
              <w:rPr/>
            </w:pPr>
            <w:r>
              <w:rPr/>
              <w:t> </w:t>
            </w:r>
          </w:p>
        </w:tc>
        <w:tc>
          <w:tcPr>
            <w:tcW w:w="89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February 3, 2024</w:t>
            </w:r>
          </w:p>
        </w:tc>
        <w:tc>
          <w:tcPr>
            <w:tcW w:w="60" w:type="dxa"/>
            <w:tcBorders/>
            <w:shd w:fill="CCEEFF" w:val="clear"/>
            <w:vAlign w:val="center"/>
          </w:tcPr>
          <w:p>
            <w:pPr>
              <w:pStyle w:val="TableContents"/>
              <w:bidi w:val="0"/>
              <w:spacing w:before="0" w:after="283"/>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262,299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272,325</w:t>
            </w:r>
          </w:p>
        </w:tc>
        <w:tc>
          <w:tcPr>
            <w:tcW w:w="60" w:type="dxa"/>
            <w:tcBorders/>
            <w:shd w:fill="CCEE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January 28, 2023</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272,221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9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280,794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Times New Roman" w:hAnsi="Times New Roman"/>
          <w:sz w:val="20"/>
        </w:rPr>
        <w:t>64</w:t>
      </w:r>
      <w:r>
        <w:rPr>
          <w:rFonts w:ascii="Times New Roman" w:hAnsi="Times New Roman"/>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firstLine="490"/>
        <w:jc w:val="both"/>
        <w:rPr/>
      </w:pPr>
      <w:r>
        <w:rPr>
          <w:rFonts w:ascii="Times New Roman;Times;serif" w:hAnsi="Times New Roman;Times;serif"/>
          <w:sz w:val="20"/>
        </w:rPr>
        <w:t xml:space="preserve">The Company’s reportable segments are primarily determined by the types of products and services that they offer. Each reportable segment </w:t>
      </w:r>
      <w:r>
        <w:rPr>
          <w:rStyle w:val="Emphasis"/>
          <w:rFonts w:ascii="Times New Roman;Times;serif" w:hAnsi="Times New Roman;Times;serif"/>
          <w:sz w:val="20"/>
        </w:rPr>
        <w:t xml:space="preserve">may </w:t>
      </w:r>
      <w:r>
        <w:rPr>
          <w:rFonts w:ascii="Times New Roman;Times;serif" w:hAnsi="Times New Roman;Times;serif"/>
          <w:sz w:val="20"/>
        </w:rPr>
        <w:t>operate in many geographic areas. Revenues are recognized in the geographic areas based on the location of the customer or franchisee. The following schedule is a summary of the Company’s sales to external customers and long-lived assets by geographic area (in thousands):</w:t>
      </w:r>
    </w:p>
    <w:p>
      <w:pPr>
        <w:pStyle w:val="TextBody"/>
        <w:bidi w:val="0"/>
        <w:spacing w:before="0" w:after="0"/>
        <w:ind w:left="0" w:right="0" w:firstLine="490"/>
        <w:jc w:val="left"/>
        <w:rPr/>
      </w:pPr>
      <w:r>
        <w:rPr/>
        <w:t> </w:t>
      </w:r>
    </w:p>
    <w:tbl>
      <w:tblPr>
        <w:tblW w:w="7407" w:type="dxa"/>
        <w:jc w:val="left"/>
        <w:tblInd w:w="0" w:type="dxa"/>
        <w:tblLayout w:type="fixed"/>
        <w:tblCellMar>
          <w:top w:w="0" w:type="dxa"/>
          <w:left w:w="0" w:type="dxa"/>
          <w:bottom w:w="0" w:type="dxa"/>
          <w:right w:w="0" w:type="dxa"/>
        </w:tblCellMar>
      </w:tblPr>
      <w:tblGrid>
        <w:gridCol w:w="3380"/>
        <w:gridCol w:w="60"/>
        <w:gridCol w:w="156"/>
        <w:gridCol w:w="868"/>
        <w:gridCol w:w="60"/>
        <w:gridCol w:w="60"/>
        <w:gridCol w:w="160"/>
        <w:gridCol w:w="759"/>
        <w:gridCol w:w="60"/>
        <w:gridCol w:w="60"/>
        <w:gridCol w:w="160"/>
        <w:gridCol w:w="624"/>
        <w:gridCol w:w="60"/>
        <w:gridCol w:w="60"/>
        <w:gridCol w:w="125"/>
        <w:gridCol w:w="695"/>
        <w:gridCol w:w="60"/>
      </w:tblGrid>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sz w:val="20"/>
              </w:rPr>
              <w:t>North</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center"/>
              <w:rPr/>
            </w:pPr>
            <w:r>
              <w:rPr>
                <w:rStyle w:val="Emphasis"/>
              </w:rPr>
              <w:t> </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2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America (1)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919"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Europe (2)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bottom w:val="single" w:sz="2" w:space="0" w:color="000000"/>
            </w:tcBorders>
            <w:shd w:fill="FFFFFF" w:val="clear"/>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b/>
                <w:sz w:val="20"/>
              </w:rPr>
            </w:pPr>
            <w:r>
              <w:rPr>
                <w:rFonts w:ascii="Times New Roman;Times;serif" w:hAnsi="Times New Roman;Times;serif"/>
                <w:b/>
                <w:sz w:val="20"/>
              </w:rPr>
              <w:t>Other (3)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Total</w:t>
            </w:r>
          </w:p>
        </w:tc>
        <w:tc>
          <w:tcPr>
            <w:tcW w:w="60" w:type="dxa"/>
            <w:tcBorders/>
            <w:shd w:fill="FFFFFF" w:val="clear"/>
            <w:vAlign w:val="center"/>
          </w:tcPr>
          <w:p>
            <w:pPr>
              <w:pStyle w:val="TableContents"/>
              <w:bidi w:val="0"/>
              <w:spacing w:before="0" w:after="283"/>
              <w:jc w:val="left"/>
              <w:rPr/>
            </w:pPr>
            <w:r>
              <w:rPr/>
              <w:t> </w:t>
            </w:r>
          </w:p>
        </w:tc>
      </w:tr>
      <w:tr>
        <w:trPr/>
        <w:tc>
          <w:tcPr>
            <w:tcW w:w="33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Fifty-three weeks ended February 3, 2024</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8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75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62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FFFFFF" w:val="clear"/>
            <w:vAlign w:val="center"/>
          </w:tcPr>
          <w:p>
            <w:pPr>
              <w:pStyle w:val="TableContents"/>
              <w:bidi w:val="0"/>
              <w:spacing w:before="0" w:after="283"/>
              <w:ind w:left="0" w:right="0" w:hanging="0"/>
              <w:jc w:val="left"/>
              <w:rPr/>
            </w:pPr>
            <w:r>
              <w:rPr/>
              <w:t> </w:t>
            </w:r>
          </w:p>
        </w:tc>
        <w:tc>
          <w:tcPr>
            <w:tcW w:w="15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56,141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486,114</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55,262</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Fifty-two weeks ended January 28, 2023</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86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75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62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3380"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Net sales to external customers</w:t>
            </w:r>
          </w:p>
        </w:tc>
        <w:tc>
          <w:tcPr>
            <w:tcW w:w="60"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55,854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467,937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3380"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ind w:left="0" w:right="0" w:hanging="0"/>
              <w:jc w:val="left"/>
              <w:rPr/>
            </w:pPr>
            <w:r>
              <w:rPr/>
              <w:t> </w:t>
            </w:r>
          </w:p>
        </w:tc>
        <w:tc>
          <w:tcPr>
            <w:tcW w:w="8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75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62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50,759</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489" w:right="0" w:hanging="490"/>
        <w:jc w:val="both"/>
        <w:rPr>
          <w:rFonts w:ascii="Times New Roman;Times;serif" w:hAnsi="Times New Roman;Times;serif"/>
          <w:sz w:val="20"/>
        </w:rPr>
      </w:pPr>
      <w:r>
        <w:rPr>
          <w:rFonts w:ascii="Times New Roman;Times;serif" w:hAnsi="Times New Roman;Times;serif"/>
          <w:sz w:val="20"/>
        </w:rPr>
        <w:t>For purposes of this table only:</w:t>
      </w:r>
    </w:p>
    <w:tbl>
      <w:tblPr>
        <w:tblW w:w="7150" w:type="dxa"/>
        <w:jc w:val="left"/>
        <w:tblInd w:w="0" w:type="dxa"/>
        <w:tblLayout w:type="fixed"/>
        <w:tblCellMar>
          <w:top w:w="0" w:type="dxa"/>
          <w:left w:w="0" w:type="dxa"/>
          <w:bottom w:w="0" w:type="dxa"/>
          <w:right w:w="0" w:type="dxa"/>
        </w:tblCellMar>
      </w:tblPr>
      <w:tblGrid>
        <w:gridCol w:w="245"/>
        <w:gridCol w:w="6905"/>
      </w:tblGrid>
      <w:tr>
        <w:trPr/>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690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North America includes corporately-managed stores in the United States and Canada.</w:t>
            </w:r>
          </w:p>
        </w:tc>
      </w:tr>
    </w:tbl>
    <w:tbl>
      <w:tblPr>
        <w:tblW w:w="5785" w:type="dxa"/>
        <w:jc w:val="left"/>
        <w:tblInd w:w="0" w:type="dxa"/>
        <w:tblLayout w:type="fixed"/>
        <w:tblCellMar>
          <w:top w:w="0" w:type="dxa"/>
          <w:left w:w="0" w:type="dxa"/>
          <w:bottom w:w="0" w:type="dxa"/>
          <w:right w:w="0" w:type="dxa"/>
        </w:tblCellMar>
      </w:tblPr>
      <w:tblGrid>
        <w:gridCol w:w="245"/>
        <w:gridCol w:w="5540"/>
      </w:tblGrid>
      <w:tr>
        <w:trPr/>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55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Europe includes corporately-managed stores in the U.K. and Ireland.</w:t>
            </w:r>
          </w:p>
        </w:tc>
      </w:tr>
    </w:tbl>
    <w:tbl>
      <w:tblPr>
        <w:tblW w:w="6235" w:type="dxa"/>
        <w:jc w:val="left"/>
        <w:tblInd w:w="0" w:type="dxa"/>
        <w:tblLayout w:type="fixed"/>
        <w:tblCellMar>
          <w:top w:w="0" w:type="dxa"/>
          <w:left w:w="0" w:type="dxa"/>
          <w:bottom w:w="0" w:type="dxa"/>
          <w:right w:w="0" w:type="dxa"/>
        </w:tblCellMar>
      </w:tblPr>
      <w:tblGrid>
        <w:gridCol w:w="245"/>
        <w:gridCol w:w="5990"/>
      </w:tblGrid>
      <w:tr>
        <w:trPr/>
        <w:tc>
          <w:tcPr>
            <w:tcW w:w="245" w:type="dxa"/>
            <w:tcBorders/>
            <w:vAlign w:val="center"/>
          </w:tcPr>
          <w:p>
            <w:pPr>
              <w:pStyle w:val="TableContents"/>
              <w:bidi w:val="0"/>
              <w:spacing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3</w:t>
            </w:r>
            <w:r>
              <w:rPr>
                <w:rFonts w:ascii="Times New Roman;Times;serif" w:hAnsi="Times New Roman;Times;serif"/>
                <w:sz w:val="20"/>
              </w:rPr>
              <w:t>)</w:t>
            </w:r>
          </w:p>
        </w:tc>
        <w:tc>
          <w:tcPr>
            <w:tcW w:w="59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Other includes franchise businesses outside of North America and Europe.</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w:t>
      </w:r>
      <w:r>
        <w:rPr>
          <w:rStyle w:val="Emphasis"/>
          <w:rFonts w:ascii="Times New Roman;Times;serif" w:hAnsi="Times New Roman;Times;serif"/>
          <w:sz w:val="20"/>
        </w:rPr>
        <w:t>2</w:t>
      </w:r>
      <w:r>
        <w:rPr>
          <w:rFonts w:ascii="Times New Roman;Times;serif" w:hAnsi="Times New Roman;Times;serif"/>
          <w:sz w:val="20"/>
        </w:rPr>
        <w:t xml:space="preserve">) </w:t>
      </w:r>
      <w:r>
        <w:rPr>
          <w:rFonts w:ascii="Times New Roman;Times;serif" w:hAnsi="Times New Roman;Times;serif"/>
          <w:i/>
          <w:sz w:val="20"/>
        </w:rPr>
        <w:t>Financial Statement Schedules</w:t>
      </w:r>
    </w:p>
    <w:p>
      <w:pPr>
        <w:pStyle w:val="TextBody"/>
        <w:bidi w:val="0"/>
        <w:spacing w:before="0" w:after="0"/>
        <w:ind w:left="0" w:right="0" w:hanging="0"/>
        <w:jc w:val="both"/>
        <w:rPr/>
      </w:pPr>
      <w:r>
        <w:rPr/>
        <w:t> </w:t>
      </w:r>
    </w:p>
    <w:p>
      <w:pPr>
        <w:pStyle w:val="TextBody"/>
        <w:bidi w:val="0"/>
        <w:spacing w:before="0" w:after="283"/>
        <w:jc w:val="left"/>
        <w:rPr/>
      </w:pPr>
      <w:r>
        <w:rPr/>
        <w:t xml:space="preserve">  </w:t>
      </w:r>
    </w:p>
    <w:p>
      <w:pPr>
        <w:pStyle w:val="TextBody"/>
        <w:bidi w:val="0"/>
        <w:spacing w:before="0" w:after="0"/>
        <w:ind w:left="0" w:right="0" w:firstLine="490"/>
        <w:jc w:val="left"/>
        <w:rPr>
          <w:rFonts w:ascii="Times New Roman;Times;serif" w:hAnsi="Times New Roman;Times;serif"/>
          <w:b/>
          <w:sz w:val="20"/>
        </w:rPr>
      </w:pPr>
      <w:bookmarkStart w:id="37" w:name="sch2"/>
      <w:bookmarkEnd w:id="37"/>
      <w:r>
        <w:rPr>
          <w:rFonts w:ascii="Times New Roman;Times;serif" w:hAnsi="Times New Roman;Times;serif"/>
          <w:b/>
          <w:sz w:val="20"/>
        </w:rPr>
        <w:t>Schedule II – Valuation and Qualifying Accounts</w:t>
      </w:r>
    </w:p>
    <w:p>
      <w:pPr>
        <w:pStyle w:val="TextBody"/>
        <w:bidi w:val="0"/>
        <w:spacing w:before="0" w:after="0"/>
        <w:ind w:left="0" w:right="0" w:firstLine="490"/>
        <w:jc w:val="left"/>
        <w:rPr/>
      </w:pPr>
      <w:r>
        <w:rPr/>
        <w:t> </w:t>
      </w:r>
    </w:p>
    <w:tbl>
      <w:tblPr>
        <w:tblW w:w="10081" w:type="dxa"/>
        <w:jc w:val="left"/>
        <w:tblInd w:w="0" w:type="dxa"/>
        <w:tblLayout w:type="fixed"/>
        <w:tblCellMar>
          <w:top w:w="0" w:type="dxa"/>
          <w:left w:w="0" w:type="dxa"/>
          <w:bottom w:w="0" w:type="dxa"/>
          <w:right w:w="0" w:type="dxa"/>
        </w:tblCellMar>
      </w:tblPr>
      <w:tblGrid>
        <w:gridCol w:w="3320"/>
        <w:gridCol w:w="60"/>
        <w:gridCol w:w="332"/>
        <w:gridCol w:w="1292"/>
        <w:gridCol w:w="60"/>
        <w:gridCol w:w="60"/>
        <w:gridCol w:w="457"/>
        <w:gridCol w:w="2007"/>
        <w:gridCol w:w="80"/>
        <w:gridCol w:w="60"/>
        <w:gridCol w:w="146"/>
        <w:gridCol w:w="638"/>
        <w:gridCol w:w="80"/>
        <w:gridCol w:w="60"/>
        <w:gridCol w:w="279"/>
        <w:gridCol w:w="1090"/>
        <w:gridCol w:w="60"/>
      </w:tblGrid>
      <w:tr>
        <w:trPr/>
        <w:tc>
          <w:tcPr>
            <w:tcW w:w="33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2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Beginning Balance</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64"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Charged to cost and expenses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4" w:type="dxa"/>
            <w:gridSpan w:val="2"/>
            <w:tcBorders/>
            <w:shd w:fill="FFFFFF" w:val="clear"/>
            <w:vAlign w:val="center"/>
          </w:tcPr>
          <w:p>
            <w:pPr>
              <w:pStyle w:val="TableContents"/>
              <w:bidi w:val="0"/>
              <w:spacing w:lineRule="auto" w:line="288"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6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Ending Balance</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Asset Valuation Allowance</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jc w:val="left"/>
              <w:rPr/>
            </w:pPr>
            <w:r>
              <w:rPr/>
              <w:t> </w:t>
            </w:r>
          </w:p>
        </w:tc>
        <w:tc>
          <w:tcPr>
            <w:tcW w:w="1292"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200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63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jc w:val="left"/>
              <w:rPr/>
            </w:pPr>
            <w:r>
              <w:rPr/>
              <w:t> </w:t>
            </w:r>
          </w:p>
        </w:tc>
        <w:tc>
          <w:tcPr>
            <w:tcW w:w="10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33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2023</w:t>
            </w:r>
          </w:p>
        </w:tc>
        <w:tc>
          <w:tcPr>
            <w:tcW w:w="60" w:type="dxa"/>
            <w:tcBorders/>
            <w:shd w:fill="FFFFFF" w:val="clear"/>
            <w:vAlign w:val="center"/>
          </w:tcPr>
          <w:p>
            <w:pPr>
              <w:pStyle w:val="TableContents"/>
              <w:bidi w:val="0"/>
              <w:spacing w:before="0" w:after="283"/>
              <w:ind w:left="0" w:right="0" w:hanging="0"/>
              <w:jc w:val="left"/>
              <w:rPr/>
            </w:pPr>
            <w:r>
              <w:rPr/>
              <w:t> </w:t>
            </w:r>
          </w:p>
        </w:tc>
        <w:tc>
          <w:tcPr>
            <w:tcW w:w="33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57"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7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w:t>
            </w:r>
          </w:p>
        </w:tc>
        <w:tc>
          <w:tcPr>
            <w:tcW w:w="60" w:type="dxa"/>
            <w:tcBorders/>
            <w:shd w:fill="FFFFFF" w:val="clear"/>
            <w:vAlign w:val="center"/>
          </w:tcPr>
          <w:p>
            <w:pPr>
              <w:pStyle w:val="TableContents"/>
              <w:bidi w:val="0"/>
              <w:spacing w:before="0" w:after="283"/>
              <w:jc w:val="left"/>
              <w:rPr/>
            </w:pPr>
            <w:r>
              <w:rPr/>
              <w:t> </w:t>
            </w:r>
          </w:p>
        </w:tc>
      </w:tr>
      <w:tr>
        <w:trPr/>
        <w:tc>
          <w:tcPr>
            <w:tcW w:w="33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2022</w:t>
            </w:r>
          </w:p>
        </w:tc>
        <w:tc>
          <w:tcPr>
            <w:tcW w:w="60" w:type="dxa"/>
            <w:tcBorders/>
            <w:shd w:fill="CCEEFF" w:val="clear"/>
            <w:vAlign w:val="center"/>
          </w:tcPr>
          <w:p>
            <w:pPr>
              <w:pStyle w:val="TableContents"/>
              <w:bidi w:val="0"/>
              <w:spacing w:before="0" w:after="283"/>
              <w:jc w:val="left"/>
              <w:rPr/>
            </w:pPr>
            <w:r>
              <w:rPr/>
              <w:t> </w:t>
            </w:r>
          </w:p>
        </w:tc>
        <w:tc>
          <w:tcPr>
            <w:tcW w:w="332" w:type="dxa"/>
            <w:tcBorders/>
            <w:shd w:fill="CCEEFF" w:val="clear"/>
            <w:vAlign w:val="center"/>
          </w:tcPr>
          <w:p>
            <w:pPr>
              <w:pStyle w:val="TableContents"/>
              <w:bidi w:val="0"/>
              <w:spacing w:before="0" w:after="283"/>
              <w:ind w:left="0" w:right="0" w:hanging="0"/>
              <w:jc w:val="left"/>
              <w:rPr/>
            </w:pPr>
            <w:r>
              <w:rPr/>
              <w:t> </w:t>
            </w:r>
          </w:p>
        </w:tc>
        <w:tc>
          <w:tcPr>
            <w:tcW w:w="1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ind w:left="0" w:right="0" w:hanging="0"/>
              <w:jc w:val="left"/>
              <w:rPr/>
            </w:pPr>
            <w:r>
              <w:rPr/>
              <w:t> </w:t>
            </w:r>
          </w:p>
        </w:tc>
        <w:tc>
          <w:tcPr>
            <w:tcW w:w="2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63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79" w:type="dxa"/>
            <w:tcBorders/>
            <w:shd w:fill="CCEEFF" w:val="clear"/>
            <w:vAlign w:val="center"/>
          </w:tcPr>
          <w:p>
            <w:pPr>
              <w:pStyle w:val="TableContents"/>
              <w:bidi w:val="0"/>
              <w:spacing w:before="0" w:after="283"/>
              <w:ind w:left="0" w:right="0" w:hanging="0"/>
              <w:jc w:val="left"/>
              <w:rPr/>
            </w:pPr>
            <w:r>
              <w:rPr/>
              <w:t> </w:t>
            </w:r>
          </w:p>
        </w:tc>
        <w:tc>
          <w:tcPr>
            <w:tcW w:w="10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126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Other deferred tax asset valuation allowance represents reserves utilized and the impact of currency translation.</w:t>
      </w:r>
    </w:p>
    <w:p>
      <w:pPr>
        <w:pStyle w:val="TextBody"/>
        <w:bidi w:val="0"/>
        <w:spacing w:before="0" w:after="0"/>
        <w:ind w:left="1260" w:right="0" w:hanging="0"/>
        <w:jc w:val="both"/>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bookmarkStart w:id="38" w:name="exhibitindex"/>
      <w:bookmarkEnd w:id="38"/>
      <w:r>
        <w:rPr>
          <w:rFonts w:ascii="Times New Roman;Times;serif" w:hAnsi="Times New Roman;Times;serif"/>
          <w:sz w:val="20"/>
        </w:rPr>
        <w:t xml:space="preserve">(a)(3) </w:t>
      </w:r>
      <w:r>
        <w:rPr>
          <w:rFonts w:ascii="Times New Roman;Times;serif" w:hAnsi="Times New Roman;Times;serif"/>
          <w:i/>
          <w:sz w:val="20"/>
        </w:rPr>
        <w:t xml:space="preserve">Exhibits. </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The following is a list of exhibits filed as a part of the Annual Report on Form 10-K:</w:t>
      </w:r>
    </w:p>
    <w:p>
      <w:pPr>
        <w:pStyle w:val="TextBody"/>
        <w:bidi w:val="0"/>
        <w:spacing w:before="0" w:after="0"/>
        <w:ind w:left="0" w:right="0" w:firstLine="490"/>
        <w:jc w:val="left"/>
        <w:rPr/>
      </w:pPr>
      <w:r>
        <w:rPr/>
        <w:t> </w:t>
      </w:r>
    </w:p>
    <w:tbl>
      <w:tblPr>
        <w:tblW w:w="10205" w:type="dxa"/>
        <w:jc w:val="left"/>
        <w:tblInd w:w="0" w:type="dxa"/>
        <w:tblLayout w:type="fixed"/>
        <w:tblCellMar>
          <w:top w:w="0" w:type="dxa"/>
          <w:left w:w="0" w:type="dxa"/>
          <w:bottom w:w="28" w:type="dxa"/>
          <w:right w:w="0" w:type="dxa"/>
        </w:tblCellMar>
      </w:tblPr>
      <w:tblGrid>
        <w:gridCol w:w="710"/>
        <w:gridCol w:w="60"/>
        <w:gridCol w:w="9435"/>
      </w:tblGrid>
      <w:tr>
        <w:trPr/>
        <w:tc>
          <w:tcPr>
            <w:tcW w:w="71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Exhibit</w:t>
            </w:r>
          </w:p>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Number</w:t>
            </w:r>
          </w:p>
        </w:tc>
        <w:tc>
          <w:tcPr>
            <w:tcW w:w="60" w:type="dxa"/>
            <w:tcBorders/>
            <w:tcMar>
              <w:bottom w:w="0" w:type="dxa"/>
            </w:tcMar>
            <w:vAlign w:val="center"/>
          </w:tcPr>
          <w:p>
            <w:pPr>
              <w:pStyle w:val="TableContents"/>
              <w:bidi w:val="0"/>
              <w:spacing w:before="0" w:after="0"/>
              <w:ind w:left="0" w:right="0" w:hanging="0"/>
              <w:jc w:val="center"/>
              <w:rPr/>
            </w:pPr>
            <w:r>
              <w:rPr/>
              <w:t> </w:t>
            </w:r>
          </w:p>
        </w:tc>
        <w:tc>
          <w:tcPr>
            <w:tcW w:w="943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Description</w:t>
            </w:r>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Times;serif" w:hAnsi="Times New Roman;Times;serif"/>
                  <w:sz w:val="20"/>
                </w:rPr>
                <w:t>Agreement and Plan of Merger dated April 3, 2000 between Build-A-Bear Workshop, L.L.C. and the Registrant (incorporated by reference from Exhibit 2.1 to our Registration Statement on Form S-1, filed on August 12, 2004, Registration No. 333-118142)</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Times;serif" w:hAnsi="Times New Roman;Times;serif"/>
                  <w:sz w:val="20"/>
                </w:rPr>
                <w:t>Third Amended and Restated Certificate of Incorporation (incorporated by reference from Exhibit 3.1 of our Current Report on Form 8-K, filed on November 8, 2004)</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Times;serif" w:hAnsi="Times New Roman;Times;serif"/>
                  <w:sz w:val="20"/>
                </w:rPr>
                <w:t>Amended and Restated Bylaws, as amended through January 4, 2018 (incorporated by reference from Exhibit 3.1 to our Current Report on Form 8-K, filed on January 4, 2018)</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Times;serif" w:hAnsi="Times New Roman;Times;serif"/>
                  <w:sz w:val="20"/>
                </w:rPr>
                <w:t>Specimen Stock Certificate (incorporated by reference from Exhibit 4.1 to Amendment No. 3 to our Registration Statement on Form S-1, filed on October 1, 2004, Registration No. 333-118142)</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283"/>
              <w:jc w:val="left"/>
              <w:rPr/>
            </w:pPr>
            <w:r>
              <w:rPr/>
              <w:t>4.2</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hyperlink r:id="rId6">
              <w:r>
                <w:rPr>
                  <w:rStyle w:val="InternetLink"/>
                </w:rPr>
                <w:t>Description of Registrant's Securities Registered Pursuant to Section 12 of the Securities Exchange Act of 1934, as amended (incorporated by reference from Exhibit 4.2 to our Annual Report on Form 10-K, filed on April 15, 2021)</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Times;serif" w:hAnsi="Times New Roman;Times;serif"/>
                  <w:sz w:val="20"/>
                </w:rPr>
                <w:t>Build-A-Bear Workshop, Inc. Amended and Restated 2004 Stock Incentive Plan (incorporated by reference from Exhibit 10.1 to our Current Report on Form 8-K, filed on August 1, 2006)</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8">
              <w:r>
                <w:rPr>
                  <w:rStyle w:val="InternetLink"/>
                  <w:rFonts w:ascii="Times New Roman;Times;serif" w:hAnsi="Times New Roman;Times;serif"/>
                  <w:sz w:val="20"/>
                </w:rPr>
                <w:t>Second Amended and Restated Build-A-Bear Workshop, Inc. 2004 Stock Incentive Plan (incorporated by reference from Exhibit 99.1 on our Registration Statement on Form S-8, filed on May 18, 2009)</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9">
              <w:r>
                <w:rPr>
                  <w:rStyle w:val="InternetLink"/>
                  <w:rFonts w:ascii="Times New Roman;Times;serif" w:hAnsi="Times New Roman;Times;serif"/>
                  <w:sz w:val="20"/>
                </w:rPr>
                <w:t>Third Amended and Restated Build-A-Bear Workshop, Inc. 2004 Stock Incentive Plan (incorporated by reference from Exhibit 10.1 on our Current Report on Form 8-K, filed on May 12, 2014)</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0">
              <w:r>
                <w:rPr>
                  <w:rStyle w:val="InternetLink"/>
                  <w:rFonts w:ascii="Times New Roman;Times;serif" w:hAnsi="Times New Roman;Times;serif"/>
                  <w:sz w:val="20"/>
                </w:rPr>
                <w:t>Form of the Restricted Stock and Non-Qualified Stock Option Agreement under the Registrant’s Third Amended and Restated 2004 Stock Incentive Plan (incorporated by reference from Exhibit 10.2 on our Current Report on Form 8-K, filed on May 12, 2014)</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1">
              <w:r>
                <w:rPr>
                  <w:rStyle w:val="InternetLink"/>
                  <w:rFonts w:ascii="Times New Roman;Times;serif" w:hAnsi="Times New Roman;Times;serif"/>
                  <w:sz w:val="20"/>
                </w:rPr>
                <w:t>Form of the Restricted Stock and Non-Qualified Stock Option Agreement under the Registrant’s Third Amended and Restated 2004 Stock Incentive Plan (incorporated by reference from Exhibit 10.1 on our Current Report on Form 8-K, filed on March 20, 2015)</w:t>
              </w:r>
            </w:hyperlink>
          </w:p>
        </w:tc>
      </w:tr>
      <w:tr>
        <w:trPr/>
        <w:tc>
          <w:tcPr>
            <w:tcW w:w="710"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2">
              <w:r>
                <w:rPr>
                  <w:rStyle w:val="InternetLink"/>
                  <w:rFonts w:ascii="Times New Roman;Times;serif" w:hAnsi="Times New Roman;Times;serif"/>
                  <w:sz w:val="20"/>
                </w:rPr>
                <w:t>Form of Restricted Stock and Non-Qualified Stock Option Agreement under the Registrant’s Third Amended and Restated 2004 Stock Incentive Plan (incorporated by reference from Exhibit 10.7 on our Current Report on Form 8-K, filed on March 11, 2016)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10.1.6*</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3">
              <w:r>
                <w:rPr>
                  <w:rStyle w:val="InternetLink"/>
                  <w:rFonts w:ascii="Times New Roman;Times;serif" w:hAnsi="Times New Roman;Times;serif"/>
                  <w:sz w:val="20"/>
                </w:rPr>
                <w:t>Form of Restricted Stock Agreement under the Registrant’s Third Amended and Restated 2004 Stock Incentive Plan (incorporated by reference from Exhibit 10.1.11 on our Annual Report on Form 10-K, for the year ended December 31, 2016)</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4">
              <w:r>
                <w:rPr>
                  <w:rStyle w:val="InternetLink"/>
                  <w:rFonts w:ascii="Times New Roman;Times;serif" w:hAnsi="Times New Roman;Times;serif"/>
                  <w:sz w:val="20"/>
                </w:rPr>
                <w:t>Form of Restricted Stock and Non-Qualified Stock Option Agreement under the Registrant’s Third Amended and Restated 2004 Stock Incentive Plan (incorporated by reference from Exhibit 10.2 on our Current Report on Form 8-K, filed on March 17, 2017)</w:t>
              </w:r>
            </w:hyperlink>
          </w:p>
        </w:tc>
      </w:tr>
      <w:tr>
        <w:trPr/>
        <w:tc>
          <w:tcPr>
            <w:tcW w:w="71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35" w:type="dxa"/>
            <w:tcBorders/>
            <w:tcMar>
              <w:bottom w:w="0" w:type="dxa"/>
            </w:tcMar>
            <w:vAlign w:val="center"/>
          </w:tcPr>
          <w:p>
            <w:pPr>
              <w:pStyle w:val="TableContents"/>
              <w:bidi w:val="0"/>
              <w:spacing w:before="0" w:after="283"/>
              <w:jc w:val="left"/>
              <w:rPr/>
            </w:pPr>
            <w:r>
              <w:rPr/>
              <w:t> </w:t>
            </w:r>
          </w:p>
        </w:tc>
      </w:tr>
      <w:tr>
        <w:trPr/>
        <w:tc>
          <w:tcPr>
            <w:tcW w:w="71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10.1.8*</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435" w:type="dxa"/>
            <w:tcBorders/>
            <w:tcMar>
              <w:bottom w:w="0" w:type="dxa"/>
            </w:tcMar>
            <w:vAlign w:val="center"/>
          </w:tcPr>
          <w:p>
            <w:pPr>
              <w:pStyle w:val="TableContents"/>
              <w:bidi w:val="0"/>
              <w:spacing w:before="0" w:after="0"/>
              <w:ind w:left="0" w:right="0" w:hanging="0"/>
              <w:jc w:val="left"/>
              <w:rPr/>
            </w:pPr>
            <w:hyperlink r:id="rId15">
              <w:r>
                <w:rPr>
                  <w:rStyle w:val="InternetLink"/>
                  <w:rFonts w:ascii="Times New Roman;Times;serif" w:hAnsi="Times New Roman;Times;serif"/>
                  <w:sz w:val="20"/>
                </w:rPr>
                <w:t>Build-A-Bear Workshop, Inc. 2017 Omnibus Incentive Plan (incorporated by reference from Exhibit 10.1 to our Current Report on Form 8-K, filed on May 12, 2017)</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9"/>
        <w:gridCol w:w="60"/>
        <w:gridCol w:w="9366"/>
      </w:tblGrid>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10.1.9*</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r:id="rId16">
              <w:r>
                <w:rPr>
                  <w:rStyle w:val="InternetLink"/>
                  <w:rFonts w:ascii="Times New Roman;Times;serif" w:hAnsi="Times New Roman;Times;serif"/>
                  <w:sz w:val="20"/>
                </w:rPr>
                <w:t>Form of Restricted Stock and Non-Qualified Stock Option Award Agreement under Registrant's 2017 Omnibus Incentive Plan (incorporated by reference from Exhibit 10.2 on our Current Report on Form 8-K, filed on March 21, 2018)</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10.1.10*</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17">
              <w:r>
                <w:rPr>
                  <w:rStyle w:val="InternetLink"/>
                </w:rPr>
                <w:t>Form of Restricted Stock Agreement (incorporated by reference from Exhibit 10.2 on our Current Report on Form 8-K, filed on April 19, 2019)</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10.1.11*</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18">
              <w:r>
                <w:rPr>
                  <w:rStyle w:val="InternetLink"/>
                  <w:u w:val="single"/>
                </w:rPr>
                <w:t>Build-A-Bear Workshop, Inc. 2020 Omnibus Incentive Plan (incorporated by reference from Exhibit 10.1 to our Current Report on Form 8-K, filed on June 12, 2020)</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10.1.12*</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19">
              <w:r>
                <w:rPr>
                  <w:rStyle w:val="InternetLink"/>
                  <w:u w:val="single"/>
                </w:rPr>
                <w:t>Description of Build-A-Bear Workshop, Inc. Three-Year Performance-Based Cash Program for C-Level Employees </w:t>
              </w:r>
            </w:hyperlink>
            <w:hyperlink r:id="rId20">
              <w:r>
                <w:rPr>
                  <w:rStyle w:val="InternetLink"/>
                  <w:u w:val="single"/>
                </w:rPr>
                <w:t>(incorporated by reference from Exhibit 10.2 on our Current Report on Form 8-K, filed on October 9, 2020)</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10.1.13*</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21">
              <w:r>
                <w:rPr>
                  <w:rStyle w:val="InternetLink"/>
                  <w:u w:val="single"/>
                </w:rPr>
                <w:t>Form of Restricted Stock Agreement under the Registrant</w:t>
              </w:r>
            </w:hyperlink>
            <w:hyperlink r:id="rId22">
              <w:r>
                <w:rPr>
                  <w:rStyle w:val="InternetLink"/>
                </w:rPr>
                <w:t>’</w:t>
              </w:r>
            </w:hyperlink>
            <w:hyperlink r:id="rId23">
              <w:r>
                <w:rPr>
                  <w:rStyle w:val="InternetLink"/>
                  <w:u w:val="single"/>
                </w:rPr>
                <w:t>s 2020 Omnibus Incentive Plan </w:t>
              </w:r>
            </w:hyperlink>
            <w:hyperlink r:id="rId24">
              <w:r>
                <w:rPr>
                  <w:rStyle w:val="InternetLink"/>
                  <w:u w:val="single"/>
                </w:rPr>
                <w:t>(incorporated by reference from Exhibit 10.3 on our Current Report on Form 8-K, filed on October 9, 2020)</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10.1.14*</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25">
              <w:r>
                <w:rPr>
                  <w:rStyle w:val="InternetLink"/>
                </w:rPr>
                <w:t>Form of Restricted Stock Agreement under the Registrant’s 2020 Omnibus Incentive Plan (incorporated by reference from Exhibit 10.3 of our Current Report on Form 8-K, filed on April 16, 2021)</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10.1.15*</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26">
              <w:r>
                <w:rPr>
                  <w:rStyle w:val="InternetLink"/>
                </w:rPr>
                <w:t>Description of Build-A-Bear Work, Inc. Cash Bonus Program for C-Level Employees (incorporated by reference from Exhibit 10.1 of our Current Report on Form 8-K, filed on April 15, 2022)</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10.1.16*</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27">
              <w:r>
                <w:rPr>
                  <w:rStyle w:val="InternetLink"/>
                  <w:u w:val="single"/>
                </w:rPr>
                <w:t>Description of Build-A-Bear Work, Inc. Cash Bonus Program for C-Level Employees (incorporated by reference from Exhibit 10.1 of our Current Report on Form 8-K, filed on April 14, 2023)</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10.1.17*</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28">
              <w:r>
                <w:rPr>
                  <w:rStyle w:val="InternetLink"/>
                  <w:u w:val="single"/>
                </w:rPr>
                <w:t>Build-A-Bear Workshop, Inc. Amended and Restated 2020 Omnibus Incentive Plan (incorporated by reference from Exhibit 10.1 of our Current Report on Form 8-K, filed on June 9, 2023)</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10.1.18*</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29">
              <w:r>
                <w:rPr>
                  <w:rStyle w:val="InternetLink"/>
                  <w:u w:val="single"/>
                </w:rPr>
                <w:t>Form of Non-Employee Director Restricted Stock Agreement (incorporated by reference from Exhibit 10.2 of our Current Report on Form 8-K, filed on June 9, 2023)</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10.2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r:id="rId30">
              <w:r>
                <w:rPr>
                  <w:rStyle w:val="InternetLink"/>
                  <w:rFonts w:ascii="Times New Roman;Times;serif" w:hAnsi="Times New Roman;Times;serif"/>
                  <w:sz w:val="20"/>
                </w:rPr>
                <w:t>Nonqualified Deferred Compensation Plan (incorporated by reference from Exhibit 10.42 to our Annual Report on Form 10-K, for the year ended December 30, 2006)</w:t>
              </w:r>
            </w:hyperlink>
          </w:p>
        </w:tc>
      </w:tr>
      <w:tr>
        <w:trPr/>
        <w:tc>
          <w:tcPr>
            <w:tcW w:w="7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10.3*</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r:id="rId31">
              <w:r>
                <w:rPr>
                  <w:rStyle w:val="InternetLink"/>
                  <w:rFonts w:ascii="Times New Roman;Times;serif" w:hAnsi="Times New Roman;Times;serif"/>
                  <w:sz w:val="20"/>
                </w:rPr>
                <w:t>Amended and Restated Employment, Confidentiality and Noncompete Agreement, dated March 7, 2016, by and between Eric Fencl and Build-A-Bear Workshop, Inc. (incorporated by reference from Exhibit 10.1 on our Current Report on Form 8-K, filed on March 11, 2016)</w:t>
              </w:r>
            </w:hyperlink>
          </w:p>
        </w:tc>
      </w:tr>
      <w:tr>
        <w:trPr/>
        <w:tc>
          <w:tcPr>
            <w:tcW w:w="779"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r>
              <w:rPr/>
              <w:t> </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r:id="rId32">
              <w:r>
                <w:rPr>
                  <w:rStyle w:val="InternetLink"/>
                  <w:rFonts w:ascii="Times New Roman;Times;serif" w:hAnsi="Times New Roman;Times;serif"/>
                  <w:sz w:val="20"/>
                </w:rPr>
                <w:t>Amended and Restated Employment, Confidentiality and Noncompete Agreement, dated March 7, 2016, by and between J. Christopher Hurt and Build-A-Bear Workshop, Inc. (incorporated by reference from Exhibit 10.2 on our Current Report on Form 8-K, filed on March 11, 2016)</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10.5*</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r:id="rId33">
              <w:r>
                <w:rPr>
                  <w:rStyle w:val="InternetLink"/>
                  <w:rFonts w:ascii="Times New Roman;Times;serif" w:hAnsi="Times New Roman;Times;serif"/>
                  <w:sz w:val="20"/>
                </w:rPr>
                <w:t>Amended and Restated Employment, Confidentiality and Noncompete Agreement, dated March 7, 2016, by and between Sharon Price John and Build-A-Bear Workshop, Inc. (incorporated by reference from Exhibit 10.3 on our Current Report on Form 8-K, filed on March 11, 2016)</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10.6.1*</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0"/>
              <w:ind w:left="0" w:right="0" w:hanging="0"/>
              <w:jc w:val="left"/>
              <w:rPr/>
            </w:pPr>
            <w:hyperlink r:id="rId34">
              <w:r>
                <w:rPr>
                  <w:rStyle w:val="InternetLink"/>
                  <w:rFonts w:ascii="Times New Roman;Times;serif" w:hAnsi="Times New Roman;Times;serif"/>
                  <w:sz w:val="20"/>
                </w:rPr>
                <w:t>Amended and Restated Employment, Confidentiality and Noncompete Agreement, dated March 7, 2016, by and between Jennifer Kretchmar and Build-A-Bear Workshop, Inc. (incorporated by reference from Exhibit 10.4 on our Current Report on Form 8-K, filed on March 11, 2016)</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10.6.2*</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35">
              <w:r>
                <w:rPr>
                  <w:rStyle w:val="InternetLink"/>
                </w:rPr>
                <w:t>Separation Agreement and General Release by and between Jennifer Kretchmar and Build-A-Bear Workshop, Inc. dated February 4, 2024 (incorporated by reference from Exhibit 10.1 on our Current Report on Form 8-K filed on February 5, 2024)</w:t>
              </w:r>
            </w:hyperlink>
          </w:p>
        </w:tc>
      </w:tr>
      <w:tr>
        <w:trPr/>
        <w:tc>
          <w:tcPr>
            <w:tcW w:w="7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r>
              <w:rPr/>
              <w:t> </w:t>
            </w:r>
          </w:p>
        </w:tc>
      </w:tr>
      <w:tr>
        <w:trPr/>
        <w:tc>
          <w:tcPr>
            <w:tcW w:w="779" w:type="dxa"/>
            <w:tcBorders/>
            <w:vAlign w:val="center"/>
          </w:tcPr>
          <w:p>
            <w:pPr>
              <w:pStyle w:val="TableContents"/>
              <w:bidi w:val="0"/>
              <w:spacing w:before="0" w:after="283"/>
              <w:jc w:val="left"/>
              <w:rPr/>
            </w:pPr>
            <w:r>
              <w:rPr/>
              <w:t>10.6.3*</w:t>
            </w:r>
          </w:p>
        </w:tc>
        <w:tc>
          <w:tcPr>
            <w:tcW w:w="60" w:type="dxa"/>
            <w:tcBorders/>
            <w:vAlign w:val="center"/>
          </w:tcPr>
          <w:p>
            <w:pPr>
              <w:pStyle w:val="TableContents"/>
              <w:bidi w:val="0"/>
              <w:spacing w:before="0" w:after="283"/>
              <w:jc w:val="left"/>
              <w:rPr/>
            </w:pPr>
            <w:r>
              <w:rPr/>
              <w:t> </w:t>
            </w:r>
          </w:p>
        </w:tc>
        <w:tc>
          <w:tcPr>
            <w:tcW w:w="9366" w:type="dxa"/>
            <w:tcBorders/>
            <w:vAlign w:val="center"/>
          </w:tcPr>
          <w:p>
            <w:pPr>
              <w:pStyle w:val="TableContents"/>
              <w:bidi w:val="0"/>
              <w:spacing w:before="0" w:after="283"/>
              <w:jc w:val="left"/>
              <w:rPr/>
            </w:pPr>
            <w:hyperlink r:id="rId36">
              <w:r>
                <w:rPr>
                  <w:rStyle w:val="InternetLink"/>
                </w:rPr>
                <w:t>Consulting Agreement by and between Jennifer Kretchmar and Build-A-Bear Workshop, Inc., dated February 4, 2024 (incorporate by reference from Exhibit 10.2 on our Current Report on Form 8-K filed on February 5, 2024)</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20"/>
        <w:gridCol w:w="60"/>
        <w:gridCol w:w="9525"/>
      </w:tblGrid>
      <w:tr>
        <w:trPr/>
        <w:tc>
          <w:tcPr>
            <w:tcW w:w="620" w:type="dxa"/>
            <w:tcBorders/>
            <w:vAlign w:val="center"/>
          </w:tcPr>
          <w:p>
            <w:pPr>
              <w:pStyle w:val="TableContents"/>
              <w:bidi w:val="0"/>
              <w:spacing w:before="0" w:after="283"/>
              <w:jc w:val="left"/>
              <w:rPr/>
            </w:pPr>
            <w:r>
              <w:rPr/>
              <w:t>10.7*</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37">
              <w:r>
                <w:rPr>
                  <w:rStyle w:val="InternetLink"/>
                </w:rPr>
                <w:t>Amended and Restated Employment, Confidentiality and Noncompete Agreement, dated March 7, 2016, by and between Vojin Todorovic and Build-A-Bear Workshop, Inc. (incorporated by reference from Exhibit 10.5 on our Current Report on Form 8-K, filed on March 11, 2016)</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10.8*</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38">
              <w:r>
                <w:rPr>
                  <w:rStyle w:val="InternetLink"/>
                </w:rPr>
                <w:t>Form of Indemnification Agreement between the Registrant and its directors and executive officers (incorporated by reference from Exhibit 10.11 to our Registration Statement on Form S-1, filed on August 12, 2004, Registration No. 333-118142)</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10.9</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39">
              <w:r>
                <w:rPr>
                  <w:rStyle w:val="InternetLink"/>
                </w:rPr>
                <w:t>Revolving Credit and Security Agreement dated as of August 25, 2020 among the Company and Build-A-Bear Retail Management, Inc., as borrowers; Build-A-Bear Workshop Franchise Holdings, Inc., Build-A-Bear Entertainment, LLC, Build-A-Bear Card Services LLC and Build-A-Bear Workshop Canada, Ltd., as guarantors; the lenders party thereto; and PNC Bank, National Association, as agent for lenders (incorporated by reference from Exhibit 10.1 of our Current Report on Form 8-K, filed on August 31, 2020).</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10.9.1</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40">
              <w:r>
                <w:rPr>
                  <w:rStyle w:val="InternetLink"/>
                </w:rPr>
                <w:t>First Amendment to Revolving Credit and Security Agreement dated as of December 17, 2021 among the Company and Build-A-Bear Retail Management, Inc., as borrowers; Build-A-Bear Workshop Franchise Holdings, Inc., Build-A-Bear Entertainment, LLC, Build-A-Bear Card Services LLC and Build-A-Bear Workshop Canada, Ltd., as guarantors; the lenders party thereto; and PNC Bank, National Association, as agent for lenders (incorporated by reference from Exhibit 10.1 on our Current Report on Form 8-K, filed on December 22, 2021)</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10.9.2</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r:id="rId41">
              <w:r>
                <w:rPr>
                  <w:rStyle w:val="InternetLink"/>
                  <w:u w:val="single"/>
                </w:rPr>
                <w:t>Second Amendment to Revolving Credit and Security Agreement dated as of November 21, 2022 among the Company and Build-A-Bear Retail Management, Inc., as borrowers; Build-A-Bear Workshop Franchise Holdings, Inc., Build-A-Bear Entertainment, LLC, Build-A-Bear Card Services LLC and Build-A-Bear Workshop Canada, Ltd., as guarantors; the lenders party thereto; and PNC Bank, National Association, as agent for lenders (incorporated by reference from Exhibit 10.1 of our Current Report on Form 8-K, filed on November 23, 2022)</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10.10</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r:id="rId42">
              <w:r>
                <w:rPr>
                  <w:rStyle w:val="InternetLink"/>
                  <w:rFonts w:ascii="Times New Roman;Times;serif" w:hAnsi="Times New Roman;Times;serif"/>
                  <w:sz w:val="20"/>
                </w:rPr>
                <w:t>Facility Construction Agreement dated December 22, 2005 between the Registrant and Duke Construction Limited Partnership (incorporated by reference from Exhibit 10.35 to our Annual Report on Form 10-K, for the year ended December 31, 2005)</w:t>
              </w:r>
            </w:hyperlink>
          </w:p>
        </w:tc>
      </w:tr>
      <w:tr>
        <w:trPr/>
        <w:tc>
          <w:tcPr>
            <w:tcW w:w="6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10.11</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r:id="rId43">
              <w:r>
                <w:rPr>
                  <w:rStyle w:val="InternetLink"/>
                  <w:rFonts w:ascii="Times New Roman;Times;serif" w:hAnsi="Times New Roman;Times;serif"/>
                  <w:sz w:val="20"/>
                </w:rPr>
                <w:t>Real Estate Purchase Agreement dated December 19, 2005 between Duke Realty Ohio and the Registrant (incorporated by reference from Exhibit 10.36 to our Annual Report on Form 10-K, for the year ended December 31, 2005)</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w:anchor="note10">
              <w:r>
                <w:rPr>
                  <w:rStyle w:val="InternetLink"/>
                  <w:rFonts w:ascii="Times New Roman;Times;serif" w:hAnsi="Times New Roman;Times;serif"/>
                  <w:sz w:val="20"/>
                </w:rPr>
                <w:t>Statement regarding computation of earnings per share (incorporated by reference from Note 10 of the Registrant’s audited consolidated financial statements included herein)</w:t>
              </w:r>
            </w:hyperlink>
          </w:p>
        </w:tc>
      </w:tr>
      <w:tr>
        <w:trPr/>
        <w:tc>
          <w:tcPr>
            <w:tcW w:w="6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21.1</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w:anchor="ex_651947.htm">
              <w:r>
                <w:rPr>
                  <w:rStyle w:val="InternetLink"/>
                  <w:rFonts w:ascii="Times New Roman;Times;serif" w:hAnsi="Times New Roman;Times;serif"/>
                  <w:sz w:val="20"/>
                </w:rPr>
                <w:t>List of Subsidiaries of the Registrant</w:t>
              </w:r>
            </w:hyperlink>
          </w:p>
        </w:tc>
      </w:tr>
      <w:tr>
        <w:trPr/>
        <w:tc>
          <w:tcPr>
            <w:tcW w:w="6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23.1</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w:anchor="ex_618516.htm">
              <w:r>
                <w:rPr>
                  <w:rStyle w:val="InternetLink"/>
                  <w:rFonts w:ascii="Times New Roman;Times;serif" w:hAnsi="Times New Roman;Times;serif"/>
                  <w:sz w:val="20"/>
                </w:rPr>
                <w:t>Consent of Ernst &amp; Young LLP</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31.1</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w:anchor="ex_618517.htm">
              <w:r>
                <w:rPr>
                  <w:rStyle w:val="InternetLink"/>
                  <w:rFonts w:ascii="Times New Roman;Times;serif" w:hAnsi="Times New Roman;Times;serif"/>
                  <w:sz w:val="20"/>
                </w:rPr>
                <w:t>Rule 13a-14(a)/15d-14(a) certification (pursuant to Section 302 of the Sarbanes-Oxley Act of 2002, executed by the President and Chief Executive Officer)</w:t>
              </w:r>
            </w:hyperlink>
          </w:p>
        </w:tc>
      </w:tr>
      <w:tr>
        <w:trPr/>
        <w:tc>
          <w:tcPr>
            <w:tcW w:w="6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31.2</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w:anchor="ex_618518.htm">
              <w:r>
                <w:rPr>
                  <w:rStyle w:val="InternetLink"/>
                  <w:rFonts w:ascii="Times New Roman;Times;serif" w:hAnsi="Times New Roman;Times;serif"/>
                  <w:sz w:val="20"/>
                </w:rPr>
                <w:t>Rule 13a-14(a)/15d-14(a) certification (pursuant to Section 302 of the Sarbanes-Oxley Act of 2002, executed by the Chief Financial Officer)</w:t>
              </w:r>
            </w:hyperlink>
          </w:p>
        </w:tc>
      </w:tr>
      <w:tr>
        <w:trPr/>
        <w:tc>
          <w:tcPr>
            <w:tcW w:w="6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32.1</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w:anchor="ex_618519.htm">
              <w:r>
                <w:rPr>
                  <w:rStyle w:val="InternetLink"/>
                  <w:rFonts w:ascii="Times New Roman;Times;serif" w:hAnsi="Times New Roman;Times;serif"/>
                  <w:sz w:val="20"/>
                </w:rPr>
                <w:t>Section 1350 Certification (pursuant to Section 906 of the Sarbanes-Oxley Act of 2002, executed by the President and Chief Executive Officer)</w:t>
              </w:r>
            </w:hyperlink>
          </w:p>
        </w:tc>
      </w:tr>
      <w:tr>
        <w:trPr/>
        <w:tc>
          <w:tcPr>
            <w:tcW w:w="6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r>
              <w:rPr/>
              <w:t> </w:t>
            </w:r>
          </w:p>
        </w:tc>
      </w:tr>
      <w:tr>
        <w:trPr/>
        <w:tc>
          <w:tcPr>
            <w:tcW w:w="6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32.2</w:t>
            </w:r>
          </w:p>
        </w:tc>
        <w:tc>
          <w:tcPr>
            <w:tcW w:w="60" w:type="dxa"/>
            <w:tcBorders/>
            <w:vAlign w:val="center"/>
          </w:tcPr>
          <w:p>
            <w:pPr>
              <w:pStyle w:val="TableContents"/>
              <w:bidi w:val="0"/>
              <w:spacing w:before="0" w:after="0"/>
              <w:ind w:left="0" w:right="0" w:hanging="0"/>
              <w:jc w:val="left"/>
              <w:rPr/>
            </w:pPr>
            <w:r>
              <w:rPr/>
              <w:t> </w:t>
            </w:r>
          </w:p>
        </w:tc>
        <w:tc>
          <w:tcPr>
            <w:tcW w:w="9525" w:type="dxa"/>
            <w:tcBorders/>
            <w:vAlign w:val="center"/>
          </w:tcPr>
          <w:p>
            <w:pPr>
              <w:pStyle w:val="TableContents"/>
              <w:bidi w:val="0"/>
              <w:spacing w:before="0" w:after="0"/>
              <w:ind w:left="0" w:right="0" w:hanging="0"/>
              <w:jc w:val="left"/>
              <w:rPr/>
            </w:pPr>
            <w:hyperlink w:anchor="ex_618520.htm">
              <w:r>
                <w:rPr>
                  <w:rStyle w:val="InternetLink"/>
                  <w:rFonts w:ascii="Times New Roman;Times;serif" w:hAnsi="Times New Roman;Times;serif"/>
                  <w:sz w:val="20"/>
                </w:rPr>
                <w:t>Section 1350 Certification (pursuant to Section 906 of the Sarbanes-Oxley Act of 2002, executed by the Chief Financial Officer)</w:t>
              </w:r>
            </w:hyperlink>
          </w:p>
        </w:tc>
      </w:tr>
      <w:tr>
        <w:trPr/>
        <w:tc>
          <w:tcPr>
            <w:tcW w:w="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r>
              <w:rPr/>
              <w:t> </w:t>
            </w:r>
          </w:p>
        </w:tc>
      </w:tr>
      <w:tr>
        <w:trPr/>
        <w:tc>
          <w:tcPr>
            <w:tcW w:w="620" w:type="dxa"/>
            <w:tcBorders/>
            <w:vAlign w:val="center"/>
          </w:tcPr>
          <w:p>
            <w:pPr>
              <w:pStyle w:val="TableContents"/>
              <w:bidi w:val="0"/>
              <w:spacing w:before="0" w:after="283"/>
              <w:jc w:val="left"/>
              <w:rPr/>
            </w:pPr>
            <w:r>
              <w:rPr/>
              <w:t>97.1</w:t>
            </w:r>
          </w:p>
        </w:tc>
        <w:tc>
          <w:tcPr>
            <w:tcW w:w="60" w:type="dxa"/>
            <w:tcBorders/>
            <w:vAlign w:val="center"/>
          </w:tcPr>
          <w:p>
            <w:pPr>
              <w:pStyle w:val="TableContents"/>
              <w:bidi w:val="0"/>
              <w:spacing w:before="0" w:after="283"/>
              <w:jc w:val="left"/>
              <w:rPr/>
            </w:pPr>
            <w:r>
              <w:rPr/>
              <w:t> </w:t>
            </w:r>
          </w:p>
        </w:tc>
        <w:tc>
          <w:tcPr>
            <w:tcW w:w="9525" w:type="dxa"/>
            <w:tcBorders/>
            <w:vAlign w:val="center"/>
          </w:tcPr>
          <w:p>
            <w:pPr>
              <w:pStyle w:val="TableContents"/>
              <w:bidi w:val="0"/>
              <w:spacing w:before="0" w:after="283"/>
              <w:jc w:val="left"/>
              <w:rPr/>
            </w:pPr>
            <w:hyperlink w:anchor="ex_653378.htm">
              <w:r>
                <w:rPr>
                  <w:rStyle w:val="InternetLink"/>
                </w:rPr>
                <w:t>Clawback Policy</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43"/>
        <w:gridCol w:w="60"/>
        <w:gridCol w:w="9502"/>
      </w:tblGrid>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60" w:type="dxa"/>
            <w:tcBorders/>
            <w:vAlign w:val="center"/>
          </w:tcPr>
          <w:p>
            <w:pPr>
              <w:pStyle w:val="TableContents"/>
              <w:bidi w:val="0"/>
              <w:spacing w:before="0" w:after="0"/>
              <w:ind w:left="0" w:right="0" w:hanging="0"/>
              <w:jc w:val="left"/>
              <w:rPr/>
            </w:pPr>
            <w:r>
              <w:rPr/>
              <w:t> </w:t>
            </w:r>
          </w:p>
        </w:tc>
        <w:tc>
          <w:tcPr>
            <w:tcW w:w="9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Instance Document - the instance document does not appear in the Interactive Data File because its XBRL tags are embedded within the Inline XBRL document.</w:t>
            </w:r>
          </w:p>
        </w:tc>
      </w:tr>
      <w:tr>
        <w:trPr/>
        <w:tc>
          <w:tcPr>
            <w:tcW w:w="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60" w:type="dxa"/>
            <w:tcBorders/>
            <w:vAlign w:val="center"/>
          </w:tcPr>
          <w:p>
            <w:pPr>
              <w:pStyle w:val="TableContents"/>
              <w:bidi w:val="0"/>
              <w:spacing w:before="0" w:after="0"/>
              <w:ind w:left="0" w:right="0" w:hanging="0"/>
              <w:jc w:val="left"/>
              <w:rPr/>
            </w:pPr>
            <w:r>
              <w:rPr/>
              <w:t> </w:t>
            </w:r>
          </w:p>
        </w:tc>
        <w:tc>
          <w:tcPr>
            <w:tcW w:w="9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60" w:type="dxa"/>
            <w:tcBorders/>
            <w:vAlign w:val="center"/>
          </w:tcPr>
          <w:p>
            <w:pPr>
              <w:pStyle w:val="TableContents"/>
              <w:bidi w:val="0"/>
              <w:spacing w:before="0" w:after="0"/>
              <w:ind w:left="0" w:right="0" w:hanging="0"/>
              <w:jc w:val="left"/>
              <w:rPr/>
            </w:pPr>
            <w:r>
              <w:rPr/>
              <w:t> </w:t>
            </w:r>
          </w:p>
        </w:tc>
        <w:tc>
          <w:tcPr>
            <w:tcW w:w="9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Calculation Linkbase Document</w:t>
            </w:r>
          </w:p>
        </w:tc>
      </w:tr>
      <w:tr>
        <w:trPr/>
        <w:tc>
          <w:tcPr>
            <w:tcW w:w="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60" w:type="dxa"/>
            <w:tcBorders/>
            <w:vAlign w:val="center"/>
          </w:tcPr>
          <w:p>
            <w:pPr>
              <w:pStyle w:val="TableContents"/>
              <w:bidi w:val="0"/>
              <w:spacing w:before="0" w:after="0"/>
              <w:ind w:left="0" w:right="0" w:hanging="0"/>
              <w:jc w:val="left"/>
              <w:rPr/>
            </w:pPr>
            <w:r>
              <w:rPr/>
              <w:t> </w:t>
            </w:r>
          </w:p>
        </w:tc>
        <w:tc>
          <w:tcPr>
            <w:tcW w:w="9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Definition Linkbase Document</w:t>
            </w:r>
          </w:p>
        </w:tc>
      </w:tr>
      <w:tr>
        <w:trPr/>
        <w:tc>
          <w:tcPr>
            <w:tcW w:w="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60" w:type="dxa"/>
            <w:tcBorders/>
            <w:vAlign w:val="center"/>
          </w:tcPr>
          <w:p>
            <w:pPr>
              <w:pStyle w:val="TableContents"/>
              <w:bidi w:val="0"/>
              <w:spacing w:before="0" w:after="0"/>
              <w:ind w:left="0" w:right="0" w:hanging="0"/>
              <w:jc w:val="left"/>
              <w:rPr/>
            </w:pPr>
            <w:r>
              <w:rPr/>
              <w:t> </w:t>
            </w:r>
          </w:p>
        </w:tc>
        <w:tc>
          <w:tcPr>
            <w:tcW w:w="9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Label Linkbase Document</w:t>
            </w:r>
          </w:p>
        </w:tc>
      </w:tr>
      <w:tr>
        <w:trPr/>
        <w:tc>
          <w:tcPr>
            <w:tcW w:w="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60" w:type="dxa"/>
            <w:tcBorders/>
            <w:vAlign w:val="center"/>
          </w:tcPr>
          <w:p>
            <w:pPr>
              <w:pStyle w:val="TableContents"/>
              <w:bidi w:val="0"/>
              <w:spacing w:before="0" w:after="0"/>
              <w:ind w:left="0" w:right="0" w:hanging="0"/>
              <w:jc w:val="left"/>
              <w:rPr/>
            </w:pPr>
            <w:r>
              <w:rPr/>
              <w:t> </w:t>
            </w:r>
          </w:p>
        </w:tc>
        <w:tc>
          <w:tcPr>
            <w:tcW w:w="95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Inline XBRL Extension Presentation Linkbase Document</w:t>
            </w:r>
          </w:p>
        </w:tc>
      </w:tr>
      <w:tr>
        <w:trPr/>
        <w:tc>
          <w:tcPr>
            <w:tcW w:w="64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 </w:t>
            </w:r>
          </w:p>
        </w:tc>
      </w:tr>
      <w:tr>
        <w:trPr/>
        <w:tc>
          <w:tcPr>
            <w:tcW w:w="643" w:type="dxa"/>
            <w:tcBorders/>
            <w:vAlign w:val="center"/>
          </w:tcPr>
          <w:p>
            <w:pPr>
              <w:pStyle w:val="TableContents"/>
              <w:bidi w:val="0"/>
              <w:spacing w:before="0" w:after="283"/>
              <w:jc w:val="left"/>
              <w:rPr/>
            </w:pPr>
            <w:r>
              <w:rPr/>
              <w:t>104</w:t>
            </w:r>
          </w:p>
        </w:tc>
        <w:tc>
          <w:tcPr>
            <w:tcW w:w="60" w:type="dxa"/>
            <w:tcBorders/>
            <w:vAlign w:val="center"/>
          </w:tcPr>
          <w:p>
            <w:pPr>
              <w:pStyle w:val="TableContents"/>
              <w:bidi w:val="0"/>
              <w:spacing w:before="0" w:after="283"/>
              <w:jc w:val="left"/>
              <w:rPr/>
            </w:pPr>
            <w:r>
              <w:rPr/>
              <w:t> </w:t>
            </w:r>
          </w:p>
        </w:tc>
        <w:tc>
          <w:tcPr>
            <w:tcW w:w="9502" w:type="dxa"/>
            <w:tcBorders/>
            <w:vAlign w:val="center"/>
          </w:tcPr>
          <w:p>
            <w:pPr>
              <w:pStyle w:val="TableContents"/>
              <w:bidi w:val="0"/>
              <w:spacing w:before="0" w:after="283"/>
              <w:jc w:val="left"/>
              <w:rPr/>
            </w:pPr>
            <w:r>
              <w:rPr/>
              <w:t>Cover Page Interactive Data File (formatted as Inline XBRL and contained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 Management contract or compensatory plan or arrangement</w:t>
      </w:r>
    </w:p>
    <w:p>
      <w:pPr>
        <w:pStyle w:val="TextBody"/>
        <w:bidi w:val="0"/>
        <w:spacing w:before="0" w:after="0"/>
        <w:ind w:left="0" w:right="0" w:hanging="0"/>
        <w:jc w:val="left"/>
        <w:rPr/>
      </w:pPr>
      <w:r>
        <w:rPr/>
        <w:t> </w:t>
      </w:r>
    </w:p>
    <w:tbl>
      <w:tblPr>
        <w:tblW w:w="3100" w:type="dxa"/>
        <w:jc w:val="left"/>
        <w:tblInd w:w="0" w:type="dxa"/>
        <w:tblLayout w:type="fixed"/>
        <w:tblCellMar>
          <w:top w:w="0" w:type="dxa"/>
          <w:left w:w="0" w:type="dxa"/>
          <w:bottom w:w="0" w:type="dxa"/>
          <w:right w:w="0" w:type="dxa"/>
        </w:tblCellMar>
      </w:tblPr>
      <w:tblGrid>
        <w:gridCol w:w="980"/>
        <w:gridCol w:w="2120"/>
      </w:tblGrid>
      <w:tr>
        <w:trPr/>
        <w:tc>
          <w:tcPr>
            <w:tcW w:w="98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39" w:name="item_16"/>
            <w:bookmarkEnd w:id="39"/>
            <w:r>
              <w:rPr>
                <w:rFonts w:ascii="Times New Roman;Times;serif" w:hAnsi="Times New Roman;Times;serif"/>
                <w:b/>
                <w:sz w:val="20"/>
              </w:rPr>
              <w:t xml:space="preserve">ITEM 16.   </w:t>
            </w:r>
          </w:p>
        </w:tc>
        <w:tc>
          <w:tcPr>
            <w:tcW w:w="21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FORM 10-K SUMMARY</w:t>
            </w:r>
          </w:p>
        </w:tc>
      </w:tr>
    </w:tbl>
    <w:p>
      <w:pPr>
        <w:pStyle w:val="TextBody"/>
        <w:bidi w:val="0"/>
        <w:spacing w:before="0" w:after="0"/>
        <w:ind w:left="0" w:right="0" w:hanging="0"/>
        <w:jc w:val="left"/>
        <w:rPr/>
      </w:pPr>
      <w:r>
        <w:rPr/>
        <w:t> </w:t>
      </w:r>
    </w:p>
    <w:p>
      <w:pPr>
        <w:pStyle w:val="TextBody"/>
        <w:bidi w:val="0"/>
        <w:spacing w:before="0" w:after="0"/>
        <w:ind w:left="0" w:right="0" w:firstLine="54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firstLine="54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bookmarkStart w:id="40" w:name="signature"/>
      <w:bookmarkEnd w:id="40"/>
      <w:r>
        <w:rPr>
          <w:rFonts w:ascii="Times New Roman;Times;serif" w:hAnsi="Times New Roman;Times;serif"/>
          <w:b/>
          <w:sz w:val="20"/>
        </w:rPr>
        <w:t xml:space="preserve">BUILD-A-BEAR WORKSHOP, INC.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SIGNATURES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7312" w:type="dxa"/>
        <w:jc w:val="left"/>
        <w:tblInd w:w="0" w:type="dxa"/>
        <w:tblLayout w:type="fixed"/>
        <w:tblCellMar>
          <w:top w:w="0" w:type="dxa"/>
          <w:left w:w="0" w:type="dxa"/>
          <w:bottom w:w="0" w:type="dxa"/>
          <w:right w:w="0" w:type="dxa"/>
        </w:tblCellMar>
      </w:tblPr>
      <w:tblGrid>
        <w:gridCol w:w="840"/>
        <w:gridCol w:w="844"/>
        <w:gridCol w:w="60"/>
        <w:gridCol w:w="2489"/>
        <w:gridCol w:w="840"/>
        <w:gridCol w:w="2239"/>
      </w:tblGrid>
      <w:tr>
        <w:trPr/>
        <w:tc>
          <w:tcPr>
            <w:tcW w:w="84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29" w:type="dxa"/>
            <w:gridSpan w:val="2"/>
            <w:tcBorders/>
            <w:vAlign w:val="center"/>
          </w:tcPr>
          <w:p>
            <w:pPr>
              <w:pStyle w:val="TableContents"/>
              <w:bidi w:val="0"/>
              <w:spacing w:before="0" w:after="283"/>
              <w:jc w:val="left"/>
              <w:rPr/>
            </w:pPr>
            <w:r>
              <w:rPr/>
              <w:t> </w:t>
            </w:r>
          </w:p>
        </w:tc>
        <w:tc>
          <w:tcPr>
            <w:tcW w:w="2239" w:type="dxa"/>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68" w:type="dxa"/>
            <w:gridSpan w:val="3"/>
            <w:tcBorders/>
            <w:vAlign w:val="center"/>
          </w:tcPr>
          <w:p>
            <w:pPr>
              <w:pStyle w:val="TableContents"/>
              <w:bidi w:val="0"/>
              <w:spacing w:before="0" w:after="0"/>
              <w:ind w:left="9"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1684" w:type="dxa"/>
            <w:gridSpan w:val="2"/>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5568" w:type="dxa"/>
            <w:gridSpan w:val="3"/>
            <w:tcBorders/>
            <w:vAlign w:val="center"/>
          </w:tcPr>
          <w:p>
            <w:pPr>
              <w:pStyle w:val="TableContents"/>
              <w:bidi w:val="0"/>
              <w:spacing w:before="0" w:after="0"/>
              <w:ind w:left="135" w:right="0" w:hanging="0"/>
              <w:jc w:val="left"/>
              <w:rPr>
                <w:rFonts w:ascii="Times New Roman;Times;serif" w:hAnsi="Times New Roman;Times;serif"/>
                <w:sz w:val="20"/>
              </w:rPr>
            </w:pPr>
            <w:r>
              <w:rPr>
                <w:rFonts w:ascii="Times New Roman;Times;serif" w:hAnsi="Times New Roman;Times;serif"/>
                <w:sz w:val="20"/>
              </w:rPr>
              <w:t>(Registrant)</w:t>
            </w:r>
          </w:p>
        </w:tc>
      </w:tr>
      <w:tr>
        <w:trPr/>
        <w:tc>
          <w:tcPr>
            <w:tcW w:w="1684"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9"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pPr>
            <w:r>
              <w:rPr/>
              <w:t> </w:t>
            </w:r>
          </w:p>
        </w:tc>
      </w:tr>
      <w:tr>
        <w:trPr/>
        <w:tc>
          <w:tcPr>
            <w:tcW w:w="1684"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18, 2024</w:t>
            </w:r>
          </w:p>
        </w:tc>
        <w:tc>
          <w:tcPr>
            <w:tcW w:w="60" w:type="dxa"/>
            <w:tcBorders/>
            <w:vAlign w:val="center"/>
          </w:tcPr>
          <w:p>
            <w:pPr>
              <w:pStyle w:val="TableContents"/>
              <w:bidi w:val="0"/>
              <w:spacing w:before="0" w:after="283"/>
              <w:jc w:val="left"/>
              <w:rPr/>
            </w:pPr>
            <w:r>
              <w:rPr/>
              <w:t> </w:t>
            </w:r>
          </w:p>
        </w:tc>
        <w:tc>
          <w:tcPr>
            <w:tcW w:w="2489"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By:</w:t>
            </w:r>
          </w:p>
        </w:tc>
        <w:tc>
          <w:tcPr>
            <w:tcW w:w="307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Sharon John</w:t>
            </w:r>
          </w:p>
        </w:tc>
      </w:tr>
      <w:tr>
        <w:trPr/>
        <w:tc>
          <w:tcPr>
            <w:tcW w:w="840"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489" w:type="dxa"/>
            <w:tcBorders/>
            <w:vAlign w:val="center"/>
          </w:tcPr>
          <w:p>
            <w:pPr>
              <w:pStyle w:val="TableContents"/>
              <w:bidi w:val="0"/>
              <w:spacing w:before="0" w:after="0"/>
              <w:ind w:left="0" w:right="0" w:hanging="0"/>
              <w:jc w:val="left"/>
              <w:rPr/>
            </w:pPr>
            <w:r>
              <w:rPr/>
              <w:t> </w:t>
            </w:r>
          </w:p>
        </w:tc>
        <w:tc>
          <w:tcPr>
            <w:tcW w:w="307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Sharon John</w:t>
            </w:r>
          </w:p>
        </w:tc>
      </w:tr>
      <w:tr>
        <w:trPr/>
        <w:tc>
          <w:tcPr>
            <w:tcW w:w="840"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489" w:type="dxa"/>
            <w:tcBorders/>
            <w:vAlign w:val="center"/>
          </w:tcPr>
          <w:p>
            <w:pPr>
              <w:pStyle w:val="TableContents"/>
              <w:bidi w:val="0"/>
              <w:spacing w:before="0" w:after="0"/>
              <w:ind w:left="0" w:right="0" w:hanging="0"/>
              <w:jc w:val="left"/>
              <w:rPr/>
            </w:pPr>
            <w:r>
              <w:rPr/>
              <w:t> </w:t>
            </w:r>
          </w:p>
        </w:tc>
        <w:tc>
          <w:tcPr>
            <w:tcW w:w="307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84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9" w:type="dxa"/>
            <w:tcBorders/>
            <w:vAlign w:val="center"/>
          </w:tcPr>
          <w:p>
            <w:pPr>
              <w:pStyle w:val="TableContents"/>
              <w:bidi w:val="0"/>
              <w:spacing w:before="0" w:after="283"/>
              <w:jc w:val="left"/>
              <w:rPr/>
            </w:pPr>
            <w:r>
              <w:rPr/>
              <w:t> </w:t>
            </w:r>
          </w:p>
        </w:tc>
        <w:tc>
          <w:tcPr>
            <w:tcW w:w="3079" w:type="dxa"/>
            <w:gridSpan w:val="2"/>
            <w:tcBorders/>
            <w:vAlign w:val="center"/>
          </w:tcPr>
          <w:p>
            <w:pPr>
              <w:pStyle w:val="TableContents"/>
              <w:bidi w:val="0"/>
              <w:spacing w:before="0" w:after="283"/>
              <w:jc w:val="left"/>
              <w:rPr/>
            </w:pPr>
            <w:r>
              <w:rPr/>
              <w:t> </w:t>
            </w:r>
          </w:p>
        </w:tc>
      </w:tr>
      <w:tr>
        <w:trPr/>
        <w:tc>
          <w:tcPr>
            <w:tcW w:w="840" w:type="dxa"/>
            <w:tcBorders/>
            <w:vAlign w:val="center"/>
          </w:tcPr>
          <w:p>
            <w:pPr>
              <w:pStyle w:val="TableContents"/>
              <w:bidi w:val="0"/>
              <w:spacing w:before="0" w:after="283"/>
              <w:jc w:val="left"/>
              <w:rPr/>
            </w:pPr>
            <w:r>
              <w:rPr/>
              <w:t> </w:t>
            </w:r>
          </w:p>
        </w:tc>
        <w:tc>
          <w:tcPr>
            <w:tcW w:w="844"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489"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By:</w:t>
            </w:r>
          </w:p>
        </w:tc>
        <w:tc>
          <w:tcPr>
            <w:tcW w:w="3079"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840"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489" w:type="dxa"/>
            <w:tcBorders/>
            <w:vAlign w:val="center"/>
          </w:tcPr>
          <w:p>
            <w:pPr>
              <w:pStyle w:val="TableContents"/>
              <w:bidi w:val="0"/>
              <w:spacing w:before="0" w:after="0"/>
              <w:ind w:left="0" w:right="0" w:hanging="0"/>
              <w:jc w:val="left"/>
              <w:rPr/>
            </w:pPr>
            <w:r>
              <w:rPr/>
              <w:t> </w:t>
            </w:r>
          </w:p>
        </w:tc>
        <w:tc>
          <w:tcPr>
            <w:tcW w:w="307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Voin Todorovic</w:t>
            </w:r>
          </w:p>
        </w:tc>
      </w:tr>
      <w:tr>
        <w:trPr/>
        <w:tc>
          <w:tcPr>
            <w:tcW w:w="840" w:type="dxa"/>
            <w:tcBorders/>
            <w:vAlign w:val="center"/>
          </w:tcPr>
          <w:p>
            <w:pPr>
              <w:pStyle w:val="TableContents"/>
              <w:bidi w:val="0"/>
              <w:spacing w:before="0" w:after="0"/>
              <w:ind w:left="0" w:right="0" w:hanging="0"/>
              <w:jc w:val="left"/>
              <w:rPr/>
            </w:pPr>
            <w:r>
              <w:rPr/>
              <w:t> </w:t>
            </w:r>
          </w:p>
        </w:tc>
        <w:tc>
          <w:tcPr>
            <w:tcW w:w="844"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489" w:type="dxa"/>
            <w:tcBorders/>
            <w:vAlign w:val="center"/>
          </w:tcPr>
          <w:p>
            <w:pPr>
              <w:pStyle w:val="TableContents"/>
              <w:bidi w:val="0"/>
              <w:spacing w:before="0" w:after="0"/>
              <w:ind w:left="0" w:right="0" w:hanging="0"/>
              <w:jc w:val="left"/>
              <w:rPr/>
            </w:pPr>
            <w:r>
              <w:rPr/>
              <w:t> </w:t>
            </w:r>
          </w:p>
        </w:tc>
        <w:tc>
          <w:tcPr>
            <w:tcW w:w="3079"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 </w:t>
            </w:r>
          </w:p>
        </w:tc>
      </w:tr>
    </w:tbl>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KNOW ALL PERSONS BY THESE PRESENTS, that each person whose signature appears below constitutes and appoints Sharon John and Voin Todorovic, and each of them, his or her true and lawful attorneys-in-fact and agents, with full power of substitution and resubstitution, for him or her and in his or her name, place and stead, in any and all capacities to sign the Annual Report on Form 10-K of Build-A-Bear Workshop, Inc. (the “Company”) for the fiscal year ended February 3, 2024 and any other documents and instruments incidental thereto, together with any and all amendments and supplements thereto, to enable the Company to comply with the Securities Act of 1934, as amended, and any rules, regulations and requirements of the Securities and Exchange Commission in respect thereof,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or necessary to be done in and about the premises, as fully to all intents and purposes as he might or could do in person, hereby ratifying and confirming all that said attorneys-in-fact and agents and/or any of them, or their or his substitute or substitutes, may lawfully do or cause to be done by virtue hereof.</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 xml:space="preserve">70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Pursuant to the requirements of the Securities Exchange Act of 1934, this Annual Report on Form 10-K has been signed below by the following persons on behalf of the Registrant and in the capacities and on the dates indicated.</w:t>
      </w:r>
    </w:p>
    <w:p>
      <w:pPr>
        <w:pStyle w:val="TextBody"/>
        <w:bidi w:val="0"/>
        <w:spacing w:before="0" w:after="0"/>
        <w:ind w:left="0" w:right="0" w:hanging="0"/>
        <w:jc w:val="left"/>
        <w:rPr/>
      </w:pPr>
      <w:r>
        <w:rPr/>
        <w:t> </w:t>
      </w:r>
    </w:p>
    <w:tbl>
      <w:tblPr>
        <w:tblW w:w="5565" w:type="dxa"/>
        <w:jc w:val="left"/>
        <w:tblInd w:w="0" w:type="dxa"/>
        <w:tblLayout w:type="fixed"/>
        <w:tblCellMar>
          <w:top w:w="0" w:type="dxa"/>
          <w:left w:w="0" w:type="dxa"/>
          <w:bottom w:w="28" w:type="dxa"/>
          <w:right w:w="0" w:type="dxa"/>
        </w:tblCellMar>
      </w:tblPr>
      <w:tblGrid>
        <w:gridCol w:w="1940"/>
        <w:gridCol w:w="60"/>
        <w:gridCol w:w="2090"/>
        <w:gridCol w:w="60"/>
        <w:gridCol w:w="1415"/>
      </w:tblGrid>
      <w:tr>
        <w:trPr/>
        <w:tc>
          <w:tcPr>
            <w:tcW w:w="19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Signatures</w:t>
            </w:r>
          </w:p>
        </w:tc>
        <w:tc>
          <w:tcPr>
            <w:tcW w:w="60" w:type="dxa"/>
            <w:tcBorders/>
            <w:tcMar>
              <w:bottom w:w="0" w:type="dxa"/>
            </w:tcMar>
            <w:vAlign w:val="center"/>
          </w:tcPr>
          <w:p>
            <w:pPr>
              <w:pStyle w:val="TableContents"/>
              <w:bidi w:val="0"/>
              <w:spacing w:before="0" w:after="283"/>
              <w:jc w:val="left"/>
              <w:rPr/>
            </w:pPr>
            <w:r>
              <w:rPr/>
              <w:t> </w:t>
            </w:r>
          </w:p>
        </w:tc>
        <w:tc>
          <w:tcPr>
            <w:tcW w:w="209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w:t>
            </w:r>
          </w:p>
        </w:tc>
        <w:tc>
          <w:tcPr>
            <w:tcW w:w="60" w:type="dxa"/>
            <w:tcBorders/>
            <w:tcMar>
              <w:bottom w:w="0" w:type="dxa"/>
            </w:tcMar>
            <w:vAlign w:val="center"/>
          </w:tcPr>
          <w:p>
            <w:pPr>
              <w:pStyle w:val="TableContents"/>
              <w:bidi w:val="0"/>
              <w:spacing w:before="0" w:after="283"/>
              <w:jc w:val="left"/>
              <w:rPr/>
            </w:pPr>
            <w:r>
              <w:rPr/>
              <w:t> </w:t>
            </w:r>
          </w:p>
        </w:tc>
        <w:tc>
          <w:tcPr>
            <w:tcW w:w="1415"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Date</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Craig Leavitt</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0"/>
              <w:ind w:left="140" w:right="0" w:hanging="0"/>
              <w:jc w:val="left"/>
              <w:rPr>
                <w:rFonts w:ascii="Times New Roman;Times;serif" w:hAnsi="Times New Roman;Times;serif"/>
                <w:sz w:val="20"/>
              </w:rPr>
            </w:pPr>
            <w:r>
              <w:rPr>
                <w:rFonts w:ascii="Times New Roman;Times;serif" w:hAnsi="Times New Roman;Times;serif"/>
                <w:sz w:val="20"/>
              </w:rPr>
              <w:t>Non-Executive Chairman</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0"/>
              <w:ind w:left="139" w:right="0" w:hanging="0"/>
              <w:jc w:val="left"/>
              <w:rPr>
                <w:rFonts w:ascii="Times New Roman;Times;serif" w:hAnsi="Times New Roman;Times;serif"/>
                <w:sz w:val="20"/>
              </w:rPr>
            </w:pPr>
            <w:r>
              <w:rPr>
                <w:rFonts w:ascii="Times New Roman;Times;serif" w:hAnsi="Times New Roman;Times;serif"/>
                <w:sz w:val="20"/>
              </w:rPr>
              <w:t>April 18, 2024</w:t>
            </w:r>
          </w:p>
        </w:tc>
      </w:tr>
      <w:tr>
        <w:trPr/>
        <w:tc>
          <w:tcPr>
            <w:tcW w:w="1940" w:type="dxa"/>
            <w:tcBorders/>
            <w:tcMar>
              <w:bottom w:w="0" w:type="dxa"/>
            </w:tcMar>
            <w:vAlign w:val="center"/>
          </w:tcPr>
          <w:p>
            <w:pPr>
              <w:pStyle w:val="TableContents"/>
              <w:bidi w:val="0"/>
              <w:spacing w:before="0" w:after="283"/>
              <w:jc w:val="left"/>
              <w:rPr/>
            </w:pPr>
            <w:r>
              <w:rPr/>
              <w:t>Craig Leavitt</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George Carrara</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0"/>
              <w:ind w:left="140"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April 18, 2024</w:t>
            </w:r>
          </w:p>
        </w:tc>
      </w:tr>
      <w:tr>
        <w:trPr/>
        <w:tc>
          <w:tcPr>
            <w:tcW w:w="1940"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George Carrara</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Robert L. Dixon, Jr.</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Director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April 18, 2024</w:t>
            </w:r>
          </w:p>
        </w:tc>
      </w:tr>
      <w:tr>
        <w:trPr/>
        <w:tc>
          <w:tcPr>
            <w:tcW w:w="1940" w:type="dxa"/>
            <w:tcBorders/>
            <w:tcMar>
              <w:bottom w:w="0" w:type="dxa"/>
            </w:tcMar>
            <w:vAlign w:val="center"/>
          </w:tcPr>
          <w:p>
            <w:pPr>
              <w:pStyle w:val="TableContents"/>
              <w:bidi w:val="0"/>
              <w:spacing w:before="0" w:after="283"/>
              <w:jc w:val="left"/>
              <w:rPr/>
            </w:pPr>
            <w:r>
              <w:rPr/>
              <w:t>Robert L. Dixon, Jr.</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2" w:space="0" w:color="000000"/>
            </w:tcBorders>
            <w:vAlign w:val="center"/>
          </w:tcPr>
          <w:p>
            <w:pPr>
              <w:pStyle w:val="TableContents"/>
              <w:bidi w:val="0"/>
              <w:spacing w:before="0" w:after="283"/>
              <w:jc w:val="left"/>
              <w:rPr/>
            </w:pPr>
            <w:r>
              <w:rPr/>
              <w:t>/s/ Narayan Iyengar</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20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April 18, 2024</w:t>
            </w:r>
          </w:p>
        </w:tc>
      </w:tr>
      <w:tr>
        <w:trPr/>
        <w:tc>
          <w:tcPr>
            <w:tcW w:w="1940" w:type="dxa"/>
            <w:tcBorders/>
            <w:tcMar>
              <w:bottom w:w="0" w:type="dxa"/>
            </w:tcMar>
            <w:vAlign w:val="center"/>
          </w:tcPr>
          <w:p>
            <w:pPr>
              <w:pStyle w:val="TableContents"/>
              <w:bidi w:val="0"/>
              <w:spacing w:before="0" w:after="283"/>
              <w:jc w:val="left"/>
              <w:rPr/>
            </w:pPr>
            <w:r>
              <w:rPr/>
              <w:t>Narayan Iyengar</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940" w:type="dxa"/>
            <w:tcBorders>
              <w:bottom w:val="single" w:sz="2" w:space="0" w:color="000000"/>
            </w:tcBorders>
            <w:vAlign w:val="center"/>
          </w:tcPr>
          <w:p>
            <w:pPr>
              <w:pStyle w:val="TableContents"/>
              <w:bidi w:val="0"/>
              <w:spacing w:before="0" w:after="283"/>
              <w:jc w:val="left"/>
              <w:rPr/>
            </w:pPr>
            <w:r>
              <w:rPr/>
              <w:t>/s/ Lesli Rotenberg</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Director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April 18, 2024</w:t>
            </w:r>
          </w:p>
        </w:tc>
      </w:tr>
      <w:tr>
        <w:trPr/>
        <w:tc>
          <w:tcPr>
            <w:tcW w:w="1940" w:type="dxa"/>
            <w:tcBorders/>
            <w:tcMar>
              <w:bottom w:w="0" w:type="dxa"/>
            </w:tcMar>
            <w:vAlign w:val="center"/>
          </w:tcPr>
          <w:p>
            <w:pPr>
              <w:pStyle w:val="TableContents"/>
              <w:bidi w:val="0"/>
              <w:spacing w:before="0" w:after="283"/>
              <w:jc w:val="left"/>
              <w:rPr/>
            </w:pPr>
            <w:r>
              <w:rPr/>
              <w:t>Lesli Rotenberg</w:t>
            </w:r>
          </w:p>
        </w:tc>
        <w:tc>
          <w:tcPr>
            <w:tcW w:w="60" w:type="dxa"/>
            <w:tcBorders/>
            <w:tcMar>
              <w:bottom w:w="0" w:type="dxa"/>
            </w:tcMar>
            <w:vAlign w:val="center"/>
          </w:tcPr>
          <w:p>
            <w:pPr>
              <w:pStyle w:val="TableContents"/>
              <w:bidi w:val="0"/>
              <w:spacing w:before="0" w:after="283"/>
              <w:jc w:val="left"/>
              <w:rPr/>
            </w:pPr>
            <w:r>
              <w:rPr/>
              <w:t> </w:t>
            </w:r>
          </w:p>
        </w:tc>
        <w:tc>
          <w:tcPr>
            <w:tcW w:w="209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350" w:type="dxa"/>
        <w:jc w:val="left"/>
        <w:tblInd w:w="0" w:type="dxa"/>
        <w:tblLayout w:type="fixed"/>
        <w:tblCellMar>
          <w:top w:w="0" w:type="dxa"/>
          <w:left w:w="0" w:type="dxa"/>
          <w:bottom w:w="28" w:type="dxa"/>
          <w:right w:w="0" w:type="dxa"/>
        </w:tblCellMar>
      </w:tblPr>
      <w:tblGrid>
        <w:gridCol w:w="1565"/>
        <w:gridCol w:w="60"/>
        <w:gridCol w:w="4250"/>
        <w:gridCol w:w="60"/>
        <w:gridCol w:w="1415"/>
      </w:tblGrid>
      <w:tr>
        <w:trPr/>
        <w:tc>
          <w:tcPr>
            <w:tcW w:w="15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Sharon John</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Director and President and Chief Executive Officer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April 18, 2024</w:t>
            </w:r>
          </w:p>
        </w:tc>
      </w:tr>
      <w:tr>
        <w:trPr/>
        <w:tc>
          <w:tcPr>
            <w:tcW w:w="1565" w:type="dxa"/>
            <w:tcBorders/>
            <w:tcMar>
              <w:bottom w:w="0" w:type="dxa"/>
            </w:tcMar>
            <w:vAlign w:val="center"/>
          </w:tcPr>
          <w:p>
            <w:pPr>
              <w:pStyle w:val="TableContents"/>
              <w:bidi w:val="0"/>
              <w:spacing w:before="0" w:after="283"/>
              <w:jc w:val="left"/>
              <w:rPr/>
            </w:pPr>
            <w:r>
              <w:rPr/>
              <w:t>Sharon John</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(Principal Executive Officer)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56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r>
        <w:trPr/>
        <w:tc>
          <w:tcPr>
            <w:tcW w:w="15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0"/>
              <w:ind w:left="144"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April 18, 2024</w:t>
            </w:r>
          </w:p>
        </w:tc>
      </w:tr>
      <w:tr>
        <w:trPr/>
        <w:tc>
          <w:tcPr>
            <w:tcW w:w="1565" w:type="dxa"/>
            <w:tcBorders/>
            <w:tcMar>
              <w:bottom w:w="0" w:type="dxa"/>
            </w:tcMar>
            <w:vAlign w:val="center"/>
          </w:tcPr>
          <w:p>
            <w:pPr>
              <w:pStyle w:val="TableContents"/>
              <w:bidi w:val="0"/>
              <w:spacing w:before="0" w:after="283"/>
              <w:jc w:val="left"/>
              <w:rPr/>
            </w:pPr>
            <w:r>
              <w:rPr/>
              <w:t>Voin Todorovic</w:t>
            </w:r>
          </w:p>
        </w:tc>
        <w:tc>
          <w:tcPr>
            <w:tcW w:w="60" w:type="dxa"/>
            <w:tcBorders/>
            <w:tcMar>
              <w:bottom w:w="0" w:type="dxa"/>
            </w:tcMar>
            <w:vAlign w:val="center"/>
          </w:tcPr>
          <w:p>
            <w:pPr>
              <w:pStyle w:val="TableContents"/>
              <w:bidi w:val="0"/>
              <w:spacing w:before="0" w:after="283"/>
              <w:jc w:val="left"/>
              <w:rPr/>
            </w:pPr>
            <w:r>
              <w:rPr/>
              <w:t> </w:t>
            </w:r>
          </w:p>
        </w:tc>
        <w:tc>
          <w:tcPr>
            <w:tcW w:w="4250" w:type="dxa"/>
            <w:tcBorders/>
            <w:tcMar>
              <w:bottom w:w="0" w:type="dxa"/>
            </w:tcMar>
            <w:vAlign w:val="center"/>
          </w:tcPr>
          <w:p>
            <w:pPr>
              <w:pStyle w:val="TableContents"/>
              <w:bidi w:val="0"/>
              <w:spacing w:before="0" w:after="283"/>
              <w:jc w:val="left"/>
              <w:rPr/>
            </w:pPr>
            <w:r>
              <w:rPr/>
              <w:t>(Principal Financial and Accounting Officer)</w:t>
            </w:r>
          </w:p>
        </w:tc>
        <w:tc>
          <w:tcPr>
            <w:tcW w:w="60" w:type="dxa"/>
            <w:tcBorders/>
            <w:tcMar>
              <w:bottom w:w="0" w:type="dxa"/>
            </w:tcMar>
            <w:vAlign w:val="center"/>
          </w:tcPr>
          <w:p>
            <w:pPr>
              <w:pStyle w:val="TableContents"/>
              <w:bidi w:val="0"/>
              <w:spacing w:before="0" w:after="283"/>
              <w:jc w:val="left"/>
              <w:rPr/>
            </w:pPr>
            <w:r>
              <w:rPr/>
              <w:t> </w:t>
            </w:r>
          </w:p>
        </w:tc>
        <w:tc>
          <w:tcPr>
            <w:tcW w:w="1415"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jc w:val="center"/>
        <w:rPr>
          <w:rFonts w:ascii="Times New Roman" w:hAnsi="Times New Roman"/>
          <w:sz w:val="20"/>
        </w:rPr>
      </w:pPr>
      <w:r>
        <w:rPr>
          <w:rFonts w:ascii="Times New Roman" w:hAnsi="Times New Roman"/>
          <w:sz w:val="20"/>
        </w:rPr>
        <w:t xml:space="preserve">71 </w:t>
      </w:r>
    </w:p>
    <w:p>
      <w:pPr>
        <w:pStyle w:val="TextBody"/>
        <w:bidi w:val="0"/>
        <w:spacing w:before="0" w:after="0"/>
        <w:ind w:left="0" w:right="0" w:hanging="0"/>
        <w:jc w:val="right"/>
        <w:rPr>
          <w:rFonts w:ascii="Times New Roman" w:hAnsi="Times New Roman"/>
          <w:caps w:val="false"/>
          <w:smallCaps w:val="false"/>
          <w:sz w:val="20"/>
        </w:rPr>
      </w:pPr>
      <w:bookmarkStart w:id="41" w:name="ex_651947.htm"/>
      <w:bookmarkStart w:id="42" w:name="ksex_651947"/>
      <w:bookmarkEnd w:id="41"/>
      <w:bookmarkEnd w:id="42"/>
      <w:r>
        <w:rPr>
          <w:rFonts w:ascii="Times New Roman" w:hAnsi="Times New Roman"/>
          <w:caps w:val="false"/>
          <w:smallCaps w:val="false"/>
          <w:sz w:val="20"/>
        </w:rPr>
        <w:t>Exhibit 21.1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Subsidiaries of Build-A-Bear Workshop,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4025"/>
        <w:gridCol w:w="3545"/>
      </w:tblGrid>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Subsidiary:</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Jurisdiction of Incorporation/Organization:</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Entertainment, LLC</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Missouri</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Workshop Franchise Holdings, Inc.</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Workshop Canada Ltd.</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New Brunswick</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Retail Management, Inc.</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Delaware</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UK Holdings Limited</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Workshop UK Limited</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Trading (Shanghai) Co., Ltd.</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r>
      <w:tr>
        <w:trPr/>
        <w:tc>
          <w:tcPr>
            <w:tcW w:w="4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Card Services, LLC</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Virginia</w:t>
            </w:r>
          </w:p>
        </w:tc>
      </w:tr>
      <w:tr>
        <w:trPr/>
        <w:tc>
          <w:tcPr>
            <w:tcW w:w="4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Build-A-Bear Development, LLP</w:t>
            </w:r>
          </w:p>
          <w:p>
            <w:pPr>
              <w:pStyle w:val="TableContents"/>
              <w:bidi w:val="0"/>
              <w:spacing w:before="0" w:after="0"/>
              <w:ind w:left="0" w:right="0" w:hanging="0"/>
              <w:jc w:val="left"/>
              <w:rPr>
                <w:caps w:val="false"/>
                <w:smallCaps w:val="false"/>
              </w:rPr>
            </w:pPr>
            <w:r>
              <w:rPr>
                <w:caps w:val="false"/>
                <w:smallCaps w:val="false"/>
              </w:rPr>
              <w:t> </w:t>
            </w:r>
          </w:p>
        </w:tc>
        <w:tc>
          <w:tcPr>
            <w:tcW w:w="35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Kingdom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3" w:name="ex_618516.htm"/>
      <w:bookmarkStart w:id="44" w:name="ksex_618516"/>
      <w:bookmarkEnd w:id="43"/>
      <w:bookmarkEnd w:id="44"/>
      <w:r>
        <w:rPr>
          <w:rFonts w:ascii="Times New Roman;Times;serif" w:hAnsi="Times New Roman;Times;serif"/>
          <w:b/>
          <w:sz w:val="20"/>
        </w:rPr>
        <w:t>Exhibit 23.1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consent to the incorporation by reference in the following Registration Statements: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216"/>
        <w:gridCol w:w="9929"/>
      </w:tblGrid>
      <w:tr>
        <w:trPr/>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99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Statement (Form S-8 No. 333-120012) pertaining to the Build-A-Bear Workshop, Inc. 2000 Stock Option Plan, 2002 Stock Incentive Plan, 2004 Stock Incentive Plan and 2004 Associate Stock Purchase Plan;</w:t>
            </w:r>
          </w:p>
        </w:tc>
      </w:tr>
    </w:tbl>
    <w:tbl>
      <w:tblPr>
        <w:tblW w:w="10205" w:type="dxa"/>
        <w:jc w:val="left"/>
        <w:tblInd w:w="0" w:type="dxa"/>
        <w:tblLayout w:type="fixed"/>
        <w:tblCellMar>
          <w:top w:w="0" w:type="dxa"/>
          <w:left w:w="0" w:type="dxa"/>
          <w:bottom w:w="0" w:type="dxa"/>
          <w:right w:w="0" w:type="dxa"/>
        </w:tblCellMar>
      </w:tblPr>
      <w:tblGrid>
        <w:gridCol w:w="60"/>
        <w:gridCol w:w="228"/>
        <w:gridCol w:w="9917"/>
      </w:tblGrid>
      <w:tr>
        <w:trPr/>
        <w:tc>
          <w:tcPr>
            <w:tcW w:w="60" w:type="dxa"/>
            <w:tcBorders/>
            <w:vAlign w:val="center"/>
          </w:tcPr>
          <w:p>
            <w:pPr>
              <w:pStyle w:val="TableContents"/>
              <w:bidi w:val="0"/>
              <w:spacing w:before="0" w:after="283"/>
              <w:jc w:val="left"/>
              <w:rPr/>
            </w:pPr>
            <w:r>
              <w:rPr/>
              <w:t> </w:t>
            </w:r>
          </w:p>
        </w:tc>
        <w:tc>
          <w:tcPr>
            <w:tcW w:w="22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991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Statement (Form S-8 No. 333-159313) pertaining to the Build-A-Bear Workshop, Inc. Second Amended and Restated 2004 Stock Incentive Plan; and</w:t>
            </w:r>
          </w:p>
        </w:tc>
      </w:tr>
    </w:tbl>
    <w:tbl>
      <w:tblPr>
        <w:tblW w:w="10205" w:type="dxa"/>
        <w:jc w:val="left"/>
        <w:tblInd w:w="0" w:type="dxa"/>
        <w:tblLayout w:type="fixed"/>
        <w:tblCellMar>
          <w:top w:w="0" w:type="dxa"/>
          <w:left w:w="0" w:type="dxa"/>
          <w:bottom w:w="0" w:type="dxa"/>
          <w:right w:w="0" w:type="dxa"/>
        </w:tblCellMar>
      </w:tblPr>
      <w:tblGrid>
        <w:gridCol w:w="60"/>
        <w:gridCol w:w="230"/>
        <w:gridCol w:w="9915"/>
      </w:tblGrid>
      <w:tr>
        <w:trPr/>
        <w:tc>
          <w:tcPr>
            <w:tcW w:w="6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991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Statement (Form S-8 No. 333-195925) pertaining to the Build-A-Bear Workshop, Inc. Third Amended and Restated 2004 Stock Incentive Plan;</w:t>
            </w:r>
          </w:p>
        </w:tc>
      </w:tr>
    </w:tbl>
    <w:tbl>
      <w:tblPr>
        <w:tblW w:w="10205" w:type="dxa"/>
        <w:jc w:val="left"/>
        <w:tblInd w:w="0" w:type="dxa"/>
        <w:tblLayout w:type="fixed"/>
        <w:tblCellMar>
          <w:top w:w="0" w:type="dxa"/>
          <w:left w:w="0" w:type="dxa"/>
          <w:bottom w:w="0" w:type="dxa"/>
          <w:right w:w="0" w:type="dxa"/>
        </w:tblCellMar>
      </w:tblPr>
      <w:tblGrid>
        <w:gridCol w:w="60"/>
        <w:gridCol w:w="263"/>
        <w:gridCol w:w="9882"/>
      </w:tblGrid>
      <w:tr>
        <w:trPr/>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988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Registration Statement (Form S-8 No. 333-218034) pertaining to the Build-A-Bear Workshop, Inc. 2017 Omnibus Incentive Plan;</w:t>
            </w:r>
          </w:p>
        </w:tc>
      </w:tr>
      <w:tr>
        <w:trPr/>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(5)</w:t>
            </w:r>
          </w:p>
        </w:tc>
        <w:tc>
          <w:tcPr>
            <w:tcW w:w="9882" w:type="dxa"/>
            <w:tcBorders/>
            <w:vAlign w:val="center"/>
          </w:tcPr>
          <w:p>
            <w:pPr>
              <w:pStyle w:val="TableContents"/>
              <w:bidi w:val="0"/>
              <w:spacing w:before="0" w:after="283"/>
              <w:jc w:val="left"/>
              <w:rPr/>
            </w:pPr>
            <w:r>
              <w:rPr/>
              <w:t>Registration Statement (Form S-8 No. 333-248716) pertaining to the Build-A-Bear Workshop, Inc 2020 Omnibus Incentive Plan;</w:t>
            </w:r>
          </w:p>
        </w:tc>
      </w:tr>
      <w:tr>
        <w:trPr/>
        <w:tc>
          <w:tcPr>
            <w:tcW w:w="60"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(6)</w:t>
            </w:r>
          </w:p>
        </w:tc>
        <w:tc>
          <w:tcPr>
            <w:tcW w:w="9882" w:type="dxa"/>
            <w:tcBorders/>
            <w:vAlign w:val="center"/>
          </w:tcPr>
          <w:p>
            <w:pPr>
              <w:pStyle w:val="TableContents"/>
              <w:bidi w:val="0"/>
              <w:spacing w:before="0" w:after="283"/>
              <w:jc w:val="left"/>
              <w:rPr/>
            </w:pPr>
            <w:r>
              <w:rPr/>
              <w:t>Registration Statement (Form S-8 No. 333-274386) pertaining to the Build-A-Bear Workshop, Inc. Amended and Restated 2020 Omnibus Incentive Plan;</w:t>
            </w:r>
          </w:p>
        </w:tc>
      </w:tr>
    </w:tbl>
    <w:p>
      <w:pPr>
        <w:pStyle w:val="TextBody"/>
        <w:bidi w:val="0"/>
        <w:spacing w:before="0" w:after="0"/>
        <w:ind w:left="0" w:right="0" w:hanging="0"/>
        <w:jc w:val="both"/>
        <w:rPr/>
      </w:pPr>
      <w:r>
        <w:rPr/>
        <w:t> </w:t>
      </w:r>
    </w:p>
    <w:p>
      <w:pPr>
        <w:pStyle w:val="TextBody"/>
        <w:bidi w:val="0"/>
        <w:spacing w:before="0" w:after="0"/>
        <w:ind w:left="144" w:right="144" w:hanging="0"/>
        <w:jc w:val="both"/>
        <w:rPr>
          <w:rFonts w:ascii="Times New Roman;Times;serif" w:hAnsi="Times New Roman;Times;serif"/>
          <w:sz w:val="20"/>
        </w:rPr>
      </w:pPr>
      <w:r>
        <w:rPr>
          <w:rFonts w:ascii="Times New Roman;Times;serif" w:hAnsi="Times New Roman;Times;serif"/>
          <w:sz w:val="20"/>
        </w:rPr>
        <w:t>of our reports dated April 18, 2024, with respect to the consolidated financial statements of Build-A-Bear Workshop, Inc. and Subsidiaries and the effectiveness of internal control over financial reporting of Build-A-Bear Workshop, Inc. and Subsidiaries, included in this Annual Report (Form 10-K) for the year-ended February 2, 2024, and the financial statement schedule of Build-A-Bear Workshop, Inc. and Subsidiaries included herein.</w:t>
      </w:r>
    </w:p>
    <w:p>
      <w:pPr>
        <w:pStyle w:val="TextBody"/>
        <w:bidi w:val="0"/>
        <w:spacing w:before="0" w:after="0"/>
        <w:ind w:left="0" w:right="0" w:hanging="0"/>
        <w:jc w:val="left"/>
        <w:rPr/>
      </w:pPr>
      <w:r>
        <w:rPr/>
        <w:t> </w:t>
      </w:r>
    </w:p>
    <w:tbl>
      <w:tblPr>
        <w:tblW w:w="1865" w:type="dxa"/>
        <w:jc w:val="left"/>
        <w:tblInd w:w="0" w:type="dxa"/>
        <w:tblLayout w:type="fixed"/>
        <w:tblCellMar>
          <w:top w:w="0" w:type="dxa"/>
          <w:left w:w="0" w:type="dxa"/>
          <w:bottom w:w="0" w:type="dxa"/>
          <w:right w:w="0" w:type="dxa"/>
        </w:tblCellMar>
      </w:tblPr>
      <w:tblGrid>
        <w:gridCol w:w="1865"/>
      </w:tblGrid>
      <w:tr>
        <w:trPr/>
        <w:tc>
          <w:tcPr>
            <w:tcW w:w="186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/s/ Ernst &amp; Young LLP</w:t>
            </w:r>
          </w:p>
        </w:tc>
      </w:tr>
      <w:tr>
        <w:trPr/>
        <w:tc>
          <w:tcPr>
            <w:tcW w:w="1865" w:type="dxa"/>
            <w:tcBorders/>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St. Louis, Missouri</w:t>
            </w:r>
          </w:p>
        </w:tc>
      </w:tr>
      <w:tr>
        <w:trPr/>
        <w:tc>
          <w:tcPr>
            <w:tcW w:w="186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18, 2024</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5" w:name="ex_618517.htm"/>
      <w:bookmarkStart w:id="46" w:name="ksex_618517"/>
      <w:bookmarkEnd w:id="45"/>
      <w:bookmarkEnd w:id="46"/>
      <w:r>
        <w:rPr>
          <w:rFonts w:ascii="Times New Roman;Times;serif" w:hAnsi="Times New Roman;Times;serif"/>
          <w:b/>
          <w:sz w:val="20"/>
        </w:rPr>
        <w:t xml:space="preserve">Exhibit 31.1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Executive Officer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Sharon John, certify that:</w:t>
      </w:r>
    </w:p>
    <w:p>
      <w:pPr>
        <w:pStyle w:val="TextBody"/>
        <w:bidi w:val="0"/>
        <w:spacing w:before="0" w:after="0"/>
        <w:ind w:left="0" w:right="0" w:hanging="0"/>
        <w:jc w:val="both"/>
        <w:rPr/>
      </w:pPr>
      <w:r>
        <w:rPr/>
        <w:t> </w:t>
      </w:r>
    </w:p>
    <w:tbl>
      <w:tblPr>
        <w:tblW w:w="6970" w:type="dxa"/>
        <w:jc w:val="left"/>
        <w:tblInd w:w="0" w:type="dxa"/>
        <w:tblLayout w:type="fixed"/>
        <w:tblCellMar>
          <w:top w:w="0" w:type="dxa"/>
          <w:left w:w="0" w:type="dxa"/>
          <w:bottom w:w="0" w:type="dxa"/>
          <w:right w:w="0" w:type="dxa"/>
        </w:tblCellMar>
      </w:tblPr>
      <w:tblGrid>
        <w:gridCol w:w="60"/>
        <w:gridCol w:w="170"/>
        <w:gridCol w:w="67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7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Annual Report on Form 10-K of Build-A-Bear Workshop, Inc.;</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tbl>
      <w:tblPr>
        <w:tblW w:w="4345" w:type="dxa"/>
        <w:jc w:val="left"/>
        <w:tblInd w:w="0" w:type="dxa"/>
        <w:tblLayout w:type="fixed"/>
        <w:tblCellMar>
          <w:top w:w="0" w:type="dxa"/>
          <w:left w:w="0" w:type="dxa"/>
          <w:bottom w:w="0" w:type="dxa"/>
          <w:right w:w="0" w:type="dxa"/>
        </w:tblCellMar>
      </w:tblPr>
      <w:tblGrid>
        <w:gridCol w:w="1205"/>
        <w:gridCol w:w="60"/>
        <w:gridCol w:w="3080"/>
      </w:tblGrid>
      <w:tr>
        <w:trPr/>
        <w:tc>
          <w:tcPr>
            <w:tcW w:w="12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18, 2024</w:t>
            </w:r>
          </w:p>
        </w:tc>
        <w:tc>
          <w:tcPr>
            <w:tcW w:w="6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/s/ Sharon John</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Sharon John</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7" w:name="ex_618518.htm"/>
      <w:bookmarkStart w:id="48" w:name="ksex_618518"/>
      <w:bookmarkEnd w:id="47"/>
      <w:bookmarkEnd w:id="48"/>
      <w:r>
        <w:rPr>
          <w:rFonts w:ascii="Times New Roman;Times;serif" w:hAnsi="Times New Roman;Times;serif"/>
          <w:b/>
          <w:sz w:val="20"/>
        </w:rPr>
        <w:t xml:space="preserve">Exhibit 31.2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of Principal Financial Officer</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Voin Todorovic, certify that:</w:t>
      </w:r>
    </w:p>
    <w:p>
      <w:pPr>
        <w:pStyle w:val="TextBody"/>
        <w:bidi w:val="0"/>
        <w:spacing w:before="0" w:after="0"/>
        <w:ind w:left="0" w:right="0" w:hanging="0"/>
        <w:jc w:val="both"/>
        <w:rPr/>
      </w:pPr>
      <w:r>
        <w:rPr/>
        <w:t> </w:t>
      </w:r>
    </w:p>
    <w:tbl>
      <w:tblPr>
        <w:tblW w:w="6970" w:type="dxa"/>
        <w:jc w:val="left"/>
        <w:tblInd w:w="0" w:type="dxa"/>
        <w:tblLayout w:type="fixed"/>
        <w:tblCellMar>
          <w:top w:w="0" w:type="dxa"/>
          <w:left w:w="0" w:type="dxa"/>
          <w:bottom w:w="0" w:type="dxa"/>
          <w:right w:w="0" w:type="dxa"/>
        </w:tblCellMar>
      </w:tblPr>
      <w:tblGrid>
        <w:gridCol w:w="60"/>
        <w:gridCol w:w="170"/>
        <w:gridCol w:w="67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74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Annual Report on Form 10-K of Build-A-Bear Workshop, Inc.;</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both"/>
        <w:rPr/>
      </w:pPr>
      <w:r>
        <w:rPr/>
        <w:t> </w:t>
      </w:r>
    </w:p>
    <w:p>
      <w:pPr>
        <w:pStyle w:val="TextBody"/>
        <w:bidi w:val="0"/>
        <w:spacing w:before="0" w:after="0"/>
        <w:ind w:left="1591" w:right="0" w:hanging="0"/>
        <w:jc w:val="both"/>
        <w:rPr>
          <w:rFonts w:ascii="Times New Roman;Times;serif" w:hAnsi="Times New Roman;Times;serif"/>
          <w:sz w:val="20"/>
        </w:rPr>
      </w:pPr>
      <w:r>
        <w:rPr>
          <w:rFonts w:ascii="Times New Roman;Times;serif" w:hAnsi="Times New Roman;Times;serif"/>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t> </w:t>
      </w:r>
    </w:p>
    <w:tbl>
      <w:tblPr>
        <w:tblW w:w="3655" w:type="dxa"/>
        <w:jc w:val="left"/>
        <w:tblInd w:w="0" w:type="dxa"/>
        <w:tblLayout w:type="fixed"/>
        <w:tblCellMar>
          <w:top w:w="0" w:type="dxa"/>
          <w:left w:w="0" w:type="dxa"/>
          <w:bottom w:w="0" w:type="dxa"/>
          <w:right w:w="0" w:type="dxa"/>
        </w:tblCellMar>
      </w:tblPr>
      <w:tblGrid>
        <w:gridCol w:w="1205"/>
        <w:gridCol w:w="60"/>
        <w:gridCol w:w="2390"/>
      </w:tblGrid>
      <w:tr>
        <w:trPr/>
        <w:tc>
          <w:tcPr>
            <w:tcW w:w="1205" w:type="dxa"/>
            <w:tcBorders/>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April 18, 2024</w:t>
            </w:r>
          </w:p>
        </w:tc>
        <w:tc>
          <w:tcPr>
            <w:tcW w:w="60" w:type="dxa"/>
            <w:tcBorders/>
            <w:vAlign w:val="center"/>
          </w:tcPr>
          <w:p>
            <w:pPr>
              <w:pStyle w:val="TableContents"/>
              <w:bidi w:val="0"/>
              <w:spacing w:before="0" w:after="0"/>
              <w:ind w:left="0" w:right="0" w:hanging="0"/>
              <w:jc w:val="left"/>
              <w:rPr/>
            </w:pPr>
            <w:r>
              <w:rPr/>
              <w:t> </w:t>
            </w:r>
          </w:p>
        </w:tc>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Voin Todorovic</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120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9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(Principal Financial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9" w:name="ex_618519.htm"/>
      <w:bookmarkStart w:id="50" w:name="ksex_618519"/>
      <w:bookmarkEnd w:id="49"/>
      <w:bookmarkEnd w:id="50"/>
      <w:r>
        <w:rPr>
          <w:rFonts w:ascii="Times New Roman;Times;serif" w:hAnsi="Times New Roman;Times;serif"/>
          <w:b/>
          <w:sz w:val="20"/>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before="0" w:after="0"/>
        <w:ind w:left="0" w:right="0" w:hanging="0"/>
        <w:jc w:val="left"/>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In connection with the Annual Report of Build-A-Bear Workshop, Inc. (the “Company”) on Form 10-K for the period ended </w:t>
      </w:r>
      <w:bookmarkStart w:id="51" w:name="led45264F20212211616342496154"/>
      <w:bookmarkEnd w:id="51"/>
      <w:r>
        <w:rPr>
          <w:rFonts w:ascii="Times New Roman;Times;serif" w:hAnsi="Times New Roman;Times;serif"/>
          <w:sz w:val="20"/>
        </w:rPr>
        <w:t>February 3, 2024 as filed with the Securities and Exchange Commission on the date hereof (the “Report”), I, Sharon John, President and Chief Executive Officer of the Company, certify, to the best of my knowledge, pursuant to Rule 13a-14(b) and Section 1350 of Chapter 63 of Title 18 of the United States Code, as adopted pursuant to Section 906 of the Sarbanes-Oxley Act of 2002, that:</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 </w:t>
      </w:r>
    </w:p>
    <w:tbl>
      <w:tblPr>
        <w:tblW w:w="4825" w:type="dxa"/>
        <w:jc w:val="left"/>
        <w:tblInd w:w="0" w:type="dxa"/>
        <w:tblLayout w:type="fixed"/>
        <w:tblCellMar>
          <w:top w:w="0" w:type="dxa"/>
          <w:left w:w="0" w:type="dxa"/>
          <w:bottom w:w="0" w:type="dxa"/>
          <w:right w:w="0" w:type="dxa"/>
        </w:tblCellMar>
      </w:tblPr>
      <w:tblGrid>
        <w:gridCol w:w="1685"/>
        <w:gridCol w:w="60"/>
        <w:gridCol w:w="3080"/>
      </w:tblGrid>
      <w:tr>
        <w:trPr/>
        <w:tc>
          <w:tcPr>
            <w:tcW w:w="1685" w:type="dxa"/>
            <w:tcBorders/>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Date: April 18, 2024</w:t>
            </w:r>
          </w:p>
        </w:tc>
        <w:tc>
          <w:tcPr>
            <w:tcW w:w="60" w:type="dxa"/>
            <w:tcBorders/>
            <w:vAlign w:val="center"/>
          </w:tcPr>
          <w:p>
            <w:pPr>
              <w:pStyle w:val="TableContents"/>
              <w:bidi w:val="0"/>
              <w:spacing w:before="0" w:after="0"/>
              <w:ind w:left="0" w:right="0" w:hanging="0"/>
              <w:jc w:val="left"/>
              <w:rPr/>
            </w:pPr>
            <w:r>
              <w:rPr/>
              <w:t> </w:t>
            </w:r>
          </w:p>
        </w:tc>
        <w:tc>
          <w:tcPr>
            <w:tcW w:w="3080" w:type="dxa"/>
            <w:tcBorders>
              <w:bottom w:val="single" w:sz="2" w:space="0" w:color="000000"/>
            </w:tcBorders>
            <w:tcMar>
              <w:bottom w:w="28" w:type="dxa"/>
            </w:tcMar>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/s/ Sharon John</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Sharon John</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080" w:type="dxa"/>
            <w:tcBorders/>
            <w:vAlign w:val="center"/>
          </w:tcPr>
          <w:p>
            <w:pPr>
              <w:pStyle w:val="TableContents"/>
              <w:bidi w:val="0"/>
              <w:spacing w:before="0" w:after="0"/>
              <w:ind w:left="75"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52" w:name="ex_618520.htm"/>
      <w:bookmarkStart w:id="53" w:name="ksex_618520"/>
      <w:bookmarkEnd w:id="52"/>
      <w:bookmarkEnd w:id="53"/>
      <w:r>
        <w:rPr>
          <w:rFonts w:ascii="Times New Roman;Times;serif" w:hAnsi="Times New Roman;Times;serif"/>
          <w:b/>
          <w:sz w:val="20"/>
        </w:rPr>
        <w:t xml:space="preserve">Exhibit 32.2 </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CERTIFICATION PURSUANT TO 18 U.S.C. SECTION 1350,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AS ADOPTED PURSUANT TO </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SECTION 906 OF THE SARBANES-OXLEY ACT OF 2002 </w:t>
      </w:r>
    </w:p>
    <w:p>
      <w:pPr>
        <w:pStyle w:val="TextBody"/>
        <w:bidi w:val="0"/>
        <w:spacing w:before="0" w:after="0"/>
        <w:ind w:left="0" w:right="0" w:hanging="0"/>
        <w:jc w:val="left"/>
        <w:rPr/>
      </w:pPr>
      <w:r>
        <w:rPr/>
        <w:t> </w:t>
      </w:r>
    </w:p>
    <w:p>
      <w:pPr>
        <w:pStyle w:val="TextBody"/>
        <w:bidi w:val="0"/>
        <w:spacing w:before="0" w:after="0"/>
        <w:ind w:left="0" w:right="244" w:firstLine="490"/>
        <w:jc w:val="both"/>
        <w:rPr>
          <w:rFonts w:ascii="Times New Roman;Times;serif" w:hAnsi="Times New Roman;Times;serif"/>
          <w:sz w:val="20"/>
        </w:rPr>
      </w:pPr>
      <w:r>
        <w:rPr>
          <w:rFonts w:ascii="Times New Roman;Times;serif" w:hAnsi="Times New Roman;Times;serif"/>
          <w:sz w:val="20"/>
        </w:rPr>
        <w:t>In connection with the Annual Report of Build-A-Bear Workshop, Inc. (the “Company”) on Form 10-K for the period ended </w:t>
      </w:r>
      <w:bookmarkStart w:id="54" w:name="led45264F20212211616342557829"/>
      <w:bookmarkEnd w:id="54"/>
      <w:r>
        <w:rPr>
          <w:rFonts w:ascii="Times New Roman;Times;serif" w:hAnsi="Times New Roman;Times;serif"/>
          <w:sz w:val="20"/>
        </w:rPr>
        <w:t>February 3, 2024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and</w:t>
      </w:r>
    </w:p>
    <w:p>
      <w:pPr>
        <w:pStyle w:val="TextBody"/>
        <w:bidi w:val="0"/>
        <w:spacing w:before="0" w:after="0"/>
        <w:ind w:left="0" w:right="0" w:hanging="0"/>
        <w:jc w:val="both"/>
        <w:rPr/>
      </w:pPr>
      <w:r>
        <w:rPr/>
        <w:t> </w:t>
      </w:r>
    </w:p>
    <w:p>
      <w:pPr>
        <w:pStyle w:val="TextBody"/>
        <w:bidi w:val="0"/>
        <w:spacing w:before="0" w:after="0"/>
        <w:ind w:left="0" w:right="0" w:firstLine="490"/>
        <w:jc w:val="both"/>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 </w:t>
      </w:r>
    </w:p>
    <w:tbl>
      <w:tblPr>
        <w:tblW w:w="5380" w:type="dxa"/>
        <w:jc w:val="left"/>
        <w:tblInd w:w="0" w:type="dxa"/>
        <w:tblLayout w:type="fixed"/>
        <w:tblCellMar>
          <w:top w:w="0" w:type="dxa"/>
          <w:left w:w="0" w:type="dxa"/>
          <w:bottom w:w="0" w:type="dxa"/>
          <w:right w:w="0" w:type="dxa"/>
        </w:tblCellMar>
      </w:tblPr>
      <w:tblGrid>
        <w:gridCol w:w="1685"/>
        <w:gridCol w:w="60"/>
        <w:gridCol w:w="3635"/>
      </w:tblGrid>
      <w:tr>
        <w:trPr/>
        <w:tc>
          <w:tcPr>
            <w:tcW w:w="1685" w:type="dxa"/>
            <w:tcBorders/>
            <w:vAlign w:val="center"/>
          </w:tcPr>
          <w:p>
            <w:pPr>
              <w:pStyle w:val="TableContents"/>
              <w:bidi w:val="0"/>
              <w:spacing w:before="0" w:after="0"/>
              <w:ind w:left="240" w:right="0" w:hanging="240"/>
              <w:jc w:val="left"/>
              <w:rPr>
                <w:rFonts w:ascii="Times New Roman;Times;serif" w:hAnsi="Times New Roman;Times;serif"/>
                <w:sz w:val="20"/>
              </w:rPr>
            </w:pPr>
            <w:r>
              <w:rPr>
                <w:rFonts w:ascii="Times New Roman;Times;serif" w:hAnsi="Times New Roman;Times;serif"/>
                <w:sz w:val="20"/>
              </w:rPr>
              <w:t>Date: April 18, 2024</w:t>
            </w:r>
          </w:p>
        </w:tc>
        <w:tc>
          <w:tcPr>
            <w:tcW w:w="60" w:type="dxa"/>
            <w:tcBorders/>
            <w:vAlign w:val="center"/>
          </w:tcPr>
          <w:p>
            <w:pPr>
              <w:pStyle w:val="TableContents"/>
              <w:bidi w:val="0"/>
              <w:spacing w:before="0" w:after="0"/>
              <w:ind w:left="0" w:right="0" w:hanging="0"/>
              <w:jc w:val="left"/>
              <w:rPr/>
            </w:pPr>
            <w:r>
              <w:rPr/>
              <w:t> </w:t>
            </w:r>
          </w:p>
        </w:tc>
        <w:tc>
          <w:tcPr>
            <w:tcW w:w="3635" w:type="dxa"/>
            <w:tcBorders>
              <w:bottom w:val="single" w:sz="2" w:space="0" w:color="000000"/>
            </w:tcBorders>
            <w:tcMar>
              <w:bottom w:w="28" w:type="dxa"/>
            </w:tcMar>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/s/ Voin Todorovic</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Voin Todorovic</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Build-A-Bear Workshop, Inc.</w:t>
            </w:r>
          </w:p>
        </w:tc>
      </w:tr>
      <w:tr>
        <w:trPr/>
        <w:tc>
          <w:tcPr>
            <w:tcW w:w="1685"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93"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bookmarkStart w:id="55" w:name="ex_653378.htm"/>
      <w:bookmarkStart w:id="56" w:name="ksex_653378"/>
      <w:bookmarkEnd w:id="55"/>
      <w:bookmarkEnd w:id="56"/>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97.1</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BUILD-A-BEAR WORKSHOP,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CLAWBACK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Adopted: November 7,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caps w:val="false"/>
          <w:smallCaps w:val="false"/>
          <w:sz w:val="20"/>
        </w:rPr>
      </w:pPr>
      <w:r>
        <w:rPr>
          <w:rFonts w:ascii="Times New Roman" w:hAnsi="Times New Roman"/>
          <w:b/>
          <w:caps w:val="false"/>
          <w:smallCaps w:val="false"/>
          <w:sz w:val="20"/>
        </w:rPr>
        <w:t>1.</w:t>
      </w:r>
      <w:r>
        <w:rPr>
          <w:rFonts w:ascii="Times New Roman" w:hAnsi="Times New Roman"/>
          <w:caps w:val="false"/>
          <w:smallCaps w:val="false"/>
          <w:sz w:val="20"/>
        </w:rPr>
        <w:t>    </w:t>
      </w:r>
      <w:r>
        <w:rPr>
          <w:rFonts w:ascii="Times New Roman" w:hAnsi="Times New Roman"/>
          <w:b/>
          <w:caps w:val="false"/>
          <w:smallCaps w:val="false"/>
          <w:sz w:val="20"/>
        </w:rPr>
        <w:t xml:space="preserve">Purpose. </w:t>
      </w:r>
      <w:r>
        <w:rPr>
          <w:rFonts w:ascii="Times New Roman" w:hAnsi="Times New Roman"/>
          <w:caps w:val="false"/>
          <w:smallCaps w:val="false"/>
          <w:sz w:val="20"/>
        </w:rPr>
        <w:t>The purpose of this Clawback Policy of the Company (as amended from time to time, this “</w:t>
      </w:r>
      <w:r>
        <w:rPr>
          <w:rFonts w:ascii="Times New Roman" w:hAnsi="Times New Roman"/>
          <w:caps w:val="false"/>
          <w:smallCaps w:val="false"/>
          <w:sz w:val="20"/>
          <w:u w:val="single"/>
        </w:rPr>
        <w:t>Policy</w:t>
      </w:r>
      <w:r>
        <w:rPr>
          <w:rFonts w:ascii="Times New Roman" w:hAnsi="Times New Roman"/>
          <w:caps w:val="false"/>
          <w:smallCaps w:val="false"/>
          <w:sz w:val="20"/>
        </w:rPr>
        <w:t>”), dated as of November 7, 2023 (the “</w:t>
      </w:r>
      <w:r>
        <w:rPr>
          <w:rFonts w:ascii="Times New Roman" w:hAnsi="Times New Roman"/>
          <w:caps w:val="false"/>
          <w:smallCaps w:val="false"/>
          <w:sz w:val="20"/>
          <w:u w:val="single"/>
        </w:rPr>
        <w:t>Adoption Date</w:t>
      </w:r>
      <w:r>
        <w:rPr>
          <w:rFonts w:ascii="Times New Roman" w:hAnsi="Times New Roman"/>
          <w:caps w:val="false"/>
          <w:smallCaps w:val="false"/>
          <w:sz w:val="20"/>
        </w:rPr>
        <w:t>”) is to describe the circumstances in which current and former Executive Officers will be required to repay or return Erroneously Awarded Compensation to members of the Company Group. The Company has adopted this Policy to comply with Section 954 of the Dodd-Frank Wall Street Reform and Consumer Protection Act of 2010, as codified by Section 10D of the Exchange Act, Exchange Act Rule 10D-1 promulgated thereunder, and the NYSE listing standards (including Section 303A.14 of the NYSE listing company manual) (such legal requirements, and rules and requirements of NYSE, collectively, the “</w:t>
      </w:r>
      <w:r>
        <w:rPr>
          <w:rFonts w:ascii="Times New Roman" w:hAnsi="Times New Roman"/>
          <w:caps w:val="false"/>
          <w:smallCaps w:val="false"/>
          <w:sz w:val="20"/>
          <w:u w:val="single"/>
        </w:rPr>
        <w:t>SEC/NYSE Clawback Rules</w:t>
      </w:r>
      <w:r>
        <w:rPr>
          <w:rFonts w:ascii="Times New Roman" w:hAnsi="Times New Roman"/>
          <w:caps w:val="false"/>
          <w:smallCaps w:val="false"/>
          <w:sz w:val="20"/>
        </w:rPr>
        <w:t>”).</w:t>
      </w:r>
      <w:r>
        <w:rPr>
          <w:rFonts w:ascii="Times New Roman" w:hAnsi="Times New Roman"/>
          <w:caps w:val="false"/>
          <w:smallCaps w:val="false"/>
          <w:sz w:val="20"/>
          <w:u w:val="single"/>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caps w:val="false"/>
          <w:smallCaps w:val="false"/>
          <w:sz w:val="20"/>
        </w:rPr>
      </w:pPr>
      <w:r>
        <w:rPr>
          <w:rFonts w:ascii="Times New Roman" w:hAnsi="Times New Roman"/>
          <w:b/>
          <w:caps w:val="false"/>
          <w:smallCaps w:val="false"/>
          <w:sz w:val="20"/>
        </w:rPr>
        <w:t>2.</w:t>
      </w:r>
      <w:r>
        <w:rPr>
          <w:rFonts w:ascii="Times New Roman" w:hAnsi="Times New Roman"/>
          <w:caps w:val="false"/>
          <w:smallCaps w:val="false"/>
          <w:sz w:val="20"/>
        </w:rPr>
        <w:t>    </w:t>
      </w:r>
      <w:r>
        <w:rPr>
          <w:rFonts w:ascii="Times New Roman" w:hAnsi="Times New Roman"/>
          <w:b/>
          <w:caps w:val="false"/>
          <w:smallCaps w:val="false"/>
          <w:sz w:val="20"/>
        </w:rPr>
        <w:t xml:space="preserve">Administration. </w:t>
      </w:r>
      <w:r>
        <w:rPr>
          <w:rFonts w:ascii="Times New Roman" w:hAnsi="Times New Roman"/>
          <w:caps w:val="false"/>
          <w:smallCaps w:val="false"/>
          <w:sz w:val="20"/>
        </w:rPr>
        <w:t>This Policy shall be administered by the Committee. The Committee is authorized to interpret and construe this Policy and to make all determinations necessary, appropriate, or advisable for the administration of this Policy, and any such determinations made by the Committee shall be in the Committee’s sole discretion and shall be final and binding on all affected individuals. Except as otherwise required by applicable legal requirements or the rules and requirements of NYSE, any determinations of the Committee hereunder need not be uniform with respect to one or more Executive Officers (whether current and/or former).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caps w:val="false"/>
          <w:smallCaps w:val="false"/>
          <w:sz w:val="20"/>
        </w:rPr>
      </w:pPr>
      <w:r>
        <w:rPr>
          <w:rFonts w:ascii="Times New Roman" w:hAnsi="Times New Roman"/>
          <w:b/>
          <w:caps w:val="false"/>
          <w:smallCaps w:val="false"/>
          <w:sz w:val="20"/>
        </w:rPr>
        <w:t>3.</w:t>
      </w:r>
      <w:r>
        <w:rPr>
          <w:rFonts w:ascii="Times New Roman" w:hAnsi="Times New Roman"/>
          <w:caps w:val="false"/>
          <w:smallCaps w:val="false"/>
          <w:sz w:val="20"/>
        </w:rPr>
        <w:t>    </w:t>
      </w:r>
      <w:r>
        <w:rPr>
          <w:rFonts w:ascii="Times New Roman" w:hAnsi="Times New Roman"/>
          <w:b/>
          <w:caps w:val="false"/>
          <w:smallCaps w:val="false"/>
          <w:sz w:val="20"/>
        </w:rPr>
        <w:t xml:space="preserve">Definitions. </w:t>
      </w:r>
      <w:r>
        <w:rPr>
          <w:rFonts w:ascii="Times New Roman" w:hAnsi="Times New Roman"/>
          <w:caps w:val="false"/>
          <w:smallCaps w:val="false"/>
          <w:sz w:val="20"/>
        </w:rPr>
        <w:t>For purposes of this Policy, the following capitalized terms shall have the meanings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(a)“</w:t>
      </w:r>
      <w:r>
        <w:rPr>
          <w:rFonts w:ascii="Times New Roman" w:hAnsi="Times New Roman"/>
          <w:caps w:val="false"/>
          <w:smallCaps w:val="false"/>
          <w:sz w:val="20"/>
          <w:u w:val="single"/>
        </w:rPr>
        <w:t>    Accounting Restatement</w:t>
      </w:r>
      <w:r>
        <w:rPr>
          <w:rFonts w:ascii="Times New Roman" w:hAnsi="Times New Roman"/>
          <w:caps w:val="false"/>
          <w:smallCaps w:val="false"/>
          <w:sz w:val="20"/>
        </w:rPr>
        <w:t>” shall mean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(b)“</w:t>
      </w:r>
      <w:r>
        <w:rPr>
          <w:rFonts w:ascii="Times New Roman" w:hAnsi="Times New Roman"/>
          <w:caps w:val="false"/>
          <w:smallCaps w:val="false"/>
          <w:sz w:val="20"/>
          <w:u w:val="single"/>
        </w:rPr>
        <w:t>    Board</w:t>
      </w:r>
      <w:r>
        <w:rPr>
          <w:rFonts w:ascii="Times New Roman" w:hAnsi="Times New Roman"/>
          <w:caps w:val="false"/>
          <w:smallCaps w:val="false"/>
          <w:sz w:val="20"/>
        </w:rPr>
        <w:t>” shall mean the Board of Directors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(c)“</w:t>
      </w:r>
      <w:r>
        <w:rPr>
          <w:rFonts w:ascii="Times New Roman" w:hAnsi="Times New Roman"/>
          <w:caps w:val="false"/>
          <w:smallCaps w:val="false"/>
          <w:sz w:val="20"/>
          <w:u w:val="single"/>
        </w:rPr>
        <w:t>    Clawback Eli</w:t>
      </w:r>
      <w:r>
        <w:rPr>
          <w:rFonts w:ascii="Times New Roman" w:hAnsi="Times New Roman"/>
          <w:caps w:val="false"/>
          <w:smallCaps w:val="false"/>
          <w:sz w:val="20"/>
        </w:rPr>
        <w:t>g</w:t>
      </w:r>
      <w:r>
        <w:rPr>
          <w:rFonts w:ascii="Times New Roman" w:hAnsi="Times New Roman"/>
          <w:caps w:val="false"/>
          <w:smallCaps w:val="false"/>
          <w:sz w:val="20"/>
          <w:u w:val="single"/>
        </w:rPr>
        <w:t>ible Incentive Compensation</w:t>
      </w:r>
      <w:r>
        <w:rPr>
          <w:rFonts w:ascii="Times New Roman" w:hAnsi="Times New Roman"/>
          <w:caps w:val="false"/>
          <w:smallCaps w:val="false"/>
          <w:sz w:val="20"/>
        </w:rPr>
        <w:t>” shall mean all Incentive-Based Compensation Received by any current or former Executive Officer on or after NYSE Effective Date, provided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0" w:right="0" w:hanging="0"/>
        <w:jc w:val="left"/>
        <w:rPr>
          <w:rFonts w:ascii="Times New Roman" w:hAnsi="Times New Roman"/>
          <w:caps w:val="false"/>
          <w:smallCaps w:val="false"/>
          <w:sz w:val="20"/>
        </w:rPr>
      </w:pPr>
      <w:r>
        <w:rPr>
          <w:rFonts w:ascii="Times New Roman" w:hAnsi="Times New Roman"/>
          <w:caps w:val="false"/>
          <w:smallCaps w:val="false"/>
          <w:sz w:val="20"/>
        </w:rPr>
        <w:t>(i)    such Incentive-Based Compensation is Received after such individual began serving as an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0" w:right="0" w:hanging="0"/>
        <w:jc w:val="left"/>
        <w:rPr>
          <w:rFonts w:ascii="Times New Roman" w:hAnsi="Times New Roman"/>
          <w:caps w:val="false"/>
          <w:smallCaps w:val="false"/>
          <w:sz w:val="20"/>
        </w:rPr>
      </w:pPr>
      <w:r>
        <w:rPr>
          <w:rFonts w:ascii="Times New Roman" w:hAnsi="Times New Roman"/>
          <w:caps w:val="false"/>
          <w:smallCaps w:val="false"/>
          <w:sz w:val="20"/>
        </w:rPr>
        <w:t>(ii)    such individual served as an Executive Officer at any time during the performance period for such Incentive-Based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0" w:right="0" w:hanging="0"/>
        <w:jc w:val="left"/>
        <w:rPr>
          <w:rFonts w:ascii="Times New Roman" w:hAnsi="Times New Roman"/>
          <w:caps w:val="false"/>
          <w:smallCaps w:val="false"/>
          <w:sz w:val="20"/>
        </w:rPr>
      </w:pPr>
      <w:r>
        <w:rPr>
          <w:rFonts w:ascii="Times New Roman" w:hAnsi="Times New Roman"/>
          <w:caps w:val="false"/>
          <w:smallCaps w:val="false"/>
          <w:sz w:val="20"/>
        </w:rPr>
        <w:t>(iii)    such Incentive-Based Compensation is Received while the Company has a class of securities listed on NYSE or any other national securities exchange or national securities association;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0" w:right="0" w:hanging="0"/>
        <w:jc w:val="left"/>
        <w:rPr>
          <w:rFonts w:ascii="Times New Roman" w:hAnsi="Times New Roman"/>
          <w:caps w:val="false"/>
          <w:smallCaps w:val="false"/>
          <w:sz w:val="20"/>
        </w:rPr>
      </w:pPr>
      <w:r>
        <w:rPr>
          <w:rFonts w:ascii="Times New Roman" w:hAnsi="Times New Roman"/>
          <w:caps w:val="false"/>
          <w:smallCaps w:val="false"/>
          <w:sz w:val="20"/>
        </w:rPr>
        <w:t>(iv)    such Incentive-Based Compensation is Received during the applicable Clawback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(d)“</w:t>
      </w:r>
      <w:r>
        <w:rPr>
          <w:rFonts w:ascii="Times New Roman" w:hAnsi="Times New Roman"/>
          <w:caps w:val="false"/>
          <w:smallCaps w:val="false"/>
          <w:sz w:val="20"/>
          <w:u w:val="single"/>
        </w:rPr>
        <w:t>    Clawback Period</w:t>
      </w:r>
      <w:r>
        <w:rPr>
          <w:rFonts w:ascii="Times New Roman" w:hAnsi="Times New Roman"/>
          <w:caps w:val="false"/>
          <w:smallCaps w:val="false"/>
          <w:sz w:val="20"/>
        </w:rPr>
        <w:t>” shall mean, with respect to any Accounting Restatement, the three completed fiscal years of the Company immediately preceding the Restatement Date and any transition period (that results from a change in the Company’s fiscal year) of less than nine months within or immediately following those three completed fiscal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(e)“</w:t>
      </w:r>
      <w:r>
        <w:rPr>
          <w:rFonts w:ascii="Times New Roman" w:hAnsi="Times New Roman"/>
          <w:caps w:val="false"/>
          <w:smallCaps w:val="false"/>
          <w:sz w:val="20"/>
          <w:u w:val="single"/>
        </w:rPr>
        <w:t>    Committee</w:t>
      </w:r>
      <w:r>
        <w:rPr>
          <w:rFonts w:ascii="Times New Roman" w:hAnsi="Times New Roman"/>
          <w:caps w:val="false"/>
          <w:smallCaps w:val="false"/>
          <w:sz w:val="20"/>
        </w:rPr>
        <w:t>” shall mean the Compensation and Development Committee of the Board.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(f)“</w:t>
      </w:r>
      <w:r>
        <w:rPr>
          <w:rFonts w:ascii="Times New Roman" w:hAnsi="Times New Roman"/>
          <w:caps w:val="false"/>
          <w:smallCaps w:val="false"/>
          <w:sz w:val="20"/>
          <w:u w:val="single"/>
        </w:rPr>
        <w:t>    Common Stock</w:t>
      </w:r>
      <w:r>
        <w:rPr>
          <w:rFonts w:ascii="Times New Roman" w:hAnsi="Times New Roman"/>
          <w:caps w:val="false"/>
          <w:smallCaps w:val="false"/>
          <w:sz w:val="20"/>
        </w:rPr>
        <w:t>” shall mean the common stock, par value $0.01 per share,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(g)“</w:t>
      </w:r>
      <w:r>
        <w:rPr>
          <w:rFonts w:ascii="Times New Roman" w:hAnsi="Times New Roman"/>
          <w:caps w:val="false"/>
          <w:smallCaps w:val="false"/>
          <w:sz w:val="20"/>
          <w:u w:val="single"/>
        </w:rPr>
        <w:t>    Compan</w:t>
      </w:r>
      <w:r>
        <w:rPr>
          <w:rFonts w:ascii="Times New Roman" w:hAnsi="Times New Roman"/>
          <w:caps w:val="false"/>
          <w:smallCaps w:val="false"/>
          <w:sz w:val="20"/>
        </w:rPr>
        <w:t>y” shall mean Build-A-Bear Workshop, Inc., a Delaware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(h)“</w:t>
      </w:r>
      <w:r>
        <w:rPr>
          <w:rFonts w:ascii="Times New Roman" w:hAnsi="Times New Roman"/>
          <w:caps w:val="false"/>
          <w:smallCaps w:val="false"/>
          <w:sz w:val="20"/>
          <w:u w:val="single"/>
        </w:rPr>
        <w:t>    Company Group</w:t>
      </w:r>
      <w:r>
        <w:rPr>
          <w:rFonts w:ascii="Times New Roman" w:hAnsi="Times New Roman"/>
          <w:caps w:val="false"/>
          <w:smallCaps w:val="false"/>
          <w:sz w:val="20"/>
        </w:rPr>
        <w:t>” shall mean the Company, together with each of its direct and indirect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(i)“</w:t>
      </w:r>
      <w:r>
        <w:rPr>
          <w:rFonts w:ascii="Times New Roman" w:hAnsi="Times New Roman"/>
          <w:caps w:val="false"/>
          <w:smallCaps w:val="false"/>
          <w:sz w:val="20"/>
          <w:u w:val="single"/>
        </w:rPr>
        <w:t>    Erroneously Awarded Compensation</w:t>
      </w:r>
      <w:r>
        <w:rPr>
          <w:rFonts w:ascii="Times New Roman" w:hAnsi="Times New Roman"/>
          <w:caps w:val="false"/>
          <w:smallCaps w:val="false"/>
          <w:sz w:val="20"/>
        </w:rPr>
        <w:t>” shall mean, with respect to any current or former Executive Officer in connection with any Accounting Restatement, the amount of Clawback Eligible Incentive Compensation Received by such current or former Executive Officer that exceeds the amount of Clawback Eligible Incentive Compensation that otherwise would have been Received by such current or former Executive Officer had such Clawback Eligible Incentive Compensation been determined based on the restated amounts as reflected in connection with such Accounting Restatement and computed without regard to any taxes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(j)“</w:t>
      </w:r>
      <w:r>
        <w:rPr>
          <w:rFonts w:ascii="Times New Roman" w:hAnsi="Times New Roman"/>
          <w:caps w:val="false"/>
          <w:smallCaps w:val="false"/>
          <w:sz w:val="20"/>
          <w:u w:val="single"/>
        </w:rPr>
        <w:t>    Exchan</w:t>
      </w:r>
      <w:r>
        <w:rPr>
          <w:rFonts w:ascii="Times New Roman" w:hAnsi="Times New Roman"/>
          <w:caps w:val="false"/>
          <w:smallCaps w:val="false"/>
          <w:sz w:val="20"/>
        </w:rPr>
        <w:t>g</w:t>
      </w:r>
      <w:r>
        <w:rPr>
          <w:rFonts w:ascii="Times New Roman" w:hAnsi="Times New Roman"/>
          <w:caps w:val="false"/>
          <w:smallCaps w:val="false"/>
          <w:sz w:val="20"/>
          <w:u w:val="single"/>
        </w:rPr>
        <w:t>e Act</w:t>
      </w:r>
      <w:r>
        <w:rPr>
          <w:rFonts w:ascii="Times New Roman" w:hAnsi="Times New Roman"/>
          <w:caps w:val="false"/>
          <w:smallCaps w:val="false"/>
          <w:sz w:val="20"/>
        </w:rPr>
        <w:t>” means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(k)“</w:t>
      </w:r>
      <w:r>
        <w:rPr>
          <w:rFonts w:ascii="Times New Roman" w:hAnsi="Times New Roman"/>
          <w:caps w:val="false"/>
          <w:smallCaps w:val="false"/>
          <w:sz w:val="20"/>
          <w:u w:val="single"/>
        </w:rPr>
        <w:t>    Executive Officer</w:t>
      </w:r>
      <w:r>
        <w:rPr>
          <w:rFonts w:ascii="Times New Roman" w:hAnsi="Times New Roman"/>
          <w:caps w:val="false"/>
          <w:smallCaps w:val="false"/>
          <w:sz w:val="20"/>
        </w:rPr>
        <w:t>” shall mean any officer as defined in Rule 10D-1(d) (or any successor provision thereof) under the Exchange Act and any executive officer as defined in Section 303A.14(e) (or any successor provision thereof) of the NYSE Listing Company Manual.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(l)“</w:t>
      </w:r>
      <w:r>
        <w:rPr>
          <w:rFonts w:ascii="Times New Roman" w:hAnsi="Times New Roman"/>
          <w:caps w:val="false"/>
          <w:smallCaps w:val="false"/>
          <w:sz w:val="20"/>
          <w:u w:val="single"/>
        </w:rPr>
        <w:t>    Financial Reporting Measures</w:t>
      </w:r>
      <w:r>
        <w:rPr>
          <w:rFonts w:ascii="Times New Roman" w:hAnsi="Times New Roman"/>
          <w:caps w:val="false"/>
          <w:smallCaps w:val="false"/>
          <w:sz w:val="20"/>
        </w:rPr>
        <w:t>” shall mean measures that are determined and presented in accordance with the accounting principles used in preparing the Company’s financial statements, and any other measures that are derived wholly or in part from such measures. For purposes of this Policy, stock price and total shareholder return (and any measures that are derived wholly or in part from stock price or total shareholder return) shall be considered Financial Reporting Measures. For the avoidance of doubt, a Financial Reporting Measure need not be presented within the Company’s financial statements or included in a filing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(m)“</w:t>
      </w:r>
      <w:r>
        <w:rPr>
          <w:rFonts w:ascii="Times New Roman" w:hAnsi="Times New Roman"/>
          <w:caps w:val="false"/>
          <w:smallCaps w:val="false"/>
          <w:sz w:val="20"/>
          <w:u w:val="single"/>
        </w:rPr>
        <w:t>    Incentive-Based Compensation</w:t>
      </w:r>
      <w:r>
        <w:rPr>
          <w:rFonts w:ascii="Times New Roman" w:hAnsi="Times New Roman"/>
          <w:caps w:val="false"/>
          <w:smallCaps w:val="false"/>
          <w:sz w:val="20"/>
        </w:rPr>
        <w:t>” shall mean any compensation that is granted, earned or vested based wholly or in part upon the attainment of a Financial Reporting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(n)“</w:t>
      </w:r>
      <w:r>
        <w:rPr>
          <w:rFonts w:ascii="Times New Roman" w:hAnsi="Times New Roman"/>
          <w:caps w:val="false"/>
          <w:smallCaps w:val="false"/>
          <w:sz w:val="20"/>
          <w:u w:val="single"/>
        </w:rPr>
        <w:t>    NYSE</w:t>
      </w:r>
      <w:r>
        <w:rPr>
          <w:rFonts w:ascii="Times New Roman" w:hAnsi="Times New Roman"/>
          <w:caps w:val="false"/>
          <w:smallCaps w:val="false"/>
          <w:sz w:val="20"/>
        </w:rPr>
        <w:t>” shall mean the New York Stock Exchange.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(o)“</w:t>
      </w:r>
      <w:r>
        <w:rPr>
          <w:rFonts w:ascii="Times New Roman" w:hAnsi="Times New Roman"/>
          <w:caps w:val="false"/>
          <w:smallCaps w:val="false"/>
          <w:sz w:val="20"/>
          <w:u w:val="single"/>
        </w:rPr>
        <w:t>    NYSE Effective Date</w:t>
      </w:r>
      <w:r>
        <w:rPr>
          <w:rFonts w:ascii="Times New Roman" w:hAnsi="Times New Roman"/>
          <w:caps w:val="false"/>
          <w:smallCaps w:val="false"/>
          <w:sz w:val="20"/>
        </w:rPr>
        <w:t>” shall mean October 2, 2023 (which is the effective date of the final NYSE listing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(p)“</w:t>
      </w:r>
      <w:r>
        <w:rPr>
          <w:rFonts w:ascii="Times New Roman" w:hAnsi="Times New Roman"/>
          <w:caps w:val="false"/>
          <w:smallCaps w:val="false"/>
          <w:sz w:val="20"/>
          <w:u w:val="single"/>
        </w:rPr>
        <w:t>    Received</w:t>
      </w:r>
      <w:r>
        <w:rPr>
          <w:rFonts w:ascii="Times New Roman" w:hAnsi="Times New Roman"/>
          <w:caps w:val="false"/>
          <w:smallCaps w:val="false"/>
          <w:sz w:val="20"/>
        </w:rPr>
        <w:t>” shall mean when Incentive-Based Compensation is received, and Incentive-Based Compensation shall be deemed received in the Company’s fiscal period during which the Financial Reporting Measure specified in the Incentive-Based Compensation award is attained, even if payment or grant of the Incentive-Based Compensation occurs after the end of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(q)“</w:t>
      </w:r>
      <w:r>
        <w:rPr>
          <w:rFonts w:ascii="Times New Roman" w:hAnsi="Times New Roman"/>
          <w:caps w:val="false"/>
          <w:smallCaps w:val="false"/>
          <w:sz w:val="20"/>
          <w:u w:val="single"/>
        </w:rPr>
        <w:t>    Restatement Date</w:t>
      </w:r>
      <w:r>
        <w:rPr>
          <w:rFonts w:ascii="Times New Roman" w:hAnsi="Times New Roman"/>
          <w:caps w:val="false"/>
          <w:smallCaps w:val="false"/>
          <w:sz w:val="20"/>
        </w:rPr>
        <w:t>” shall mean the earlier to occur of (i) the date the Board, a committee of the Board or the officer or officers of the Company authorized to take such action if Board action is not required, concludes, or reasonably should have concluded, that the Company is required to prepare an Accounting Restatement, or (ii) the date a court, regulator or other legally authorized body directs the Company to prepare an Accounting Restatement.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880" w:right="0" w:hanging="0"/>
        <w:jc w:val="left"/>
        <w:rPr>
          <w:rFonts w:ascii="Times New Roman" w:hAnsi="Times New Roman"/>
          <w:caps w:val="false"/>
          <w:smallCaps w:val="false"/>
          <w:sz w:val="20"/>
        </w:rPr>
      </w:pPr>
      <w:r>
        <w:rPr>
          <w:rFonts w:ascii="Times New Roman" w:hAnsi="Times New Roman"/>
          <w:caps w:val="false"/>
          <w:smallCaps w:val="false"/>
          <w:sz w:val="20"/>
        </w:rPr>
        <w:t>(r)“</w:t>
      </w:r>
      <w:r>
        <w:rPr>
          <w:rFonts w:ascii="Times New Roman" w:hAnsi="Times New Roman"/>
          <w:caps w:val="false"/>
          <w:smallCaps w:val="false"/>
          <w:sz w:val="20"/>
          <w:u w:val="single"/>
        </w:rPr>
        <w:t>    SEC</w:t>
      </w:r>
      <w:r>
        <w:rPr>
          <w:rFonts w:ascii="Times New Roman" w:hAnsi="Times New Roman"/>
          <w:caps w:val="false"/>
          <w:smallCaps w:val="false"/>
          <w:sz w:val="20"/>
        </w:rPr>
        <w:t>” shall mean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20" w:right="0" w:hanging="0"/>
        <w:jc w:val="left"/>
        <w:rPr>
          <w:rFonts w:ascii="Times New Roman" w:hAnsi="Times New Roman"/>
          <w:caps w:val="false"/>
          <w:smallCaps w:val="false"/>
          <w:sz w:val="20"/>
        </w:rPr>
      </w:pPr>
      <w:r>
        <w:rPr>
          <w:rFonts w:ascii="Times New Roman" w:hAnsi="Times New Roman"/>
          <w:b/>
          <w:caps w:val="false"/>
          <w:smallCaps w:val="false"/>
          <w:sz w:val="20"/>
        </w:rPr>
        <w:t>4.</w:t>
      </w:r>
      <w:r>
        <w:rPr>
          <w:rFonts w:ascii="Times New Roman" w:hAnsi="Times New Roman"/>
          <w:caps w:val="false"/>
          <w:smallCaps w:val="false"/>
          <w:sz w:val="20"/>
        </w:rPr>
        <w:t>         </w:t>
      </w:r>
      <w:r>
        <w:rPr>
          <w:rFonts w:ascii="Times New Roman" w:hAnsi="Times New Roman"/>
          <w:b/>
          <w:caps w:val="false"/>
          <w:smallCaps w:val="false"/>
          <w:sz w:val="20"/>
        </w:rPr>
        <w:t>Recovery of Erroneously Awarded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(a)    In the event that the Company is required to prepare an Accounting Restatement, (i) the Committee shall determine the amount of any Erroneously Awarded Compensation for each applicable current or former Executive Officer (whether or not such individual is serving as an Executive Officer at such time) (the “</w:t>
      </w:r>
      <w:r>
        <w:rPr>
          <w:rFonts w:ascii="Times New Roman" w:hAnsi="Times New Roman"/>
          <w:caps w:val="false"/>
          <w:smallCaps w:val="false"/>
          <w:sz w:val="20"/>
          <w:u w:val="single"/>
        </w:rPr>
        <w:t>Applicable Executives</w:t>
      </w:r>
      <w:r>
        <w:rPr>
          <w:rFonts w:ascii="Times New Roman" w:hAnsi="Times New Roman"/>
          <w:caps w:val="false"/>
          <w:smallCaps w:val="false"/>
          <w:sz w:val="20"/>
        </w:rPr>
        <w:t>”) in connection with such Accounting Restatement, and (ii) the Company will reasonably promptly require the recovery of such Erroneously Awarded Compensation from any such Applicable Executive, and any such Applicable Executive shall surrender such Erroneously Awarded Compensation to the Company, at such time(s), and via such method(s), as determined by the Committee in accordance with the terms of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(b)    For Incentive-Based Compensation based on (or derived from) stock price or total shareholder return where the amount of Erroneously Awarded Compensation is not subject to mathematical recalculation directly from the information in the applicable Accounting Restatement, (i) such amount shall be determined by the Committee based on a reasonable estimate of the effect of the Accounting Restatement on the stock price or total shareholder return upon which the Incentive-Based Compensation was Received, and (ii) the Company will maintain documentation of the determination of that reasonable estimate and provide such documentation to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(c)    The Committee shall determine, in its sole discretion, the method(s) for recovering any Erroneously Awarded Compensation from any Applicable Executive, which may include one or more of the following: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    requiring one or more cash payments to the Company Group from such Applicable Executive, including, but not limited to, the repayment of cash Incentive-Based Compensation previously paid by the Company Group to such Applicable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(ii)    seeking recovery of any gain realized on the vesting, exercise, settlement, sale, transfer or other disposition of any equity-based awards previously made by the Company to such Applicable Executive and/or, subject to applicable legal requirements, otherwise requiring the delivery to the Company of shares of Common Stock held by such Applicable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(iii)    withholding, reducing or eliminating future cash compensation (including cash incentive payments), future equity awards and/or other benefits or amounts otherwise to be paid or awarded by the Company Group to such Applicable Executive;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(iv)    offsetting amounts against compensation or other amounts otherwise payable by the Company Group to any Applicable Executive;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(v)    cancelling, adjusting or offsetting against some or all outstanding vested or unvested equity awards of the Company held by such Applicable Executive; and/or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(vi)    taking any other remedial and recovery actions with respect to such Applicable Executive permitted by applicable legal requirements and the rules and regulations of NYSE, as determined by the Committee.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00" w:right="0" w:hanging="0"/>
        <w:jc w:val="left"/>
        <w:rPr>
          <w:rFonts w:ascii="Times New Roman" w:hAnsi="Times New Roman"/>
          <w:caps w:val="false"/>
          <w:smallCaps w:val="false"/>
          <w:sz w:val="20"/>
        </w:rPr>
      </w:pPr>
      <w:r>
        <w:rPr>
          <w:rFonts w:ascii="Times New Roman" w:hAnsi="Times New Roman"/>
          <w:caps w:val="false"/>
          <w:smallCaps w:val="false"/>
          <w:sz w:val="20"/>
        </w:rPr>
        <w:t>(d)    Notwithstanding anything herein to the contrary, the Company must recover Erroneously Awarded Compensation from any Applicable Executive pursuant to the terms of this Policy except to the extent that both (1) the Committee determines that such recovery would be impracticable, and (2) one of the following conditions is met: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    the direct expenses paid to a third party to assist in enforcing this Policy would exceed the amount to be recovered, provided that, before concluding that it would be impracticable to recover any amount of Erroneously Awarded Compensation based on expense of enforcement pursuant to this clause (i), the Company has (x) made a reasonable attempt to recover such Erroneously Awarded Compensation, (y) documented such reasonable attempt(s) to recover, and (z) provided such documentation to NYSE;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(ii)    recovery would violate home country law where that law was adopted prior to November 28, 2022, provided that, before determining that it would be impracticable to recover any amount of Erroneously Awarded Compensation based on violation of home country law, the Company has obtained an opinion of home country counsel, acceptable to NYSE, that recovery would result in such a violation, has provided copy of the opinion is provided to NYSE; 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(iii)    recovery would likely cause an otherwise tax-qualified retirement plan, under which benefits are broadly available to employees of the Company or the Company Group, to fail to meet the requirements of 26 U.S.C. 401(a)(13) or 26 U.S.C. 411(a)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5.</w:t>
      </w:r>
      <w:r>
        <w:rPr>
          <w:rFonts w:ascii="Times New Roman" w:hAnsi="Times New Roman"/>
          <w:caps w:val="false"/>
          <w:smallCaps w:val="false"/>
          <w:sz w:val="20"/>
        </w:rPr>
        <w:t>    </w:t>
      </w:r>
      <w:r>
        <w:rPr>
          <w:rFonts w:ascii="Times New Roman" w:hAnsi="Times New Roman"/>
          <w:b/>
          <w:caps w:val="false"/>
          <w:smallCaps w:val="false"/>
          <w:sz w:val="20"/>
        </w:rPr>
        <w:t xml:space="preserve">No Indemnification, Etc. </w:t>
      </w:r>
      <w:r>
        <w:rPr>
          <w:rFonts w:ascii="Times New Roman" w:hAnsi="Times New Roman"/>
          <w:caps w:val="false"/>
          <w:smallCaps w:val="false"/>
          <w:sz w:val="20"/>
        </w:rPr>
        <w:t>The Company Group shall not (x) indemnify any current or former Executive Officer against (i) the loss of any Erroneously Awarded Compensation that is repaid, returned or recovered pursuant to the terms of this Policy, or (ii) any claims relating to the Company Group’s enforcement of its rights under this Policy, or (y) pay or reimburse any current or former Executive Officers for insurance premiums to recover losses incurred under this Policy.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6.</w:t>
      </w:r>
      <w:r>
        <w:rPr>
          <w:rFonts w:ascii="Times New Roman" w:hAnsi="Times New Roman"/>
          <w:caps w:val="false"/>
          <w:smallCaps w:val="false"/>
          <w:sz w:val="20"/>
        </w:rPr>
        <w:t>    </w:t>
      </w:r>
      <w:r>
        <w:rPr>
          <w:rFonts w:ascii="Times New Roman" w:hAnsi="Times New Roman"/>
          <w:b/>
          <w:caps w:val="false"/>
          <w:smallCaps w:val="false"/>
          <w:sz w:val="20"/>
        </w:rPr>
        <w:t xml:space="preserve">Supersedure. </w:t>
      </w:r>
      <w:r>
        <w:rPr>
          <w:rFonts w:ascii="Times New Roman" w:hAnsi="Times New Roman"/>
          <w:caps w:val="false"/>
          <w:smallCaps w:val="false"/>
          <w:sz w:val="20"/>
        </w:rPr>
        <w:t xml:space="preserve">This Policy will supersede any provisions in (x) any agreement, plan or other arrangement applicable to any member of the Company Group, and (y) any organizational documents of any entity that is part of Company Group that, in any such case, (a) exempt any Incentive-Based Compensation from the application of this Policy, (b) waive or otherwise prohibit or restricts the Company Group’s right to recover any Erroneously Awarded Compensation, including, without limitation, in connection with exercising any right of setoff as provided herein, and/or (c) require or provide for indemnification to the extent that such indemnification is prohibited under </w:t>
      </w:r>
      <w:r>
        <w:rPr>
          <w:rFonts w:ascii="Times New Roman" w:hAnsi="Times New Roman"/>
          <w:caps w:val="false"/>
          <w:smallCaps w:val="false"/>
          <w:sz w:val="20"/>
          <w:u w:val="single"/>
        </w:rPr>
        <w:t>Section 5</w:t>
      </w:r>
      <w:r>
        <w:rPr>
          <w:rFonts w:ascii="Times New Roman" w:hAnsi="Times New Roman"/>
          <w:caps w:val="false"/>
          <w:smallCaps w:val="false"/>
          <w:sz w:val="20"/>
        </w:rPr>
        <w:t xml:space="preserve">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7.</w:t>
      </w:r>
      <w:r>
        <w:rPr>
          <w:rFonts w:ascii="Times New Roman" w:hAnsi="Times New Roman"/>
          <w:caps w:val="false"/>
          <w:smallCaps w:val="false"/>
          <w:sz w:val="20"/>
        </w:rPr>
        <w:t>    </w:t>
      </w:r>
      <w:r>
        <w:rPr>
          <w:rFonts w:ascii="Times New Roman" w:hAnsi="Times New Roman"/>
          <w:b/>
          <w:caps w:val="false"/>
          <w:smallCaps w:val="false"/>
          <w:sz w:val="20"/>
        </w:rPr>
        <w:t xml:space="preserve">Amendment; Termination; Interpretation. </w:t>
      </w:r>
      <w:r>
        <w:rPr>
          <w:rFonts w:ascii="Times New Roman" w:hAnsi="Times New Roman"/>
          <w:caps w:val="false"/>
          <w:smallCaps w:val="false"/>
          <w:sz w:val="20"/>
        </w:rPr>
        <w:t>The Committee may amend or terminate this Policy at any time, subject to compliance with all applicable legal requirements and the rules and requirements of NYSE. It is intended that this Policy be interpreted in a manner that is consistent with the SEC/NYSE Clawback Rules. This Policy is separate from, and in addition to, any other compensation recovery or recoupment policy of the Company or any applicable provisions of plans, agreements, awards or other arrangements of the Company that provide for the recoupment or recovery of compensation from Executive Officers that is voluntarily adopted by the Company and intended to provide for discretionary recoupment beyond the scope of this Policy and the SEC/NYSE Clawback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8.</w:t>
      </w:r>
      <w:r>
        <w:rPr>
          <w:rFonts w:ascii="Times New Roman" w:hAnsi="Times New Roman"/>
          <w:caps w:val="false"/>
          <w:smallCaps w:val="false"/>
          <w:sz w:val="20"/>
        </w:rPr>
        <w:t>    </w:t>
      </w:r>
      <w:r>
        <w:rPr>
          <w:rFonts w:ascii="Times New Roman" w:hAnsi="Times New Roman"/>
          <w:b/>
          <w:caps w:val="false"/>
          <w:smallCaps w:val="false"/>
          <w:sz w:val="20"/>
        </w:rPr>
        <w:t>Other Recoupment Rights; No Additional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         Subject to </w:t>
      </w:r>
      <w:r>
        <w:rPr>
          <w:rFonts w:ascii="Times New Roman" w:hAnsi="Times New Roman"/>
          <w:caps w:val="false"/>
          <w:smallCaps w:val="false"/>
          <w:sz w:val="20"/>
          <w:u w:val="single"/>
        </w:rPr>
        <w:t>Section 8(b)</w:t>
      </w:r>
      <w:r>
        <w:rPr>
          <w:rFonts w:ascii="Times New Roman" w:hAnsi="Times New Roman"/>
          <w:caps w:val="false"/>
          <w:smallCaps w:val="false"/>
          <w:sz w:val="20"/>
        </w:rPr>
        <w:t xml:space="preserve"> of this Policy below, any right of recoupment under this Policy is in addition to, and not in lieu of, any other remedies or rights of recoupment that may be available to the Company Group pursuant to (i) the terms of any recoupment provisions in any employment agreement, incentive or equity compensation plan or award or other agreement, (ii) any other legal requirements, including, but not limited to, Section 304 of Sarbanes-Oxley Act of 2002, and (iii) any other legal rights or remedies available to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940" w:right="0" w:hanging="0"/>
        <w:jc w:val="left"/>
        <w:rPr>
          <w:rFonts w:ascii="Times New Roman" w:hAnsi="Times New Roman"/>
          <w:caps w:val="false"/>
          <w:smallCaps w:val="false"/>
          <w:sz w:val="20"/>
        </w:rPr>
      </w:pPr>
      <w:r>
        <w:rPr>
          <w:rFonts w:ascii="Times New Roman" w:hAnsi="Times New Roman"/>
          <w:caps w:val="false"/>
          <w:smallCaps w:val="false"/>
          <w:sz w:val="20"/>
        </w:rPr>
        <w:t>(b)         Notwithstanding anything herein to the contrary, to prevent duplicative recovery: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    to the extent that the amount of any Erroneously Awarded Compensation is recovered from any current or former Executive Officers under this Policy, the Company will not be entitled to recover any such amounts under any other compensation recovery or recoupment policy of the Company or any applicable provisions of plans, agreements, awards or other arrangements of the Company that provide for the recoupment or recovery of compensation from Executive Officers;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740" w:right="0" w:hanging="0"/>
        <w:jc w:val="left"/>
        <w:rPr>
          <w:rFonts w:ascii="Times New Roman" w:hAnsi="Times New Roman"/>
          <w:caps w:val="false"/>
          <w:smallCaps w:val="false"/>
          <w:sz w:val="20"/>
        </w:rPr>
      </w:pPr>
      <w:r>
        <w:rPr>
          <w:rFonts w:ascii="Times New Roman" w:hAnsi="Times New Roman"/>
          <w:caps w:val="false"/>
          <w:smallCaps w:val="false"/>
          <w:sz w:val="20"/>
        </w:rPr>
        <w:t>(ii)    to the extent that any Erroneously Awarded Compensation includes any amounts that have been actually reimbursed to the Company Group from any Applicable Executive pursuant to Section 304 of the Sarbanes-Oxley Act (any such amounts that have been reimbursed to the Company Group, the “</w:t>
      </w:r>
      <w:r>
        <w:rPr>
          <w:rFonts w:ascii="Times New Roman" w:hAnsi="Times New Roman"/>
          <w:caps w:val="false"/>
          <w:smallCaps w:val="false"/>
          <w:sz w:val="20"/>
          <w:u w:val="single"/>
        </w:rPr>
        <w:t>Applicable SOX Recoupment Amount</w:t>
      </w:r>
      <w:r>
        <w:rPr>
          <w:rFonts w:ascii="Times New Roman" w:hAnsi="Times New Roman"/>
          <w:caps w:val="false"/>
          <w:smallCaps w:val="false"/>
          <w:sz w:val="20"/>
        </w:rPr>
        <w:t>”), the amount of any Erroneously Awarded Compensation to be recovered from any such Applicable Executive shall be reduced by the Applicable SOX Recoupment Amount.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00" w:right="0" w:hanging="0"/>
        <w:jc w:val="left"/>
        <w:rPr>
          <w:rFonts w:ascii="Times New Roman" w:hAnsi="Times New Roman"/>
          <w:caps w:val="false"/>
          <w:smallCaps w:val="false"/>
          <w:sz w:val="20"/>
        </w:rPr>
      </w:pPr>
      <w:r>
        <w:rPr>
          <w:rFonts w:ascii="Times New Roman" w:hAnsi="Times New Roman"/>
          <w:b/>
          <w:caps w:val="false"/>
          <w:smallCaps w:val="false"/>
          <w:sz w:val="20"/>
        </w:rPr>
        <w:t>9.</w:t>
      </w:r>
      <w:r>
        <w:rPr>
          <w:rFonts w:ascii="Times New Roman" w:hAnsi="Times New Roman"/>
          <w:caps w:val="false"/>
          <w:smallCaps w:val="false"/>
          <w:sz w:val="20"/>
        </w:rPr>
        <w:t>    </w:t>
      </w:r>
      <w:r>
        <w:rPr>
          <w:rFonts w:ascii="Times New Roman" w:hAnsi="Times New Roman"/>
          <w:b/>
          <w:caps w:val="false"/>
          <w:smallCaps w:val="false"/>
          <w:sz w:val="20"/>
        </w:rPr>
        <w:t xml:space="preserve">Successors. </w:t>
      </w:r>
      <w:r>
        <w:rPr>
          <w:rFonts w:ascii="Times New Roman" w:hAnsi="Times New Roman"/>
          <w:caps w:val="false"/>
          <w:smallCaps w:val="false"/>
          <w:sz w:val="20"/>
        </w:rPr>
        <w:t>This Policy shall be binding and enforceable against all current and former Executive Officers and their beneficiaries, heirs, executors, administrators or other legal representatives.</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113809/000095013704006634/c86750exv2w1.txt" TargetMode="External"/><Relationship Id="rId3" Type="http://schemas.openxmlformats.org/officeDocument/2006/relationships/hyperlink" Target="http://www.sec.gov/Archives/edgar/data/1113809/000095013804000748/exh3-1.htm" TargetMode="External"/><Relationship Id="rId4" Type="http://schemas.openxmlformats.org/officeDocument/2006/relationships/hyperlink" Target="http://www.sec.gov/Archives/edgar/data/1113809/000115752318000029/a51738867_ex31.htm" TargetMode="External"/><Relationship Id="rId5" Type="http://schemas.openxmlformats.org/officeDocument/2006/relationships/hyperlink" Target="http://www.sec.gov/Archives/edgar/data/1113809/000095013704008227/c86750a3exv4w1.txt" TargetMode="External"/><Relationship Id="rId6" Type="http://schemas.openxmlformats.org/officeDocument/2006/relationships/hyperlink" Target="http://www.sec.gov/Archives/edgar/data/1113809/000143774921009026/ex_221494.htm" TargetMode="External"/><Relationship Id="rId7" Type="http://schemas.openxmlformats.org/officeDocument/2006/relationships/hyperlink" Target="http://www.sec.gov/Archives/edgar/data/1113809/000095013806000595/exh10-1.htm" TargetMode="External"/><Relationship Id="rId8" Type="http://schemas.openxmlformats.org/officeDocument/2006/relationships/hyperlink" Target="http://www.sec.gov/Archives/edgar/data/1113809/000119312509113997/dex991.htm" TargetMode="External"/><Relationship Id="rId9" Type="http://schemas.openxmlformats.org/officeDocument/2006/relationships/hyperlink" Target="http://www.sec.gov/Archives/edgar/data/1113809/000143774914008741/ex10-1.htm" TargetMode="External"/><Relationship Id="rId10" Type="http://schemas.openxmlformats.org/officeDocument/2006/relationships/hyperlink" Target="http://www.sec.gov/Archives/edgar/data/1113809/000143774914008741/ex10-2.htm" TargetMode="External"/><Relationship Id="rId11" Type="http://schemas.openxmlformats.org/officeDocument/2006/relationships/hyperlink" Target="http://www.sec.gov/Archives/edgar/data/1113809/000143774915005657/ex10-1.htm" TargetMode="External"/><Relationship Id="rId12" Type="http://schemas.openxmlformats.org/officeDocument/2006/relationships/hyperlink" Target="http://www.sec.gov/Archives/edgar/data/1113809/000143774916027470/ex10-7.htm" TargetMode="External"/><Relationship Id="rId13" Type="http://schemas.openxmlformats.org/officeDocument/2006/relationships/hyperlink" Target="http://www.sec.gov/Archives/edgar/data/1113809/000143774917004631/ex10-1.11.htm" TargetMode="External"/><Relationship Id="rId14" Type="http://schemas.openxmlformats.org/officeDocument/2006/relationships/hyperlink" Target="http://www.sec.gov/Archives/edgar/data/1113809/000143774917004827/ex10-2.htm" TargetMode="External"/><Relationship Id="rId15" Type="http://schemas.openxmlformats.org/officeDocument/2006/relationships/hyperlink" Target="http://www.sec.gov/Archives/edgar/data/1113809/000143774917008832/ex10-1.htm" TargetMode="External"/><Relationship Id="rId16" Type="http://schemas.openxmlformats.org/officeDocument/2006/relationships/hyperlink" Target="http://www.sec.gov/Archives/edgar/data/1113809/000143774918005168/ex_108426.htm" TargetMode="External"/><Relationship Id="rId17" Type="http://schemas.openxmlformats.org/officeDocument/2006/relationships/hyperlink" Target="http://www.sec.gov/Archives/edgar/data/1113809/000143774919007569/ex_141145.htm" TargetMode="External"/><Relationship Id="rId18" Type="http://schemas.openxmlformats.org/officeDocument/2006/relationships/hyperlink" Target="http://www.sec.gov/Archives/edgar/data/1113809/000143774920013031/ex_190164.htm" TargetMode="External"/><Relationship Id="rId19" Type="http://schemas.openxmlformats.org/officeDocument/2006/relationships/hyperlink" Target="http://www.sec.gov/Archives/edgar/data/1113809/000143774920020994/ex_206435.htm" TargetMode="External"/><Relationship Id="rId20" Type="http://schemas.openxmlformats.org/officeDocument/2006/relationships/hyperlink" Target="http://www.sec.gov/Archives/edgar/data/1113809/000143774920020994/ex_206435.htm" TargetMode="External"/><Relationship Id="rId21" Type="http://schemas.openxmlformats.org/officeDocument/2006/relationships/hyperlink" Target="http://www.sec.gov/Archives/edgar/data/1113809/000143774920020994/ex_206436.htm" TargetMode="External"/><Relationship Id="rId22" Type="http://schemas.openxmlformats.org/officeDocument/2006/relationships/hyperlink" Target="http://www.sec.gov/Archives/edgar/data/1113809/000143774920020994/ex_206436.htm" TargetMode="External"/><Relationship Id="rId23" Type="http://schemas.openxmlformats.org/officeDocument/2006/relationships/hyperlink" Target="http://www.sec.gov/Archives/edgar/data/1113809/000143774920020994/ex_206436.htm" TargetMode="External"/><Relationship Id="rId24" Type="http://schemas.openxmlformats.org/officeDocument/2006/relationships/hyperlink" Target="http://www.sec.gov/Archives/edgar/data/1113809/000143774920020994/ex_206436.htm" TargetMode="External"/><Relationship Id="rId25" Type="http://schemas.openxmlformats.org/officeDocument/2006/relationships/hyperlink" Target="http://www.sec.gov/Archives/edgar/data/1113809/000143774921009143/ex_241551.htm" TargetMode="External"/><Relationship Id="rId26" Type="http://schemas.openxmlformats.org/officeDocument/2006/relationships/hyperlink" Target="http://www.sec.gov/Archives/edgar/data/1113809/000143774921009143/ex_241550.htm" TargetMode="External"/><Relationship Id="rId27" Type="http://schemas.openxmlformats.org/officeDocument/2006/relationships/hyperlink" Target="http://www.sec.gov/Archives/edgar/data/1113809/000143774923010337/ex_500619.htm" TargetMode="External"/><Relationship Id="rId28" Type="http://schemas.openxmlformats.org/officeDocument/2006/relationships/hyperlink" Target="http://www.sec.gov/Archives/edgar/data/1113809/000143774923017061/ex_531708.htm" TargetMode="External"/><Relationship Id="rId29" Type="http://schemas.openxmlformats.org/officeDocument/2006/relationships/hyperlink" Target="http://www.sec.gov/Archives/edgar/data/1113809/000143774923017061/ex_531709.htm" TargetMode="External"/><Relationship Id="rId30" Type="http://schemas.openxmlformats.org/officeDocument/2006/relationships/hyperlink" Target="http://www.sec.gov/Archives/edgar/data/1113809/000095013707003883/n13023exv10w42.htm" TargetMode="External"/><Relationship Id="rId31" Type="http://schemas.openxmlformats.org/officeDocument/2006/relationships/hyperlink" Target="http://www.sec.gov/Archives/edgar/data/1113809/000143774916027470/ex10-1.htm" TargetMode="External"/><Relationship Id="rId32" Type="http://schemas.openxmlformats.org/officeDocument/2006/relationships/hyperlink" Target="http://www.sec.gov/Archives/edgar/data/1113809/000143774916027470/ex10-2.htm" TargetMode="External"/><Relationship Id="rId33" Type="http://schemas.openxmlformats.org/officeDocument/2006/relationships/hyperlink" Target="http://www.sec.gov/Archives/edgar/data/1113809/000143774916027470/ex10-3.htm" TargetMode="External"/><Relationship Id="rId34" Type="http://schemas.openxmlformats.org/officeDocument/2006/relationships/hyperlink" Target="http://www.sec.gov/Archives/edgar/data/1113809/000143774916027470/ex10-4.htm" TargetMode="External"/><Relationship Id="rId35" Type="http://schemas.openxmlformats.org/officeDocument/2006/relationships/hyperlink" Target="http://www.sec.gov/ix?doc=/Archives/edgar/data/1113809/000143774924003129/bbw20240204_8k.htm" TargetMode="External"/><Relationship Id="rId36" Type="http://schemas.openxmlformats.org/officeDocument/2006/relationships/hyperlink" Target="http://www.sec.gov/ix?doc=/Archives/edgar/data/1113809/000143774924003129/bbw20240204_8k.htm" TargetMode="External"/><Relationship Id="rId37" Type="http://schemas.openxmlformats.org/officeDocument/2006/relationships/hyperlink" Target="http://www.sec.gov/Archives/edgar/data/1113809/000143774916027470/ex10-5.htm" TargetMode="External"/><Relationship Id="rId38" Type="http://schemas.openxmlformats.org/officeDocument/2006/relationships/hyperlink" Target="http://www.sec.gov/Archives/edgar/data/1113809/000095013704006634/c86750exv10w11.txt" TargetMode="External"/><Relationship Id="rId39" Type="http://schemas.openxmlformats.org/officeDocument/2006/relationships/hyperlink" Target="http://www.sec.gov/Archives/edgar/data/1113809/000143774920019030/ex_201997.htm" TargetMode="External"/><Relationship Id="rId40" Type="http://schemas.openxmlformats.org/officeDocument/2006/relationships/hyperlink" Target="http://www.sec.gov/Archives/edgar/data/1113809/000143774921029063/ex_318451.htm" TargetMode="External"/><Relationship Id="rId41" Type="http://schemas.openxmlformats.org/officeDocument/2006/relationships/hyperlink" Target="http://www.sec.gov/Archives/edgar/data/1113809/000143774922027942/ex_449670.htm" TargetMode="External"/><Relationship Id="rId42" Type="http://schemas.openxmlformats.org/officeDocument/2006/relationships/hyperlink" Target="http://www.sec.gov/Archives/edgar/data/1113809/000095013706003138/c02747exv10w35.htm" TargetMode="External"/><Relationship Id="rId43" Type="http://schemas.openxmlformats.org/officeDocument/2006/relationships/hyperlink" Target="http://www.sec.gov/Archives/edgar/data/1113809/000095013706003138/c02747exv10w36.htm" TargetMode="External"/><Relationship Id="rId44" Type="http://schemas.openxmlformats.org/officeDocument/2006/relationships/fontTable" Target="fontTable.xml"/><Relationship Id="rId4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41890</Words>
  <Characters>235296</Characters>
  <CharactersWithSpaces>279465</CharactersWithSpaces>
  <Paragraphs>7076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