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23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157480</wp:posOffset>
            </wp:positionV>
            <wp:extent cx="7246620" cy="2603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26035"/>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200660</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UNITED STATES</w:t>
      </w:r>
    </w:p>
    <w:p>
      <w:pPr>
        <w:spacing w:after="0" w:line="5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SECURITIES AND EXCHANGE COMMISSION</w:t>
      </w:r>
    </w:p>
    <w:p>
      <w:pPr>
        <w:spacing w:after="0" w:line="37"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245110</wp:posOffset>
            </wp:positionV>
            <wp:extent cx="144907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3" w:lineRule="exact"/>
        <w:rPr>
          <w:sz w:val="24"/>
          <w:szCs w:val="24"/>
          <w:color w:val="auto"/>
        </w:rPr>
      </w:pPr>
    </w:p>
    <w:p>
      <w:pPr>
        <w:jc w:val="center"/>
        <w:ind w:right="-239"/>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238125</wp:posOffset>
            </wp:positionV>
            <wp:extent cx="144907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75" w:lineRule="exact"/>
        <w:rPr>
          <w:sz w:val="24"/>
          <w:szCs w:val="24"/>
          <w:color w:val="auto"/>
        </w:rPr>
      </w:pPr>
    </w:p>
    <w:p>
      <w:pPr>
        <w:spacing w:after="0"/>
        <w:rPr>
          <w:sz w:val="20"/>
          <w:szCs w:val="20"/>
          <w:color w:val="auto"/>
        </w:rPr>
      </w:pPr>
      <w:r>
        <w:rPr>
          <w:rFonts w:ascii="Arial" w:cs="Arial" w:eastAsia="Arial" w:hAnsi="Arial"/>
          <w:sz w:val="18"/>
          <w:szCs w:val="18"/>
          <w:b w:val="1"/>
          <w:bCs w:val="1"/>
          <w:color w:val="auto"/>
        </w:rPr>
        <w:t>(Mark One)</w:t>
      </w:r>
    </w:p>
    <w:p>
      <w:pPr>
        <w:spacing w:after="0" w:line="22" w:lineRule="exact"/>
        <w:rPr>
          <w:sz w:val="24"/>
          <w:szCs w:val="24"/>
          <w:color w:val="auto"/>
        </w:rPr>
      </w:pPr>
    </w:p>
    <w:p>
      <w:pPr>
        <w:ind w:left="340" w:right="3800" w:hanging="332"/>
        <w:spacing w:after="0" w:line="493" w:lineRule="auto"/>
        <w:tabs>
          <w:tab w:leader="none" w:pos="664" w:val="left"/>
        </w:tabs>
        <w:numPr>
          <w:ilvl w:val="0"/>
          <w:numId w:val="1"/>
        </w:numPr>
        <w:rPr>
          <w:rFonts w:ascii="MS PGothic" w:cs="MS PGothic" w:eastAsia="MS PGothic" w:hAnsi="MS PGothic"/>
          <w:sz w:val="18"/>
          <w:szCs w:val="18"/>
          <w:color w:val="auto"/>
        </w:rPr>
      </w:pPr>
      <w:r>
        <w:rPr>
          <w:rFonts w:ascii="Arial" w:cs="Arial" w:eastAsia="Arial" w:hAnsi="Arial"/>
          <w:sz w:val="18"/>
          <w:szCs w:val="18"/>
          <w:b w:val="1"/>
          <w:bCs w:val="1"/>
          <w:color w:val="auto"/>
        </w:rPr>
        <w:t>Quarterly report pursuant to Section 13 or 15(d) of the Securities Exchange Act of 1934 For the quarterly period ended October 3, 2015</w:t>
      </w:r>
    </w:p>
    <w:p>
      <w:pPr>
        <w:spacing w:after="0" w:line="1"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OR</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b w:val="1"/>
          <w:bCs w:val="1"/>
          <w:color w:val="auto"/>
        </w:rPr>
        <w:t>Transition report pursuant to Section 13 or 15(d) of the Securities Exchange Act of 1934</w:t>
      </w:r>
    </w:p>
    <w:p>
      <w:pPr>
        <w:spacing w:after="0" w:line="225" w:lineRule="exact"/>
        <w:rPr>
          <w:sz w:val="24"/>
          <w:szCs w:val="24"/>
          <w:color w:val="auto"/>
        </w:rPr>
      </w:pPr>
    </w:p>
    <w:p>
      <w:pPr>
        <w:ind w:left="340"/>
        <w:spacing w:after="0"/>
        <w:tabs>
          <w:tab w:leader="none" w:pos="3260" w:val="left"/>
        </w:tabs>
        <w:rPr>
          <w:sz w:val="20"/>
          <w:szCs w:val="20"/>
          <w:color w:val="auto"/>
        </w:rPr>
      </w:pPr>
      <w:r>
        <w:rPr>
          <w:rFonts w:ascii="Arial" w:cs="Arial" w:eastAsia="Arial" w:hAnsi="Arial"/>
          <w:sz w:val="18"/>
          <w:szCs w:val="18"/>
          <w:b w:val="1"/>
          <w:bCs w:val="1"/>
          <w:color w:val="auto"/>
        </w:rPr>
        <w:t>For the transition period from</w:t>
      </w:r>
      <w:r>
        <w:rPr>
          <w:sz w:val="20"/>
          <w:szCs w:val="20"/>
          <w:color w:val="auto"/>
        </w:rPr>
        <w:tab/>
      </w:r>
      <w:r>
        <w:rPr>
          <w:rFonts w:ascii="Arial" w:cs="Arial" w:eastAsia="Arial" w:hAnsi="Arial"/>
          <w:sz w:val="16"/>
          <w:szCs w:val="16"/>
          <w:b w:val="1"/>
          <w:bCs w:val="1"/>
          <w:color w:val="auto"/>
        </w:rPr>
        <w:t>to</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1716405</wp:posOffset>
            </wp:positionH>
            <wp:positionV relativeFrom="paragraph">
              <wp:posOffset>-7620</wp:posOffset>
            </wp:positionV>
            <wp:extent cx="866775"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866775" cy="8890"/>
                    </a:xfrm>
                    <a:prstGeom prst="rect">
                      <a:avLst/>
                    </a:prstGeom>
                    <a:noFill/>
                  </pic:spPr>
                </pic:pic>
              </a:graphicData>
            </a:graphic>
          </wp:anchor>
        </w:drawing>
      </w:r>
    </w:p>
    <w:p>
      <w:pPr>
        <w:spacing w:after="0" w:line="205"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Commission file number: 001-32320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223520</wp:posOffset>
            </wp:positionV>
            <wp:extent cx="144907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jc w:val="center"/>
        <w:ind w:right="-239"/>
        <w:spacing w:after="0"/>
        <w:rPr>
          <w:sz w:val="20"/>
          <w:szCs w:val="20"/>
          <w:color w:val="auto"/>
        </w:rPr>
      </w:pPr>
      <w:r>
        <w:rPr>
          <w:rFonts w:ascii="Arial" w:cs="Arial" w:eastAsia="Arial" w:hAnsi="Arial"/>
          <w:sz w:val="43"/>
          <w:szCs w:val="43"/>
          <w:b w:val="1"/>
          <w:bCs w:val="1"/>
          <w:color w:val="auto"/>
        </w:rPr>
        <w:t>BUILD-A-BEAR WORKSHOP, INC.</w:t>
      </w:r>
    </w:p>
    <w:p>
      <w:pPr>
        <w:spacing w:after="0" w:line="74" w:lineRule="exact"/>
        <w:rPr>
          <w:sz w:val="24"/>
          <w:szCs w:val="24"/>
          <w:color w:val="auto"/>
        </w:rPr>
      </w:pPr>
    </w:p>
    <w:p>
      <w:pPr>
        <w:jc w:val="center"/>
        <w:ind w:right="-23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210820</wp:posOffset>
            </wp:positionV>
            <wp:extent cx="14490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58" w:lineRule="exact"/>
        <w:rPr>
          <w:sz w:val="24"/>
          <w:szCs w:val="24"/>
          <w:color w:val="auto"/>
        </w:rPr>
      </w:pPr>
    </w:p>
    <w:tbl>
      <w:tblPr>
        <w:tblLayout w:type="fixed"/>
        <w:tblInd w:w="1320" w:type="dxa"/>
        <w:tblCellMar>
          <w:top w:w="0" w:type="dxa"/>
          <w:left w:w="0" w:type="dxa"/>
          <w:bottom w:w="0" w:type="dxa"/>
          <w:right w:w="0" w:type="dxa"/>
        </w:tblCellMar>
      </w:tblPr>
      <w:tr>
        <w:trPr>
          <w:trHeight w:val="216"/>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91"/>
              </w:rPr>
              <w:t>Delaware</w:t>
            </w:r>
          </w:p>
        </w:tc>
        <w:tc>
          <w:tcPr>
            <w:tcW w:w="1420" w:type="dxa"/>
            <w:vAlign w:val="bottom"/>
          </w:tcPr>
          <w:p>
            <w:pPr>
              <w:jc w:val="right"/>
              <w:ind w:right="190"/>
              <w:spacing w:after="0"/>
              <w:rPr>
                <w:sz w:val="20"/>
                <w:szCs w:val="20"/>
                <w:color w:val="auto"/>
              </w:rPr>
            </w:pPr>
            <w:r>
              <w:rPr>
                <w:rFonts w:ascii="Arial" w:cs="Arial" w:eastAsia="Arial" w:hAnsi="Arial"/>
                <w:sz w:val="18"/>
                <w:szCs w:val="18"/>
                <w:b w:val="1"/>
                <w:bCs w:val="1"/>
                <w:color w:val="auto"/>
              </w:rPr>
              <w:t>43-1883836</w:t>
            </w:r>
          </w:p>
        </w:tc>
      </w:tr>
      <w:tr>
        <w:trPr>
          <w:trHeight w:val="216"/>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90"/>
              </w:rPr>
              <w:t>(State or Other Jurisdiction of</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5"/>
              </w:rPr>
              <w:t>(IRS Employer</w:t>
            </w:r>
          </w:p>
        </w:tc>
      </w:tr>
      <w:tr>
        <w:trPr>
          <w:trHeight w:val="234"/>
        </w:trPr>
        <w:tc>
          <w:tcPr>
            <w:tcW w:w="6540" w:type="dxa"/>
            <w:vAlign w:val="bottom"/>
          </w:tcPr>
          <w:p>
            <w:pPr>
              <w:jc w:val="center"/>
              <w:ind w:right="3350"/>
              <w:spacing w:after="0"/>
              <w:rPr>
                <w:sz w:val="20"/>
                <w:szCs w:val="20"/>
                <w:color w:val="auto"/>
              </w:rPr>
            </w:pPr>
            <w:r>
              <w:rPr>
                <w:rFonts w:ascii="Arial" w:cs="Arial" w:eastAsia="Arial" w:hAnsi="Arial"/>
                <w:sz w:val="18"/>
                <w:szCs w:val="18"/>
                <w:b w:val="1"/>
                <w:bCs w:val="1"/>
                <w:color w:val="auto"/>
                <w:w w:val="93"/>
              </w:rPr>
              <w:t>Incorporation or Organization)</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3"/>
              </w:rPr>
              <w:t>Identification No.)</w:t>
            </w:r>
          </w:p>
        </w:tc>
      </w:tr>
      <w:tr>
        <w:trPr>
          <w:trHeight w:val="414"/>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90"/>
              </w:rPr>
              <w:t>1954 Innerbelt Business Center Drive</w:t>
            </w:r>
          </w:p>
        </w:tc>
        <w:tc>
          <w:tcPr>
            <w:tcW w:w="1420" w:type="dxa"/>
            <w:vAlign w:val="bottom"/>
          </w:tcPr>
          <w:p>
            <w:pPr>
              <w:spacing w:after="0"/>
              <w:rPr>
                <w:sz w:val="24"/>
                <w:szCs w:val="24"/>
                <w:color w:val="auto"/>
              </w:rPr>
            </w:pPr>
          </w:p>
        </w:tc>
      </w:tr>
      <w:tr>
        <w:trPr>
          <w:trHeight w:val="216"/>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89"/>
              </w:rPr>
              <w:t>St. Louis, Missouri</w:t>
            </w:r>
          </w:p>
        </w:tc>
        <w:tc>
          <w:tcPr>
            <w:tcW w:w="1420" w:type="dxa"/>
            <w:vAlign w:val="bottom"/>
          </w:tcPr>
          <w:p>
            <w:pPr>
              <w:jc w:val="right"/>
              <w:ind w:right="390"/>
              <w:spacing w:after="0"/>
              <w:rPr>
                <w:sz w:val="20"/>
                <w:szCs w:val="20"/>
                <w:color w:val="auto"/>
              </w:rPr>
            </w:pPr>
            <w:r>
              <w:rPr>
                <w:rFonts w:ascii="Arial" w:cs="Arial" w:eastAsia="Arial" w:hAnsi="Arial"/>
                <w:sz w:val="18"/>
                <w:szCs w:val="18"/>
                <w:b w:val="1"/>
                <w:bCs w:val="1"/>
                <w:color w:val="auto"/>
              </w:rPr>
              <w:t>63114</w:t>
            </w:r>
          </w:p>
        </w:tc>
      </w:tr>
      <w:tr>
        <w:trPr>
          <w:trHeight w:val="234"/>
        </w:trPr>
        <w:tc>
          <w:tcPr>
            <w:tcW w:w="6540" w:type="dxa"/>
            <w:vAlign w:val="bottom"/>
          </w:tcPr>
          <w:p>
            <w:pPr>
              <w:jc w:val="center"/>
              <w:ind w:right="3370"/>
              <w:spacing w:after="0"/>
              <w:rPr>
                <w:sz w:val="20"/>
                <w:szCs w:val="20"/>
                <w:color w:val="auto"/>
              </w:rPr>
            </w:pPr>
            <w:r>
              <w:rPr>
                <w:rFonts w:ascii="Arial" w:cs="Arial" w:eastAsia="Arial" w:hAnsi="Arial"/>
                <w:sz w:val="18"/>
                <w:szCs w:val="18"/>
                <w:b w:val="1"/>
                <w:bCs w:val="1"/>
                <w:color w:val="auto"/>
                <w:w w:val="90"/>
              </w:rPr>
              <w:t>(Address of Principal Executive Offices)</w:t>
            </w:r>
          </w:p>
        </w:tc>
        <w:tc>
          <w:tcPr>
            <w:tcW w:w="1420" w:type="dxa"/>
            <w:vAlign w:val="bottom"/>
          </w:tcPr>
          <w:p>
            <w:pPr>
              <w:jc w:val="center"/>
              <w:spacing w:after="0"/>
              <w:rPr>
                <w:sz w:val="20"/>
                <w:szCs w:val="20"/>
                <w:color w:val="auto"/>
              </w:rPr>
            </w:pPr>
            <w:r>
              <w:rPr>
                <w:rFonts w:ascii="Arial" w:cs="Arial" w:eastAsia="Arial" w:hAnsi="Arial"/>
                <w:sz w:val="18"/>
                <w:szCs w:val="18"/>
                <w:b w:val="1"/>
                <w:bCs w:val="1"/>
                <w:color w:val="auto"/>
                <w:w w:val="92"/>
              </w:rPr>
              <w:t>(Zip Code)</w:t>
            </w:r>
          </w:p>
        </w:tc>
      </w:tr>
      <w:tr>
        <w:trPr>
          <w:trHeight w:val="414"/>
        </w:trPr>
        <w:tc>
          <w:tcPr>
            <w:tcW w:w="6540" w:type="dxa"/>
            <w:vAlign w:val="bottom"/>
          </w:tcPr>
          <w:p>
            <w:pPr>
              <w:jc w:val="right"/>
              <w:ind w:right="1490"/>
              <w:spacing w:after="0"/>
              <w:rPr>
                <w:sz w:val="20"/>
                <w:szCs w:val="20"/>
                <w:color w:val="auto"/>
              </w:rPr>
            </w:pPr>
            <w:r>
              <w:rPr>
                <w:rFonts w:ascii="Arial" w:cs="Arial" w:eastAsia="Arial" w:hAnsi="Arial"/>
                <w:sz w:val="18"/>
                <w:szCs w:val="18"/>
                <w:b w:val="1"/>
                <w:bCs w:val="1"/>
                <w:color w:val="auto"/>
              </w:rPr>
              <w:t>(314) 423-8000</w:t>
            </w:r>
          </w:p>
        </w:tc>
        <w:tc>
          <w:tcPr>
            <w:tcW w:w="1420" w:type="dxa"/>
            <w:vAlign w:val="bottom"/>
          </w:tcPr>
          <w:p>
            <w:pPr>
              <w:spacing w:after="0"/>
              <w:rPr>
                <w:sz w:val="24"/>
                <w:szCs w:val="24"/>
                <w:color w:val="auto"/>
              </w:rPr>
            </w:pPr>
          </w:p>
        </w:tc>
      </w:tr>
      <w:tr>
        <w:trPr>
          <w:trHeight w:val="234"/>
        </w:trPr>
        <w:tc>
          <w:tcPr>
            <w:tcW w:w="6540" w:type="dxa"/>
            <w:vAlign w:val="bottom"/>
          </w:tcPr>
          <w:p>
            <w:pPr>
              <w:jc w:val="center"/>
              <w:ind w:left="2170"/>
              <w:spacing w:after="0"/>
              <w:rPr>
                <w:sz w:val="20"/>
                <w:szCs w:val="20"/>
                <w:color w:val="auto"/>
              </w:rPr>
            </w:pPr>
            <w:r>
              <w:rPr>
                <w:rFonts w:ascii="Arial" w:cs="Arial" w:eastAsia="Arial" w:hAnsi="Arial"/>
                <w:sz w:val="18"/>
                <w:szCs w:val="18"/>
                <w:b w:val="1"/>
                <w:bCs w:val="1"/>
                <w:color w:val="auto"/>
                <w:w w:val="90"/>
              </w:rPr>
              <w:t>(Registrant’s Telephone Number, Including Area Code)</w:t>
            </w:r>
          </w:p>
        </w:tc>
        <w:tc>
          <w:tcPr>
            <w:tcW w:w="1420" w:type="dxa"/>
            <w:vAlign w:val="bottom"/>
          </w:tcPr>
          <w:p>
            <w:pPr>
              <w:spacing w:after="0"/>
              <w:rPr>
                <w:sz w:val="20"/>
                <w:szCs w:val="20"/>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2903855</wp:posOffset>
            </wp:positionH>
            <wp:positionV relativeFrom="paragraph">
              <wp:posOffset>205740</wp:posOffset>
            </wp:positionV>
            <wp:extent cx="144907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44907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27" w:lineRule="exact"/>
        <w:rPr>
          <w:sz w:val="24"/>
          <w:szCs w:val="24"/>
          <w:color w:val="auto"/>
        </w:rPr>
      </w:pPr>
    </w:p>
    <w:p>
      <w:pPr>
        <w:ind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right="20" w:firstLine="486"/>
        <w:spacing w:after="0" w:line="227" w:lineRule="exact"/>
        <w:rPr>
          <w:sz w:val="20"/>
          <w:szCs w:val="20"/>
          <w:color w:val="auto"/>
        </w:rPr>
      </w:pPr>
      <w:r>
        <w:rPr>
          <w:rFonts w:ascii="Arial" w:cs="Arial" w:eastAsia="Arial" w:hAnsi="Arial"/>
          <w:sz w:val="18"/>
          <w:szCs w:val="18"/>
          <w:color w:val="auto"/>
        </w:rPr>
        <w:t xml:space="preserve">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w:t>
      </w:r>
      <w:r>
        <w:rPr>
          <w:rFonts w:ascii="MS PGothic" w:cs="MS PGothic" w:eastAsia="MS PGothic" w:hAnsi="MS PGothic"/>
          <w:sz w:val="18"/>
          <w:szCs w:val="18"/>
          <w:color w:val="auto"/>
        </w:rPr>
        <w:t>☒</w:t>
      </w:r>
      <w:r>
        <w:rPr>
          <w:rFonts w:ascii="Arial" w:cs="Arial" w:eastAsia="Arial" w:hAnsi="Arial"/>
          <w:sz w:val="18"/>
          <w:szCs w:val="18"/>
          <w:color w:val="auto"/>
        </w:rPr>
        <w:t xml:space="preserve"> No </w:t>
      </w:r>
      <w:r>
        <w:rPr>
          <w:rFonts w:ascii="MS PGothic" w:cs="MS PGothic" w:eastAsia="MS PGothic" w:hAnsi="MS PGothic"/>
          <w:sz w:val="18"/>
          <w:szCs w:val="18"/>
          <w:color w:val="auto"/>
        </w:rPr>
        <w:t>☐</w:t>
      </w:r>
    </w:p>
    <w:p>
      <w:pPr>
        <w:spacing w:after="0" w:line="184" w:lineRule="exact"/>
        <w:rPr>
          <w:sz w:val="24"/>
          <w:szCs w:val="24"/>
          <w:color w:val="auto"/>
        </w:rPr>
      </w:pPr>
    </w:p>
    <w:p>
      <w:pPr>
        <w:ind w:left="500"/>
        <w:spacing w:after="0"/>
        <w:rPr>
          <w:sz w:val="20"/>
          <w:szCs w:val="20"/>
          <w:color w:val="auto"/>
        </w:rPr>
      </w:pPr>
      <w:r>
        <w:rPr>
          <w:rFonts w:ascii="Arial" w:cs="Arial" w:eastAsia="Arial" w:hAnsi="Arial"/>
          <w:sz w:val="16"/>
          <w:szCs w:val="16"/>
          <w:color w:val="auto"/>
        </w:rPr>
        <w:t>Indicate by check mark whether the registrant is a large accelerated filer, an accelerated filer, a non-accelerated filer or a smaller reporting company.</w:t>
      </w:r>
    </w:p>
    <w:p>
      <w:pPr>
        <w:spacing w:after="0" w:line="46" w:lineRule="exact"/>
        <w:rPr>
          <w:sz w:val="24"/>
          <w:szCs w:val="24"/>
          <w:color w:val="auto"/>
        </w:rPr>
      </w:pPr>
    </w:p>
    <w:p>
      <w:pPr>
        <w:spacing w:after="0"/>
        <w:rPr>
          <w:sz w:val="20"/>
          <w:szCs w:val="20"/>
          <w:color w:val="auto"/>
        </w:rPr>
      </w:pPr>
      <w:r>
        <w:rPr>
          <w:rFonts w:ascii="Arial" w:cs="Arial" w:eastAsia="Arial" w:hAnsi="Arial"/>
          <w:sz w:val="17"/>
          <w:szCs w:val="17"/>
          <w:color w:val="auto"/>
        </w:rPr>
        <w:t>See the definitions of “large accelerated filer,” “accelerated filer” and “smaller reporting company” in Rule 12b-2 of the Exchange Act. (Check one):</w:t>
      </w:r>
    </w:p>
    <w:p>
      <w:pPr>
        <w:spacing w:after="0" w:line="190" w:lineRule="exact"/>
        <w:rPr>
          <w:sz w:val="24"/>
          <w:szCs w:val="24"/>
          <w:color w:val="auto"/>
        </w:rPr>
      </w:pPr>
    </w:p>
    <w:p>
      <w:pPr>
        <w:ind w:left="1140"/>
        <w:spacing w:after="0" w:line="207" w:lineRule="exact"/>
        <w:tabs>
          <w:tab w:leader="none" w:pos="7800" w:val="left"/>
        </w:tabs>
        <w:rPr>
          <w:sz w:val="20"/>
          <w:szCs w:val="20"/>
          <w:color w:val="auto"/>
        </w:rPr>
      </w:pPr>
      <w:r>
        <w:rPr>
          <w:rFonts w:ascii="Arial" w:cs="Arial" w:eastAsia="Arial" w:hAnsi="Arial"/>
          <w:sz w:val="18"/>
          <w:szCs w:val="18"/>
          <w:color w:val="auto"/>
        </w:rPr>
        <w:t xml:space="preserve">Large 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Accelerated filer </w:t>
      </w:r>
      <w:r>
        <w:rPr>
          <w:rFonts w:ascii="MS PGothic" w:cs="MS PGothic" w:eastAsia="MS PGothic" w:hAnsi="MS PGothic"/>
          <w:sz w:val="16"/>
          <w:szCs w:val="16"/>
          <w:color w:val="auto"/>
        </w:rPr>
        <w:t>☒</w:t>
      </w:r>
    </w:p>
    <w:p>
      <w:pPr>
        <w:spacing w:after="0" w:line="225" w:lineRule="exact"/>
        <w:rPr>
          <w:sz w:val="24"/>
          <w:szCs w:val="24"/>
          <w:color w:val="auto"/>
        </w:rPr>
      </w:pPr>
    </w:p>
    <w:p>
      <w:pPr>
        <w:ind w:left="1140"/>
        <w:spacing w:after="0" w:line="207" w:lineRule="exact"/>
        <w:tabs>
          <w:tab w:leader="none" w:pos="7800" w:val="left"/>
        </w:tabs>
        <w:rPr>
          <w:sz w:val="20"/>
          <w:szCs w:val="20"/>
          <w:color w:val="auto"/>
        </w:rPr>
      </w:pPr>
      <w:r>
        <w:rPr>
          <w:rFonts w:ascii="Arial" w:cs="Arial" w:eastAsia="Arial" w:hAnsi="Arial"/>
          <w:sz w:val="18"/>
          <w:szCs w:val="18"/>
          <w:color w:val="auto"/>
        </w:rPr>
        <w:t xml:space="preserve">Non-accelerated filer </w:t>
      </w:r>
      <w:r>
        <w:rPr>
          <w:rFonts w:ascii="MS PGothic" w:cs="MS PGothic" w:eastAsia="MS PGothic" w:hAnsi="MS PGothic"/>
          <w:sz w:val="18"/>
          <w:szCs w:val="18"/>
          <w:color w:val="auto"/>
        </w:rPr>
        <w:t>☐</w:t>
      </w:r>
      <w:r>
        <w:rPr>
          <w:sz w:val="20"/>
          <w:szCs w:val="20"/>
          <w:color w:val="auto"/>
        </w:rPr>
        <w:tab/>
      </w:r>
      <w:r>
        <w:rPr>
          <w:rFonts w:ascii="Arial" w:cs="Arial" w:eastAsia="Arial" w:hAnsi="Arial"/>
          <w:sz w:val="16"/>
          <w:szCs w:val="16"/>
          <w:color w:val="auto"/>
        </w:rPr>
        <w:t xml:space="preserve">Smaller reporting company </w:t>
      </w:r>
      <w:r>
        <w:rPr>
          <w:rFonts w:ascii="MS PGothic" w:cs="MS PGothic" w:eastAsia="MS PGothic" w:hAnsi="MS PGothic"/>
          <w:sz w:val="16"/>
          <w:szCs w:val="16"/>
          <w:color w:val="auto"/>
        </w:rPr>
        <w:t>☐</w:t>
      </w:r>
    </w:p>
    <w:p>
      <w:pPr>
        <w:spacing w:after="0" w:line="58" w:lineRule="exact"/>
        <w:rPr>
          <w:sz w:val="24"/>
          <w:szCs w:val="24"/>
          <w:color w:val="auto"/>
        </w:rPr>
      </w:pPr>
    </w:p>
    <w:p>
      <w:pPr>
        <w:ind w:left="1140"/>
        <w:spacing w:after="0"/>
        <w:rPr>
          <w:sz w:val="20"/>
          <w:szCs w:val="20"/>
          <w:color w:val="auto"/>
        </w:rPr>
      </w:pPr>
      <w:r>
        <w:rPr>
          <w:rFonts w:ascii="Arial" w:cs="Arial" w:eastAsia="Arial" w:hAnsi="Arial"/>
          <w:sz w:val="18"/>
          <w:szCs w:val="18"/>
          <w:color w:val="auto"/>
        </w:rPr>
        <w:t>(Do not check if a smaller reporting company)</w:t>
      </w:r>
    </w:p>
    <w:p>
      <w:pPr>
        <w:spacing w:after="0" w:line="177" w:lineRule="exact"/>
        <w:rPr>
          <w:sz w:val="24"/>
          <w:szCs w:val="24"/>
          <w:color w:val="auto"/>
        </w:rPr>
      </w:pPr>
    </w:p>
    <w:p>
      <w:pPr>
        <w:ind w:left="440"/>
        <w:spacing w:after="0" w:line="207" w:lineRule="exact"/>
        <w:tabs>
          <w:tab w:leader="none" w:pos="8780" w:val="left"/>
          <w:tab w:leader="none" w:pos="948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w:t>
      </w:r>
      <w:r>
        <w:rPr>
          <w:sz w:val="20"/>
          <w:szCs w:val="20"/>
          <w:color w:val="auto"/>
        </w:rPr>
        <w:tab/>
      </w:r>
      <w:r>
        <w:rPr>
          <w:rFonts w:ascii="Arial" w:cs="Arial" w:eastAsia="Arial" w:hAnsi="Arial"/>
          <w:sz w:val="18"/>
          <w:szCs w:val="18"/>
          <w:color w:val="auto"/>
        </w:rPr>
        <w:t xml:space="preserve">Yes </w:t>
      </w:r>
      <w:r>
        <w:rPr>
          <w:rFonts w:ascii="MS PGothic" w:cs="MS PGothic" w:eastAsia="MS PGothic" w:hAnsi="MS PGothic"/>
          <w:sz w:val="18"/>
          <w:szCs w:val="18"/>
          <w:color w:val="auto"/>
        </w:rPr>
        <w:t>☐</w:t>
      </w:r>
      <w:r>
        <w:rPr>
          <w:sz w:val="20"/>
          <w:szCs w:val="20"/>
          <w:color w:val="auto"/>
        </w:rPr>
        <w:tab/>
      </w:r>
      <w:r>
        <w:rPr>
          <w:rFonts w:ascii="Arial" w:cs="Arial" w:eastAsia="Arial" w:hAnsi="Arial"/>
          <w:sz w:val="17"/>
          <w:szCs w:val="17"/>
          <w:color w:val="auto"/>
        </w:rPr>
        <w:t xml:space="preserve">No  </w:t>
      </w:r>
      <w:r>
        <w:rPr>
          <w:rFonts w:ascii="MS PGothic" w:cs="MS PGothic" w:eastAsia="MS PGothic" w:hAnsi="MS PGothic"/>
          <w:sz w:val="17"/>
          <w:szCs w:val="17"/>
          <w:color w:val="auto"/>
        </w:rPr>
        <w:t>☒</w:t>
      </w:r>
    </w:p>
    <w:p>
      <w:pPr>
        <w:spacing w:after="0" w:line="258" w:lineRule="exact"/>
        <w:rPr>
          <w:sz w:val="24"/>
          <w:szCs w:val="24"/>
          <w:color w:val="auto"/>
        </w:rPr>
      </w:pPr>
    </w:p>
    <w:p>
      <w:pPr>
        <w:ind w:left="500"/>
        <w:spacing w:after="0"/>
        <w:rPr>
          <w:sz w:val="20"/>
          <w:szCs w:val="20"/>
          <w:color w:val="auto"/>
        </w:rPr>
      </w:pPr>
      <w:r>
        <w:rPr>
          <w:rFonts w:ascii="Arial" w:cs="Arial" w:eastAsia="Arial" w:hAnsi="Arial"/>
          <w:sz w:val="18"/>
          <w:szCs w:val="18"/>
          <w:color w:val="auto"/>
        </w:rPr>
        <w:t>As of November 10, 2015, there were 16,385,392, issued and outstanding shares of the registrant’s 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152400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177800</wp:posOffset>
            </wp:positionV>
            <wp:extent cx="7246620" cy="260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26035"/>
                    </a:xfrm>
                    <a:prstGeom prst="rect">
                      <a:avLst/>
                    </a:prstGeom>
                    <a:noFill/>
                  </pic:spPr>
                </pic:pic>
              </a:graphicData>
            </a:graphic>
          </wp:anchor>
        </w:drawing>
      </w:r>
    </w:p>
    <w:p>
      <w:pPr>
        <w:sectPr>
          <w:pgSz w:w="11900" w:h="16838" w:orient="portrait"/>
          <w:cols w:equalWidth="0" w:num="1">
            <w:col w:w="11180"/>
          </w:cols>
          <w:pgMar w:left="240" w:top="422" w:right="479" w:bottom="381" w:gutter="0" w:footer="0" w:header="0"/>
        </w:sectPr>
      </w:pPr>
    </w:p>
    <w:p>
      <w:pPr>
        <w:spacing w:after="0" w:line="200" w:lineRule="exact"/>
        <w:rPr>
          <w:sz w:val="24"/>
          <w:szCs w:val="24"/>
          <w:color w:val="auto"/>
        </w:rPr>
      </w:pPr>
    </w:p>
    <w:p>
      <w:pPr>
        <w:spacing w:after="0" w:line="200" w:lineRule="exact"/>
        <w:rPr>
          <w:sz w:val="24"/>
          <w:szCs w:val="24"/>
          <w:color w:val="auto"/>
        </w:rPr>
      </w:pPr>
    </w:p>
    <w:p>
      <w:pPr>
        <w:spacing w:after="0" w:line="392" w:lineRule="exact"/>
        <w:rPr>
          <w:sz w:val="24"/>
          <w:szCs w:val="24"/>
          <w:color w:val="auto"/>
        </w:rPr>
      </w:pPr>
    </w:p>
    <w:p>
      <w:pPr>
        <w:jc w:val="center"/>
        <w:ind w:right="-239"/>
        <w:spacing w:after="0"/>
        <w:rPr>
          <w:sz w:val="20"/>
          <w:szCs w:val="20"/>
          <w:color w:val="auto"/>
        </w:rPr>
      </w:pPr>
      <w:r>
        <w:rPr>
          <w:rFonts w:ascii="Arial" w:cs="Arial" w:eastAsia="Arial" w:hAnsi="Arial"/>
          <w:sz w:val="17"/>
          <w:szCs w:val="17"/>
          <w:color w:val="auto"/>
        </w:rPr>
        <w:t>1</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88900</wp:posOffset>
            </wp:positionV>
            <wp:extent cx="726757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180"/>
          </w:cols>
          <w:pgMar w:left="240" w:top="422" w:right="479" w:bottom="381" w:gutter="0" w:footer="0" w:header="0"/>
          <w:type w:val="continuous"/>
        </w:sectPr>
      </w:pPr>
    </w:p>
    <w:bookmarkStart w:id="1" w:name="page2"/>
    <w:bookmarkEnd w:id="1"/>
    <w:p>
      <w:pPr>
        <w:jc w:val="center"/>
        <w:ind w:right="40"/>
        <w:spacing w:after="0"/>
        <w:rPr>
          <w:sz w:val="20"/>
          <w:szCs w:val="20"/>
          <w:color w:val="auto"/>
        </w:rPr>
      </w:pPr>
      <w:r>
        <w:rPr>
          <w:rFonts w:ascii="Arial" w:cs="Arial" w:eastAsia="Arial" w:hAnsi="Arial"/>
          <w:sz w:val="18"/>
          <w:szCs w:val="18"/>
          <w:b w:val="1"/>
          <w:bCs w:val="1"/>
          <w:color w:val="auto"/>
        </w:rPr>
        <w:t>BUILD-A-BEAR WORKSHOP, INC.</w:t>
      </w:r>
    </w:p>
    <w:p>
      <w:pPr>
        <w:spacing w:after="0" w:line="27"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INDEX TO FORM 10-Q</w:t>
      </w:r>
    </w:p>
    <w:p>
      <w:pPr>
        <w:spacing w:after="0" w:line="200" w:lineRule="exact"/>
        <w:rPr>
          <w:sz w:val="20"/>
          <w:szCs w:val="20"/>
          <w:color w:val="auto"/>
        </w:rPr>
      </w:pP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7"/>
        </w:trPr>
        <w:tc>
          <w:tcPr>
            <w:tcW w:w="2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20" w:type="dxa"/>
            <w:vAlign w:val="bottom"/>
          </w:tcPr>
          <w:p>
            <w:pPr>
              <w:spacing w:after="0"/>
              <w:rPr>
                <w:sz w:val="17"/>
                <w:szCs w:val="17"/>
                <w:color w:val="auto"/>
              </w:rPr>
            </w:pPr>
          </w:p>
        </w:tc>
        <w:tc>
          <w:tcPr>
            <w:tcW w:w="480" w:type="dxa"/>
            <w:vAlign w:val="bottom"/>
            <w:gridSpan w:val="3"/>
          </w:tcPr>
          <w:p>
            <w:pPr>
              <w:spacing w:after="0"/>
              <w:rPr>
                <w:sz w:val="20"/>
                <w:szCs w:val="20"/>
                <w:color w:val="auto"/>
              </w:rPr>
            </w:pPr>
            <w:r>
              <w:rPr>
                <w:rFonts w:ascii="Arial" w:cs="Arial" w:eastAsia="Arial" w:hAnsi="Arial"/>
                <w:sz w:val="18"/>
                <w:szCs w:val="18"/>
                <w:color w:val="auto"/>
              </w:rPr>
              <w:t>Page</w:t>
            </w:r>
          </w:p>
        </w:tc>
        <w:tc>
          <w:tcPr>
            <w:tcW w:w="0" w:type="dxa"/>
            <w:vAlign w:val="bottom"/>
          </w:tcPr>
          <w:p>
            <w:pPr>
              <w:spacing w:after="0"/>
              <w:rPr>
                <w:sz w:val="1"/>
                <w:szCs w:val="1"/>
                <w:color w:val="auto"/>
              </w:rPr>
            </w:pPr>
          </w:p>
        </w:tc>
      </w:tr>
      <w:tr>
        <w:trPr>
          <w:trHeight w:val="21"/>
        </w:trPr>
        <w:tc>
          <w:tcPr>
            <w:tcW w:w="20" w:type="dxa"/>
            <w:vAlign w:val="bottom"/>
            <w:vMerge w:val="restart"/>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20" w:type="dxa"/>
            <w:vAlign w:val="bottom"/>
          </w:tcPr>
          <w:p>
            <w:pPr>
              <w:spacing w:after="0" w:line="20" w:lineRule="exact"/>
              <w:rPr>
                <w:sz w:val="1"/>
                <w:szCs w:val="1"/>
                <w:color w:val="auto"/>
              </w:rPr>
            </w:pPr>
          </w:p>
        </w:tc>
        <w:tc>
          <w:tcPr>
            <w:tcW w:w="3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 Financial Information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1.</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Financial Statements (Unaudited)</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ind w:left="540"/>
              <w:spacing w:after="0"/>
              <w:rPr>
                <w:sz w:val="20"/>
                <w:szCs w:val="20"/>
                <w:color w:val="auto"/>
              </w:rPr>
            </w:pPr>
            <w:r>
              <w:rPr>
                <w:rFonts w:ascii="Arial" w:cs="Arial" w:eastAsia="Arial" w:hAnsi="Arial"/>
                <w:sz w:val="18"/>
                <w:szCs w:val="18"/>
                <w:color w:val="auto"/>
              </w:rPr>
              <w:t>Condensed Consolidated Balance Sheets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3</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Condensed Consolidated Income Statements and Statements of Comprehensive Income</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ind w:left="540"/>
              <w:spacing w:after="0"/>
              <w:rPr>
                <w:sz w:val="20"/>
                <w:szCs w:val="20"/>
                <w:color w:val="auto"/>
              </w:rPr>
            </w:pPr>
            <w:r>
              <w:rPr>
                <w:rFonts w:ascii="Arial" w:cs="Arial" w:eastAsia="Arial" w:hAnsi="Arial"/>
                <w:sz w:val="18"/>
                <w:szCs w:val="18"/>
                <w:color w:val="auto"/>
              </w:rPr>
              <w:t>Condensed Consolidated Statements of Cash Flows</w:t>
            </w: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20" w:type="dxa"/>
            <w:vAlign w:val="bottom"/>
            <w:shd w:val="clear" w:color="auto" w:fill="CCEEFF"/>
          </w:tcPr>
          <w:p>
            <w:pPr>
              <w:ind w:left="540"/>
              <w:spacing w:after="0"/>
              <w:rPr>
                <w:sz w:val="20"/>
                <w:szCs w:val="20"/>
                <w:color w:val="auto"/>
              </w:rPr>
            </w:pPr>
            <w:r>
              <w:rPr>
                <w:rFonts w:ascii="Arial" w:cs="Arial" w:eastAsia="Arial" w:hAnsi="Arial"/>
                <w:sz w:val="18"/>
                <w:szCs w:val="18"/>
                <w:color w:val="auto"/>
              </w:rPr>
              <w:t>Notes to Condensed Consolidated Financial Statements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6</w:t>
            </w: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2.</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Management’s Discussion and Analysis of Financial Condition and Results of Operations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3.</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Quantitative and Qualitative Disclosures About Market Risk</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4.</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Controls and Procedures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10960" w:type="dxa"/>
            <w:vAlign w:val="bottom"/>
            <w:gridSpan w:val="2"/>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1096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Part II Other Information</w:t>
            </w:r>
          </w:p>
        </w:tc>
        <w:tc>
          <w:tcPr>
            <w:tcW w:w="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1A.</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Risk Factors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2.</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Unregistered Sales of Equity Securities and Use of Proceeds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ind w:left="200"/>
              <w:spacing w:after="0"/>
              <w:rPr>
                <w:sz w:val="20"/>
                <w:szCs w:val="20"/>
                <w:color w:val="auto"/>
              </w:rPr>
            </w:pPr>
            <w:r>
              <w:rPr>
                <w:rFonts w:ascii="Arial" w:cs="Arial" w:eastAsia="Arial" w:hAnsi="Arial"/>
                <w:sz w:val="18"/>
                <w:szCs w:val="18"/>
                <w:color w:val="auto"/>
              </w:rPr>
              <w:t>Item 6.</w:t>
            </w:r>
          </w:p>
        </w:tc>
        <w:tc>
          <w:tcPr>
            <w:tcW w:w="10020" w:type="dxa"/>
            <w:vAlign w:val="bottom"/>
            <w:shd w:val="clear" w:color="auto" w:fill="CCEEFF"/>
          </w:tcPr>
          <w:p>
            <w:pPr>
              <w:ind w:left="100"/>
              <w:spacing w:after="0"/>
              <w:rPr>
                <w:sz w:val="20"/>
                <w:szCs w:val="20"/>
                <w:color w:val="auto"/>
              </w:rPr>
            </w:pPr>
            <w:r>
              <w:rPr>
                <w:rFonts w:ascii="Arial" w:cs="Arial" w:eastAsia="Arial" w:hAnsi="Arial"/>
                <w:sz w:val="18"/>
                <w:szCs w:val="18"/>
                <w:color w:val="auto"/>
              </w:rPr>
              <w:t>Exhibits</w:t>
            </w: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21</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2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0" w:type="dxa"/>
            <w:vAlign w:val="bottom"/>
            <w:vMerge w:val="restart"/>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940" w:type="dxa"/>
            <w:vAlign w:val="bottom"/>
            <w:shd w:val="clear" w:color="auto" w:fill="CCEEFF"/>
          </w:tcPr>
          <w:p>
            <w:pPr>
              <w:spacing w:after="0"/>
              <w:rPr>
                <w:sz w:val="20"/>
                <w:szCs w:val="20"/>
                <w:color w:val="auto"/>
              </w:rPr>
            </w:pPr>
            <w:r>
              <w:rPr>
                <w:rFonts w:ascii="Arial" w:cs="Arial" w:eastAsia="Arial" w:hAnsi="Arial"/>
                <w:sz w:val="18"/>
                <w:szCs w:val="18"/>
                <w:color w:val="auto"/>
              </w:rPr>
              <w:t>Signatures</w:t>
            </w:r>
          </w:p>
        </w:tc>
        <w:tc>
          <w:tcPr>
            <w:tcW w:w="1002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22</w:t>
            </w:r>
          </w:p>
        </w:tc>
        <w:tc>
          <w:tcPr>
            <w:tcW w:w="40" w:type="dxa"/>
            <w:vAlign w:val="bottom"/>
            <w:vMerge w:val="continue"/>
          </w:tcPr>
          <w:p>
            <w:pPr>
              <w:spacing w:after="0"/>
              <w:rPr>
                <w:sz w:val="18"/>
                <w:szCs w:val="18"/>
                <w:color w:val="auto"/>
              </w:rPr>
            </w:pPr>
          </w:p>
        </w:tc>
        <w:tc>
          <w:tcPr>
            <w:tcW w:w="0" w:type="dxa"/>
            <w:vAlign w:val="bottom"/>
          </w:tcPr>
          <w:p>
            <w:pPr>
              <w:spacing w:after="0"/>
              <w:rPr>
                <w:sz w:val="1"/>
                <w:szCs w:val="1"/>
                <w:color w:val="auto"/>
              </w:rPr>
            </w:pPr>
          </w:p>
        </w:tc>
      </w:tr>
      <w:tr>
        <w:trPr>
          <w:trHeight w:val="729"/>
        </w:trPr>
        <w:tc>
          <w:tcPr>
            <w:tcW w:w="2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20" w:type="dxa"/>
            <w:vAlign w:val="bottom"/>
          </w:tcPr>
          <w:p>
            <w:pPr>
              <w:ind w:left="4700"/>
              <w:spacing w:after="0"/>
              <w:rPr>
                <w:sz w:val="20"/>
                <w:szCs w:val="20"/>
                <w:color w:val="auto"/>
              </w:rPr>
            </w:pPr>
            <w:r>
              <w:rPr>
                <w:rFonts w:ascii="Arial" w:cs="Arial" w:eastAsia="Arial" w:hAnsi="Arial"/>
                <w:sz w:val="18"/>
                <w:szCs w:val="18"/>
                <w:color w:val="auto"/>
              </w:rPr>
              <w:t>2</w:t>
            </w:r>
          </w:p>
        </w:tc>
        <w:tc>
          <w:tcPr>
            <w:tcW w:w="3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20" w:type="dxa"/>
            <w:vAlign w:val="bottom"/>
          </w:tcPr>
          <w:p>
            <w:pPr>
              <w:spacing w:after="0"/>
              <w:rPr>
                <w:sz w:val="9"/>
                <w:szCs w:val="9"/>
                <w:color w:val="auto"/>
              </w:rPr>
            </w:pPr>
          </w:p>
        </w:tc>
        <w:tc>
          <w:tcPr>
            <w:tcW w:w="940" w:type="dxa"/>
            <w:vAlign w:val="bottom"/>
          </w:tcPr>
          <w:p>
            <w:pPr>
              <w:spacing w:after="0"/>
              <w:rPr>
                <w:sz w:val="9"/>
                <w:szCs w:val="9"/>
                <w:color w:val="auto"/>
              </w:rPr>
            </w:pPr>
          </w:p>
        </w:tc>
        <w:tc>
          <w:tcPr>
            <w:tcW w:w="10020" w:type="dxa"/>
            <w:vAlign w:val="bottom"/>
          </w:tcPr>
          <w:p>
            <w:pPr>
              <w:spacing w:after="0"/>
              <w:rPr>
                <w:sz w:val="9"/>
                <w:szCs w:val="9"/>
                <w:color w:val="auto"/>
              </w:rPr>
            </w:pPr>
          </w:p>
        </w:tc>
        <w:tc>
          <w:tcPr>
            <w:tcW w:w="340" w:type="dxa"/>
            <w:vAlign w:val="bottom"/>
          </w:tcPr>
          <w:p>
            <w:pPr>
              <w:spacing w:after="0"/>
              <w:rPr>
                <w:sz w:val="9"/>
                <w:szCs w:val="9"/>
                <w:color w:val="auto"/>
              </w:rPr>
            </w:pPr>
          </w:p>
        </w:tc>
        <w:tc>
          <w:tcPr>
            <w:tcW w:w="100" w:type="dxa"/>
            <w:vAlign w:val="bottom"/>
          </w:tcPr>
          <w:p>
            <w:pPr>
              <w:spacing w:after="0"/>
              <w:rPr>
                <w:sz w:val="9"/>
                <w:szCs w:val="9"/>
                <w:color w:val="auto"/>
              </w:rPr>
            </w:pPr>
          </w:p>
        </w:tc>
        <w:tc>
          <w:tcPr>
            <w:tcW w:w="4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20" w:type="dxa"/>
            <w:vAlign w:val="bottom"/>
            <w:shd w:val="clear" w:color="auto" w:fill="808080"/>
          </w:tcPr>
          <w:p>
            <w:pPr>
              <w:spacing w:after="0"/>
              <w:rPr>
                <w:sz w:val="5"/>
                <w:szCs w:val="5"/>
                <w:color w:val="auto"/>
              </w:rPr>
            </w:pPr>
          </w:p>
        </w:tc>
        <w:tc>
          <w:tcPr>
            <w:tcW w:w="940" w:type="dxa"/>
            <w:vAlign w:val="bottom"/>
            <w:shd w:val="clear" w:color="auto" w:fill="808080"/>
          </w:tcPr>
          <w:p>
            <w:pPr>
              <w:spacing w:after="0"/>
              <w:rPr>
                <w:sz w:val="5"/>
                <w:szCs w:val="5"/>
                <w:color w:val="auto"/>
              </w:rPr>
            </w:pPr>
          </w:p>
        </w:tc>
        <w:tc>
          <w:tcPr>
            <w:tcW w:w="1002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580" w:right="199" w:bottom="144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PART I-FINANCIAL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 Financial Statements</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40" w:type="dxa"/>
            <w:vAlign w:val="bottom"/>
            <w:gridSpan w:val="2"/>
          </w:tcPr>
          <w:p>
            <w:pPr>
              <w:jc w:val="center"/>
              <w:ind w:right="360"/>
              <w:spacing w:after="0"/>
              <w:rPr>
                <w:sz w:val="20"/>
                <w:szCs w:val="20"/>
                <w:color w:val="auto"/>
              </w:rPr>
            </w:pPr>
            <w:r>
              <w:rPr>
                <w:rFonts w:ascii="Arial" w:cs="Arial" w:eastAsia="Arial" w:hAnsi="Arial"/>
                <w:sz w:val="18"/>
                <w:szCs w:val="18"/>
                <w:b w:val="1"/>
                <w:bCs w:val="1"/>
                <w:color w:val="auto"/>
                <w:w w:val="89"/>
              </w:rPr>
              <w:t>October 3,</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January 3,</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center"/>
              <w:ind w:right="260"/>
              <w:spacing w:after="0"/>
              <w:rPr>
                <w:sz w:val="20"/>
                <w:szCs w:val="20"/>
                <w:color w:val="auto"/>
              </w:rPr>
            </w:pPr>
            <w:r>
              <w:rPr>
                <w:rFonts w:ascii="Arial" w:cs="Arial" w:eastAsia="Arial" w:hAnsi="Arial"/>
                <w:sz w:val="18"/>
                <w:szCs w:val="18"/>
                <w:b w:val="1"/>
                <w:bCs w:val="1"/>
                <w:color w:val="auto"/>
                <w:w w:val="89"/>
              </w:rPr>
              <w:t>September 27,</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1300" w:type="dxa"/>
            <w:vAlign w:val="bottom"/>
            <w:tcBorders>
              <w:bottom w:val="single" w:sz="8" w:color="auto"/>
            </w:tcBorders>
          </w:tcPr>
          <w:p>
            <w:pPr>
              <w:jc w:val="center"/>
              <w:ind w:right="130"/>
              <w:spacing w:after="0"/>
              <w:rPr>
                <w:sz w:val="20"/>
                <w:szCs w:val="20"/>
                <w:color w:val="auto"/>
              </w:rPr>
            </w:pPr>
            <w:r>
              <w:rPr>
                <w:rFonts w:ascii="Arial" w:cs="Arial" w:eastAsia="Arial" w:hAnsi="Arial"/>
                <w:sz w:val="18"/>
                <w:szCs w:val="18"/>
                <w:b w:val="1"/>
                <w:bCs w:val="1"/>
                <w:color w:val="auto"/>
                <w:w w:val="89"/>
              </w:rPr>
              <w:t>2015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340" w:type="dxa"/>
            <w:vAlign w:val="bottom"/>
            <w:tcBorders>
              <w:bottom w:val="single" w:sz="8" w:color="auto"/>
            </w:tcBorders>
          </w:tcPr>
          <w:p>
            <w:pPr>
              <w:jc w:val="center"/>
              <w:ind w:right="50"/>
              <w:spacing w:after="0"/>
              <w:rPr>
                <w:sz w:val="20"/>
                <w:szCs w:val="20"/>
                <w:color w:val="auto"/>
              </w:rPr>
            </w:pPr>
            <w:r>
              <w:rPr>
                <w:rFonts w:ascii="Arial" w:cs="Arial" w:eastAsia="Arial" w:hAnsi="Arial"/>
                <w:sz w:val="18"/>
                <w:szCs w:val="18"/>
                <w:b w:val="1"/>
                <w:bCs w:val="1"/>
                <w:color w:val="auto"/>
                <w:w w:val="89"/>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tcPr>
          <w:p>
            <w:pPr>
              <w:jc w:val="center"/>
              <w:ind w:right="130"/>
              <w:spacing w:after="0"/>
              <w:rPr>
                <w:sz w:val="20"/>
                <w:szCs w:val="20"/>
                <w:color w:val="auto"/>
              </w:rPr>
            </w:pPr>
            <w:r>
              <w:rPr>
                <w:rFonts w:ascii="Arial" w:cs="Arial" w:eastAsia="Arial" w:hAnsi="Arial"/>
                <w:sz w:val="18"/>
                <w:szCs w:val="18"/>
                <w:color w:val="auto"/>
                <w:w w:val="93"/>
              </w:rPr>
              <w:t>(Unaudited)</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jc w:val="center"/>
              <w:ind w:right="50"/>
              <w:spacing w:after="0"/>
              <w:rPr>
                <w:sz w:val="20"/>
                <w:szCs w:val="20"/>
                <w:color w:val="auto"/>
              </w:rPr>
            </w:pPr>
            <w:r>
              <w:rPr>
                <w:rFonts w:ascii="Arial" w:cs="Arial" w:eastAsia="Arial" w:hAnsi="Arial"/>
                <w:sz w:val="18"/>
                <w:szCs w:val="18"/>
                <w:color w:val="auto"/>
                <w:w w:val="93"/>
              </w:rPr>
              <w:t>(Unaudited)</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5300"/>
              <w:spacing w:after="0"/>
              <w:rPr>
                <w:sz w:val="20"/>
                <w:szCs w:val="20"/>
                <w:color w:val="auto"/>
              </w:rPr>
            </w:pPr>
            <w:r>
              <w:rPr>
                <w:rFonts w:ascii="Arial" w:cs="Arial" w:eastAsia="Arial" w:hAnsi="Arial"/>
                <w:sz w:val="18"/>
                <w:szCs w:val="18"/>
                <w:b w:val="1"/>
                <w:bCs w:val="1"/>
                <w:color w:val="auto"/>
              </w:rPr>
              <w:t>ASSETS</w:t>
            </w: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Current assets: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Cash and cash equivalents</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37,146</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65,389</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40,451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Inventories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55,591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51,939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45,712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Receivables</w:t>
            </w: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8,053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11,461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10,144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Prepaid expenses and other current assets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16,651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15,611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12,188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assets</w:t>
            </w: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1,669</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1,378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998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Total current assets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119,110</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145,778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109,493</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vMerge w:val="continue"/>
          </w:tcPr>
          <w:p>
            <w:pPr>
              <w:spacing w:after="0"/>
              <w:rPr>
                <w:sz w:val="17"/>
                <w:szCs w:val="17"/>
                <w:color w:val="auto"/>
              </w:rPr>
            </w:pPr>
          </w:p>
        </w:tc>
        <w:tc>
          <w:tcPr>
            <w:tcW w:w="6380" w:type="dxa"/>
            <w:vAlign w:val="bottom"/>
          </w:tcPr>
          <w:p>
            <w:pPr>
              <w:spacing w:after="0" w:line="201" w:lineRule="exact"/>
              <w:rPr>
                <w:sz w:val="20"/>
                <w:szCs w:val="20"/>
                <w:color w:val="auto"/>
              </w:rPr>
            </w:pPr>
            <w:r>
              <w:rPr>
                <w:rFonts w:ascii="Arial" w:cs="Arial" w:eastAsia="Arial" w:hAnsi="Arial"/>
                <w:sz w:val="18"/>
                <w:szCs w:val="18"/>
                <w:color w:val="auto"/>
                <w:w w:val="93"/>
              </w:rPr>
              <w:t>Property and equipment, net of accumulated depreciation of $183,179; $185,044 and</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$183,841, respectively</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60,090</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62,766</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61,031</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Other intangible assets, net</w:t>
            </w: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1,211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304</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assets, net</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2,893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3,206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3,976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Assets</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183,304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212,054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174,865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tcPr>
          <w:p>
            <w:pPr>
              <w:spacing w:after="0"/>
              <w:rPr>
                <w:sz w:val="17"/>
                <w:szCs w:val="17"/>
                <w:color w:val="auto"/>
              </w:rPr>
            </w:pPr>
          </w:p>
        </w:tc>
        <w:tc>
          <w:tcPr>
            <w:tcW w:w="7900" w:type="dxa"/>
            <w:vAlign w:val="bottom"/>
            <w:gridSpan w:val="3"/>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8040" w:type="dxa"/>
            <w:vAlign w:val="bottom"/>
            <w:gridSpan w:val="4"/>
            <w:shd w:val="clear" w:color="auto" w:fill="CCEEFF"/>
          </w:tcPr>
          <w:p>
            <w:pPr>
              <w:ind w:left="3680"/>
              <w:spacing w:after="0"/>
              <w:rPr>
                <w:sz w:val="20"/>
                <w:szCs w:val="20"/>
                <w:color w:val="auto"/>
              </w:rPr>
            </w:pPr>
            <w:r>
              <w:rPr>
                <w:rFonts w:ascii="Arial" w:cs="Arial" w:eastAsia="Arial" w:hAnsi="Arial"/>
                <w:sz w:val="18"/>
                <w:szCs w:val="18"/>
                <w:b w:val="1"/>
                <w:bCs w:val="1"/>
                <w:color w:val="auto"/>
              </w:rPr>
              <w:t>LIABILITIES AND STOCKHOLDERS' EQUITY</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Current liabilities:</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Accounts payable</w:t>
            </w:r>
          </w:p>
        </w:tc>
        <w:tc>
          <w:tcPr>
            <w:tcW w:w="220" w:type="dxa"/>
            <w:vAlign w:val="bottom"/>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29,927</w:t>
            </w:r>
          </w:p>
        </w:tc>
        <w:tc>
          <w:tcPr>
            <w:tcW w:w="140" w:type="dxa"/>
            <w:vAlign w:val="bottom"/>
            <w:shd w:val="clear" w:color="auto" w:fill="CCEEFF"/>
          </w:tcPr>
          <w:p>
            <w:pPr>
              <w:spacing w:after="0"/>
              <w:rPr>
                <w:sz w:val="18"/>
                <w:szCs w:val="18"/>
                <w:color w:val="auto"/>
              </w:rPr>
            </w:pPr>
          </w:p>
        </w:tc>
        <w:tc>
          <w:tcPr>
            <w:tcW w:w="300" w:type="dxa"/>
            <w:vAlign w:val="bottom"/>
            <w:gridSpan w:val="2"/>
            <w:shd w:val="clear" w:color="auto" w:fill="CCEEFF"/>
          </w:tcPr>
          <w:p>
            <w:pPr>
              <w:jc w:val="right"/>
              <w:ind w:right="45"/>
              <w:spacing w:after="0"/>
              <w:rPr>
                <w:sz w:val="20"/>
                <w:szCs w:val="20"/>
                <w:color w:val="auto"/>
              </w:rPr>
            </w:pPr>
            <w:r>
              <w:rPr>
                <w:rFonts w:ascii="Arial" w:cs="Arial" w:eastAsia="Arial" w:hAnsi="Arial"/>
                <w:sz w:val="18"/>
                <w:szCs w:val="18"/>
                <w:color w:val="auto"/>
              </w:rPr>
              <w:t>$</w:t>
            </w: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38,107</w:t>
            </w:r>
          </w:p>
        </w:tc>
        <w:tc>
          <w:tcPr>
            <w:tcW w:w="2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28,369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Accrued expenses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14,197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24,058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13,145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Gift cards and customer deposits</w:t>
            </w: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28,048</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34,268</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25,869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Deferred revenue</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2,635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2,654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4,173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Deferred tax liability</w:t>
            </w: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856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Total current liabilities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74,807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99,087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72,412</w:t>
            </w: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20" w:type="dxa"/>
            <w:vAlign w:val="bottom"/>
            <w:tcBorders>
              <w:top w:val="single" w:sz="8" w:color="auto"/>
            </w:tcBorders>
            <w:shd w:val="clear" w:color="auto" w:fill="CCEEFF"/>
          </w:tcPr>
          <w:p>
            <w:pPr>
              <w:spacing w:after="0"/>
              <w:rPr>
                <w:sz w:val="18"/>
                <w:szCs w:val="18"/>
                <w:color w:val="auto"/>
              </w:rPr>
            </w:pPr>
          </w:p>
        </w:tc>
        <w:tc>
          <w:tcPr>
            <w:tcW w:w="1300" w:type="dxa"/>
            <w:vAlign w:val="bottom"/>
            <w:tcBorders>
              <w:top w:val="single" w:sz="8" w:color="auto"/>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126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Deferred franchise revenue</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782</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945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1,004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spacing w:after="0"/>
              <w:rPr>
                <w:sz w:val="20"/>
                <w:szCs w:val="20"/>
                <w:color w:val="auto"/>
              </w:rPr>
            </w:pPr>
            <w:r>
              <w:rPr>
                <w:rFonts w:ascii="Arial" w:cs="Arial" w:eastAsia="Arial" w:hAnsi="Arial"/>
                <w:sz w:val="18"/>
                <w:szCs w:val="18"/>
                <w:color w:val="auto"/>
              </w:rPr>
              <w:t>Deferred rent</w:t>
            </w: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12,327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13,353</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Other liabilities</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1,111</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1,044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1,367</w:t>
            </w:r>
          </w:p>
        </w:tc>
        <w:tc>
          <w:tcPr>
            <w:tcW w:w="0" w:type="dxa"/>
            <w:vAlign w:val="bottom"/>
          </w:tcPr>
          <w:p>
            <w:pPr>
              <w:spacing w:after="0"/>
              <w:rPr>
                <w:sz w:val="1"/>
                <w:szCs w:val="1"/>
                <w:color w:val="auto"/>
              </w:rPr>
            </w:pPr>
          </w:p>
        </w:tc>
      </w:tr>
      <w:tr>
        <w:trPr>
          <w:trHeight w:val="216"/>
        </w:trPr>
        <w:tc>
          <w:tcPr>
            <w:tcW w:w="20" w:type="dxa"/>
            <w:vAlign w:val="bottom"/>
            <w:vMerge w:val="restart"/>
          </w:tcPr>
          <w:p>
            <w:pPr>
              <w:spacing w:after="0"/>
              <w:rPr>
                <w:sz w:val="18"/>
                <w:szCs w:val="18"/>
                <w:color w:val="auto"/>
              </w:rPr>
            </w:pPr>
          </w:p>
        </w:tc>
        <w:tc>
          <w:tcPr>
            <w:tcW w:w="63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380" w:type="dxa"/>
            <w:vAlign w:val="bottom"/>
          </w:tcPr>
          <w:p>
            <w:pPr>
              <w:spacing w:after="0"/>
              <w:rPr>
                <w:sz w:val="20"/>
                <w:szCs w:val="20"/>
                <w:color w:val="auto"/>
              </w:rPr>
            </w:pPr>
            <w:r>
              <w:rPr>
                <w:rFonts w:ascii="Arial" w:cs="Arial" w:eastAsia="Arial" w:hAnsi="Arial"/>
                <w:sz w:val="18"/>
                <w:szCs w:val="18"/>
                <w:color w:val="auto"/>
              </w:rPr>
              <w:t>Stockholders' equity:</w:t>
            </w:r>
          </w:p>
        </w:tc>
        <w:tc>
          <w:tcPr>
            <w:tcW w:w="220" w:type="dxa"/>
            <w:vAlign w:val="bottom"/>
          </w:tcPr>
          <w:p>
            <w:pPr>
              <w:spacing w:after="0"/>
              <w:rPr>
                <w:sz w:val="18"/>
                <w:szCs w:val="18"/>
                <w:color w:val="auto"/>
              </w:rPr>
            </w:pPr>
          </w:p>
        </w:tc>
        <w:tc>
          <w:tcPr>
            <w:tcW w:w="13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shd w:val="clear" w:color="auto" w:fill="CCEEFF"/>
          </w:tcPr>
          <w:p>
            <w:pPr>
              <w:ind w:left="160"/>
              <w:spacing w:after="0" w:line="201" w:lineRule="exact"/>
              <w:rPr>
                <w:sz w:val="20"/>
                <w:szCs w:val="20"/>
                <w:color w:val="auto"/>
              </w:rPr>
            </w:pPr>
            <w:r>
              <w:rPr>
                <w:rFonts w:ascii="Arial" w:cs="Arial" w:eastAsia="Arial" w:hAnsi="Arial"/>
                <w:sz w:val="18"/>
                <w:szCs w:val="18"/>
                <w:color w:val="auto"/>
                <w:w w:val="90"/>
              </w:rPr>
              <w:t>Preferred stock, par value $0.01, Shares authorized: 15,000,000; No shares issued or</w:t>
            </w:r>
          </w:p>
        </w:tc>
        <w:tc>
          <w:tcPr>
            <w:tcW w:w="220" w:type="dxa"/>
            <w:vAlign w:val="bottom"/>
            <w:shd w:val="clear" w:color="auto" w:fill="CCEEFF"/>
          </w:tcPr>
          <w:p>
            <w:pPr>
              <w:spacing w:after="0"/>
              <w:rPr>
                <w:sz w:val="17"/>
                <w:szCs w:val="17"/>
                <w:color w:val="auto"/>
              </w:rPr>
            </w:pPr>
          </w:p>
        </w:tc>
        <w:tc>
          <w:tcPr>
            <w:tcW w:w="1300" w:type="dxa"/>
            <w:vAlign w:val="bottom"/>
            <w:tcBorders>
              <w:right w:val="single" w:sz="8" w:color="CCEEFF"/>
            </w:tcBorders>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26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3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shd w:val="clear" w:color="auto" w:fill="CCEEFF"/>
          </w:tcPr>
          <w:p>
            <w:pPr>
              <w:ind w:left="320"/>
              <w:spacing w:after="0"/>
              <w:rPr>
                <w:sz w:val="20"/>
                <w:szCs w:val="20"/>
                <w:color w:val="auto"/>
              </w:rPr>
            </w:pPr>
            <w:r>
              <w:rPr>
                <w:rFonts w:ascii="Arial" w:cs="Arial" w:eastAsia="Arial" w:hAnsi="Arial"/>
                <w:sz w:val="18"/>
                <w:szCs w:val="18"/>
                <w:color w:val="auto"/>
              </w:rPr>
              <w:t>outstanding at October 3, 2015, January 3, 2015 and September 27, 2014</w:t>
            </w:r>
          </w:p>
        </w:tc>
        <w:tc>
          <w:tcPr>
            <w:tcW w:w="220" w:type="dxa"/>
            <w:vAlign w:val="bottom"/>
            <w:shd w:val="clear" w:color="auto" w:fill="CCEEFF"/>
          </w:tcPr>
          <w:p>
            <w:pPr>
              <w:spacing w:after="0"/>
              <w:rPr>
                <w:sz w:val="20"/>
                <w:szCs w:val="20"/>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40" w:type="dxa"/>
            <w:vAlign w:val="bottom"/>
            <w:shd w:val="clear" w:color="auto" w:fill="CCEEFF"/>
          </w:tcPr>
          <w:p>
            <w:pPr>
              <w:spacing w:after="0"/>
              <w:rPr>
                <w:sz w:val="20"/>
                <w:szCs w:val="20"/>
                <w:color w:val="auto"/>
              </w:rPr>
            </w:pPr>
          </w:p>
        </w:tc>
        <w:tc>
          <w:tcPr>
            <w:tcW w:w="100" w:type="dxa"/>
            <w:vAlign w:val="bottom"/>
            <w:shd w:val="clear" w:color="auto" w:fill="CCEEFF"/>
          </w:tcPr>
          <w:p>
            <w:pPr>
              <w:spacing w:after="0"/>
              <w:rPr>
                <w:sz w:val="20"/>
                <w:szCs w:val="20"/>
                <w:color w:val="auto"/>
              </w:rPr>
            </w:pPr>
          </w:p>
        </w:tc>
        <w:tc>
          <w:tcPr>
            <w:tcW w:w="200" w:type="dxa"/>
            <w:vAlign w:val="bottom"/>
            <w:shd w:val="clear" w:color="auto" w:fill="CCEEFF"/>
          </w:tcPr>
          <w:p>
            <w:pPr>
              <w:spacing w:after="0"/>
              <w:rPr>
                <w:sz w:val="20"/>
                <w:szCs w:val="20"/>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20"/>
                <w:szCs w:val="20"/>
                <w:color w:val="auto"/>
              </w:rPr>
            </w:pPr>
          </w:p>
        </w:tc>
        <w:tc>
          <w:tcPr>
            <w:tcW w:w="140" w:type="dxa"/>
            <w:vAlign w:val="bottom"/>
            <w:shd w:val="clear" w:color="auto" w:fill="CCEEFF"/>
          </w:tcPr>
          <w:p>
            <w:pPr>
              <w:spacing w:after="0"/>
              <w:rPr>
                <w:sz w:val="20"/>
                <w:szCs w:val="20"/>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6380" w:type="dxa"/>
            <w:vAlign w:val="bottom"/>
          </w:tcPr>
          <w:p>
            <w:pPr>
              <w:ind w:left="160"/>
              <w:spacing w:after="0" w:line="201" w:lineRule="exact"/>
              <w:rPr>
                <w:sz w:val="20"/>
                <w:szCs w:val="20"/>
                <w:color w:val="auto"/>
              </w:rPr>
            </w:pPr>
            <w:r>
              <w:rPr>
                <w:rFonts w:ascii="Arial" w:cs="Arial" w:eastAsia="Arial" w:hAnsi="Arial"/>
                <w:sz w:val="18"/>
                <w:szCs w:val="18"/>
                <w:color w:val="auto"/>
              </w:rPr>
              <w:t>Common stock, par value $0.01, Shares authorized: 50,000,000; Issued and</w:t>
            </w:r>
          </w:p>
        </w:tc>
        <w:tc>
          <w:tcPr>
            <w:tcW w:w="220" w:type="dxa"/>
            <w:vAlign w:val="bottom"/>
          </w:tcPr>
          <w:p>
            <w:pPr>
              <w:spacing w:after="0"/>
              <w:rPr>
                <w:sz w:val="17"/>
                <w:szCs w:val="17"/>
                <w:color w:val="auto"/>
              </w:rPr>
            </w:pPr>
          </w:p>
        </w:tc>
        <w:tc>
          <w:tcPr>
            <w:tcW w:w="13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2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3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20"/>
                <w:szCs w:val="20"/>
                <w:color w:val="auto"/>
              </w:rPr>
            </w:pPr>
          </w:p>
        </w:tc>
        <w:tc>
          <w:tcPr>
            <w:tcW w:w="6380" w:type="dxa"/>
            <w:vAlign w:val="bottom"/>
          </w:tcPr>
          <w:p>
            <w:pPr>
              <w:ind w:left="320"/>
              <w:spacing w:after="0"/>
              <w:rPr>
                <w:sz w:val="20"/>
                <w:szCs w:val="20"/>
                <w:color w:val="auto"/>
              </w:rPr>
            </w:pPr>
            <w:r>
              <w:rPr>
                <w:rFonts w:ascii="Arial" w:cs="Arial" w:eastAsia="Arial" w:hAnsi="Arial"/>
                <w:sz w:val="18"/>
                <w:szCs w:val="18"/>
                <w:color w:val="auto"/>
              </w:rPr>
              <w:t>outstanding: 16,871,591; 17,360,635 and 17,383,428 shares, respectively</w:t>
            </w:r>
          </w:p>
        </w:tc>
        <w:tc>
          <w:tcPr>
            <w:tcW w:w="220" w:type="dxa"/>
            <w:vAlign w:val="bottom"/>
          </w:tcPr>
          <w:p>
            <w:pPr>
              <w:spacing w:after="0"/>
              <w:rPr>
                <w:sz w:val="20"/>
                <w:szCs w:val="20"/>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174</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174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Additional paid-in capital</w:t>
            </w: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59,333</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69,362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68,749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tcPr>
          <w:p>
            <w:pPr>
              <w:ind w:left="160"/>
              <w:spacing w:after="0"/>
              <w:rPr>
                <w:sz w:val="20"/>
                <w:szCs w:val="20"/>
                <w:color w:val="auto"/>
              </w:rPr>
            </w:pPr>
            <w:r>
              <w:rPr>
                <w:rFonts w:ascii="Arial" w:cs="Arial" w:eastAsia="Arial" w:hAnsi="Arial"/>
                <w:sz w:val="18"/>
                <w:szCs w:val="18"/>
                <w:color w:val="auto"/>
              </w:rPr>
              <w:t>Accumulated other comprehensive loss</w:t>
            </w:r>
          </w:p>
        </w:tc>
        <w:tc>
          <w:tcPr>
            <w:tcW w:w="22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(9,272)</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80"/>
              <w:spacing w:after="0"/>
              <w:rPr>
                <w:sz w:val="20"/>
                <w:szCs w:val="20"/>
                <w:color w:val="auto"/>
              </w:rPr>
            </w:pPr>
            <w:r>
              <w:rPr>
                <w:rFonts w:ascii="Arial" w:cs="Arial" w:eastAsia="Arial" w:hAnsi="Arial"/>
                <w:sz w:val="18"/>
                <w:szCs w:val="18"/>
                <w:color w:val="auto"/>
              </w:rPr>
              <w:t>(8,698)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(7,524)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380" w:type="dxa"/>
            <w:vAlign w:val="bottom"/>
            <w:shd w:val="clear" w:color="auto" w:fill="CCEEFF"/>
          </w:tcPr>
          <w:p>
            <w:pPr>
              <w:ind w:left="160"/>
              <w:spacing w:after="0"/>
              <w:rPr>
                <w:sz w:val="20"/>
                <w:szCs w:val="20"/>
                <w:color w:val="auto"/>
              </w:rPr>
            </w:pPr>
            <w:r>
              <w:rPr>
                <w:rFonts w:ascii="Arial" w:cs="Arial" w:eastAsia="Arial" w:hAnsi="Arial"/>
                <w:sz w:val="18"/>
                <w:szCs w:val="18"/>
                <w:color w:val="auto"/>
              </w:rPr>
              <w:t>Retained earnings</w:t>
            </w:r>
          </w:p>
        </w:tc>
        <w:tc>
          <w:tcPr>
            <w:tcW w:w="220" w:type="dxa"/>
            <w:vAlign w:val="bottom"/>
            <w:shd w:val="clear" w:color="auto" w:fill="CCEEFF"/>
          </w:tcPr>
          <w:p>
            <w:pPr>
              <w:spacing w:after="0"/>
              <w:rPr>
                <w:sz w:val="18"/>
                <w:szCs w:val="18"/>
                <w:color w:val="auto"/>
              </w:rPr>
            </w:pPr>
          </w:p>
        </w:tc>
        <w:tc>
          <w:tcPr>
            <w:tcW w:w="130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44,047</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36,787</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24,967</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380" w:type="dxa"/>
            <w:vAlign w:val="bottom"/>
            <w:shd w:val="clear" w:color="auto" w:fill="CCEEFF"/>
          </w:tcPr>
          <w:p>
            <w:pPr>
              <w:spacing w:after="0" w:line="20" w:lineRule="exact"/>
              <w:rPr>
                <w:sz w:val="1"/>
                <w:szCs w:val="1"/>
                <w:color w:val="auto"/>
              </w:rPr>
            </w:pPr>
          </w:p>
        </w:tc>
        <w:tc>
          <w:tcPr>
            <w:tcW w:w="220" w:type="dxa"/>
            <w:vAlign w:val="bottom"/>
            <w:shd w:val="clear" w:color="auto" w:fill="000000"/>
          </w:tcPr>
          <w:p>
            <w:pPr>
              <w:spacing w:after="0" w:line="20" w:lineRule="exact"/>
              <w:rPr>
                <w:sz w:val="1"/>
                <w:szCs w:val="1"/>
                <w:color w:val="auto"/>
              </w:rPr>
            </w:pPr>
          </w:p>
        </w:tc>
        <w:tc>
          <w:tcPr>
            <w:tcW w:w="1300" w:type="dxa"/>
            <w:vAlign w:val="bottom"/>
            <w:tcBorders>
              <w:right w:val="single" w:sz="8" w:color="CCEEFF"/>
            </w:tcBorders>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126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3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380" w:type="dxa"/>
            <w:vAlign w:val="bottom"/>
          </w:tcPr>
          <w:p>
            <w:pPr>
              <w:ind w:left="640"/>
              <w:spacing w:after="0"/>
              <w:rPr>
                <w:sz w:val="20"/>
                <w:szCs w:val="20"/>
                <w:color w:val="auto"/>
              </w:rPr>
            </w:pPr>
            <w:r>
              <w:rPr>
                <w:rFonts w:ascii="Arial" w:cs="Arial" w:eastAsia="Arial" w:hAnsi="Arial"/>
                <w:sz w:val="18"/>
                <w:szCs w:val="18"/>
                <w:color w:val="auto"/>
              </w:rPr>
              <w:t>Total stockholders' equity</w:t>
            </w:r>
          </w:p>
        </w:tc>
        <w:tc>
          <w:tcPr>
            <w:tcW w:w="220" w:type="dxa"/>
            <w:vAlign w:val="bottom"/>
          </w:tcPr>
          <w:p>
            <w:pPr>
              <w:spacing w:after="0"/>
              <w:rPr>
                <w:sz w:val="18"/>
                <w:szCs w:val="18"/>
                <w:color w:val="auto"/>
              </w:rPr>
            </w:pPr>
          </w:p>
        </w:tc>
        <w:tc>
          <w:tcPr>
            <w:tcW w:w="1300" w:type="dxa"/>
            <w:vAlign w:val="bottom"/>
          </w:tcPr>
          <w:p>
            <w:pPr>
              <w:jc w:val="right"/>
              <w:spacing w:after="0"/>
              <w:rPr>
                <w:sz w:val="20"/>
                <w:szCs w:val="20"/>
                <w:color w:val="auto"/>
              </w:rPr>
            </w:pPr>
            <w:r>
              <w:rPr>
                <w:rFonts w:ascii="Arial" w:cs="Arial" w:eastAsia="Arial" w:hAnsi="Arial"/>
                <w:sz w:val="18"/>
                <w:szCs w:val="18"/>
                <w:color w:val="auto"/>
              </w:rPr>
              <w:t>94,277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0" w:type="dxa"/>
            <w:vAlign w:val="bottom"/>
            <w:gridSpan w:val="2"/>
          </w:tcPr>
          <w:p>
            <w:pPr>
              <w:jc w:val="right"/>
              <w:ind w:right="140"/>
              <w:spacing w:after="0"/>
              <w:rPr>
                <w:sz w:val="20"/>
                <w:szCs w:val="20"/>
                <w:color w:val="auto"/>
              </w:rPr>
            </w:pPr>
            <w:r>
              <w:rPr>
                <w:rFonts w:ascii="Arial" w:cs="Arial" w:eastAsia="Arial" w:hAnsi="Arial"/>
                <w:sz w:val="18"/>
                <w:szCs w:val="18"/>
                <w:color w:val="auto"/>
              </w:rPr>
              <w:t>97,625</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86,366</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38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Total Liabilities and Stockholders' Equity</w:t>
            </w:r>
          </w:p>
        </w:tc>
        <w:tc>
          <w:tcPr>
            <w:tcW w:w="220" w:type="dxa"/>
            <w:vAlign w:val="bottom"/>
            <w:tcBorders>
              <w:top w:val="single" w:sz="8" w:color="auto"/>
              <w:bottom w:val="single" w:sz="8" w:color="auto"/>
            </w:tcBorders>
            <w:shd w:val="clear" w:color="auto" w:fill="CCEEFF"/>
          </w:tcPr>
          <w:p>
            <w:pPr>
              <w:jc w:val="right"/>
              <w:ind w:right="30"/>
              <w:spacing w:after="0"/>
              <w:rPr>
                <w:sz w:val="20"/>
                <w:szCs w:val="20"/>
                <w:color w:val="auto"/>
              </w:rPr>
            </w:pPr>
            <w:r>
              <w:rPr>
                <w:rFonts w:ascii="Arial" w:cs="Arial" w:eastAsia="Arial" w:hAnsi="Arial"/>
                <w:sz w:val="18"/>
                <w:szCs w:val="18"/>
                <w:color w:val="auto"/>
                <w:w w:val="79"/>
              </w:rPr>
              <w:t>$</w:t>
            </w:r>
          </w:p>
        </w:tc>
        <w:tc>
          <w:tcPr>
            <w:tcW w:w="1300" w:type="dxa"/>
            <w:vAlign w:val="bottom"/>
            <w:tcBorders>
              <w:top w:val="single" w:sz="8" w:color="auto"/>
              <w:bottom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183,304</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jc w:val="right"/>
              <w:ind w:right="45"/>
              <w:spacing w:after="0"/>
              <w:rPr>
                <w:sz w:val="20"/>
                <w:szCs w:val="20"/>
                <w:color w:val="auto"/>
              </w:rPr>
            </w:pPr>
            <w:r>
              <w:rPr>
                <w:rFonts w:ascii="Arial" w:cs="Arial" w:eastAsia="Arial" w:hAnsi="Arial"/>
                <w:sz w:val="15"/>
                <w:szCs w:val="15"/>
                <w:color w:val="auto"/>
                <w:w w:val="71"/>
              </w:rPr>
              <w:t>$</w:t>
            </w:r>
          </w:p>
        </w:tc>
        <w:tc>
          <w:tcPr>
            <w:tcW w:w="12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212,054</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174,865</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96" w:lineRule="exact"/>
        <w:rPr>
          <w:sz w:val="20"/>
          <w:szCs w:val="20"/>
          <w:color w:val="auto"/>
        </w:rPr>
      </w:pPr>
    </w:p>
    <w:p>
      <w:pPr>
        <w:jc w:val="center"/>
        <w:ind w:right="40"/>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8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607" w:right="2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OPERATIONS AND COMPREHENSIVE INCOME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 except share and per share data)</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620" w:type="dxa"/>
            <w:vAlign w:val="bottom"/>
            <w:gridSpan w:val="6"/>
          </w:tcPr>
          <w:p>
            <w:pPr>
              <w:jc w:val="right"/>
              <w:ind w:right="640"/>
              <w:spacing w:after="0"/>
              <w:rPr>
                <w:sz w:val="20"/>
                <w:szCs w:val="20"/>
                <w:color w:val="auto"/>
              </w:rPr>
            </w:pPr>
            <w:r>
              <w:rPr>
                <w:rFonts w:ascii="Arial" w:cs="Arial" w:eastAsia="Arial" w:hAnsi="Arial"/>
                <w:sz w:val="18"/>
                <w:szCs w:val="18"/>
                <w:b w:val="1"/>
                <w:bCs w:val="1"/>
                <w:color w:val="auto"/>
              </w:rPr>
              <w:t>Thirteen weeks ended</w:t>
            </w:r>
          </w:p>
        </w:tc>
        <w:tc>
          <w:tcPr>
            <w:tcW w:w="140" w:type="dxa"/>
            <w:vAlign w:val="bottom"/>
          </w:tcPr>
          <w:p>
            <w:pPr>
              <w:spacing w:after="0"/>
              <w:rPr>
                <w:sz w:val="20"/>
                <w:szCs w:val="20"/>
                <w:color w:val="auto"/>
              </w:rPr>
            </w:pPr>
          </w:p>
        </w:tc>
        <w:tc>
          <w:tcPr>
            <w:tcW w:w="2460" w:type="dxa"/>
            <w:vAlign w:val="bottom"/>
            <w:gridSpan w:val="6"/>
          </w:tcPr>
          <w:p>
            <w:pPr>
              <w:jc w:val="right"/>
              <w:ind w:right="400"/>
              <w:spacing w:after="0"/>
              <w:rPr>
                <w:sz w:val="20"/>
                <w:szCs w:val="20"/>
                <w:color w:val="auto"/>
              </w:rPr>
            </w:pPr>
            <w:r>
              <w:rPr>
                <w:rFonts w:ascii="Arial" w:cs="Arial" w:eastAsia="Arial" w:hAnsi="Arial"/>
                <w:sz w:val="18"/>
                <w:szCs w:val="18"/>
                <w:b w:val="1"/>
                <w:bCs w:val="1"/>
                <w:color w:val="auto"/>
                <w:w w:val="97"/>
              </w:rPr>
              <w:t>Thirty-nine weeks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606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180" w:type="dxa"/>
            <w:vAlign w:val="bottom"/>
            <w:tcBorders>
              <w:top w:val="single" w:sz="8" w:color="auto"/>
            </w:tcBorders>
            <w:gridSpan w:val="2"/>
          </w:tcPr>
          <w:p>
            <w:pPr>
              <w:jc w:val="right"/>
              <w:ind w:right="320"/>
              <w:spacing w:after="0" w:line="191" w:lineRule="exact"/>
              <w:rPr>
                <w:sz w:val="20"/>
                <w:szCs w:val="20"/>
                <w:color w:val="auto"/>
              </w:rPr>
            </w:pPr>
            <w:r>
              <w:rPr>
                <w:rFonts w:ascii="Arial" w:cs="Arial" w:eastAsia="Arial" w:hAnsi="Arial"/>
                <w:sz w:val="18"/>
                <w:szCs w:val="18"/>
                <w:b w:val="1"/>
                <w:bCs w:val="1"/>
                <w:color w:val="auto"/>
                <w:w w:val="94"/>
              </w:rPr>
              <w:t>October 3,</w:t>
            </w:r>
          </w:p>
        </w:tc>
        <w:tc>
          <w:tcPr>
            <w:tcW w:w="10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9"/>
              </w:rPr>
              <w:t>September 27,</w:t>
            </w:r>
          </w:p>
        </w:tc>
        <w:tc>
          <w:tcPr>
            <w:tcW w:w="20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jc w:val="right"/>
              <w:ind w:right="300"/>
              <w:spacing w:after="0" w:line="191" w:lineRule="exact"/>
              <w:rPr>
                <w:sz w:val="20"/>
                <w:szCs w:val="20"/>
                <w:color w:val="auto"/>
              </w:rPr>
            </w:pPr>
            <w:r>
              <w:rPr>
                <w:rFonts w:ascii="Arial" w:cs="Arial" w:eastAsia="Arial" w:hAnsi="Arial"/>
                <w:sz w:val="18"/>
                <w:szCs w:val="18"/>
                <w:b w:val="1"/>
                <w:bCs w:val="1"/>
                <w:color w:val="auto"/>
                <w:w w:val="92"/>
              </w:rPr>
              <w:t>October 3,</w:t>
            </w:r>
          </w:p>
        </w:tc>
        <w:tc>
          <w:tcPr>
            <w:tcW w:w="80" w:type="dxa"/>
            <w:vAlign w:val="bottom"/>
            <w:tcBorders>
              <w:top w:val="single" w:sz="8" w:color="auto"/>
            </w:tcBorders>
          </w:tcPr>
          <w:p>
            <w:pPr>
              <w:spacing w:after="0"/>
              <w:rPr>
                <w:sz w:val="16"/>
                <w:szCs w:val="16"/>
                <w:color w:val="auto"/>
              </w:rPr>
            </w:pPr>
          </w:p>
        </w:tc>
        <w:tc>
          <w:tcPr>
            <w:tcW w:w="1140" w:type="dxa"/>
            <w:vAlign w:val="bottom"/>
            <w:tcBorders>
              <w:top w:val="single" w:sz="8" w:color="auto"/>
            </w:tcBorders>
            <w:gridSpan w:val="2"/>
          </w:tcPr>
          <w:p>
            <w:pPr>
              <w:ind w:left="20"/>
              <w:spacing w:after="0" w:line="191" w:lineRule="exact"/>
              <w:rPr>
                <w:sz w:val="20"/>
                <w:szCs w:val="20"/>
                <w:color w:val="auto"/>
              </w:rPr>
            </w:pPr>
            <w:r>
              <w:rPr>
                <w:rFonts w:ascii="Arial" w:cs="Arial" w:eastAsia="Arial" w:hAnsi="Arial"/>
                <w:sz w:val="18"/>
                <w:szCs w:val="18"/>
                <w:b w:val="1"/>
                <w:bCs w:val="1"/>
                <w:color w:val="auto"/>
                <w:w w:val="89"/>
              </w:rPr>
              <w:t>September 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6060" w:type="dxa"/>
            <w:vAlign w:val="bottom"/>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0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00" w:type="dxa"/>
            <w:vAlign w:val="bottom"/>
            <w:tcBorders>
              <w:bottom w:val="single" w:sz="8" w:color="auto"/>
            </w:tcBorders>
          </w:tcPr>
          <w:p>
            <w:pPr>
              <w:jc w:val="right"/>
              <w:ind w:right="290"/>
              <w:spacing w:after="0"/>
              <w:rPr>
                <w:sz w:val="20"/>
                <w:szCs w:val="20"/>
                <w:color w:val="auto"/>
              </w:rPr>
            </w:pPr>
            <w:r>
              <w:rPr>
                <w:rFonts w:ascii="Arial" w:cs="Arial" w:eastAsia="Arial" w:hAnsi="Arial"/>
                <w:sz w:val="18"/>
                <w:szCs w:val="18"/>
                <w:b w:val="1"/>
                <w:bCs w:val="1"/>
                <w:color w:val="auto"/>
              </w:rPr>
              <w:t>2015</w:t>
            </w:r>
          </w:p>
        </w:tc>
        <w:tc>
          <w:tcPr>
            <w:tcW w:w="1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Net retail sales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84,303</w:t>
            </w:r>
          </w:p>
        </w:tc>
        <w:tc>
          <w:tcPr>
            <w:tcW w:w="14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85,561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256,246</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257,752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Franchise fees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525</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558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1,624</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Commercial revenue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795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542</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2,159</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1,384</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Total revenues</w:t>
            </w: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85,623</w:t>
            </w:r>
          </w:p>
        </w:tc>
        <w:tc>
          <w:tcPr>
            <w:tcW w:w="140" w:type="dxa"/>
            <w:vAlign w:val="bottom"/>
            <w:tcBorders>
              <w:bottom w:val="single" w:sz="8" w:color="CCEEFF"/>
            </w:tcBorders>
            <w:shd w:val="clear" w:color="auto" w:fill="CCEEFF"/>
          </w:tcPr>
          <w:p>
            <w:pPr>
              <w:spacing w:after="0"/>
              <w:rPr>
                <w:sz w:val="18"/>
                <w:szCs w:val="18"/>
                <w:color w:val="auto"/>
              </w:rPr>
            </w:pPr>
          </w:p>
        </w:tc>
        <w:tc>
          <w:tcPr>
            <w:tcW w:w="10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86,661</w:t>
            </w:r>
          </w:p>
        </w:tc>
        <w:tc>
          <w:tcPr>
            <w:tcW w:w="20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260,029</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200" w:type="dxa"/>
            <w:vAlign w:val="bottom"/>
            <w:tcBorders>
              <w:top w:val="single" w:sz="8" w:color="auto"/>
              <w:bottom w:val="single" w:sz="8" w:color="auto"/>
            </w:tcBorders>
            <w:shd w:val="clear" w:color="auto" w:fill="CCEEFF"/>
          </w:tcPr>
          <w:p>
            <w:pPr>
              <w:spacing w:after="0"/>
              <w:rPr>
                <w:sz w:val="18"/>
                <w:szCs w:val="18"/>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260,852</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60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Cost of merchandise sold - retail</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46,117</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48,146</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140,288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148,785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Cost of merchandise sold - commercial</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551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278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1,093</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637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Selling, general and administrative</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37,643</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36,217</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110,815</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108,062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Interest expense (income), net</w:t>
            </w:r>
          </w:p>
        </w:tc>
        <w:tc>
          <w:tcPr>
            <w:tcW w:w="120" w:type="dxa"/>
            <w:vAlign w:val="bottom"/>
            <w:shd w:val="clear" w:color="auto" w:fill="CCEEFF"/>
          </w:tcPr>
          <w:p>
            <w:pPr>
              <w:spacing w:after="0"/>
              <w:rPr>
                <w:sz w:val="18"/>
                <w:szCs w:val="18"/>
                <w:color w:val="auto"/>
              </w:rPr>
            </w:pPr>
          </w:p>
        </w:tc>
        <w:tc>
          <w:tcPr>
            <w:tcW w:w="11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(56)</w:t>
            </w: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(38)</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(148)</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Total costs and expenses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84,255</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84,603</w:t>
            </w:r>
          </w:p>
        </w:tc>
        <w:tc>
          <w:tcPr>
            <w:tcW w:w="2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252,048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257,448</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0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tcBorders>
              <w:top w:val="single" w:sz="8" w:color="auto"/>
            </w:tcBorders>
            <w:shd w:val="clear" w:color="auto" w:fill="CCEEFF"/>
          </w:tcPr>
          <w:p>
            <w:pPr>
              <w:spacing w:after="0"/>
              <w:rPr>
                <w:sz w:val="18"/>
                <w:szCs w:val="18"/>
                <w:color w:val="auto"/>
              </w:rPr>
            </w:pPr>
          </w:p>
        </w:tc>
        <w:tc>
          <w:tcPr>
            <w:tcW w:w="94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Income before income taxes</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1,368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2,058</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7,981</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3,404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tax expense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301</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238</w:t>
            </w: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721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14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606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1,067</w:t>
            </w:r>
          </w:p>
        </w:tc>
        <w:tc>
          <w:tcPr>
            <w:tcW w:w="14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1,820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7,260</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20" w:type="dxa"/>
            <w:vAlign w:val="bottom"/>
          </w:tcPr>
          <w:p>
            <w:pPr>
              <w:spacing w:after="0"/>
              <w:rPr>
                <w:sz w:val="17"/>
                <w:szCs w:val="17"/>
                <w:color w:val="auto"/>
              </w:rPr>
            </w:pPr>
          </w:p>
        </w:tc>
        <w:tc>
          <w:tcPr>
            <w:tcW w:w="606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140" w:type="dxa"/>
            <w:vAlign w:val="bottom"/>
            <w:gridSpan w:val="2"/>
            <w:shd w:val="clear" w:color="auto" w:fill="CCEEFF"/>
          </w:tcPr>
          <w:p>
            <w:pPr>
              <w:spacing w:after="0"/>
              <w:rPr>
                <w:sz w:val="17"/>
                <w:szCs w:val="17"/>
                <w:color w:val="auto"/>
              </w:rPr>
            </w:pPr>
          </w:p>
        </w:tc>
        <w:tc>
          <w:tcPr>
            <w:tcW w:w="8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1040" w:type="dxa"/>
            <w:vAlign w:val="bottom"/>
            <w:gridSpan w:val="2"/>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Foreign currency translation adjustment</w:t>
            </w:r>
          </w:p>
        </w:tc>
        <w:tc>
          <w:tcPr>
            <w:tcW w:w="120" w:type="dxa"/>
            <w:vAlign w:val="bottom"/>
          </w:tcPr>
          <w:p>
            <w:pPr>
              <w:spacing w:after="0"/>
              <w:rPr>
                <w:sz w:val="18"/>
                <w:szCs w:val="18"/>
                <w:color w:val="auto"/>
              </w:rPr>
            </w:pPr>
          </w:p>
        </w:tc>
        <w:tc>
          <w:tcPr>
            <w:tcW w:w="1180" w:type="dxa"/>
            <w:vAlign w:val="bottom"/>
            <w:gridSpan w:val="2"/>
          </w:tcPr>
          <w:p>
            <w:pPr>
              <w:jc w:val="right"/>
              <w:ind w:right="80"/>
              <w:spacing w:after="0"/>
              <w:rPr>
                <w:sz w:val="20"/>
                <w:szCs w:val="20"/>
                <w:color w:val="auto"/>
              </w:rPr>
            </w:pPr>
            <w:r>
              <w:rPr>
                <w:rFonts w:ascii="Arial" w:cs="Arial" w:eastAsia="Arial" w:hAnsi="Arial"/>
                <w:sz w:val="18"/>
                <w:szCs w:val="18"/>
                <w:color w:val="auto"/>
              </w:rPr>
              <w:t>(770)</w:t>
            </w: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(1,009)</w:t>
            </w:r>
          </w:p>
        </w:tc>
        <w:tc>
          <w:tcPr>
            <w:tcW w:w="140" w:type="dxa"/>
            <w:vAlign w:val="bottom"/>
          </w:tcPr>
          <w:p>
            <w:pPr>
              <w:spacing w:after="0"/>
              <w:rPr>
                <w:sz w:val="18"/>
                <w:szCs w:val="18"/>
                <w:color w:val="auto"/>
              </w:rPr>
            </w:pPr>
          </w:p>
        </w:tc>
        <w:tc>
          <w:tcPr>
            <w:tcW w:w="1140" w:type="dxa"/>
            <w:vAlign w:val="bottom"/>
            <w:gridSpan w:val="2"/>
          </w:tcPr>
          <w:p>
            <w:pPr>
              <w:jc w:val="right"/>
              <w:ind w:right="80"/>
              <w:spacing w:after="0"/>
              <w:rPr>
                <w:sz w:val="20"/>
                <w:szCs w:val="20"/>
                <w:color w:val="auto"/>
              </w:rPr>
            </w:pPr>
            <w:r>
              <w:rPr>
                <w:rFonts w:ascii="Arial" w:cs="Arial" w:eastAsia="Arial" w:hAnsi="Arial"/>
                <w:sz w:val="18"/>
                <w:szCs w:val="18"/>
                <w:color w:val="auto"/>
              </w:rPr>
              <w:t>(574)</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(221)</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6060" w:type="dxa"/>
            <w:vAlign w:val="bottom"/>
            <w:tcBorders>
              <w:bottom w:val="single" w:sz="8" w:color="CCEEFF"/>
            </w:tcBorders>
            <w:shd w:val="clear" w:color="auto" w:fill="CCEEFF"/>
          </w:tcPr>
          <w:p>
            <w:pPr>
              <w:ind w:left="320"/>
              <w:spacing w:after="0"/>
              <w:rPr>
                <w:sz w:val="20"/>
                <w:szCs w:val="20"/>
                <w:color w:val="auto"/>
              </w:rPr>
            </w:pPr>
            <w:r>
              <w:rPr>
                <w:rFonts w:ascii="Arial" w:cs="Arial" w:eastAsia="Arial" w:hAnsi="Arial"/>
                <w:sz w:val="18"/>
                <w:szCs w:val="18"/>
                <w:color w:val="auto"/>
              </w:rPr>
              <w:t>Comprehensive income</w:t>
            </w: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297</w:t>
            </w:r>
          </w:p>
        </w:tc>
        <w:tc>
          <w:tcPr>
            <w:tcW w:w="140" w:type="dxa"/>
            <w:vAlign w:val="bottom"/>
            <w:tcBorders>
              <w:bottom w:val="single" w:sz="8" w:color="CCEEFF"/>
            </w:tcBorders>
            <w:shd w:val="clear" w:color="auto" w:fill="CCEEFF"/>
          </w:tcPr>
          <w:p>
            <w:pPr>
              <w:spacing w:after="0"/>
              <w:rPr>
                <w:sz w:val="21"/>
                <w:szCs w:val="21"/>
                <w:color w:val="auto"/>
              </w:rPr>
            </w:pPr>
          </w:p>
        </w:tc>
        <w:tc>
          <w:tcPr>
            <w:tcW w:w="10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811</w:t>
            </w:r>
          </w:p>
        </w:tc>
        <w:tc>
          <w:tcPr>
            <w:tcW w:w="20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6,686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200" w:type="dxa"/>
            <w:vAlign w:val="bottom"/>
            <w:tcBorders>
              <w:top w:val="single" w:sz="8" w:color="auto"/>
              <w:bottom w:val="single" w:sz="8" w:color="auto"/>
            </w:tcBorders>
            <w:shd w:val="clear" w:color="auto" w:fill="CCEEFF"/>
          </w:tcPr>
          <w:p>
            <w:pPr>
              <w:spacing w:after="0"/>
              <w:rPr>
                <w:sz w:val="20"/>
                <w:szCs w:val="20"/>
                <w:color w:val="auto"/>
              </w:rPr>
            </w:pPr>
            <w:r>
              <w:rPr>
                <w:rFonts w:ascii="Arial" w:cs="Arial" w:eastAsia="Arial" w:hAnsi="Arial"/>
                <w:sz w:val="18"/>
                <w:szCs w:val="18"/>
                <w:color w:val="auto"/>
              </w:rPr>
              <w:t>$</w:t>
            </w: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2,321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Income per common share:</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0.06</w:t>
            </w:r>
          </w:p>
        </w:tc>
        <w:tc>
          <w:tcPr>
            <w:tcW w:w="140" w:type="dxa"/>
            <w:vAlign w:val="bottom"/>
          </w:tcPr>
          <w:p>
            <w:pPr>
              <w:spacing w:after="0"/>
              <w:rPr>
                <w:sz w:val="18"/>
                <w:szCs w:val="18"/>
                <w:color w:val="auto"/>
              </w:rPr>
            </w:pPr>
          </w:p>
        </w:tc>
        <w:tc>
          <w:tcPr>
            <w:tcW w:w="300" w:type="dxa"/>
            <w:vAlign w:val="bottom"/>
            <w:gridSpan w:val="2"/>
          </w:tcPr>
          <w:p>
            <w:pPr>
              <w:ind w:left="100"/>
              <w:spacing w:after="0"/>
              <w:rPr>
                <w:sz w:val="20"/>
                <w:szCs w:val="20"/>
                <w:color w:val="auto"/>
              </w:rPr>
            </w:pPr>
            <w:r>
              <w:rPr>
                <w:rFonts w:ascii="Arial" w:cs="Arial" w:eastAsia="Arial" w:hAnsi="Arial"/>
                <w:sz w:val="18"/>
                <w:szCs w:val="18"/>
                <w:color w:val="auto"/>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0.10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0.42</w:t>
            </w:r>
          </w:p>
        </w:tc>
        <w:tc>
          <w:tcPr>
            <w:tcW w:w="280" w:type="dxa"/>
            <w:vAlign w:val="bottom"/>
            <w:gridSpan w:val="2"/>
          </w:tcPr>
          <w:p>
            <w:pPr>
              <w:ind w:left="80"/>
              <w:spacing w:after="0"/>
              <w:rPr>
                <w:sz w:val="20"/>
                <w:szCs w:val="20"/>
                <w:color w:val="auto"/>
              </w:rPr>
            </w:pPr>
            <w:r>
              <w:rPr>
                <w:rFonts w:ascii="Arial" w:cs="Arial" w:eastAsia="Arial" w:hAnsi="Arial"/>
                <w:sz w:val="18"/>
                <w:szCs w:val="18"/>
                <w:color w:val="auto"/>
              </w:rPr>
              <w:t>$</w:t>
            </w: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60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20" w:type="dxa"/>
            <w:vAlign w:val="bottom"/>
          </w:tcPr>
          <w:p>
            <w:pPr>
              <w:spacing w:after="0"/>
              <w:rPr>
                <w:sz w:val="20"/>
                <w:szCs w:val="20"/>
                <w:color w:val="auto"/>
              </w:rPr>
            </w:pPr>
          </w:p>
        </w:tc>
        <w:tc>
          <w:tcPr>
            <w:tcW w:w="6060" w:type="dxa"/>
            <w:vAlign w:val="bottom"/>
            <w:tcBorders>
              <w:bottom w:val="single" w:sz="8" w:color="CCEEFF"/>
            </w:tcBorders>
            <w:shd w:val="clear" w:color="auto" w:fill="CCEEFF"/>
          </w:tcPr>
          <w:p>
            <w:pPr>
              <w:ind w:left="160"/>
              <w:spacing w:after="0" w:line="196" w:lineRule="exact"/>
              <w:rPr>
                <w:sz w:val="20"/>
                <w:szCs w:val="20"/>
                <w:color w:val="auto"/>
              </w:rPr>
            </w:pPr>
            <w:r>
              <w:rPr>
                <w:rFonts w:ascii="Arial" w:cs="Arial" w:eastAsia="Arial" w:hAnsi="Arial"/>
                <w:sz w:val="18"/>
                <w:szCs w:val="18"/>
                <w:color w:val="auto"/>
              </w:rPr>
              <w:t>Diluted</w:t>
            </w: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0.06</w:t>
            </w:r>
          </w:p>
        </w:tc>
        <w:tc>
          <w:tcPr>
            <w:tcW w:w="140" w:type="dxa"/>
            <w:vAlign w:val="bottom"/>
            <w:tcBorders>
              <w:bottom w:val="single" w:sz="8" w:color="CCEEFF"/>
            </w:tcBorders>
            <w:shd w:val="clear" w:color="auto" w:fill="CCEEFF"/>
          </w:tcPr>
          <w:p>
            <w:pPr>
              <w:spacing w:after="0"/>
              <w:rPr>
                <w:sz w:val="20"/>
                <w:szCs w:val="20"/>
                <w:color w:val="auto"/>
              </w:rPr>
            </w:pPr>
          </w:p>
        </w:tc>
        <w:tc>
          <w:tcPr>
            <w:tcW w:w="10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0.10</w:t>
            </w:r>
          </w:p>
        </w:tc>
        <w:tc>
          <w:tcPr>
            <w:tcW w:w="200" w:type="dxa"/>
            <w:vAlign w:val="bottom"/>
            <w:tcBorders>
              <w:bottom w:val="single" w:sz="8" w:color="CCEEFF"/>
            </w:tcBorders>
            <w:shd w:val="clear" w:color="auto" w:fill="CCEEFF"/>
          </w:tcPr>
          <w:p>
            <w:pPr>
              <w:spacing w:after="0"/>
              <w:rPr>
                <w:sz w:val="20"/>
                <w:szCs w:val="20"/>
                <w:color w:val="auto"/>
              </w:rPr>
            </w:pPr>
          </w:p>
        </w:tc>
        <w:tc>
          <w:tcPr>
            <w:tcW w:w="1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100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0.42</w:t>
            </w:r>
          </w:p>
        </w:tc>
        <w:tc>
          <w:tcPr>
            <w:tcW w:w="140" w:type="dxa"/>
            <w:vAlign w:val="bottom"/>
            <w:tcBorders>
              <w:bottom w:val="single" w:sz="8" w:color="CCEEFF"/>
            </w:tcBorders>
            <w:shd w:val="clear" w:color="auto" w:fill="CCEEFF"/>
          </w:tcPr>
          <w:p>
            <w:pPr>
              <w:spacing w:after="0"/>
              <w:rPr>
                <w:sz w:val="20"/>
                <w:szCs w:val="20"/>
                <w:color w:val="auto"/>
              </w:rPr>
            </w:pPr>
          </w:p>
        </w:tc>
        <w:tc>
          <w:tcPr>
            <w:tcW w:w="80" w:type="dxa"/>
            <w:vAlign w:val="bottom"/>
            <w:tcBorders>
              <w:bottom w:val="single" w:sz="8" w:color="CCEEFF"/>
            </w:tcBorders>
            <w:shd w:val="clear" w:color="auto" w:fill="CCEEFF"/>
          </w:tcPr>
          <w:p>
            <w:pPr>
              <w:spacing w:after="0"/>
              <w:rPr>
                <w:sz w:val="20"/>
                <w:szCs w:val="20"/>
                <w:color w:val="auto"/>
              </w:rPr>
            </w:pPr>
          </w:p>
        </w:tc>
        <w:tc>
          <w:tcPr>
            <w:tcW w:w="200" w:type="dxa"/>
            <w:vAlign w:val="bottom"/>
            <w:tcBorders>
              <w:bottom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940" w:type="dxa"/>
            <w:vAlign w:val="bottom"/>
            <w:tcBorders>
              <w:bottom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0.14</w:t>
            </w:r>
          </w:p>
        </w:tc>
        <w:tc>
          <w:tcPr>
            <w:tcW w:w="100" w:type="dxa"/>
            <w:vAlign w:val="bottom"/>
            <w:tcBorders>
              <w:bottom w:val="single" w:sz="8" w:color="CCEEFF"/>
            </w:tcBorders>
            <w:shd w:val="clear" w:color="auto" w:fill="CCEEFF"/>
          </w:tcPr>
          <w:p>
            <w:pPr>
              <w:spacing w:after="0"/>
              <w:rPr>
                <w:sz w:val="20"/>
                <w:szCs w:val="20"/>
                <w:color w:val="auto"/>
              </w:rPr>
            </w:pPr>
          </w:p>
        </w:tc>
        <w:tc>
          <w:tcPr>
            <w:tcW w:w="0" w:type="dxa"/>
            <w:vAlign w:val="bottom"/>
          </w:tcPr>
          <w:p>
            <w:pPr>
              <w:spacing w:after="0"/>
              <w:rPr>
                <w:sz w:val="1"/>
                <w:szCs w:val="1"/>
                <w:color w:val="auto"/>
              </w:rPr>
            </w:pPr>
          </w:p>
        </w:tc>
      </w:tr>
      <w:tr>
        <w:trPr>
          <w:trHeight w:val="197"/>
        </w:trPr>
        <w:tc>
          <w:tcPr>
            <w:tcW w:w="20" w:type="dxa"/>
            <w:vAlign w:val="bottom"/>
            <w:vMerge w:val="restart"/>
          </w:tcPr>
          <w:p>
            <w:pPr>
              <w:spacing w:after="0"/>
              <w:rPr>
                <w:sz w:val="17"/>
                <w:szCs w:val="17"/>
                <w:color w:val="auto"/>
              </w:rPr>
            </w:pPr>
          </w:p>
        </w:tc>
        <w:tc>
          <w:tcPr>
            <w:tcW w:w="60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4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100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6060" w:type="dxa"/>
            <w:vAlign w:val="bottom"/>
            <w:shd w:val="clear" w:color="auto" w:fill="CCEEFF"/>
          </w:tcPr>
          <w:p>
            <w:pPr>
              <w:spacing w:after="0"/>
              <w:rPr>
                <w:sz w:val="20"/>
                <w:szCs w:val="20"/>
                <w:color w:val="auto"/>
              </w:rPr>
            </w:pPr>
            <w:r>
              <w:rPr>
                <w:rFonts w:ascii="Arial" w:cs="Arial" w:eastAsia="Arial" w:hAnsi="Arial"/>
                <w:sz w:val="18"/>
                <w:szCs w:val="18"/>
                <w:color w:val="auto"/>
              </w:rPr>
              <w:t>Shares used in computing common per share amounts:</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tcPr>
          <w:p>
            <w:pPr>
              <w:ind w:left="160"/>
              <w:spacing w:after="0"/>
              <w:rPr>
                <w:sz w:val="20"/>
                <w:szCs w:val="20"/>
                <w:color w:val="auto"/>
              </w:rPr>
            </w:pPr>
            <w:r>
              <w:rPr>
                <w:rFonts w:ascii="Arial" w:cs="Arial" w:eastAsia="Arial" w:hAnsi="Arial"/>
                <w:sz w:val="18"/>
                <w:szCs w:val="18"/>
                <w:color w:val="auto"/>
              </w:rPr>
              <w:t>Basic</w:t>
            </w:r>
          </w:p>
        </w:tc>
        <w:tc>
          <w:tcPr>
            <w:tcW w:w="12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16,670,358</w:t>
            </w:r>
          </w:p>
        </w:tc>
        <w:tc>
          <w:tcPr>
            <w:tcW w:w="1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16,971,416</w:t>
            </w:r>
          </w:p>
        </w:tc>
        <w:tc>
          <w:tcPr>
            <w:tcW w:w="140" w:type="dxa"/>
            <w:vAlign w:val="bottom"/>
          </w:tcPr>
          <w:p>
            <w:pPr>
              <w:spacing w:after="0"/>
              <w:rPr>
                <w:sz w:val="18"/>
                <w:szCs w:val="18"/>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16,834,968</w:t>
            </w:r>
          </w:p>
        </w:tc>
        <w:tc>
          <w:tcPr>
            <w:tcW w:w="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2"/>
          </w:tcPr>
          <w:p>
            <w:pPr>
              <w:jc w:val="right"/>
              <w:ind w:right="100"/>
              <w:spacing w:after="0"/>
              <w:rPr>
                <w:sz w:val="20"/>
                <w:szCs w:val="20"/>
                <w:color w:val="auto"/>
              </w:rPr>
            </w:pPr>
            <w:r>
              <w:rPr>
                <w:rFonts w:ascii="Arial" w:cs="Arial" w:eastAsia="Arial" w:hAnsi="Arial"/>
                <w:sz w:val="18"/>
                <w:szCs w:val="18"/>
                <w:color w:val="auto"/>
              </w:rPr>
              <w:t>16,899,245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606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Diluted</w:t>
            </w:r>
          </w:p>
        </w:tc>
        <w:tc>
          <w:tcPr>
            <w:tcW w:w="12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16,890,722</w:t>
            </w:r>
          </w:p>
        </w:tc>
        <w:tc>
          <w:tcPr>
            <w:tcW w:w="1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17,132,206</w:t>
            </w:r>
          </w:p>
        </w:tc>
        <w:tc>
          <w:tcPr>
            <w:tcW w:w="140" w:type="dxa"/>
            <w:vAlign w:val="bottom"/>
            <w:shd w:val="clear" w:color="auto" w:fill="CCEEFF"/>
          </w:tcPr>
          <w:p>
            <w:pPr>
              <w:spacing w:after="0"/>
              <w:rPr>
                <w:sz w:val="18"/>
                <w:szCs w:val="18"/>
                <w:color w:val="auto"/>
              </w:rPr>
            </w:pPr>
          </w:p>
        </w:tc>
        <w:tc>
          <w:tcPr>
            <w:tcW w:w="114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17,071,591</w:t>
            </w:r>
          </w:p>
        </w:tc>
        <w:tc>
          <w:tcPr>
            <w:tcW w:w="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17,108,910</w:t>
            </w:r>
          </w:p>
        </w:tc>
        <w:tc>
          <w:tcPr>
            <w:tcW w:w="0" w:type="dxa"/>
            <w:vAlign w:val="bottom"/>
          </w:tcPr>
          <w:p>
            <w:pPr>
              <w:spacing w:after="0"/>
              <w:rPr>
                <w:sz w:val="1"/>
                <w:szCs w:val="1"/>
                <w:color w:val="auto"/>
              </w:rPr>
            </w:pPr>
          </w:p>
        </w:tc>
      </w:tr>
    </w:tbl>
    <w:p>
      <w:pPr>
        <w:spacing w:after="0" w:line="2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CONSOLIDATED STATEMENTS OF CASH FLOWS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(Dollars in thousands)</w:t>
      </w:r>
    </w:p>
    <w:p>
      <w:pPr>
        <w:spacing w:after="0" w:line="26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180" w:type="dxa"/>
            <w:vAlign w:val="bottom"/>
            <w:gridSpan w:val="6"/>
          </w:tcPr>
          <w:p>
            <w:pPr>
              <w:jc w:val="right"/>
              <w:ind w:right="76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736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120" w:type="dxa"/>
            <w:vAlign w:val="bottom"/>
            <w:tcBorders>
              <w:top w:val="single" w:sz="8" w:color="auto"/>
            </w:tcBorders>
          </w:tcPr>
          <w:p>
            <w:pPr>
              <w:spacing w:after="0"/>
              <w:rPr>
                <w:sz w:val="16"/>
                <w:szCs w:val="16"/>
                <w:color w:val="auto"/>
              </w:rPr>
            </w:pPr>
          </w:p>
        </w:tc>
        <w:tc>
          <w:tcPr>
            <w:tcW w:w="13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80" w:type="dxa"/>
            <w:vAlign w:val="bottom"/>
            <w:tcBorders>
              <w:top w:val="single" w:sz="8" w:color="auto"/>
            </w:tcBorders>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340" w:type="dxa"/>
            <w:vAlign w:val="bottom"/>
            <w:tcBorders>
              <w:top w:val="single" w:sz="8" w:color="auto"/>
            </w:tcBorders>
          </w:tcPr>
          <w:p>
            <w:pPr>
              <w:jc w:val="right"/>
              <w:ind w:right="110"/>
              <w:spacing w:after="0" w:line="191" w:lineRule="exact"/>
              <w:rPr>
                <w:sz w:val="20"/>
                <w:szCs w:val="20"/>
                <w:color w:val="auto"/>
              </w:rPr>
            </w:pPr>
            <w:r>
              <w:rPr>
                <w:rFonts w:ascii="Arial" w:cs="Arial" w:eastAsia="Arial" w:hAnsi="Arial"/>
                <w:sz w:val="18"/>
                <w:szCs w:val="18"/>
                <w:b w:val="1"/>
                <w:bCs w:val="1"/>
                <w:color w:val="auto"/>
                <w:w w:val="90"/>
              </w:rPr>
              <w:t>September 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3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2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w w:val="90"/>
              </w:rPr>
              <w:t>October 3, 2015</w:t>
            </w:r>
          </w:p>
        </w:tc>
        <w:tc>
          <w:tcPr>
            <w:tcW w:w="8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340" w:type="dxa"/>
            <w:vAlign w:val="bottom"/>
          </w:tcPr>
          <w:p>
            <w:pPr>
              <w:jc w:val="right"/>
              <w:ind w:right="47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360" w:type="dxa"/>
            <w:vAlign w:val="bottom"/>
          </w:tcPr>
          <w:p>
            <w:pPr>
              <w:spacing w:after="0"/>
              <w:rPr>
                <w:sz w:val="18"/>
                <w:szCs w:val="18"/>
                <w:color w:val="auto"/>
              </w:rPr>
            </w:pPr>
          </w:p>
        </w:tc>
        <w:tc>
          <w:tcPr>
            <w:tcW w:w="74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138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Borders>
              <w:top w:val="single" w:sz="8" w:color="auto"/>
            </w:tcBorders>
          </w:tcPr>
          <w:p>
            <w:pPr>
              <w:spacing w:after="0"/>
              <w:rPr>
                <w:sz w:val="18"/>
                <w:szCs w:val="18"/>
                <w:color w:val="auto"/>
              </w:rPr>
            </w:pPr>
          </w:p>
        </w:tc>
        <w:tc>
          <w:tcPr>
            <w:tcW w:w="13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Cash flows from operating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Net income</w:t>
            </w:r>
          </w:p>
        </w:tc>
        <w:tc>
          <w:tcPr>
            <w:tcW w:w="86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80" w:type="dxa"/>
            <w:vAlign w:val="bottom"/>
          </w:tcPr>
          <w:p>
            <w:pPr>
              <w:jc w:val="right"/>
              <w:spacing w:after="0"/>
              <w:rPr>
                <w:sz w:val="20"/>
                <w:szCs w:val="20"/>
                <w:color w:val="auto"/>
              </w:rPr>
            </w:pPr>
            <w:r>
              <w:rPr>
                <w:rFonts w:ascii="Arial" w:cs="Arial" w:eastAsia="Arial" w:hAnsi="Arial"/>
                <w:sz w:val="18"/>
                <w:szCs w:val="18"/>
                <w:color w:val="auto"/>
              </w:rPr>
              <w:t>7,260</w:t>
            </w:r>
          </w:p>
        </w:tc>
        <w:tc>
          <w:tcPr>
            <w:tcW w:w="140" w:type="dxa"/>
            <w:vAlign w:val="bottom"/>
          </w:tcPr>
          <w:p>
            <w:pPr>
              <w:spacing w:after="0"/>
              <w:rPr>
                <w:sz w:val="18"/>
                <w:szCs w:val="18"/>
                <w:color w:val="auto"/>
              </w:rPr>
            </w:pPr>
          </w:p>
        </w:tc>
        <w:tc>
          <w:tcPr>
            <w:tcW w:w="2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Adjustments to reconcile net income to net cash from operating activities: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640"/>
              <w:spacing w:after="0"/>
              <w:rPr>
                <w:sz w:val="20"/>
                <w:szCs w:val="20"/>
                <w:color w:val="auto"/>
              </w:rPr>
            </w:pPr>
            <w:r>
              <w:rPr>
                <w:rFonts w:ascii="Arial" w:cs="Arial" w:eastAsia="Arial" w:hAnsi="Arial"/>
                <w:sz w:val="18"/>
                <w:szCs w:val="18"/>
                <w:color w:val="auto"/>
              </w:rPr>
              <w:t>Depreciation and amortization</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12,262</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13,385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Stock-based compensation</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1,533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1,619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640"/>
              <w:spacing w:after="0"/>
              <w:rPr>
                <w:sz w:val="20"/>
                <w:szCs w:val="20"/>
                <w:color w:val="auto"/>
              </w:rPr>
            </w:pPr>
            <w:r>
              <w:rPr>
                <w:rFonts w:ascii="Arial" w:cs="Arial" w:eastAsia="Arial" w:hAnsi="Arial"/>
                <w:sz w:val="18"/>
                <w:szCs w:val="18"/>
                <w:color w:val="auto"/>
              </w:rPr>
              <w:t>Deferred taxes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40</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(924)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Impairment of store assets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296</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640"/>
              <w:spacing w:after="0"/>
              <w:rPr>
                <w:sz w:val="20"/>
                <w:szCs w:val="20"/>
                <w:color w:val="auto"/>
              </w:rPr>
            </w:pPr>
            <w:r>
              <w:rPr>
                <w:rFonts w:ascii="Arial" w:cs="Arial" w:eastAsia="Arial" w:hAnsi="Arial"/>
                <w:sz w:val="18"/>
                <w:szCs w:val="18"/>
                <w:color w:val="auto"/>
              </w:rPr>
              <w:t>Provision for doubtful accounts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14</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740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Trade credit utilization</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185</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460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640"/>
              <w:spacing w:after="0"/>
              <w:rPr>
                <w:sz w:val="20"/>
                <w:szCs w:val="20"/>
                <w:color w:val="auto"/>
              </w:rPr>
            </w:pPr>
            <w:r>
              <w:rPr>
                <w:rFonts w:ascii="Arial" w:cs="Arial" w:eastAsia="Arial" w:hAnsi="Arial"/>
                <w:sz w:val="18"/>
                <w:szCs w:val="18"/>
                <w:color w:val="auto"/>
              </w:rPr>
              <w:t>Loss on disposal of property and equipment</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199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64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640"/>
              <w:spacing w:after="0"/>
              <w:rPr>
                <w:sz w:val="20"/>
                <w:szCs w:val="20"/>
                <w:color w:val="auto"/>
              </w:rPr>
            </w:pPr>
            <w:r>
              <w:rPr>
                <w:rFonts w:ascii="Arial" w:cs="Arial" w:eastAsia="Arial" w:hAnsi="Arial"/>
                <w:sz w:val="18"/>
                <w:szCs w:val="18"/>
                <w:color w:val="auto"/>
              </w:rPr>
              <w:t>Change in assets and liabilities: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3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960"/>
              <w:spacing w:after="0"/>
              <w:rPr>
                <w:sz w:val="20"/>
                <w:szCs w:val="20"/>
                <w:color w:val="auto"/>
              </w:rPr>
            </w:pPr>
            <w:r>
              <w:rPr>
                <w:rFonts w:ascii="Arial" w:cs="Arial" w:eastAsia="Arial" w:hAnsi="Arial"/>
                <w:sz w:val="18"/>
                <w:szCs w:val="18"/>
                <w:color w:val="auto"/>
              </w:rPr>
              <w:t>Inventories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(3,877)</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4,397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Receivables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3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3,317</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3,615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960"/>
              <w:spacing w:after="0"/>
              <w:rPr>
                <w:sz w:val="20"/>
                <w:szCs w:val="20"/>
                <w:color w:val="auto"/>
              </w:rPr>
            </w:pPr>
            <w:r>
              <w:rPr>
                <w:rFonts w:ascii="Arial" w:cs="Arial" w:eastAsia="Arial" w:hAnsi="Arial"/>
                <w:sz w:val="18"/>
                <w:szCs w:val="18"/>
                <w:color w:val="auto"/>
              </w:rPr>
              <w:t>Prepaid expenses and other assets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(768)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180</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Accounts payable and accrued expenses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(16,662)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(8,162)</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960"/>
              <w:spacing w:after="0"/>
              <w:rPr>
                <w:sz w:val="20"/>
                <w:szCs w:val="20"/>
                <w:color w:val="auto"/>
              </w:rPr>
            </w:pPr>
            <w:r>
              <w:rPr>
                <w:rFonts w:ascii="Arial" w:cs="Arial" w:eastAsia="Arial" w:hAnsi="Arial"/>
                <w:sz w:val="18"/>
                <w:szCs w:val="18"/>
                <w:color w:val="auto"/>
              </w:rPr>
              <w:t>Lease related liabilities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(1,018)</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(5,653)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960"/>
              <w:spacing w:after="0"/>
              <w:rPr>
                <w:sz w:val="20"/>
                <w:szCs w:val="20"/>
                <w:color w:val="auto"/>
              </w:rPr>
            </w:pPr>
            <w:r>
              <w:rPr>
                <w:rFonts w:ascii="Arial" w:cs="Arial" w:eastAsia="Arial" w:hAnsi="Arial"/>
                <w:sz w:val="18"/>
                <w:szCs w:val="18"/>
                <w:color w:val="auto"/>
              </w:rPr>
              <w:t>Gift cards and customer deposits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(5,302)</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(7,904)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960"/>
              <w:spacing w:after="0"/>
              <w:rPr>
                <w:sz w:val="20"/>
                <w:szCs w:val="20"/>
                <w:color w:val="auto"/>
              </w:rPr>
            </w:pPr>
            <w:r>
              <w:rPr>
                <w:rFonts w:ascii="Arial" w:cs="Arial" w:eastAsia="Arial" w:hAnsi="Arial"/>
                <w:sz w:val="18"/>
                <w:szCs w:val="18"/>
                <w:color w:val="auto"/>
              </w:rPr>
              <w:t>Deferred revenue</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(176)</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(407)</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Net cash (used in) provided by operating activities</w:t>
            </w: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(2,697)</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4,385</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Cash flows from investing activities: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property and equipment</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(11,645)</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(5,604)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Purchases of other assets and other intangible assets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(1,219)</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(77)</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Purchases of short term investments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(1,551)</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(899)</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Proceeds from sale or maturitiy of short term investments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793</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Cash used in investing activities</w:t>
            </w: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(13,622)</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(6,580)</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Cash flows from financing activities:</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shd w:val="clear" w:color="auto" w:fill="CCEEFF"/>
          </w:tcPr>
          <w:p>
            <w:pPr>
              <w:ind w:left="320"/>
              <w:spacing w:after="0"/>
              <w:rPr>
                <w:sz w:val="20"/>
                <w:szCs w:val="20"/>
                <w:color w:val="auto"/>
              </w:rPr>
            </w:pPr>
            <w:r>
              <w:rPr>
                <w:rFonts w:ascii="Arial" w:cs="Arial" w:eastAsia="Arial" w:hAnsi="Arial"/>
                <w:sz w:val="18"/>
                <w:szCs w:val="18"/>
                <w:color w:val="auto"/>
              </w:rPr>
              <w:t>Proceeds from the exercise of employee stock options, net of withholding tax payments</w:t>
            </w:r>
          </w:p>
        </w:tc>
        <w:tc>
          <w:tcPr>
            <w:tcW w:w="7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5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(479)</w:t>
            </w:r>
          </w:p>
        </w:tc>
        <w:tc>
          <w:tcPr>
            <w:tcW w:w="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4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1,253</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ind w:left="320"/>
              <w:spacing w:after="0"/>
              <w:rPr>
                <w:sz w:val="20"/>
                <w:szCs w:val="20"/>
                <w:color w:val="auto"/>
              </w:rPr>
            </w:pPr>
            <w:r>
              <w:rPr>
                <w:rFonts w:ascii="Arial" w:cs="Arial" w:eastAsia="Arial" w:hAnsi="Arial"/>
                <w:sz w:val="18"/>
                <w:szCs w:val="18"/>
                <w:color w:val="auto"/>
              </w:rPr>
              <w:t>Purchases of Company's common stock</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(11,084)</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(3,220)</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Borders>
              <w:bottom w:val="single" w:sz="8" w:color="CCEEFF"/>
            </w:tcBorders>
            <w:shd w:val="clear" w:color="auto" w:fill="CCEEFF"/>
          </w:tcPr>
          <w:p>
            <w:pPr>
              <w:ind w:left="1280"/>
              <w:spacing w:after="0"/>
              <w:rPr>
                <w:sz w:val="20"/>
                <w:szCs w:val="20"/>
                <w:color w:val="auto"/>
              </w:rPr>
            </w:pPr>
            <w:r>
              <w:rPr>
                <w:rFonts w:ascii="Arial" w:cs="Arial" w:eastAsia="Arial" w:hAnsi="Arial"/>
                <w:sz w:val="18"/>
                <w:szCs w:val="18"/>
                <w:color w:val="auto"/>
              </w:rPr>
              <w:t>Net cash used in financing activities</w:t>
            </w:r>
          </w:p>
        </w:tc>
        <w:tc>
          <w:tcPr>
            <w:tcW w:w="740" w:type="dxa"/>
            <w:vAlign w:val="bottom"/>
            <w:tcBorders>
              <w:bottom w:val="single" w:sz="8" w:color="CCEEFF"/>
            </w:tcBorders>
            <w:shd w:val="clear" w:color="auto" w:fill="CCEEFF"/>
          </w:tcPr>
          <w:p>
            <w:pPr>
              <w:spacing w:after="0"/>
              <w:rPr>
                <w:sz w:val="18"/>
                <w:szCs w:val="18"/>
                <w:color w:val="auto"/>
              </w:rPr>
            </w:pPr>
          </w:p>
        </w:tc>
        <w:tc>
          <w:tcPr>
            <w:tcW w:w="120" w:type="dxa"/>
            <w:vAlign w:val="bottom"/>
            <w:tcBorders>
              <w:top w:val="single" w:sz="8" w:color="auto"/>
              <w:bottom w:val="single" w:sz="8" w:color="auto"/>
            </w:tcBorders>
            <w:shd w:val="clear" w:color="auto" w:fill="CCEEFF"/>
          </w:tcPr>
          <w:p>
            <w:pPr>
              <w:spacing w:after="0"/>
              <w:rPr>
                <w:sz w:val="18"/>
                <w:szCs w:val="18"/>
                <w:color w:val="auto"/>
              </w:rPr>
            </w:pP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(11,563)</w:t>
            </w:r>
          </w:p>
        </w:tc>
        <w:tc>
          <w:tcPr>
            <w:tcW w:w="140" w:type="dxa"/>
            <w:vAlign w:val="bottom"/>
            <w:tcBorders>
              <w:bottom w:val="single" w:sz="8" w:color="CCEEFF"/>
            </w:tcBorders>
            <w:shd w:val="clear" w:color="auto" w:fill="CCEEFF"/>
          </w:tcPr>
          <w:p>
            <w:pPr>
              <w:spacing w:after="0"/>
              <w:rPr>
                <w:sz w:val="18"/>
                <w:szCs w:val="18"/>
                <w:color w:val="auto"/>
              </w:rPr>
            </w:pPr>
          </w:p>
        </w:tc>
        <w:tc>
          <w:tcPr>
            <w:tcW w:w="80" w:type="dxa"/>
            <w:vAlign w:val="bottom"/>
            <w:tcBorders>
              <w:bottom w:val="single" w:sz="8" w:color="CCEEFF"/>
            </w:tcBorders>
            <w:shd w:val="clear" w:color="auto" w:fill="CCEEFF"/>
          </w:tcPr>
          <w:p>
            <w:pPr>
              <w:spacing w:after="0"/>
              <w:rPr>
                <w:sz w:val="18"/>
                <w:szCs w:val="18"/>
                <w:color w:val="auto"/>
              </w:rPr>
            </w:pPr>
          </w:p>
        </w:tc>
        <w:tc>
          <w:tcPr>
            <w:tcW w:w="140" w:type="dxa"/>
            <w:vAlign w:val="bottom"/>
            <w:tcBorders>
              <w:top w:val="single" w:sz="8" w:color="auto"/>
              <w:bottom w:val="single" w:sz="8" w:color="auto"/>
            </w:tcBorders>
            <w:shd w:val="clear" w:color="auto" w:fill="CCEEFF"/>
          </w:tcPr>
          <w:p>
            <w:pPr>
              <w:spacing w:after="0"/>
              <w:rPr>
                <w:sz w:val="18"/>
                <w:szCs w:val="18"/>
                <w:color w:val="auto"/>
              </w:rPr>
            </w:pP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(1,967)</w:t>
            </w:r>
          </w:p>
        </w:tc>
        <w:tc>
          <w:tcPr>
            <w:tcW w:w="100" w:type="dxa"/>
            <w:vAlign w:val="bottom"/>
            <w:tcBorders>
              <w:bottom w:val="single" w:sz="8" w:color="CCEEFF"/>
            </w:tcBorders>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Effect of exchange rates on cash</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20" w:type="dxa"/>
            <w:vAlign w:val="bottom"/>
            <w:gridSpan w:val="2"/>
          </w:tcPr>
          <w:p>
            <w:pPr>
              <w:jc w:val="right"/>
              <w:ind w:right="80"/>
              <w:spacing w:after="0"/>
              <w:rPr>
                <w:sz w:val="20"/>
                <w:szCs w:val="20"/>
                <w:color w:val="auto"/>
              </w:rPr>
            </w:pPr>
            <w:r>
              <w:rPr>
                <w:rFonts w:ascii="Arial" w:cs="Arial" w:eastAsia="Arial" w:hAnsi="Arial"/>
                <w:sz w:val="18"/>
                <w:szCs w:val="18"/>
                <w:color w:val="auto"/>
              </w:rPr>
              <w:t>(361)</w:t>
            </w: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40"/>
              <w:spacing w:after="0"/>
              <w:rPr>
                <w:sz w:val="20"/>
                <w:szCs w:val="20"/>
                <w:color w:val="auto"/>
              </w:rPr>
            </w:pPr>
            <w:r>
              <w:rPr>
                <w:rFonts w:ascii="Arial" w:cs="Arial" w:eastAsia="Arial" w:hAnsi="Arial"/>
                <w:sz w:val="18"/>
                <w:szCs w:val="18"/>
                <w:color w:val="auto"/>
              </w:rPr>
              <w:t>(52)</w:t>
            </w:r>
          </w:p>
        </w:tc>
        <w:tc>
          <w:tcPr>
            <w:tcW w:w="0" w:type="dxa"/>
            <w:vAlign w:val="bottom"/>
          </w:tcPr>
          <w:p>
            <w:pPr>
              <w:spacing w:after="0"/>
              <w:rPr>
                <w:sz w:val="1"/>
                <w:szCs w:val="1"/>
                <w:color w:val="auto"/>
              </w:rPr>
            </w:pPr>
          </w:p>
        </w:tc>
      </w:tr>
      <w:tr>
        <w:trPr>
          <w:trHeight w:val="210"/>
        </w:trPr>
        <w:tc>
          <w:tcPr>
            <w:tcW w:w="20" w:type="dxa"/>
            <w:vAlign w:val="bottom"/>
          </w:tcPr>
          <w:p>
            <w:pPr>
              <w:spacing w:after="0"/>
              <w:rPr>
                <w:sz w:val="18"/>
                <w:szCs w:val="18"/>
                <w:color w:val="auto"/>
              </w:rPr>
            </w:pPr>
          </w:p>
        </w:tc>
        <w:tc>
          <w:tcPr>
            <w:tcW w:w="7360" w:type="dxa"/>
            <w:vAlign w:val="bottom"/>
            <w:shd w:val="clear" w:color="auto" w:fill="CCEEFF"/>
          </w:tcPr>
          <w:p>
            <w:pPr>
              <w:spacing w:after="0"/>
              <w:rPr>
                <w:sz w:val="20"/>
                <w:szCs w:val="20"/>
                <w:color w:val="auto"/>
              </w:rPr>
            </w:pPr>
            <w:r>
              <w:rPr>
                <w:rFonts w:ascii="Arial" w:cs="Arial" w:eastAsia="Arial" w:hAnsi="Arial"/>
                <w:sz w:val="18"/>
                <w:szCs w:val="18"/>
                <w:color w:val="auto"/>
              </w:rPr>
              <w:t>Net decrease in cash and cash equivalents</w:t>
            </w:r>
          </w:p>
        </w:tc>
        <w:tc>
          <w:tcPr>
            <w:tcW w:w="740" w:type="dxa"/>
            <w:vAlign w:val="bottom"/>
            <w:shd w:val="clear" w:color="auto" w:fill="CCEEFF"/>
          </w:tcPr>
          <w:p>
            <w:pPr>
              <w:spacing w:after="0"/>
              <w:rPr>
                <w:sz w:val="18"/>
                <w:szCs w:val="18"/>
                <w:color w:val="auto"/>
              </w:rPr>
            </w:pPr>
          </w:p>
        </w:tc>
        <w:tc>
          <w:tcPr>
            <w:tcW w:w="120" w:type="dxa"/>
            <w:vAlign w:val="bottom"/>
            <w:tcBorders>
              <w:top w:val="single" w:sz="8" w:color="auto"/>
            </w:tcBorders>
            <w:shd w:val="clear" w:color="auto" w:fill="CCEEFF"/>
          </w:tcPr>
          <w:p>
            <w:pPr>
              <w:spacing w:after="0"/>
              <w:rPr>
                <w:sz w:val="18"/>
                <w:szCs w:val="18"/>
                <w:color w:val="auto"/>
              </w:rPr>
            </w:pPr>
          </w:p>
        </w:tc>
        <w:tc>
          <w:tcPr>
            <w:tcW w:w="13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(28,243)</w:t>
            </w: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3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(4,214)</w:t>
            </w: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360" w:type="dxa"/>
            <w:vAlign w:val="bottom"/>
          </w:tcPr>
          <w:p>
            <w:pPr>
              <w:spacing w:after="0"/>
              <w:rPr>
                <w:sz w:val="20"/>
                <w:szCs w:val="20"/>
                <w:color w:val="auto"/>
              </w:rPr>
            </w:pPr>
            <w:r>
              <w:rPr>
                <w:rFonts w:ascii="Arial" w:cs="Arial" w:eastAsia="Arial" w:hAnsi="Arial"/>
                <w:sz w:val="18"/>
                <w:szCs w:val="18"/>
                <w:color w:val="auto"/>
              </w:rPr>
              <w:t>Cash and cash equivalents, beginning of period</w:t>
            </w:r>
          </w:p>
        </w:tc>
        <w:tc>
          <w:tcPr>
            <w:tcW w:w="7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380" w:type="dxa"/>
            <w:vAlign w:val="bottom"/>
          </w:tcPr>
          <w:p>
            <w:pPr>
              <w:jc w:val="right"/>
              <w:spacing w:after="0"/>
              <w:rPr>
                <w:sz w:val="20"/>
                <w:szCs w:val="20"/>
                <w:color w:val="auto"/>
              </w:rPr>
            </w:pPr>
            <w:r>
              <w:rPr>
                <w:rFonts w:ascii="Arial" w:cs="Arial" w:eastAsia="Arial" w:hAnsi="Arial"/>
                <w:sz w:val="18"/>
                <w:szCs w:val="18"/>
                <w:color w:val="auto"/>
              </w:rPr>
              <w:t>65,389</w:t>
            </w: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440" w:type="dxa"/>
            <w:vAlign w:val="bottom"/>
            <w:gridSpan w:val="2"/>
          </w:tcPr>
          <w:p>
            <w:pPr>
              <w:jc w:val="right"/>
              <w:ind w:right="100"/>
              <w:spacing w:after="0"/>
              <w:rPr>
                <w:sz w:val="20"/>
                <w:szCs w:val="20"/>
                <w:color w:val="auto"/>
              </w:rPr>
            </w:pPr>
            <w:r>
              <w:rPr>
                <w:rFonts w:ascii="Arial" w:cs="Arial" w:eastAsia="Arial" w:hAnsi="Arial"/>
                <w:sz w:val="18"/>
                <w:szCs w:val="18"/>
                <w:color w:val="auto"/>
              </w:rPr>
              <w:t>44,665</w:t>
            </w:r>
          </w:p>
        </w:tc>
        <w:tc>
          <w:tcPr>
            <w:tcW w:w="0" w:type="dxa"/>
            <w:vAlign w:val="bottom"/>
          </w:tcPr>
          <w:p>
            <w:pPr>
              <w:spacing w:after="0"/>
              <w:rPr>
                <w:sz w:val="1"/>
                <w:szCs w:val="1"/>
                <w:color w:val="auto"/>
              </w:rPr>
            </w:pPr>
          </w:p>
        </w:tc>
      </w:tr>
      <w:tr>
        <w:trPr>
          <w:trHeight w:val="250"/>
        </w:trPr>
        <w:tc>
          <w:tcPr>
            <w:tcW w:w="20" w:type="dxa"/>
            <w:vAlign w:val="bottom"/>
          </w:tcPr>
          <w:p>
            <w:pPr>
              <w:spacing w:after="0"/>
              <w:rPr>
                <w:sz w:val="21"/>
                <w:szCs w:val="21"/>
                <w:color w:val="auto"/>
              </w:rPr>
            </w:pPr>
          </w:p>
        </w:tc>
        <w:tc>
          <w:tcPr>
            <w:tcW w:w="73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Cash and cash equivalents, end of period</w:t>
            </w:r>
          </w:p>
        </w:tc>
        <w:tc>
          <w:tcPr>
            <w:tcW w:w="740" w:type="dxa"/>
            <w:vAlign w:val="bottom"/>
            <w:tcBorders>
              <w:bottom w:val="single" w:sz="8" w:color="CCEEFF"/>
            </w:tcBorders>
            <w:shd w:val="clear" w:color="auto" w:fill="CCEEFF"/>
          </w:tcPr>
          <w:p>
            <w:pPr>
              <w:spacing w:after="0"/>
              <w:rPr>
                <w:sz w:val="21"/>
                <w:szCs w:val="21"/>
                <w:color w:val="auto"/>
              </w:rPr>
            </w:pPr>
          </w:p>
        </w:tc>
        <w:tc>
          <w:tcPr>
            <w:tcW w:w="12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38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37,146</w:t>
            </w:r>
          </w:p>
        </w:tc>
        <w:tc>
          <w:tcPr>
            <w:tcW w:w="140" w:type="dxa"/>
            <w:vAlign w:val="bottom"/>
            <w:tcBorders>
              <w:bottom w:val="single" w:sz="8" w:color="CCEEFF"/>
            </w:tcBorders>
            <w:shd w:val="clear" w:color="auto" w:fill="CCEEFF"/>
          </w:tcPr>
          <w:p>
            <w:pPr>
              <w:spacing w:after="0"/>
              <w:rPr>
                <w:sz w:val="21"/>
                <w:szCs w:val="21"/>
                <w:color w:val="auto"/>
              </w:rPr>
            </w:pPr>
          </w:p>
        </w:tc>
        <w:tc>
          <w:tcPr>
            <w:tcW w:w="8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40,451</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bl>
    <w:p>
      <w:pPr>
        <w:spacing w:after="0" w:line="25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consolidated financial statements.</w:t>
      </w:r>
    </w:p>
    <w:p>
      <w:pPr>
        <w:spacing w:after="0" w:line="200" w:lineRule="exact"/>
        <w:rPr>
          <w:sz w:val="20"/>
          <w:szCs w:val="20"/>
          <w:color w:val="auto"/>
        </w:rPr>
      </w:pPr>
    </w:p>
    <w:p>
      <w:pPr>
        <w:spacing w:after="0" w:line="26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0" w:right="239" w:bottom="1440" w:gutter="0" w:footer="0" w:header="0"/>
        </w:sectPr>
      </w:pPr>
    </w:p>
    <w:bookmarkStart w:id="5" w:name="page6"/>
    <w:bookmarkEnd w:id="5"/>
    <w:p>
      <w:pPr>
        <w:spacing w:after="0"/>
        <w:rPr>
          <w:sz w:val="20"/>
          <w:szCs w:val="20"/>
          <w:color w:val="auto"/>
        </w:rPr>
      </w:pPr>
      <w:r>
        <w:rPr>
          <w:rFonts w:ascii="Arial" w:cs="Arial" w:eastAsia="Arial" w:hAnsi="Arial"/>
          <w:sz w:val="18"/>
          <w:szCs w:val="18"/>
          <w:b w:val="1"/>
          <w:bCs w:val="1"/>
          <w:color w:val="auto"/>
        </w:rPr>
        <w:t>Notes to Condensed Consolidated Financial Statements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 Basis of Presentation</w:t>
      </w:r>
    </w:p>
    <w:p>
      <w:pPr>
        <w:spacing w:after="0" w:line="229" w:lineRule="exact"/>
        <w:rPr>
          <w:sz w:val="20"/>
          <w:szCs w:val="20"/>
          <w:color w:val="auto"/>
        </w:rPr>
      </w:pPr>
    </w:p>
    <w:p>
      <w:pPr>
        <w:ind w:right="120"/>
        <w:spacing w:after="0" w:line="287" w:lineRule="auto"/>
        <w:rPr>
          <w:sz w:val="20"/>
          <w:szCs w:val="20"/>
          <w:color w:val="auto"/>
        </w:rPr>
      </w:pPr>
      <w:r>
        <w:rPr>
          <w:rFonts w:ascii="Arial" w:cs="Arial" w:eastAsia="Arial" w:hAnsi="Arial"/>
          <w:sz w:val="16"/>
          <w:szCs w:val="16"/>
          <w:color w:val="auto"/>
        </w:rPr>
        <w:t>The condensed consolidated financial statements included herein are unaudited and have been prepared by Build-A-Bear Workshop, Inc. and its subsidiaries (collectively, the Company) pursuant to the rules and regulations of the U.S. Securities and Exchange Commission (SEC). Certain information and footnote disclosures normally included in financial statements prepared in accordance with U.S. generally accepted accounting principles (GAAP) have been condensed or omitted pursuant to such rules and regulations. The condensed consolidated balance sheet of the Company as of January 3, 2015 was derived from the Company’s audited consolidated balance sheet as of that date. All other condensed consolidated financial statements contained herein are unaudited and reflect all adjustments which are, in the opinion of management, necessary to summarize fairly the financial position of the Company and the results of the Company’s operations and cash flows for the periods presented. All of these adjustments are of a normal recurring nature. All significant intercompany balances and transactions have been eliminated in consolidation. Because of the seasonal nature of the Company’s operations, results of operations of any single reporting period should not be considered as indicative of results for a full year. These condensed consolidated financial statements should be read in conjunction with the Company’s audited consolidated financial statements for the fiscal year ended January 3, 2015, which were included in the Company’s annual report on Form 10-K filed with the SEC on March 19, 2015.</w:t>
      </w:r>
    </w:p>
    <w:p>
      <w:pPr>
        <w:spacing w:after="0" w:line="173" w:lineRule="exact"/>
        <w:rPr>
          <w:sz w:val="20"/>
          <w:szCs w:val="20"/>
          <w:color w:val="auto"/>
        </w:rPr>
      </w:pPr>
    </w:p>
    <w:p>
      <w:pPr>
        <w:ind w:right="320"/>
        <w:spacing w:after="0" w:line="264" w:lineRule="auto"/>
        <w:rPr>
          <w:sz w:val="20"/>
          <w:szCs w:val="20"/>
          <w:color w:val="auto"/>
        </w:rPr>
      </w:pPr>
      <w:r>
        <w:rPr>
          <w:rFonts w:ascii="Arial" w:cs="Arial" w:eastAsia="Arial" w:hAnsi="Arial"/>
          <w:sz w:val="18"/>
          <w:szCs w:val="18"/>
          <w:color w:val="auto"/>
        </w:rPr>
        <w:t>Reclassifications of prior year amounts related to the presentation of cost of merchandise sold in the statement of operations and the provision for doubtful accounts in the statement of cash flows have been made to conform to current year presentation, with no impact to net income (loss) or net cash used in operating activities in any period.</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2. Prepaid Expenses and Other Current Assets</w:t>
      </w:r>
    </w:p>
    <w:p>
      <w:pPr>
        <w:spacing w:after="0" w:line="229" w:lineRule="exact"/>
        <w:rPr>
          <w:sz w:val="20"/>
          <w:szCs w:val="20"/>
          <w:color w:val="auto"/>
        </w:rPr>
      </w:pPr>
    </w:p>
    <w:p>
      <w:pPr>
        <w:ind w:left="80"/>
        <w:spacing w:after="0"/>
        <w:rPr>
          <w:sz w:val="20"/>
          <w:szCs w:val="20"/>
          <w:color w:val="auto"/>
        </w:rPr>
      </w:pPr>
      <w:r>
        <w:rPr>
          <w:rFonts w:ascii="Arial" w:cs="Arial" w:eastAsia="Arial" w:hAnsi="Arial"/>
          <w:sz w:val="18"/>
          <w:szCs w:val="18"/>
          <w:color w:val="auto"/>
        </w:rPr>
        <w:t>Prepaid expenses and other current assets consist of the following (in thousands):</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580" w:type="dxa"/>
            <w:vAlign w:val="bottom"/>
            <w:gridSpan w:val="3"/>
          </w:tcPr>
          <w:p>
            <w:pPr>
              <w:jc w:val="right"/>
              <w:ind w:right="310"/>
              <w:spacing w:after="0"/>
              <w:rPr>
                <w:sz w:val="20"/>
                <w:szCs w:val="20"/>
                <w:color w:val="auto"/>
              </w:rPr>
            </w:pPr>
            <w:r>
              <w:rPr>
                <w:rFonts w:ascii="Arial" w:cs="Arial" w:eastAsia="Arial" w:hAnsi="Arial"/>
                <w:sz w:val="18"/>
                <w:szCs w:val="18"/>
                <w:b w:val="1"/>
                <w:bCs w:val="1"/>
                <w:color w:val="auto"/>
              </w:rPr>
              <w:t>October 3,</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ind w:right="270"/>
              <w:spacing w:after="0"/>
              <w:rPr>
                <w:sz w:val="20"/>
                <w:szCs w:val="20"/>
                <w:color w:val="auto"/>
              </w:rPr>
            </w:pPr>
            <w:r>
              <w:rPr>
                <w:rFonts w:ascii="Arial" w:cs="Arial" w:eastAsia="Arial" w:hAnsi="Arial"/>
                <w:sz w:val="18"/>
                <w:szCs w:val="18"/>
                <w:b w:val="1"/>
                <w:bCs w:val="1"/>
                <w:color w:val="auto"/>
                <w:w w:val="92"/>
              </w:rPr>
              <w:t>January 3,</w:t>
            </w:r>
          </w:p>
        </w:tc>
        <w:tc>
          <w:tcPr>
            <w:tcW w:w="180" w:type="dxa"/>
            <w:vAlign w:val="bottom"/>
          </w:tcPr>
          <w:p>
            <w:pPr>
              <w:spacing w:after="0"/>
              <w:rPr>
                <w:sz w:val="18"/>
                <w:szCs w:val="18"/>
                <w:color w:val="auto"/>
              </w:rPr>
            </w:pPr>
          </w:p>
        </w:tc>
        <w:tc>
          <w:tcPr>
            <w:tcW w:w="1540" w:type="dxa"/>
            <w:vAlign w:val="bottom"/>
            <w:gridSpan w:val="3"/>
          </w:tcPr>
          <w:p>
            <w:pPr>
              <w:jc w:val="right"/>
              <w:ind w:right="130"/>
              <w:spacing w:after="0"/>
              <w:rPr>
                <w:sz w:val="20"/>
                <w:szCs w:val="20"/>
                <w:color w:val="auto"/>
              </w:rPr>
            </w:pPr>
            <w:r>
              <w:rPr>
                <w:rFonts w:ascii="Arial" w:cs="Arial" w:eastAsia="Arial" w:hAnsi="Arial"/>
                <w:sz w:val="18"/>
                <w:szCs w:val="18"/>
                <w:b w:val="1"/>
                <w:bCs w:val="1"/>
                <w:color w:val="auto"/>
              </w:rPr>
              <w:t>September 27,</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2080" w:type="dxa"/>
            <w:vAlign w:val="bottom"/>
            <w:gridSpan w:val="4"/>
          </w:tcPr>
          <w:p>
            <w:pPr>
              <w:jc w:val="right"/>
              <w:ind w:right="53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1200" w:type="dxa"/>
            <w:vAlign w:val="bottom"/>
            <w:gridSpan w:val="2"/>
          </w:tcPr>
          <w:p>
            <w:pPr>
              <w:jc w:val="right"/>
              <w:ind w:right="510"/>
              <w:spacing w:after="0"/>
              <w:rPr>
                <w:sz w:val="20"/>
                <w:szCs w:val="20"/>
                <w:color w:val="auto"/>
              </w:rPr>
            </w:pPr>
            <w:r>
              <w:rPr>
                <w:rFonts w:ascii="Arial" w:cs="Arial" w:eastAsia="Arial" w:hAnsi="Arial"/>
                <w:sz w:val="18"/>
                <w:szCs w:val="18"/>
                <w:b w:val="1"/>
                <w:bCs w:val="1"/>
                <w:color w:val="auto"/>
              </w:rPr>
              <w:t>2015</w:t>
            </w:r>
          </w:p>
        </w:tc>
        <w:tc>
          <w:tcPr>
            <w:tcW w:w="1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Pr>
          <w:p>
            <w:pPr>
              <w:jc w:val="right"/>
              <w:ind w:right="510"/>
              <w:spacing w:after="0"/>
              <w:rPr>
                <w:sz w:val="20"/>
                <w:szCs w:val="20"/>
                <w:color w:val="auto"/>
              </w:rPr>
            </w:pPr>
            <w:r>
              <w:rPr>
                <w:rFonts w:ascii="Arial" w:cs="Arial" w:eastAsia="Arial" w:hAnsi="Arial"/>
                <w:sz w:val="18"/>
                <w:szCs w:val="18"/>
                <w:b w:val="1"/>
                <w:bCs w:val="1"/>
                <w:color w:val="auto"/>
                <w:w w:val="89"/>
              </w:rPr>
              <w:t>2014</w:t>
            </w:r>
          </w:p>
        </w:tc>
        <w:tc>
          <w:tcPr>
            <w:tcW w:w="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20" w:type="dxa"/>
            <w:vAlign w:val="bottom"/>
            <w:shd w:val="clear" w:color="auto" w:fill="CCEEFF"/>
          </w:tcPr>
          <w:p>
            <w:pPr>
              <w:spacing w:after="0"/>
              <w:rPr>
                <w:sz w:val="20"/>
                <w:szCs w:val="20"/>
                <w:color w:val="auto"/>
              </w:rPr>
            </w:pPr>
            <w:r>
              <w:rPr>
                <w:rFonts w:ascii="Arial" w:cs="Arial" w:eastAsia="Arial" w:hAnsi="Arial"/>
                <w:sz w:val="18"/>
                <w:szCs w:val="18"/>
                <w:color w:val="auto"/>
              </w:rPr>
              <w:t>Prepaid rent</w:t>
            </w:r>
          </w:p>
        </w:tc>
        <w:tc>
          <w:tcPr>
            <w:tcW w:w="500" w:type="dxa"/>
            <w:vAlign w:val="bottom"/>
            <w:shd w:val="clear" w:color="auto" w:fill="CCEEFF"/>
          </w:tcPr>
          <w:p>
            <w:pPr>
              <w:spacing w:after="0"/>
              <w:rPr>
                <w:sz w:val="18"/>
                <w:szCs w:val="18"/>
                <w:color w:val="auto"/>
              </w:rPr>
            </w:pPr>
          </w:p>
        </w:tc>
        <w:tc>
          <w:tcPr>
            <w:tcW w:w="540" w:type="dxa"/>
            <w:vAlign w:val="bottom"/>
            <w:tcBorders>
              <w:top w:val="single" w:sz="8" w:color="auto"/>
            </w:tcBorders>
            <w:shd w:val="clear" w:color="auto" w:fill="CCEEFF"/>
          </w:tcPr>
          <w:p>
            <w:pPr>
              <w:jc w:val="right"/>
              <w:ind w:right="377"/>
              <w:spacing w:after="0"/>
              <w:rPr>
                <w:sz w:val="20"/>
                <w:szCs w:val="20"/>
                <w:color w:val="auto"/>
              </w:rPr>
            </w:pPr>
            <w:r>
              <w:rPr>
                <w:rFonts w:ascii="Arial" w:cs="Arial" w:eastAsia="Arial" w:hAnsi="Arial"/>
                <w:sz w:val="15"/>
                <w:szCs w:val="15"/>
                <w:color w:val="auto"/>
                <w:w w:val="71"/>
              </w:rPr>
              <w:t>$</w:t>
            </w:r>
          </w:p>
        </w:tc>
        <w:tc>
          <w:tcPr>
            <w:tcW w:w="240" w:type="dxa"/>
            <w:vAlign w:val="bottom"/>
            <w:tcBorders>
              <w:top w:val="single" w:sz="8" w:color="auto"/>
            </w:tcBorders>
            <w:shd w:val="clear" w:color="auto" w:fill="CCEEFF"/>
          </w:tcPr>
          <w:p>
            <w:pPr>
              <w:spacing w:after="0"/>
              <w:rPr>
                <w:sz w:val="18"/>
                <w:szCs w:val="18"/>
                <w:color w:val="auto"/>
              </w:rPr>
            </w:pPr>
          </w:p>
        </w:tc>
        <w:tc>
          <w:tcPr>
            <w:tcW w:w="8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8,328</w:t>
            </w:r>
          </w:p>
        </w:tc>
        <w:tc>
          <w:tcPr>
            <w:tcW w:w="180" w:type="dxa"/>
            <w:vAlign w:val="bottom"/>
            <w:shd w:val="clear" w:color="auto" w:fill="CCEEFF"/>
          </w:tcPr>
          <w:p>
            <w:pPr>
              <w:spacing w:after="0"/>
              <w:rPr>
                <w:sz w:val="18"/>
                <w:szCs w:val="18"/>
                <w:color w:val="auto"/>
              </w:rPr>
            </w:pPr>
          </w:p>
        </w:tc>
        <w:tc>
          <w:tcPr>
            <w:tcW w:w="340" w:type="dxa"/>
            <w:vAlign w:val="bottom"/>
            <w:tcBorders>
              <w:top w:val="single" w:sz="8" w:color="auto"/>
            </w:tcBorders>
            <w:shd w:val="clear" w:color="auto" w:fill="CCEEFF"/>
          </w:tcPr>
          <w:p>
            <w:pPr>
              <w:jc w:val="right"/>
              <w:ind w:right="185"/>
              <w:spacing w:after="0"/>
              <w:rPr>
                <w:sz w:val="20"/>
                <w:szCs w:val="20"/>
                <w:color w:val="auto"/>
              </w:rPr>
            </w:pPr>
            <w:r>
              <w:rPr>
                <w:rFonts w:ascii="Arial" w:cs="Arial" w:eastAsia="Arial" w:hAnsi="Arial"/>
                <w:sz w:val="15"/>
                <w:szCs w:val="15"/>
                <w:color w:val="auto"/>
                <w:w w:val="71"/>
              </w:rPr>
              <w:t>$</w:t>
            </w:r>
          </w:p>
        </w:tc>
        <w:tc>
          <w:tcPr>
            <w:tcW w:w="1200" w:type="dxa"/>
            <w:vAlign w:val="bottom"/>
            <w:tcBorders>
              <w:top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7,848</w:t>
            </w:r>
          </w:p>
        </w:tc>
        <w:tc>
          <w:tcPr>
            <w:tcW w:w="180" w:type="dxa"/>
            <w:vAlign w:val="bottom"/>
            <w:shd w:val="clear" w:color="auto" w:fill="CCEEFF"/>
          </w:tcPr>
          <w:p>
            <w:pPr>
              <w:spacing w:after="0"/>
              <w:rPr>
                <w:sz w:val="18"/>
                <w:szCs w:val="18"/>
                <w:color w:val="auto"/>
              </w:rPr>
            </w:pPr>
          </w:p>
        </w:tc>
        <w:tc>
          <w:tcPr>
            <w:tcW w:w="360" w:type="dxa"/>
            <w:vAlign w:val="bottom"/>
            <w:tcBorders>
              <w:top w:val="single" w:sz="8" w:color="auto"/>
            </w:tcBorders>
            <w:shd w:val="clear" w:color="auto" w:fill="CCEEFF"/>
          </w:tcPr>
          <w:p>
            <w:pPr>
              <w:jc w:val="right"/>
              <w:ind w:right="197"/>
              <w:spacing w:after="0"/>
              <w:rPr>
                <w:sz w:val="20"/>
                <w:szCs w:val="20"/>
                <w:color w:val="auto"/>
              </w:rPr>
            </w:pPr>
            <w:r>
              <w:rPr>
                <w:rFonts w:ascii="Arial" w:cs="Arial" w:eastAsia="Arial" w:hAnsi="Arial"/>
                <w:sz w:val="15"/>
                <w:szCs w:val="15"/>
                <w:color w:val="auto"/>
                <w:w w:val="71"/>
              </w:rPr>
              <w:t>$</w:t>
            </w:r>
          </w:p>
        </w:tc>
        <w:tc>
          <w:tcPr>
            <w:tcW w:w="200" w:type="dxa"/>
            <w:vAlign w:val="bottom"/>
            <w:tcBorders>
              <w:top w:val="single" w:sz="8" w:color="auto"/>
            </w:tcBorders>
            <w:shd w:val="clear" w:color="auto" w:fill="CCEEFF"/>
          </w:tcPr>
          <w:p>
            <w:pPr>
              <w:spacing w:after="0"/>
              <w:rPr>
                <w:sz w:val="18"/>
                <w:szCs w:val="18"/>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4,044</w:t>
            </w:r>
          </w:p>
        </w:tc>
        <w:tc>
          <w:tcPr>
            <w:tcW w:w="8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20" w:type="dxa"/>
            <w:vAlign w:val="bottom"/>
          </w:tcPr>
          <w:p>
            <w:pPr>
              <w:spacing w:after="0"/>
              <w:rPr>
                <w:sz w:val="20"/>
                <w:szCs w:val="20"/>
                <w:color w:val="auto"/>
              </w:rPr>
            </w:pPr>
            <w:r>
              <w:rPr>
                <w:rFonts w:ascii="Arial" w:cs="Arial" w:eastAsia="Arial" w:hAnsi="Arial"/>
                <w:sz w:val="18"/>
                <w:szCs w:val="18"/>
                <w:color w:val="auto"/>
              </w:rPr>
              <w:t>Short-term investment</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1,512</w:t>
            </w:r>
          </w:p>
        </w:tc>
        <w:tc>
          <w:tcPr>
            <w:tcW w:w="18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1,121</w:t>
            </w:r>
          </w:p>
        </w:tc>
        <w:tc>
          <w:tcPr>
            <w:tcW w:w="18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899</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2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Other</w:t>
            </w:r>
          </w:p>
        </w:tc>
        <w:tc>
          <w:tcPr>
            <w:tcW w:w="500" w:type="dxa"/>
            <w:vAlign w:val="bottom"/>
            <w:tcBorders>
              <w:bottom w:val="single" w:sz="8" w:color="CCEEFF"/>
            </w:tcBorders>
            <w:shd w:val="clear" w:color="auto" w:fill="CCEEFF"/>
          </w:tcPr>
          <w:p>
            <w:pPr>
              <w:spacing w:after="0"/>
              <w:rPr>
                <w:sz w:val="18"/>
                <w:szCs w:val="18"/>
                <w:color w:val="auto"/>
              </w:rPr>
            </w:pPr>
          </w:p>
        </w:tc>
        <w:tc>
          <w:tcPr>
            <w:tcW w:w="540" w:type="dxa"/>
            <w:vAlign w:val="bottom"/>
            <w:tcBorders>
              <w:bottom w:val="single" w:sz="8" w:color="auto"/>
            </w:tcBorders>
            <w:shd w:val="clear" w:color="auto" w:fill="CCEEFF"/>
          </w:tcPr>
          <w:p>
            <w:pPr>
              <w:spacing w:after="0"/>
              <w:rPr>
                <w:sz w:val="18"/>
                <w:szCs w:val="18"/>
                <w:color w:val="auto"/>
              </w:rPr>
            </w:pPr>
          </w:p>
        </w:tc>
        <w:tc>
          <w:tcPr>
            <w:tcW w:w="240" w:type="dxa"/>
            <w:vAlign w:val="bottom"/>
            <w:tcBorders>
              <w:bottom w:val="single" w:sz="8" w:color="auto"/>
            </w:tcBorders>
            <w:shd w:val="clear" w:color="auto" w:fill="CCEEFF"/>
          </w:tcPr>
          <w:p>
            <w:pPr>
              <w:spacing w:after="0"/>
              <w:rPr>
                <w:sz w:val="18"/>
                <w:szCs w:val="18"/>
                <w:color w:val="auto"/>
              </w:rPr>
            </w:pPr>
          </w:p>
        </w:tc>
        <w:tc>
          <w:tcPr>
            <w:tcW w:w="8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6,811</w:t>
            </w:r>
          </w:p>
        </w:tc>
        <w:tc>
          <w:tcPr>
            <w:tcW w:w="180" w:type="dxa"/>
            <w:vAlign w:val="bottom"/>
            <w:tcBorders>
              <w:bottom w:val="single" w:sz="8" w:color="CCEEFF"/>
            </w:tcBorders>
            <w:shd w:val="clear" w:color="auto" w:fill="CCEEFF"/>
          </w:tcPr>
          <w:p>
            <w:pPr>
              <w:spacing w:after="0"/>
              <w:rPr>
                <w:sz w:val="18"/>
                <w:szCs w:val="18"/>
                <w:color w:val="auto"/>
              </w:rPr>
            </w:pPr>
          </w:p>
        </w:tc>
        <w:tc>
          <w:tcPr>
            <w:tcW w:w="340" w:type="dxa"/>
            <w:vAlign w:val="bottom"/>
            <w:tcBorders>
              <w:bottom w:val="single" w:sz="8" w:color="auto"/>
            </w:tcBorders>
            <w:shd w:val="clear" w:color="auto" w:fill="CCEEFF"/>
          </w:tcPr>
          <w:p>
            <w:pPr>
              <w:spacing w:after="0"/>
              <w:rPr>
                <w:sz w:val="18"/>
                <w:szCs w:val="18"/>
                <w:color w:val="auto"/>
              </w:rPr>
            </w:pPr>
          </w:p>
        </w:tc>
        <w:tc>
          <w:tcPr>
            <w:tcW w:w="1200" w:type="dxa"/>
            <w:vAlign w:val="bottom"/>
            <w:tcBorders>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rPr>
              <w:t>6,642</w:t>
            </w:r>
          </w:p>
        </w:tc>
        <w:tc>
          <w:tcPr>
            <w:tcW w:w="180" w:type="dxa"/>
            <w:vAlign w:val="bottom"/>
            <w:tcBorders>
              <w:bottom w:val="single" w:sz="8" w:color="CCEEFF"/>
            </w:tcBorders>
            <w:shd w:val="clear" w:color="auto" w:fill="CCEEFF"/>
          </w:tcPr>
          <w:p>
            <w:pPr>
              <w:spacing w:after="0"/>
              <w:rPr>
                <w:sz w:val="18"/>
                <w:szCs w:val="18"/>
                <w:color w:val="auto"/>
              </w:rPr>
            </w:pPr>
          </w:p>
        </w:tc>
        <w:tc>
          <w:tcPr>
            <w:tcW w:w="360" w:type="dxa"/>
            <w:vAlign w:val="bottom"/>
            <w:tcBorders>
              <w:bottom w:val="single" w:sz="8" w:color="auto"/>
            </w:tcBorders>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7,245</w:t>
            </w:r>
          </w:p>
        </w:tc>
        <w:tc>
          <w:tcPr>
            <w:tcW w:w="80" w:type="dxa"/>
            <w:vAlign w:val="bottom"/>
            <w:tcBorders>
              <w:bottom w:val="single" w:sz="8" w:color="CCEEFF"/>
            </w:tcBorders>
            <w:shd w:val="clear" w:color="auto" w:fill="CCEEFF"/>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3520" w:type="dxa"/>
            <w:vAlign w:val="bottom"/>
          </w:tcPr>
          <w:p>
            <w:pPr>
              <w:spacing w:after="0"/>
              <w:rPr>
                <w:sz w:val="18"/>
                <w:szCs w:val="18"/>
                <w:color w:val="auto"/>
              </w:rPr>
            </w:pPr>
          </w:p>
        </w:tc>
        <w:tc>
          <w:tcPr>
            <w:tcW w:w="1040" w:type="dxa"/>
            <w:vAlign w:val="bottom"/>
            <w:gridSpan w:val="2"/>
          </w:tcPr>
          <w:p>
            <w:pPr>
              <w:jc w:val="right"/>
              <w:ind w:right="377"/>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16,651</w:t>
            </w:r>
          </w:p>
        </w:tc>
        <w:tc>
          <w:tcPr>
            <w:tcW w:w="520" w:type="dxa"/>
            <w:vAlign w:val="bottom"/>
            <w:gridSpan w:val="2"/>
          </w:tcPr>
          <w:p>
            <w:pPr>
              <w:jc w:val="right"/>
              <w:ind w:right="185"/>
              <w:spacing w:after="0"/>
              <w:rPr>
                <w:sz w:val="20"/>
                <w:szCs w:val="20"/>
                <w:color w:val="auto"/>
              </w:rPr>
            </w:pPr>
            <w:r>
              <w:rPr>
                <w:rFonts w:ascii="Arial" w:cs="Arial" w:eastAsia="Arial" w:hAnsi="Arial"/>
                <w:sz w:val="18"/>
                <w:szCs w:val="18"/>
                <w:color w:val="auto"/>
              </w:rPr>
              <w:t>$</w:t>
            </w: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15,611</w:t>
            </w:r>
          </w:p>
        </w:tc>
        <w:tc>
          <w:tcPr>
            <w:tcW w:w="540" w:type="dxa"/>
            <w:vAlign w:val="bottom"/>
            <w:gridSpan w:val="2"/>
          </w:tcPr>
          <w:p>
            <w:pPr>
              <w:jc w:val="right"/>
              <w:ind w:right="197"/>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18"/>
                <w:szCs w:val="18"/>
                <w:color w:val="auto"/>
              </w:rPr>
            </w:pPr>
          </w:p>
        </w:tc>
        <w:tc>
          <w:tcPr>
            <w:tcW w:w="980" w:type="dxa"/>
            <w:vAlign w:val="bottom"/>
          </w:tcPr>
          <w:p>
            <w:pPr>
              <w:jc w:val="right"/>
              <w:spacing w:after="0"/>
              <w:rPr>
                <w:sz w:val="20"/>
                <w:szCs w:val="20"/>
                <w:color w:val="auto"/>
              </w:rPr>
            </w:pPr>
            <w:r>
              <w:rPr>
                <w:rFonts w:ascii="Arial" w:cs="Arial" w:eastAsia="Arial" w:hAnsi="Arial"/>
                <w:sz w:val="18"/>
                <w:szCs w:val="18"/>
                <w:color w:val="auto"/>
              </w:rPr>
              <w:t>12,188</w:t>
            </w: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680" w:type="dxa"/>
            <w:vAlign w:val="bottom"/>
            <w:gridSpan w:val="3"/>
            <w:vMerge w:val="restart"/>
          </w:tcPr>
          <w:p>
            <w:pPr>
              <w:spacing w:after="0"/>
              <w:rPr>
                <w:sz w:val="20"/>
                <w:szCs w:val="20"/>
                <w:color w:val="auto"/>
              </w:rPr>
            </w:pPr>
            <w:r>
              <w:rPr>
                <w:rFonts w:ascii="Arial" w:cs="Arial" w:eastAsia="Arial" w:hAnsi="Arial"/>
                <w:sz w:val="18"/>
                <w:szCs w:val="18"/>
                <w:b w:val="1"/>
                <w:bCs w:val="1"/>
                <w:color w:val="auto"/>
              </w:rPr>
              <w:t>3. Accrued Expenses</w:t>
            </w:r>
          </w:p>
        </w:tc>
        <w:tc>
          <w:tcPr>
            <w:tcW w:w="500" w:type="dxa"/>
            <w:vAlign w:val="bottom"/>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3"/>
        </w:trPr>
        <w:tc>
          <w:tcPr>
            <w:tcW w:w="4680" w:type="dxa"/>
            <w:vAlign w:val="bottom"/>
            <w:gridSpan w:val="3"/>
            <w:vMerge w:val="continue"/>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32"/>
        </w:trPr>
        <w:tc>
          <w:tcPr>
            <w:tcW w:w="4680" w:type="dxa"/>
            <w:vAlign w:val="bottom"/>
            <w:gridSpan w:val="3"/>
          </w:tcPr>
          <w:p>
            <w:pPr>
              <w:spacing w:after="0"/>
              <w:rPr>
                <w:sz w:val="20"/>
                <w:szCs w:val="20"/>
                <w:color w:val="auto"/>
              </w:rPr>
            </w:pPr>
            <w:r>
              <w:rPr>
                <w:rFonts w:ascii="Arial" w:cs="Arial" w:eastAsia="Arial" w:hAnsi="Arial"/>
                <w:sz w:val="18"/>
                <w:szCs w:val="18"/>
                <w:color w:val="auto"/>
              </w:rPr>
              <w:t>Accrued expenses consist of the following (in thousands):</w:t>
            </w: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414"/>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320" w:type="dxa"/>
            <w:vAlign w:val="bottom"/>
            <w:gridSpan w:val="3"/>
          </w:tcPr>
          <w:p>
            <w:pPr>
              <w:jc w:val="right"/>
              <w:ind w:right="305"/>
              <w:spacing w:after="0"/>
              <w:rPr>
                <w:sz w:val="20"/>
                <w:szCs w:val="20"/>
                <w:color w:val="auto"/>
              </w:rPr>
            </w:pPr>
            <w:r>
              <w:rPr>
                <w:rFonts w:ascii="Arial" w:cs="Arial" w:eastAsia="Arial" w:hAnsi="Arial"/>
                <w:sz w:val="18"/>
                <w:szCs w:val="18"/>
                <w:b w:val="1"/>
                <w:bCs w:val="1"/>
                <w:color w:val="auto"/>
              </w:rPr>
              <w:t>October 3,</w:t>
            </w:r>
          </w:p>
        </w:tc>
        <w:tc>
          <w:tcPr>
            <w:tcW w:w="200" w:type="dxa"/>
            <w:vAlign w:val="bottom"/>
          </w:tcPr>
          <w:p>
            <w:pPr>
              <w:spacing w:after="0"/>
              <w:rPr>
                <w:sz w:val="24"/>
                <w:szCs w:val="24"/>
                <w:color w:val="auto"/>
              </w:rPr>
            </w:pPr>
          </w:p>
        </w:tc>
        <w:tc>
          <w:tcPr>
            <w:tcW w:w="174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January 3,</w:t>
            </w:r>
          </w:p>
        </w:tc>
        <w:tc>
          <w:tcPr>
            <w:tcW w:w="1620" w:type="dxa"/>
            <w:vAlign w:val="bottom"/>
            <w:gridSpan w:val="4"/>
          </w:tcPr>
          <w:p>
            <w:pPr>
              <w:jc w:val="right"/>
              <w:ind w:right="300"/>
              <w:spacing w:after="0"/>
              <w:rPr>
                <w:sz w:val="20"/>
                <w:szCs w:val="20"/>
                <w:color w:val="auto"/>
              </w:rPr>
            </w:pPr>
            <w:r>
              <w:rPr>
                <w:rFonts w:ascii="Arial" w:cs="Arial" w:eastAsia="Arial" w:hAnsi="Arial"/>
                <w:sz w:val="18"/>
                <w:szCs w:val="18"/>
                <w:b w:val="1"/>
                <w:bCs w:val="1"/>
                <w:color w:val="auto"/>
              </w:rPr>
              <w:t>September 27,</w:t>
            </w: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34"/>
        </w:trPr>
        <w:tc>
          <w:tcPr>
            <w:tcW w:w="580" w:type="dxa"/>
            <w:vAlign w:val="bottom"/>
          </w:tcPr>
          <w:p>
            <w:pPr>
              <w:spacing w:after="0"/>
              <w:rPr>
                <w:sz w:val="20"/>
                <w:szCs w:val="20"/>
                <w:color w:val="auto"/>
              </w:rPr>
            </w:pPr>
          </w:p>
        </w:tc>
        <w:tc>
          <w:tcPr>
            <w:tcW w:w="580" w:type="dxa"/>
            <w:vAlign w:val="bottom"/>
          </w:tcPr>
          <w:p>
            <w:pPr>
              <w:spacing w:after="0"/>
              <w:rPr>
                <w:sz w:val="20"/>
                <w:szCs w:val="20"/>
                <w:color w:val="auto"/>
              </w:rPr>
            </w:pPr>
          </w:p>
        </w:tc>
        <w:tc>
          <w:tcPr>
            <w:tcW w:w="35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54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auto"/>
            </w:tcBorders>
          </w:tcPr>
          <w:p>
            <w:pPr>
              <w:spacing w:after="0"/>
              <w:rPr>
                <w:sz w:val="20"/>
                <w:szCs w:val="20"/>
                <w:color w:val="auto"/>
              </w:rPr>
            </w:pPr>
          </w:p>
        </w:tc>
        <w:tc>
          <w:tcPr>
            <w:tcW w:w="34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2015</w:t>
            </w:r>
          </w:p>
        </w:tc>
        <w:tc>
          <w:tcPr>
            <w:tcW w:w="180" w:type="dxa"/>
            <w:vAlign w:val="bottom"/>
            <w:tcBorders>
              <w:bottom w:val="single" w:sz="8" w:color="auto"/>
            </w:tcBorders>
          </w:tcPr>
          <w:p>
            <w:pPr>
              <w:spacing w:after="0"/>
              <w:rPr>
                <w:sz w:val="20"/>
                <w:szCs w:val="20"/>
                <w:color w:val="auto"/>
              </w:rPr>
            </w:pPr>
          </w:p>
        </w:tc>
        <w:tc>
          <w:tcPr>
            <w:tcW w:w="360" w:type="dxa"/>
            <w:vAlign w:val="bottom"/>
            <w:tcBorders>
              <w:bottom w:val="single" w:sz="8" w:color="auto"/>
            </w:tcBorders>
          </w:tcPr>
          <w:p>
            <w:pPr>
              <w:spacing w:after="0"/>
              <w:rPr>
                <w:sz w:val="20"/>
                <w:szCs w:val="20"/>
                <w:color w:val="auto"/>
              </w:rPr>
            </w:pPr>
          </w:p>
        </w:tc>
        <w:tc>
          <w:tcPr>
            <w:tcW w:w="200" w:type="dxa"/>
            <w:vAlign w:val="bottom"/>
          </w:tcPr>
          <w:p>
            <w:pPr>
              <w:spacing w:after="0"/>
              <w:rPr>
                <w:sz w:val="20"/>
                <w:szCs w:val="20"/>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2014</w:t>
            </w:r>
          </w:p>
        </w:tc>
        <w:tc>
          <w:tcPr>
            <w:tcW w:w="80" w:type="dxa"/>
            <w:vAlign w:val="bottom"/>
            <w:tcBorders>
              <w:bottom w:val="single" w:sz="8" w:color="auto"/>
            </w:tcBorders>
          </w:tcPr>
          <w:p>
            <w:pPr>
              <w:spacing w:after="0"/>
              <w:rPr>
                <w:sz w:val="20"/>
                <w:szCs w:val="20"/>
                <w:color w:val="auto"/>
              </w:rPr>
            </w:pPr>
          </w:p>
        </w:tc>
        <w:tc>
          <w:tcPr>
            <w:tcW w:w="46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80" w:type="dxa"/>
            <w:vAlign w:val="bottom"/>
          </w:tcPr>
          <w:p>
            <w:pPr>
              <w:spacing w:after="0"/>
              <w:rPr>
                <w:sz w:val="18"/>
                <w:szCs w:val="18"/>
                <w:color w:val="auto"/>
              </w:rPr>
            </w:pPr>
          </w:p>
        </w:tc>
        <w:tc>
          <w:tcPr>
            <w:tcW w:w="4100" w:type="dxa"/>
            <w:vAlign w:val="bottom"/>
            <w:gridSpan w:val="2"/>
          </w:tcPr>
          <w:p>
            <w:pPr>
              <w:spacing w:after="0"/>
              <w:rPr>
                <w:sz w:val="18"/>
                <w:szCs w:val="18"/>
                <w:color w:val="auto"/>
              </w:rPr>
            </w:pPr>
          </w:p>
        </w:tc>
        <w:tc>
          <w:tcPr>
            <w:tcW w:w="1280" w:type="dxa"/>
            <w:vAlign w:val="bottom"/>
            <w:gridSpan w:val="3"/>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spacing w:after="0"/>
              <w:rPr>
                <w:sz w:val="18"/>
                <w:szCs w:val="18"/>
                <w:color w:val="auto"/>
              </w:rPr>
            </w:pPr>
          </w:p>
        </w:tc>
        <w:tc>
          <w:tcPr>
            <w:tcW w:w="1200" w:type="dxa"/>
            <w:vAlign w:val="bottom"/>
            <w:gridSpan w:val="2"/>
          </w:tcPr>
          <w:p>
            <w:pPr>
              <w:spacing w:after="0"/>
              <w:rPr>
                <w:sz w:val="18"/>
                <w:szCs w:val="18"/>
                <w:color w:val="auto"/>
              </w:rPr>
            </w:pPr>
          </w:p>
        </w:tc>
        <w:tc>
          <w:tcPr>
            <w:tcW w:w="740" w:type="dxa"/>
            <w:vAlign w:val="bottom"/>
            <w:gridSpan w:val="3"/>
          </w:tcPr>
          <w:p>
            <w:pPr>
              <w:spacing w:after="0"/>
              <w:rPr>
                <w:sz w:val="18"/>
                <w:szCs w:val="18"/>
                <w:color w:val="auto"/>
              </w:rPr>
            </w:pPr>
          </w:p>
        </w:tc>
        <w:tc>
          <w:tcPr>
            <w:tcW w:w="980" w:type="dxa"/>
            <w:vAlign w:val="bottom"/>
          </w:tcPr>
          <w:p>
            <w:pPr>
              <w:spacing w:after="0"/>
              <w:rPr>
                <w:sz w:val="18"/>
                <w:szCs w:val="18"/>
                <w:color w:val="auto"/>
              </w:rPr>
            </w:pPr>
          </w:p>
        </w:tc>
        <w:tc>
          <w:tcPr>
            <w:tcW w:w="640" w:type="dxa"/>
            <w:vAlign w:val="bottom"/>
            <w:gridSpan w:val="3"/>
          </w:tcPr>
          <w:p>
            <w:pPr>
              <w:spacing w:after="0"/>
              <w:rPr>
                <w:sz w:val="18"/>
                <w:szCs w:val="18"/>
                <w:color w:val="auto"/>
              </w:rPr>
            </w:pP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wages, bonuses and related expenses</w:t>
            </w:r>
          </w:p>
        </w:tc>
        <w:tc>
          <w:tcPr>
            <w:tcW w:w="1280" w:type="dxa"/>
            <w:vAlign w:val="bottom"/>
            <w:gridSpan w:val="3"/>
            <w:shd w:val="clear" w:color="auto" w:fill="CCEEFF"/>
          </w:tcPr>
          <w:p>
            <w:pPr>
              <w:jc w:val="right"/>
              <w:ind w:right="50"/>
              <w:spacing w:after="0"/>
              <w:rPr>
                <w:sz w:val="20"/>
                <w:szCs w:val="20"/>
                <w:color w:val="auto"/>
              </w:rPr>
            </w:pPr>
            <w:r>
              <w:rPr>
                <w:rFonts w:ascii="Arial" w:cs="Arial" w:eastAsia="Arial" w:hAnsi="Arial"/>
                <w:sz w:val="18"/>
                <w:szCs w:val="18"/>
                <w:color w:val="auto"/>
              </w:rPr>
              <w:t>$</w:t>
            </w: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7,376</w:t>
            </w:r>
          </w:p>
        </w:tc>
        <w:tc>
          <w:tcPr>
            <w:tcW w:w="1200" w:type="dxa"/>
            <w:vAlign w:val="bottom"/>
            <w:gridSpan w:val="2"/>
            <w:shd w:val="clear" w:color="auto" w:fill="CCEEFF"/>
          </w:tcPr>
          <w:p>
            <w:pPr>
              <w:jc w:val="right"/>
              <w:ind w:right="810"/>
              <w:spacing w:after="0"/>
              <w:rPr>
                <w:sz w:val="20"/>
                <w:szCs w:val="20"/>
                <w:color w:val="auto"/>
              </w:rPr>
            </w:pPr>
            <w:r>
              <w:rPr>
                <w:rFonts w:ascii="Arial" w:cs="Arial" w:eastAsia="Arial" w:hAnsi="Arial"/>
                <w:sz w:val="18"/>
                <w:szCs w:val="18"/>
                <w:color w:val="auto"/>
              </w:rPr>
              <w:t>$</w:t>
            </w: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w w:val="98"/>
              </w:rPr>
              <w:t>11,858</w:t>
            </w:r>
          </w:p>
        </w:tc>
        <w:tc>
          <w:tcPr>
            <w:tcW w:w="980" w:type="dxa"/>
            <w:vAlign w:val="bottom"/>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6,511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Sales tax payable</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2,375</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7,694</w:t>
            </w:r>
          </w:p>
        </w:tc>
        <w:tc>
          <w:tcPr>
            <w:tcW w:w="98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3,149</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Accrued rent and related expenses</w:t>
            </w:r>
          </w:p>
        </w:tc>
        <w:tc>
          <w:tcPr>
            <w:tcW w:w="500" w:type="dxa"/>
            <w:vAlign w:val="bottom"/>
            <w:shd w:val="clear" w:color="auto" w:fill="CCEEFF"/>
          </w:tcPr>
          <w:p>
            <w:pPr>
              <w:spacing w:after="0"/>
              <w:rPr>
                <w:sz w:val="18"/>
                <w:szCs w:val="18"/>
                <w:color w:val="auto"/>
              </w:rPr>
            </w:pPr>
          </w:p>
        </w:tc>
        <w:tc>
          <w:tcPr>
            <w:tcW w:w="54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3,819</w:t>
            </w:r>
          </w:p>
        </w:tc>
        <w:tc>
          <w:tcPr>
            <w:tcW w:w="200" w:type="dxa"/>
            <w:vAlign w:val="bottom"/>
            <w:shd w:val="clear" w:color="auto" w:fill="CCEEFF"/>
          </w:tcPr>
          <w:p>
            <w:pPr>
              <w:spacing w:after="0"/>
              <w:rPr>
                <w:sz w:val="18"/>
                <w:szCs w:val="18"/>
                <w:color w:val="auto"/>
              </w:rPr>
            </w:pPr>
          </w:p>
        </w:tc>
        <w:tc>
          <w:tcPr>
            <w:tcW w:w="1000" w:type="dxa"/>
            <w:vAlign w:val="bottom"/>
            <w:shd w:val="clear" w:color="auto" w:fill="CCEEFF"/>
          </w:tcPr>
          <w:p>
            <w:pPr>
              <w:spacing w:after="0"/>
              <w:rPr>
                <w:sz w:val="18"/>
                <w:szCs w:val="18"/>
                <w:color w:val="auto"/>
              </w:rPr>
            </w:pPr>
          </w:p>
        </w:tc>
        <w:tc>
          <w:tcPr>
            <w:tcW w:w="7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3,365</w:t>
            </w:r>
          </w:p>
        </w:tc>
        <w:tc>
          <w:tcPr>
            <w:tcW w:w="980" w:type="dxa"/>
            <w:vAlign w:val="bottom"/>
            <w:shd w:val="clear" w:color="auto" w:fill="CCEEFF"/>
          </w:tcPr>
          <w:p>
            <w:pPr>
              <w:spacing w:after="0"/>
              <w:rPr>
                <w:sz w:val="18"/>
                <w:szCs w:val="18"/>
                <w:color w:val="auto"/>
              </w:rPr>
            </w:pPr>
          </w:p>
        </w:tc>
        <w:tc>
          <w:tcPr>
            <w:tcW w:w="64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3,294</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80" w:type="dxa"/>
            <w:vAlign w:val="bottom"/>
          </w:tcPr>
          <w:p>
            <w:pPr>
              <w:spacing w:after="0"/>
              <w:rPr>
                <w:sz w:val="18"/>
                <w:szCs w:val="18"/>
                <w:color w:val="auto"/>
              </w:rPr>
            </w:pPr>
          </w:p>
        </w:tc>
        <w:tc>
          <w:tcPr>
            <w:tcW w:w="4100" w:type="dxa"/>
            <w:vAlign w:val="bottom"/>
            <w:gridSpan w:val="2"/>
          </w:tcPr>
          <w:p>
            <w:pPr>
              <w:spacing w:after="0"/>
              <w:rPr>
                <w:sz w:val="20"/>
                <w:szCs w:val="20"/>
                <w:color w:val="auto"/>
              </w:rPr>
            </w:pPr>
            <w:r>
              <w:rPr>
                <w:rFonts w:ascii="Arial" w:cs="Arial" w:eastAsia="Arial" w:hAnsi="Arial"/>
                <w:sz w:val="18"/>
                <w:szCs w:val="18"/>
                <w:color w:val="auto"/>
              </w:rPr>
              <w:t>Current income taxes payable</w:t>
            </w:r>
          </w:p>
        </w:tc>
        <w:tc>
          <w:tcPr>
            <w:tcW w:w="5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627</w:t>
            </w:r>
          </w:p>
        </w:tc>
        <w:tc>
          <w:tcPr>
            <w:tcW w:w="200" w:type="dxa"/>
            <w:vAlign w:val="bottom"/>
          </w:tcPr>
          <w:p>
            <w:pPr>
              <w:spacing w:after="0"/>
              <w:rPr>
                <w:sz w:val="18"/>
                <w:szCs w:val="18"/>
                <w:color w:val="auto"/>
              </w:rPr>
            </w:pPr>
          </w:p>
        </w:tc>
        <w:tc>
          <w:tcPr>
            <w:tcW w:w="1000" w:type="dxa"/>
            <w:vAlign w:val="bottom"/>
          </w:tcPr>
          <w:p>
            <w:pPr>
              <w:spacing w:after="0"/>
              <w:rPr>
                <w:sz w:val="18"/>
                <w:szCs w:val="18"/>
                <w:color w:val="auto"/>
              </w:rPr>
            </w:pPr>
          </w:p>
        </w:tc>
        <w:tc>
          <w:tcPr>
            <w:tcW w:w="740" w:type="dxa"/>
            <w:vAlign w:val="bottom"/>
            <w:gridSpan w:val="3"/>
          </w:tcPr>
          <w:p>
            <w:pPr>
              <w:jc w:val="right"/>
              <w:ind w:right="180"/>
              <w:spacing w:after="0"/>
              <w:rPr>
                <w:sz w:val="20"/>
                <w:szCs w:val="20"/>
                <w:color w:val="auto"/>
              </w:rPr>
            </w:pPr>
            <w:r>
              <w:rPr>
                <w:rFonts w:ascii="Arial" w:cs="Arial" w:eastAsia="Arial" w:hAnsi="Arial"/>
                <w:sz w:val="18"/>
                <w:szCs w:val="18"/>
                <w:color w:val="auto"/>
              </w:rPr>
              <w:t>1,141</w:t>
            </w:r>
          </w:p>
        </w:tc>
        <w:tc>
          <w:tcPr>
            <w:tcW w:w="980" w:type="dxa"/>
            <w:vAlign w:val="bottom"/>
          </w:tcPr>
          <w:p>
            <w:pPr>
              <w:spacing w:after="0"/>
              <w:rPr>
                <w:sz w:val="18"/>
                <w:szCs w:val="18"/>
                <w:color w:val="auto"/>
              </w:rPr>
            </w:pPr>
          </w:p>
        </w:tc>
        <w:tc>
          <w:tcPr>
            <w:tcW w:w="640" w:type="dxa"/>
            <w:vAlign w:val="bottom"/>
            <w:gridSpan w:val="3"/>
          </w:tcPr>
          <w:p>
            <w:pPr>
              <w:jc w:val="right"/>
              <w:ind w:right="100"/>
              <w:spacing w:after="0"/>
              <w:rPr>
                <w:sz w:val="20"/>
                <w:szCs w:val="20"/>
                <w:color w:val="auto"/>
              </w:rPr>
            </w:pPr>
            <w:r>
              <w:rPr>
                <w:rFonts w:ascii="Arial" w:cs="Arial" w:eastAsia="Arial" w:hAnsi="Arial"/>
                <w:sz w:val="18"/>
                <w:szCs w:val="18"/>
                <w:color w:val="auto"/>
              </w:rPr>
              <w:t>191</w:t>
            </w:r>
          </w:p>
        </w:tc>
        <w:tc>
          <w:tcPr>
            <w:tcW w:w="6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50"/>
        </w:trPr>
        <w:tc>
          <w:tcPr>
            <w:tcW w:w="580" w:type="dxa"/>
            <w:vAlign w:val="bottom"/>
          </w:tcPr>
          <w:p>
            <w:pPr>
              <w:spacing w:after="0"/>
              <w:rPr>
                <w:sz w:val="21"/>
                <w:szCs w:val="21"/>
                <w:color w:val="auto"/>
              </w:rPr>
            </w:pPr>
          </w:p>
        </w:tc>
        <w:tc>
          <w:tcPr>
            <w:tcW w:w="580" w:type="dxa"/>
            <w:vAlign w:val="bottom"/>
            <w:tcBorders>
              <w:bottom w:val="single" w:sz="8" w:color="CCEEFF"/>
            </w:tcBorders>
            <w:shd w:val="clear" w:color="auto" w:fill="CCEEFF"/>
          </w:tcPr>
          <w:p>
            <w:pPr>
              <w:spacing w:after="0"/>
              <w:rPr>
                <w:sz w:val="21"/>
                <w:szCs w:val="21"/>
                <w:color w:val="auto"/>
              </w:rPr>
            </w:pPr>
          </w:p>
        </w:tc>
        <w:tc>
          <w:tcPr>
            <w:tcW w:w="3520" w:type="dxa"/>
            <w:vAlign w:val="bottom"/>
            <w:tcBorders>
              <w:bottom w:val="single" w:sz="8" w:color="CCEEFF"/>
            </w:tcBorders>
            <w:shd w:val="clear" w:color="auto" w:fill="CCEEFF"/>
          </w:tcPr>
          <w:p>
            <w:pPr>
              <w:spacing w:after="0"/>
              <w:rPr>
                <w:sz w:val="21"/>
                <w:szCs w:val="21"/>
                <w:color w:val="auto"/>
              </w:rPr>
            </w:pPr>
          </w:p>
        </w:tc>
        <w:tc>
          <w:tcPr>
            <w:tcW w:w="1040" w:type="dxa"/>
            <w:vAlign w:val="bottom"/>
            <w:tcBorders>
              <w:bottom w:val="single" w:sz="8" w:color="CCEEFF"/>
            </w:tcBorders>
            <w:gridSpan w:val="2"/>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top w:val="single" w:sz="8" w:color="auto"/>
              <w:bottom w:val="single" w:sz="8" w:color="auto"/>
            </w:tcBorders>
            <w:shd w:val="clear" w:color="auto" w:fill="CCEEFF"/>
          </w:tcPr>
          <w:p>
            <w:pPr>
              <w:spacing w:after="0"/>
              <w:rPr>
                <w:sz w:val="21"/>
                <w:szCs w:val="21"/>
                <w:color w:val="auto"/>
              </w:rPr>
            </w:pPr>
          </w:p>
        </w:tc>
        <w:tc>
          <w:tcPr>
            <w:tcW w:w="52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0"/>
              </w:rPr>
              <w:t>14,197</w:t>
            </w:r>
          </w:p>
        </w:tc>
        <w:tc>
          <w:tcPr>
            <w:tcW w:w="200" w:type="dxa"/>
            <w:vAlign w:val="bottom"/>
            <w:tcBorders>
              <w:bottom w:val="single" w:sz="8" w:color="CCEEFF"/>
            </w:tcBorders>
            <w:shd w:val="clear" w:color="auto" w:fill="CCEEFF"/>
          </w:tcPr>
          <w:p>
            <w:pPr>
              <w:spacing w:after="0"/>
              <w:rPr>
                <w:sz w:val="21"/>
                <w:szCs w:val="21"/>
                <w:color w:val="auto"/>
              </w:rPr>
            </w:pPr>
          </w:p>
        </w:tc>
        <w:tc>
          <w:tcPr>
            <w:tcW w:w="1000" w:type="dxa"/>
            <w:vAlign w:val="bottom"/>
            <w:tcBorders>
              <w:top w:val="single" w:sz="8" w:color="auto"/>
              <w:bottom w:val="single" w:sz="8" w:color="auto"/>
            </w:tcBorders>
            <w:shd w:val="clear" w:color="auto" w:fill="CCEEFF"/>
          </w:tcPr>
          <w:p>
            <w:pPr>
              <w:jc w:val="right"/>
              <w:ind w:right="81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24,058</w:t>
            </w:r>
          </w:p>
        </w:tc>
        <w:tc>
          <w:tcPr>
            <w:tcW w:w="200" w:type="dxa"/>
            <w:vAlign w:val="bottom"/>
            <w:tcBorders>
              <w:bottom w:val="single" w:sz="8" w:color="CCEEFF"/>
            </w:tcBorders>
            <w:shd w:val="clear" w:color="auto" w:fill="CCEEFF"/>
          </w:tcPr>
          <w:p>
            <w:pPr>
              <w:spacing w:after="0"/>
              <w:rPr>
                <w:sz w:val="21"/>
                <w:szCs w:val="21"/>
                <w:color w:val="auto"/>
              </w:rPr>
            </w:pPr>
          </w:p>
        </w:tc>
        <w:tc>
          <w:tcPr>
            <w:tcW w:w="980" w:type="dxa"/>
            <w:vAlign w:val="bottom"/>
            <w:tcBorders>
              <w:top w:val="single" w:sz="8" w:color="auto"/>
              <w:bottom w:val="single" w:sz="8" w:color="auto"/>
            </w:tcBorders>
            <w:shd w:val="clear" w:color="auto" w:fill="CCEEFF"/>
          </w:tcPr>
          <w:p>
            <w:pPr>
              <w:jc w:val="right"/>
              <w:ind w:right="790"/>
              <w:spacing w:after="0"/>
              <w:rPr>
                <w:sz w:val="20"/>
                <w:szCs w:val="20"/>
                <w:color w:val="auto"/>
              </w:rPr>
            </w:pPr>
            <w:r>
              <w:rPr>
                <w:rFonts w:ascii="Arial" w:cs="Arial" w:eastAsia="Arial" w:hAnsi="Arial"/>
                <w:sz w:val="18"/>
                <w:szCs w:val="18"/>
                <w:color w:val="auto"/>
                <w:w w:val="79"/>
              </w:rPr>
              <w:t>$</w:t>
            </w:r>
          </w:p>
        </w:tc>
        <w:tc>
          <w:tcPr>
            <w:tcW w:w="540" w:type="dxa"/>
            <w:vAlign w:val="bottom"/>
            <w:tcBorders>
              <w:top w:val="single" w:sz="8" w:color="auto"/>
              <w:bottom w:val="single" w:sz="8" w:color="auto"/>
            </w:tcBorders>
            <w:gridSpan w:val="2"/>
            <w:shd w:val="clear" w:color="auto" w:fill="CCEEFF"/>
          </w:tcPr>
          <w:p>
            <w:pPr>
              <w:jc w:val="right"/>
              <w:spacing w:after="0"/>
              <w:rPr>
                <w:sz w:val="20"/>
                <w:szCs w:val="20"/>
                <w:color w:val="auto"/>
              </w:rPr>
            </w:pPr>
            <w:r>
              <w:rPr>
                <w:rFonts w:ascii="Arial" w:cs="Arial" w:eastAsia="Arial" w:hAnsi="Arial"/>
                <w:sz w:val="18"/>
                <w:szCs w:val="18"/>
                <w:color w:val="auto"/>
                <w:w w:val="94"/>
              </w:rPr>
              <w:t>13,145</w:t>
            </w:r>
          </w:p>
        </w:tc>
        <w:tc>
          <w:tcPr>
            <w:tcW w:w="100" w:type="dxa"/>
            <w:vAlign w:val="bottom"/>
            <w:tcBorders>
              <w:bottom w:val="single" w:sz="8" w:color="CCEEFF"/>
            </w:tcBorders>
            <w:shd w:val="clear" w:color="auto" w:fill="CCEEFF"/>
          </w:tcPr>
          <w:p>
            <w:pPr>
              <w:spacing w:after="0"/>
              <w:rPr>
                <w:sz w:val="21"/>
                <w:szCs w:val="21"/>
                <w:color w:val="auto"/>
              </w:rPr>
            </w:pPr>
          </w:p>
        </w:tc>
        <w:tc>
          <w:tcPr>
            <w:tcW w:w="62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656"/>
        </w:trPr>
        <w:tc>
          <w:tcPr>
            <w:tcW w:w="58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3520" w:type="dxa"/>
            <w:vAlign w:val="bottom"/>
          </w:tcPr>
          <w:p>
            <w:pPr>
              <w:spacing w:after="0"/>
              <w:rPr>
                <w:sz w:val="24"/>
                <w:szCs w:val="24"/>
                <w:color w:val="auto"/>
              </w:rPr>
            </w:pPr>
          </w:p>
        </w:tc>
        <w:tc>
          <w:tcPr>
            <w:tcW w:w="1280" w:type="dxa"/>
            <w:vAlign w:val="bottom"/>
            <w:gridSpan w:val="3"/>
          </w:tcPr>
          <w:p>
            <w:pPr>
              <w:jc w:val="right"/>
              <w:ind w:right="110"/>
              <w:spacing w:after="0"/>
              <w:rPr>
                <w:sz w:val="20"/>
                <w:szCs w:val="20"/>
                <w:color w:val="auto"/>
              </w:rPr>
            </w:pPr>
            <w:r>
              <w:rPr>
                <w:rFonts w:ascii="Arial" w:cs="Arial" w:eastAsia="Arial" w:hAnsi="Arial"/>
                <w:sz w:val="18"/>
                <w:szCs w:val="18"/>
                <w:color w:val="auto"/>
              </w:rPr>
              <w:t>6</w:t>
            </w:r>
          </w:p>
        </w:tc>
        <w:tc>
          <w:tcPr>
            <w:tcW w:w="8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05"/>
        </w:trPr>
        <w:tc>
          <w:tcPr>
            <w:tcW w:w="580" w:type="dxa"/>
            <w:vAlign w:val="bottom"/>
          </w:tcPr>
          <w:p>
            <w:pPr>
              <w:spacing w:after="0"/>
              <w:rPr>
                <w:sz w:val="9"/>
                <w:szCs w:val="9"/>
                <w:color w:val="auto"/>
              </w:rPr>
            </w:pPr>
          </w:p>
        </w:tc>
        <w:tc>
          <w:tcPr>
            <w:tcW w:w="580" w:type="dxa"/>
            <w:vAlign w:val="bottom"/>
          </w:tcPr>
          <w:p>
            <w:pPr>
              <w:spacing w:after="0"/>
              <w:rPr>
                <w:sz w:val="9"/>
                <w:szCs w:val="9"/>
                <w:color w:val="auto"/>
              </w:rPr>
            </w:pPr>
          </w:p>
        </w:tc>
        <w:tc>
          <w:tcPr>
            <w:tcW w:w="3520" w:type="dxa"/>
            <w:vAlign w:val="bottom"/>
          </w:tcPr>
          <w:p>
            <w:pPr>
              <w:spacing w:after="0"/>
              <w:rPr>
                <w:sz w:val="9"/>
                <w:szCs w:val="9"/>
                <w:color w:val="auto"/>
              </w:rPr>
            </w:pPr>
          </w:p>
        </w:tc>
        <w:tc>
          <w:tcPr>
            <w:tcW w:w="500" w:type="dxa"/>
            <w:vAlign w:val="bottom"/>
          </w:tcPr>
          <w:p>
            <w:pPr>
              <w:spacing w:after="0"/>
              <w:rPr>
                <w:sz w:val="9"/>
                <w:szCs w:val="9"/>
                <w:color w:val="auto"/>
              </w:rPr>
            </w:pPr>
          </w:p>
        </w:tc>
        <w:tc>
          <w:tcPr>
            <w:tcW w:w="540" w:type="dxa"/>
            <w:vAlign w:val="bottom"/>
          </w:tcPr>
          <w:p>
            <w:pPr>
              <w:spacing w:after="0"/>
              <w:rPr>
                <w:sz w:val="9"/>
                <w:szCs w:val="9"/>
                <w:color w:val="auto"/>
              </w:rPr>
            </w:pPr>
          </w:p>
        </w:tc>
        <w:tc>
          <w:tcPr>
            <w:tcW w:w="240" w:type="dxa"/>
            <w:vAlign w:val="bottom"/>
          </w:tcPr>
          <w:p>
            <w:pPr>
              <w:spacing w:after="0"/>
              <w:rPr>
                <w:sz w:val="9"/>
                <w:szCs w:val="9"/>
                <w:color w:val="auto"/>
              </w:rPr>
            </w:pPr>
          </w:p>
        </w:tc>
        <w:tc>
          <w:tcPr>
            <w:tcW w:w="8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40" w:type="dxa"/>
            <w:vAlign w:val="bottom"/>
          </w:tcPr>
          <w:p>
            <w:pPr>
              <w:spacing w:after="0"/>
              <w:rPr>
                <w:sz w:val="9"/>
                <w:szCs w:val="9"/>
                <w:color w:val="auto"/>
              </w:rPr>
            </w:pPr>
          </w:p>
        </w:tc>
        <w:tc>
          <w:tcPr>
            <w:tcW w:w="200" w:type="dxa"/>
            <w:vAlign w:val="bottom"/>
          </w:tcPr>
          <w:p>
            <w:pPr>
              <w:spacing w:after="0"/>
              <w:rPr>
                <w:sz w:val="9"/>
                <w:szCs w:val="9"/>
                <w:color w:val="auto"/>
              </w:rPr>
            </w:pPr>
          </w:p>
        </w:tc>
        <w:tc>
          <w:tcPr>
            <w:tcW w:w="1000" w:type="dxa"/>
            <w:vAlign w:val="bottom"/>
          </w:tcPr>
          <w:p>
            <w:pPr>
              <w:spacing w:after="0"/>
              <w:rPr>
                <w:sz w:val="9"/>
                <w:szCs w:val="9"/>
                <w:color w:val="auto"/>
              </w:rPr>
            </w:pPr>
          </w:p>
        </w:tc>
        <w:tc>
          <w:tcPr>
            <w:tcW w:w="180" w:type="dxa"/>
            <w:vAlign w:val="bottom"/>
          </w:tcPr>
          <w:p>
            <w:pPr>
              <w:spacing w:after="0"/>
              <w:rPr>
                <w:sz w:val="9"/>
                <w:szCs w:val="9"/>
                <w:color w:val="auto"/>
              </w:rPr>
            </w:pPr>
          </w:p>
        </w:tc>
        <w:tc>
          <w:tcPr>
            <w:tcW w:w="360" w:type="dxa"/>
            <w:vAlign w:val="bottom"/>
          </w:tcPr>
          <w:p>
            <w:pPr>
              <w:spacing w:after="0"/>
              <w:rPr>
                <w:sz w:val="9"/>
                <w:szCs w:val="9"/>
                <w:color w:val="auto"/>
              </w:rPr>
            </w:pPr>
          </w:p>
        </w:tc>
        <w:tc>
          <w:tcPr>
            <w:tcW w:w="200" w:type="dxa"/>
            <w:vAlign w:val="bottom"/>
          </w:tcPr>
          <w:p>
            <w:pPr>
              <w:spacing w:after="0"/>
              <w:rPr>
                <w:sz w:val="9"/>
                <w:szCs w:val="9"/>
                <w:color w:val="auto"/>
              </w:rPr>
            </w:pPr>
          </w:p>
        </w:tc>
        <w:tc>
          <w:tcPr>
            <w:tcW w:w="980" w:type="dxa"/>
            <w:vAlign w:val="bottom"/>
          </w:tcPr>
          <w:p>
            <w:pPr>
              <w:spacing w:after="0"/>
              <w:rPr>
                <w:sz w:val="9"/>
                <w:szCs w:val="9"/>
                <w:color w:val="auto"/>
              </w:rPr>
            </w:pPr>
          </w:p>
        </w:tc>
        <w:tc>
          <w:tcPr>
            <w:tcW w:w="80" w:type="dxa"/>
            <w:vAlign w:val="bottom"/>
          </w:tcPr>
          <w:p>
            <w:pPr>
              <w:spacing w:after="0"/>
              <w:rPr>
                <w:sz w:val="9"/>
                <w:szCs w:val="9"/>
                <w:color w:val="auto"/>
              </w:rPr>
            </w:pPr>
          </w:p>
        </w:tc>
        <w:tc>
          <w:tcPr>
            <w:tcW w:w="460" w:type="dxa"/>
            <w:vAlign w:val="bottom"/>
          </w:tcPr>
          <w:p>
            <w:pPr>
              <w:spacing w:after="0"/>
              <w:rPr>
                <w:sz w:val="9"/>
                <w:szCs w:val="9"/>
                <w:color w:val="auto"/>
              </w:rPr>
            </w:pPr>
          </w:p>
        </w:tc>
        <w:tc>
          <w:tcPr>
            <w:tcW w:w="100" w:type="dxa"/>
            <w:vAlign w:val="bottom"/>
          </w:tcPr>
          <w:p>
            <w:pPr>
              <w:spacing w:after="0"/>
              <w:rPr>
                <w:sz w:val="9"/>
                <w:szCs w:val="9"/>
                <w:color w:val="auto"/>
              </w:rPr>
            </w:pPr>
          </w:p>
        </w:tc>
        <w:tc>
          <w:tcPr>
            <w:tcW w:w="6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61"/>
        </w:trPr>
        <w:tc>
          <w:tcPr>
            <w:tcW w:w="580" w:type="dxa"/>
            <w:vAlign w:val="bottom"/>
            <w:shd w:val="clear" w:color="auto" w:fill="808080"/>
          </w:tcPr>
          <w:p>
            <w:pPr>
              <w:spacing w:after="0"/>
              <w:rPr>
                <w:sz w:val="5"/>
                <w:szCs w:val="5"/>
                <w:color w:val="auto"/>
              </w:rPr>
            </w:pPr>
          </w:p>
        </w:tc>
        <w:tc>
          <w:tcPr>
            <w:tcW w:w="580" w:type="dxa"/>
            <w:vAlign w:val="bottom"/>
            <w:shd w:val="clear" w:color="auto" w:fill="808080"/>
          </w:tcPr>
          <w:p>
            <w:pPr>
              <w:spacing w:after="0"/>
              <w:rPr>
                <w:sz w:val="5"/>
                <w:szCs w:val="5"/>
                <w:color w:val="auto"/>
              </w:rPr>
            </w:pPr>
          </w:p>
        </w:tc>
        <w:tc>
          <w:tcPr>
            <w:tcW w:w="3520" w:type="dxa"/>
            <w:vAlign w:val="bottom"/>
            <w:shd w:val="clear" w:color="auto" w:fill="808080"/>
          </w:tcPr>
          <w:p>
            <w:pPr>
              <w:spacing w:after="0"/>
              <w:rPr>
                <w:sz w:val="5"/>
                <w:szCs w:val="5"/>
                <w:color w:val="auto"/>
              </w:rPr>
            </w:pPr>
          </w:p>
        </w:tc>
        <w:tc>
          <w:tcPr>
            <w:tcW w:w="500" w:type="dxa"/>
            <w:vAlign w:val="bottom"/>
            <w:shd w:val="clear" w:color="auto" w:fill="808080"/>
          </w:tcPr>
          <w:p>
            <w:pPr>
              <w:spacing w:after="0"/>
              <w:rPr>
                <w:sz w:val="5"/>
                <w:szCs w:val="5"/>
                <w:color w:val="auto"/>
              </w:rPr>
            </w:pPr>
          </w:p>
        </w:tc>
        <w:tc>
          <w:tcPr>
            <w:tcW w:w="54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8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4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1000" w:type="dxa"/>
            <w:vAlign w:val="bottom"/>
            <w:shd w:val="clear" w:color="auto" w:fill="808080"/>
          </w:tcPr>
          <w:p>
            <w:pPr>
              <w:spacing w:after="0"/>
              <w:rPr>
                <w:sz w:val="5"/>
                <w:szCs w:val="5"/>
                <w:color w:val="auto"/>
              </w:rPr>
            </w:pPr>
          </w:p>
        </w:tc>
        <w:tc>
          <w:tcPr>
            <w:tcW w:w="180" w:type="dxa"/>
            <w:vAlign w:val="bottom"/>
            <w:shd w:val="clear" w:color="auto" w:fill="808080"/>
          </w:tcPr>
          <w:p>
            <w:pPr>
              <w:spacing w:after="0"/>
              <w:rPr>
                <w:sz w:val="5"/>
                <w:szCs w:val="5"/>
                <w:color w:val="auto"/>
              </w:rPr>
            </w:pPr>
          </w:p>
        </w:tc>
        <w:tc>
          <w:tcPr>
            <w:tcW w:w="360" w:type="dxa"/>
            <w:vAlign w:val="bottom"/>
            <w:shd w:val="clear" w:color="auto" w:fill="808080"/>
          </w:tcPr>
          <w:p>
            <w:pPr>
              <w:spacing w:after="0"/>
              <w:rPr>
                <w:sz w:val="5"/>
                <w:szCs w:val="5"/>
                <w:color w:val="auto"/>
              </w:rPr>
            </w:pPr>
          </w:p>
        </w:tc>
        <w:tc>
          <w:tcPr>
            <w:tcW w:w="200" w:type="dxa"/>
            <w:vAlign w:val="bottom"/>
            <w:shd w:val="clear" w:color="auto" w:fill="808080"/>
          </w:tcPr>
          <w:p>
            <w:pPr>
              <w:spacing w:after="0"/>
              <w:rPr>
                <w:sz w:val="5"/>
                <w:szCs w:val="5"/>
                <w:color w:val="auto"/>
              </w:rPr>
            </w:pPr>
          </w:p>
        </w:tc>
        <w:tc>
          <w:tcPr>
            <w:tcW w:w="98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620" w:type="dxa"/>
            <w:vAlign w:val="bottom"/>
            <w:shd w:val="clear" w:color="auto" w:fill="808080"/>
          </w:tcPr>
          <w:p>
            <w:pPr>
              <w:spacing w:after="0"/>
              <w:rPr>
                <w:sz w:val="5"/>
                <w:szCs w:val="5"/>
                <w:color w:val="auto"/>
              </w:rPr>
            </w:pPr>
          </w:p>
        </w:tc>
        <w:tc>
          <w:tcPr>
            <w:tcW w:w="0" w:type="dxa"/>
            <w:vAlign w:val="bottom"/>
          </w:tcPr>
          <w:p>
            <w:pPr>
              <w:spacing w:after="0"/>
              <w:rPr>
                <w:sz w:val="1"/>
                <w:szCs w:val="1"/>
                <w:color w:val="auto"/>
              </w:rPr>
            </w:pPr>
          </w:p>
        </w:tc>
      </w:tr>
    </w:tbl>
    <w:p>
      <w:pPr>
        <w:sectPr>
          <w:pgSz w:w="11900" w:h="16838" w:orient="portrait"/>
          <w:cols w:equalWidth="0" w:num="1">
            <w:col w:w="11460"/>
          </w:cols>
          <w:pgMar w:left="240" w:top="796" w:right="19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t>4. Stock-based Compensation</w:t>
      </w:r>
    </w:p>
    <w:p>
      <w:pPr>
        <w:spacing w:after="0" w:line="229" w:lineRule="exact"/>
        <w:rPr>
          <w:sz w:val="20"/>
          <w:szCs w:val="20"/>
          <w:color w:val="auto"/>
        </w:rPr>
      </w:pPr>
    </w:p>
    <w:p>
      <w:pPr>
        <w:spacing w:after="0"/>
        <w:rPr>
          <w:sz w:val="20"/>
          <w:szCs w:val="20"/>
          <w:color w:val="auto"/>
        </w:rPr>
      </w:pPr>
      <w:r>
        <w:rPr>
          <w:rFonts w:ascii="Arial" w:cs="Arial" w:eastAsia="Arial" w:hAnsi="Arial"/>
          <w:sz w:val="17"/>
          <w:szCs w:val="17"/>
          <w:color w:val="auto"/>
        </w:rPr>
        <w:t>The following table is a summary of the balances and activity for restricted stock and stock options for the thirty-nine weeks ended October 3, 2015:</w:t>
      </w:r>
    </w:p>
    <w:p>
      <w:pPr>
        <w:spacing w:after="0" w:line="233"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5760" w:type="dxa"/>
            <w:vAlign w:val="bottom"/>
          </w:tcPr>
          <w:p>
            <w:pPr>
              <w:spacing w:after="0"/>
              <w:rPr>
                <w:sz w:val="18"/>
                <w:szCs w:val="18"/>
                <w:color w:val="auto"/>
              </w:rPr>
            </w:pPr>
          </w:p>
        </w:tc>
        <w:tc>
          <w:tcPr>
            <w:tcW w:w="1560" w:type="dxa"/>
            <w:vAlign w:val="bottom"/>
          </w:tcPr>
          <w:p>
            <w:pPr>
              <w:jc w:val="right"/>
              <w:ind w:right="290"/>
              <w:spacing w:after="0"/>
              <w:rPr>
                <w:sz w:val="20"/>
                <w:szCs w:val="20"/>
                <w:color w:val="auto"/>
              </w:rPr>
            </w:pPr>
            <w:r>
              <w:rPr>
                <w:rFonts w:ascii="Arial" w:cs="Arial" w:eastAsia="Arial" w:hAnsi="Arial"/>
                <w:sz w:val="18"/>
                <w:szCs w:val="18"/>
                <w:b w:val="1"/>
                <w:bCs w:val="1"/>
                <w:color w:val="auto"/>
              </w:rPr>
              <w:t>Restricted</w:t>
            </w: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4"/>
        </w:trPr>
        <w:tc>
          <w:tcPr>
            <w:tcW w:w="20" w:type="dxa"/>
            <w:vAlign w:val="bottom"/>
          </w:tcPr>
          <w:p>
            <w:pPr>
              <w:spacing w:after="0"/>
              <w:rPr>
                <w:sz w:val="20"/>
                <w:szCs w:val="20"/>
                <w:color w:val="auto"/>
              </w:rPr>
            </w:pPr>
          </w:p>
        </w:tc>
        <w:tc>
          <w:tcPr>
            <w:tcW w:w="5760" w:type="dxa"/>
            <w:vAlign w:val="bottom"/>
          </w:tcPr>
          <w:p>
            <w:pPr>
              <w:spacing w:after="0"/>
              <w:rPr>
                <w:sz w:val="20"/>
                <w:szCs w:val="20"/>
                <w:color w:val="auto"/>
              </w:rPr>
            </w:pPr>
          </w:p>
        </w:tc>
        <w:tc>
          <w:tcPr>
            <w:tcW w:w="1560" w:type="dxa"/>
            <w:vAlign w:val="bottom"/>
            <w:tcBorders>
              <w:bottom w:val="single" w:sz="8" w:color="auto"/>
            </w:tcBorders>
          </w:tcPr>
          <w:p>
            <w:pPr>
              <w:jc w:val="right"/>
              <w:ind w:right="470"/>
              <w:spacing w:after="0"/>
              <w:rPr>
                <w:sz w:val="20"/>
                <w:szCs w:val="20"/>
                <w:color w:val="auto"/>
              </w:rPr>
            </w:pPr>
            <w:r>
              <w:rPr>
                <w:rFonts w:ascii="Arial" w:cs="Arial" w:eastAsia="Arial" w:hAnsi="Arial"/>
                <w:sz w:val="18"/>
                <w:szCs w:val="18"/>
                <w:b w:val="1"/>
                <w:bCs w:val="1"/>
                <w:color w:val="auto"/>
              </w:rPr>
              <w:t>Stock</w:t>
            </w:r>
          </w:p>
        </w:tc>
        <w:tc>
          <w:tcPr>
            <w:tcW w:w="180" w:type="dxa"/>
            <w:vAlign w:val="bottom"/>
          </w:tcPr>
          <w:p>
            <w:pPr>
              <w:spacing w:after="0"/>
              <w:rPr>
                <w:sz w:val="20"/>
                <w:szCs w:val="20"/>
                <w:color w:val="auto"/>
              </w:rPr>
            </w:pPr>
          </w:p>
        </w:tc>
        <w:tc>
          <w:tcPr>
            <w:tcW w:w="1540" w:type="dxa"/>
            <w:vAlign w:val="bottom"/>
            <w:tcBorders>
              <w:bottom w:val="single" w:sz="8" w:color="auto"/>
            </w:tcBorders>
          </w:tcPr>
          <w:p>
            <w:pPr>
              <w:jc w:val="right"/>
              <w:ind w:right="370"/>
              <w:spacing w:after="0"/>
              <w:rPr>
                <w:sz w:val="20"/>
                <w:szCs w:val="20"/>
                <w:color w:val="auto"/>
              </w:rPr>
            </w:pPr>
            <w:r>
              <w:rPr>
                <w:rFonts w:ascii="Arial" w:cs="Arial" w:eastAsia="Arial" w:hAnsi="Arial"/>
                <w:sz w:val="18"/>
                <w:szCs w:val="18"/>
                <w:b w:val="1"/>
                <w:bCs w:val="1"/>
                <w:color w:val="auto"/>
              </w:rPr>
              <w:t>Options</w:t>
            </w:r>
          </w:p>
        </w:tc>
        <w:tc>
          <w:tcPr>
            <w:tcW w:w="80" w:type="dxa"/>
            <w:vAlign w:val="bottom"/>
          </w:tcPr>
          <w:p>
            <w:pPr>
              <w:spacing w:after="0"/>
              <w:rPr>
                <w:sz w:val="20"/>
                <w:szCs w:val="20"/>
                <w:color w:val="auto"/>
              </w:rPr>
            </w:pPr>
          </w:p>
        </w:tc>
      </w:tr>
      <w:tr>
        <w:trPr>
          <w:trHeight w:val="210"/>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Outstanding, January 3, 2015</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419,679</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714,451</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Granted</w:t>
            </w:r>
          </w:p>
        </w:tc>
        <w:tc>
          <w:tcPr>
            <w:tcW w:w="1560" w:type="dxa"/>
            <w:vAlign w:val="bottom"/>
          </w:tcPr>
          <w:p>
            <w:pPr>
              <w:jc w:val="right"/>
              <w:spacing w:after="0"/>
              <w:rPr>
                <w:sz w:val="20"/>
                <w:szCs w:val="20"/>
                <w:color w:val="auto"/>
              </w:rPr>
            </w:pPr>
            <w:r>
              <w:rPr>
                <w:rFonts w:ascii="Arial" w:cs="Arial" w:eastAsia="Arial" w:hAnsi="Arial"/>
                <w:sz w:val="18"/>
                <w:szCs w:val="18"/>
                <w:color w:val="auto"/>
              </w:rPr>
              <w:t>106,278</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71,517</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Vested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204,741</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Exercised</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150,409</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Forfeited</w:t>
            </w:r>
          </w:p>
        </w:tc>
        <w:tc>
          <w:tcPr>
            <w:tcW w:w="15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42,497</w:t>
            </w:r>
          </w:p>
        </w:tc>
        <w:tc>
          <w:tcPr>
            <w:tcW w:w="17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19,954</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5760" w:type="dxa"/>
            <w:vAlign w:val="bottom"/>
          </w:tcPr>
          <w:p>
            <w:pPr>
              <w:spacing w:after="0"/>
              <w:rPr>
                <w:sz w:val="20"/>
                <w:szCs w:val="20"/>
                <w:color w:val="auto"/>
              </w:rPr>
            </w:pPr>
            <w:r>
              <w:rPr>
                <w:rFonts w:ascii="Arial" w:cs="Arial" w:eastAsia="Arial" w:hAnsi="Arial"/>
                <w:sz w:val="18"/>
                <w:szCs w:val="18"/>
                <w:color w:val="auto"/>
              </w:rPr>
              <w:t>Canceled or expired</w:t>
            </w:r>
          </w:p>
        </w:tc>
        <w:tc>
          <w:tcPr>
            <w:tcW w:w="1560" w:type="dxa"/>
            <w:vAlign w:val="bottom"/>
          </w:tcPr>
          <w:p>
            <w:pPr>
              <w:jc w:val="right"/>
              <w:spacing w:after="0"/>
              <w:rPr>
                <w:sz w:val="20"/>
                <w:szCs w:val="20"/>
                <w:color w:val="auto"/>
              </w:rPr>
            </w:pPr>
            <w:r>
              <w:rPr>
                <w:rFonts w:ascii="Arial" w:cs="Arial" w:eastAsia="Arial" w:hAnsi="Arial"/>
                <w:sz w:val="18"/>
                <w:szCs w:val="18"/>
                <w:color w:val="auto"/>
              </w:rPr>
              <w:t>—</w:t>
            </w:r>
          </w:p>
        </w:tc>
        <w:tc>
          <w:tcPr>
            <w:tcW w:w="1720" w:type="dxa"/>
            <w:vAlign w:val="bottom"/>
            <w:gridSpan w:val="2"/>
          </w:tcPr>
          <w:p>
            <w:pPr>
              <w:jc w:val="right"/>
              <w:spacing w:after="0"/>
              <w:rPr>
                <w:sz w:val="20"/>
                <w:szCs w:val="20"/>
                <w:color w:val="auto"/>
              </w:rPr>
            </w:pPr>
            <w:r>
              <w:rPr>
                <w:rFonts w:ascii="Arial" w:cs="Arial" w:eastAsia="Arial" w:hAnsi="Arial"/>
                <w:sz w:val="18"/>
                <w:szCs w:val="18"/>
                <w:color w:val="auto"/>
              </w:rPr>
              <w:t>39,200</w:t>
            </w:r>
          </w:p>
        </w:tc>
        <w:tc>
          <w:tcPr>
            <w:tcW w:w="80" w:type="dxa"/>
            <w:vAlign w:val="bottom"/>
          </w:tcPr>
          <w:p>
            <w:pPr>
              <w:spacing w:after="0"/>
              <w:rPr>
                <w:sz w:val="18"/>
                <w:szCs w:val="18"/>
                <w:color w:val="auto"/>
              </w:rPr>
            </w:pPr>
          </w:p>
        </w:tc>
      </w:tr>
      <w:tr>
        <w:trPr>
          <w:trHeight w:val="250"/>
        </w:trPr>
        <w:tc>
          <w:tcPr>
            <w:tcW w:w="20" w:type="dxa"/>
            <w:vAlign w:val="bottom"/>
          </w:tcPr>
          <w:p>
            <w:pPr>
              <w:spacing w:after="0"/>
              <w:rPr>
                <w:sz w:val="21"/>
                <w:szCs w:val="21"/>
                <w:color w:val="auto"/>
              </w:rPr>
            </w:pPr>
          </w:p>
        </w:tc>
        <w:tc>
          <w:tcPr>
            <w:tcW w:w="5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8"/>
                <w:szCs w:val="18"/>
                <w:color w:val="auto"/>
              </w:rPr>
              <w:t>Outstanding, October 3, 2015</w:t>
            </w:r>
          </w:p>
        </w:tc>
        <w:tc>
          <w:tcPr>
            <w:tcW w:w="15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278,719</w:t>
            </w:r>
          </w:p>
        </w:tc>
        <w:tc>
          <w:tcPr>
            <w:tcW w:w="180" w:type="dxa"/>
            <w:vAlign w:val="bottom"/>
            <w:tcBorders>
              <w:bottom w:val="single" w:sz="8" w:color="CCEEFF"/>
            </w:tcBorders>
            <w:shd w:val="clear" w:color="auto" w:fill="CCEEFF"/>
          </w:tcPr>
          <w:p>
            <w:pPr>
              <w:spacing w:after="0"/>
              <w:rPr>
                <w:sz w:val="21"/>
                <w:szCs w:val="21"/>
                <w:color w:val="auto"/>
              </w:rPr>
            </w:pPr>
          </w:p>
        </w:tc>
        <w:tc>
          <w:tcPr>
            <w:tcW w:w="15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576,405</w:t>
            </w:r>
          </w:p>
        </w:tc>
        <w:tc>
          <w:tcPr>
            <w:tcW w:w="80" w:type="dxa"/>
            <w:vAlign w:val="bottom"/>
            <w:tcBorders>
              <w:bottom w:val="single" w:sz="8" w:color="CCEEFF"/>
            </w:tcBorders>
            <w:shd w:val="clear" w:color="auto" w:fill="CCEEFF"/>
          </w:tcPr>
          <w:p>
            <w:pPr>
              <w:spacing w:after="0"/>
              <w:rPr>
                <w:sz w:val="21"/>
                <w:szCs w:val="21"/>
                <w:color w:val="auto"/>
              </w:rPr>
            </w:pPr>
          </w:p>
        </w:tc>
      </w:tr>
    </w:tbl>
    <w:p>
      <w:pPr>
        <w:spacing w:after="0" w:line="202" w:lineRule="exact"/>
        <w:rPr>
          <w:sz w:val="20"/>
          <w:szCs w:val="20"/>
          <w:color w:val="auto"/>
        </w:rPr>
      </w:pPr>
    </w:p>
    <w:p>
      <w:pPr>
        <w:ind w:right="200"/>
        <w:spacing w:after="0" w:line="257" w:lineRule="auto"/>
        <w:rPr>
          <w:sz w:val="20"/>
          <w:szCs w:val="20"/>
          <w:color w:val="auto"/>
        </w:rPr>
      </w:pPr>
      <w:r>
        <w:rPr>
          <w:rFonts w:ascii="Arial" w:cs="Arial" w:eastAsia="Arial" w:hAnsi="Arial"/>
          <w:sz w:val="18"/>
          <w:szCs w:val="18"/>
          <w:color w:val="auto"/>
        </w:rPr>
        <w:t>For the thirteen and thirty-nine weeks ended October 3, 2015, selling, general and administrative expenses includes $0.6 million and $1.5 million, respectively, of stock-based compensation expense. For the thirteen and thirty-nine weeks ended September 27, 2014 selling, general and administrative expenses includes $0.4 million and $1.6 million, respectively, of stock-based compensation expense. As of October 3, 2015, there was $3.7 million of total unrecognized compensation expense related to nonvested restricted stock and option awards which is expected to be recognized over a weighted-average period of 1.4 years.</w:t>
      </w:r>
    </w:p>
    <w:p>
      <w:pPr>
        <w:spacing w:after="0" w:line="188" w:lineRule="exact"/>
        <w:rPr>
          <w:sz w:val="20"/>
          <w:szCs w:val="20"/>
          <w:color w:val="auto"/>
        </w:rPr>
      </w:pPr>
    </w:p>
    <w:p>
      <w:pPr>
        <w:ind w:right="700"/>
        <w:spacing w:after="0" w:line="277" w:lineRule="auto"/>
        <w:rPr>
          <w:sz w:val="20"/>
          <w:szCs w:val="20"/>
          <w:color w:val="auto"/>
        </w:rPr>
      </w:pPr>
      <w:r>
        <w:rPr>
          <w:rFonts w:ascii="Arial" w:cs="Arial" w:eastAsia="Arial" w:hAnsi="Arial"/>
          <w:sz w:val="18"/>
          <w:szCs w:val="18"/>
          <w:color w:val="auto"/>
        </w:rPr>
        <w:t>The total fair value of shares vested during the thirty-nine weeks ended October 3, 2015 and September 27, 2014 was $4.0 million and $3.6 million, respectively.</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5. Income Taxes</w:t>
      </w:r>
    </w:p>
    <w:p>
      <w:pPr>
        <w:spacing w:after="0" w:line="229" w:lineRule="exact"/>
        <w:rPr>
          <w:sz w:val="20"/>
          <w:szCs w:val="20"/>
          <w:color w:val="auto"/>
        </w:rPr>
      </w:pPr>
    </w:p>
    <w:p>
      <w:pPr>
        <w:spacing w:after="0" w:line="297" w:lineRule="auto"/>
        <w:rPr>
          <w:sz w:val="20"/>
          <w:szCs w:val="20"/>
          <w:color w:val="auto"/>
        </w:rPr>
      </w:pPr>
      <w:r>
        <w:rPr>
          <w:rFonts w:ascii="Arial" w:cs="Arial" w:eastAsia="Arial" w:hAnsi="Arial"/>
          <w:sz w:val="16"/>
          <w:szCs w:val="16"/>
          <w:color w:val="auto"/>
        </w:rPr>
        <w:t>The effective tax rate was 22.0% and 9.0% for the thirteen and thirty-nine weeks ended October 3, 2015, respectively compared to 11.6% and 25.3% for the thirteen and thirty-nine weeks ended September 27, 2014, respectively. The components of income tax expense in both periods were primarily foreign and state taxes as we currently have a valuation allowance recorded on substantially all domestic deferred tax assets. As there was a valuation allowance recorded on substantially all domestic deferred tax assets in both periods, income tax expense on domestic income was offset by a reversal of a portion of the existing valuation allowance. The change in the effective rate was primarily driven by the change in pre-tax results for the respective periods.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6. Net Income per Share</w:t>
      </w:r>
    </w:p>
    <w:p>
      <w:pPr>
        <w:spacing w:after="0" w:line="229" w:lineRule="exact"/>
        <w:rPr>
          <w:sz w:val="20"/>
          <w:szCs w:val="20"/>
          <w:color w:val="auto"/>
        </w:rPr>
      </w:pPr>
    </w:p>
    <w:p>
      <w:pPr>
        <w:ind w:right="160"/>
        <w:spacing w:after="0" w:line="264" w:lineRule="auto"/>
        <w:rPr>
          <w:sz w:val="20"/>
          <w:szCs w:val="20"/>
          <w:color w:val="auto"/>
        </w:rPr>
      </w:pPr>
      <w:r>
        <w:rPr>
          <w:rFonts w:ascii="Arial" w:cs="Arial" w:eastAsia="Arial" w:hAnsi="Arial"/>
          <w:sz w:val="18"/>
          <w:szCs w:val="18"/>
          <w:color w:val="auto"/>
        </w:rPr>
        <w:t>The Company uses the two-class method to compute basic and diluted net income or loss per common share. In periods of net loss, no effect is given to the Company’s participating securities as they do not contractually participate in the losses of the Company. The following table sets forth the computation of basic and diluted net income per share (in thousands, except share and per share data):</w:t>
      </w:r>
    </w:p>
    <w:p>
      <w:pPr>
        <w:spacing w:after="0" w:line="177"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53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660" w:type="dxa"/>
            <w:vAlign w:val="bottom"/>
            <w:gridSpan w:val="5"/>
          </w:tcPr>
          <w:p>
            <w:pPr>
              <w:jc w:val="right"/>
              <w:ind w:right="660"/>
              <w:spacing w:after="0"/>
              <w:rPr>
                <w:sz w:val="20"/>
                <w:szCs w:val="20"/>
                <w:color w:val="auto"/>
              </w:rPr>
            </w:pPr>
            <w:r>
              <w:rPr>
                <w:rFonts w:ascii="Arial" w:cs="Arial" w:eastAsia="Arial" w:hAnsi="Arial"/>
                <w:sz w:val="18"/>
                <w:szCs w:val="18"/>
                <w:b w:val="1"/>
                <w:bCs w:val="1"/>
                <w:color w:val="auto"/>
              </w:rPr>
              <w:t>Thirteen weeks ended</w:t>
            </w:r>
          </w:p>
        </w:tc>
        <w:tc>
          <w:tcPr>
            <w:tcW w:w="140" w:type="dxa"/>
            <w:vAlign w:val="bottom"/>
          </w:tcPr>
          <w:p>
            <w:pPr>
              <w:spacing w:after="0"/>
              <w:rPr>
                <w:sz w:val="20"/>
                <w:szCs w:val="20"/>
                <w:color w:val="auto"/>
              </w:rPr>
            </w:pPr>
          </w:p>
        </w:tc>
        <w:tc>
          <w:tcPr>
            <w:tcW w:w="2560" w:type="dxa"/>
            <w:vAlign w:val="bottom"/>
            <w:gridSpan w:val="5"/>
          </w:tcPr>
          <w:p>
            <w:pPr>
              <w:ind w:left="22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191"/>
        </w:trPr>
        <w:tc>
          <w:tcPr>
            <w:tcW w:w="53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40"/>
              <w:spacing w:after="0" w:line="191" w:lineRule="exact"/>
              <w:rPr>
                <w:sz w:val="20"/>
                <w:szCs w:val="20"/>
                <w:color w:val="auto"/>
              </w:rPr>
            </w:pPr>
            <w:r>
              <w:rPr>
                <w:rFonts w:ascii="Arial" w:cs="Arial" w:eastAsia="Arial" w:hAnsi="Arial"/>
                <w:sz w:val="18"/>
                <w:szCs w:val="18"/>
                <w:b w:val="1"/>
                <w:bCs w:val="1"/>
                <w:color w:val="auto"/>
              </w:rPr>
              <w:t>October 3,</w:t>
            </w:r>
          </w:p>
        </w:tc>
        <w:tc>
          <w:tcPr>
            <w:tcW w:w="118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0"/>
              </w:rPr>
              <w:t>September 27,</w:t>
            </w:r>
          </w:p>
        </w:tc>
        <w:tc>
          <w:tcPr>
            <w:tcW w:w="220" w:type="dxa"/>
            <w:vAlign w:val="bottom"/>
          </w:tcPr>
          <w:p>
            <w:pPr>
              <w:spacing w:after="0"/>
              <w:rPr>
                <w:sz w:val="16"/>
                <w:szCs w:val="16"/>
                <w:color w:val="auto"/>
              </w:rPr>
            </w:pPr>
          </w:p>
        </w:tc>
        <w:tc>
          <w:tcPr>
            <w:tcW w:w="140" w:type="dxa"/>
            <w:vAlign w:val="bottom"/>
            <w:tcBorders>
              <w:top w:val="single" w:sz="8" w:color="auto"/>
            </w:tcBorders>
          </w:tcPr>
          <w:p>
            <w:pPr>
              <w:spacing w:after="0"/>
              <w:rPr>
                <w:sz w:val="16"/>
                <w:szCs w:val="16"/>
                <w:color w:val="auto"/>
              </w:rPr>
            </w:pPr>
          </w:p>
        </w:tc>
        <w:tc>
          <w:tcPr>
            <w:tcW w:w="1260" w:type="dxa"/>
            <w:vAlign w:val="bottom"/>
            <w:tcBorders>
              <w:top w:val="single" w:sz="8" w:color="auto"/>
            </w:tcBorders>
            <w:gridSpan w:val="2"/>
          </w:tcPr>
          <w:p>
            <w:pPr>
              <w:ind w:left="60"/>
              <w:spacing w:after="0" w:line="191" w:lineRule="exact"/>
              <w:rPr>
                <w:sz w:val="20"/>
                <w:szCs w:val="20"/>
                <w:color w:val="auto"/>
              </w:rPr>
            </w:pPr>
            <w:r>
              <w:rPr>
                <w:rFonts w:ascii="Arial" w:cs="Arial" w:eastAsia="Arial" w:hAnsi="Arial"/>
                <w:sz w:val="18"/>
                <w:szCs w:val="18"/>
                <w:b w:val="1"/>
                <w:bCs w:val="1"/>
                <w:color w:val="auto"/>
              </w:rPr>
              <w:t>October 3,</w:t>
            </w:r>
          </w:p>
        </w:tc>
        <w:tc>
          <w:tcPr>
            <w:tcW w:w="1200" w:type="dxa"/>
            <w:vAlign w:val="bottom"/>
            <w:tcBorders>
              <w:top w:val="single" w:sz="8" w:color="auto"/>
            </w:tcBorders>
            <w:gridSpan w:val="2"/>
          </w:tcPr>
          <w:p>
            <w:pPr>
              <w:jc w:val="right"/>
              <w:spacing w:after="0" w:line="191" w:lineRule="exact"/>
              <w:rPr>
                <w:sz w:val="20"/>
                <w:szCs w:val="20"/>
                <w:color w:val="auto"/>
              </w:rPr>
            </w:pPr>
            <w:r>
              <w:rPr>
                <w:rFonts w:ascii="Arial" w:cs="Arial" w:eastAsia="Arial" w:hAnsi="Arial"/>
                <w:sz w:val="18"/>
                <w:szCs w:val="18"/>
                <w:b w:val="1"/>
                <w:bCs w:val="1"/>
                <w:color w:val="auto"/>
                <w:w w:val="92"/>
              </w:rPr>
              <w:t>September 27,</w:t>
            </w:r>
          </w:p>
        </w:tc>
        <w:tc>
          <w:tcPr>
            <w:tcW w:w="10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3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4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2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4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140" w:type="dxa"/>
            <w:vAlign w:val="bottom"/>
            <w:tcBorders>
              <w:bottom w:val="single" w:sz="8" w:color="auto"/>
            </w:tcBorders>
          </w:tcPr>
          <w:p>
            <w:pPr>
              <w:spacing w:after="0"/>
              <w:rPr>
                <w:sz w:val="20"/>
                <w:szCs w:val="20"/>
                <w:color w:val="auto"/>
              </w:rPr>
            </w:pPr>
          </w:p>
        </w:tc>
        <w:tc>
          <w:tcPr>
            <w:tcW w:w="10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96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53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NUMERATOR:</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w w:val="97"/>
              </w:rPr>
              <w:t>Net income before allocation of earnings to participating securities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1,067</w:t>
            </w:r>
          </w:p>
        </w:tc>
        <w:tc>
          <w:tcPr>
            <w:tcW w:w="22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1,820</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7,260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2,542</w:t>
            </w: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480"/>
              <w:spacing w:after="0"/>
              <w:rPr>
                <w:sz w:val="20"/>
                <w:szCs w:val="20"/>
                <w:color w:val="auto"/>
              </w:rPr>
            </w:pPr>
            <w:r>
              <w:rPr>
                <w:rFonts w:ascii="Arial" w:cs="Arial" w:eastAsia="Arial" w:hAnsi="Arial"/>
                <w:sz w:val="18"/>
                <w:szCs w:val="18"/>
                <w:color w:val="auto"/>
              </w:rPr>
              <w:t>Less: Earnings allocated to participating securities</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49</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140</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82</w:t>
            </w:r>
          </w:p>
        </w:tc>
        <w:tc>
          <w:tcPr>
            <w:tcW w:w="0" w:type="dxa"/>
            <w:vAlign w:val="bottom"/>
          </w:tcPr>
          <w:p>
            <w:pPr>
              <w:spacing w:after="0"/>
              <w:rPr>
                <w:sz w:val="1"/>
                <w:szCs w:val="1"/>
                <w:color w:val="auto"/>
              </w:rPr>
            </w:pPr>
          </w:p>
        </w:tc>
      </w:tr>
      <w:tr>
        <w:trPr>
          <w:trHeight w:val="20"/>
        </w:trPr>
        <w:tc>
          <w:tcPr>
            <w:tcW w:w="53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320" w:type="dxa"/>
            <w:vAlign w:val="bottom"/>
          </w:tcPr>
          <w:p>
            <w:pPr>
              <w:ind w:left="160"/>
              <w:spacing w:after="0"/>
              <w:rPr>
                <w:sz w:val="20"/>
                <w:szCs w:val="20"/>
                <w:color w:val="auto"/>
              </w:rPr>
            </w:pPr>
            <w:r>
              <w:rPr>
                <w:rFonts w:ascii="Arial" w:cs="Arial" w:eastAsia="Arial" w:hAnsi="Arial"/>
                <w:sz w:val="18"/>
                <w:szCs w:val="18"/>
                <w:color w:val="auto"/>
              </w:rPr>
              <w:t>Net income after allocation of earnings to participating securities</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1,049</w:t>
            </w:r>
          </w:p>
        </w:tc>
        <w:tc>
          <w:tcPr>
            <w:tcW w:w="220" w:type="dxa"/>
            <w:vAlign w:val="bottom"/>
          </w:tcPr>
          <w:p>
            <w:pPr>
              <w:spacing w:after="0"/>
              <w:rPr>
                <w:sz w:val="18"/>
                <w:szCs w:val="18"/>
                <w:color w:val="auto"/>
              </w:rPr>
            </w:pPr>
          </w:p>
        </w:tc>
        <w:tc>
          <w:tcPr>
            <w:tcW w:w="240" w:type="dxa"/>
            <w:vAlign w:val="bottom"/>
          </w:tcPr>
          <w:p>
            <w:pPr>
              <w:jc w:val="right"/>
              <w:ind w:right="82"/>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1,771</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7,120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2,460</w:t>
            </w: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7"/>
        </w:trPr>
        <w:tc>
          <w:tcPr>
            <w:tcW w:w="53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40" w:type="dxa"/>
            <w:vAlign w:val="bottom"/>
            <w:shd w:val="clear" w:color="auto" w:fill="CCEEFF"/>
          </w:tcPr>
          <w:p>
            <w:pPr>
              <w:spacing w:after="0"/>
              <w:rPr>
                <w:sz w:val="17"/>
                <w:szCs w:val="17"/>
                <w:color w:val="auto"/>
              </w:rPr>
            </w:pPr>
          </w:p>
        </w:tc>
        <w:tc>
          <w:tcPr>
            <w:tcW w:w="220" w:type="dxa"/>
            <w:vAlign w:val="bottom"/>
            <w:shd w:val="clear" w:color="auto" w:fill="CCEEFF"/>
          </w:tcPr>
          <w:p>
            <w:pPr>
              <w:spacing w:after="0"/>
              <w:rPr>
                <w:sz w:val="17"/>
                <w:szCs w:val="17"/>
                <w:color w:val="auto"/>
              </w:rPr>
            </w:pPr>
          </w:p>
        </w:tc>
        <w:tc>
          <w:tcPr>
            <w:tcW w:w="140" w:type="dxa"/>
            <w:vAlign w:val="bottom"/>
            <w:shd w:val="clear" w:color="auto" w:fill="CCEEFF"/>
          </w:tcPr>
          <w:p>
            <w:pPr>
              <w:spacing w:after="0"/>
              <w:rPr>
                <w:sz w:val="17"/>
                <w:szCs w:val="17"/>
                <w:color w:val="auto"/>
              </w:rPr>
            </w:pPr>
          </w:p>
        </w:tc>
        <w:tc>
          <w:tcPr>
            <w:tcW w:w="106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96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DENOMINATOR:</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w w:val="98"/>
              </w:rPr>
              <w:t>Weighted average number of common shares outstanding - basic</w:t>
            </w: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16,670,358</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16,971,416</w:t>
            </w:r>
          </w:p>
        </w:tc>
        <w:tc>
          <w:tcPr>
            <w:tcW w:w="140" w:type="dxa"/>
            <w:vAlign w:val="bottom"/>
            <w:shd w:val="clear" w:color="auto" w:fill="CCEEFF"/>
          </w:tcPr>
          <w:p>
            <w:pPr>
              <w:spacing w:after="0"/>
              <w:rPr>
                <w:sz w:val="18"/>
                <w:szCs w:val="18"/>
                <w:color w:val="auto"/>
              </w:rPr>
            </w:pPr>
          </w:p>
        </w:tc>
        <w:tc>
          <w:tcPr>
            <w:tcW w:w="12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16,834,968</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16,899,245</w:t>
            </w:r>
          </w:p>
        </w:tc>
        <w:tc>
          <w:tcPr>
            <w:tcW w:w="0" w:type="dxa"/>
            <w:vAlign w:val="bottom"/>
          </w:tcPr>
          <w:p>
            <w:pPr>
              <w:spacing w:after="0"/>
              <w:rPr>
                <w:sz w:val="1"/>
                <w:szCs w:val="1"/>
                <w:color w:val="auto"/>
              </w:rPr>
            </w:pPr>
          </w:p>
        </w:tc>
      </w:tr>
      <w:tr>
        <w:trPr>
          <w:trHeight w:val="216"/>
        </w:trPr>
        <w:tc>
          <w:tcPr>
            <w:tcW w:w="5320" w:type="dxa"/>
            <w:vAlign w:val="bottom"/>
          </w:tcPr>
          <w:p>
            <w:pPr>
              <w:ind w:left="480"/>
              <w:spacing w:after="0"/>
              <w:rPr>
                <w:sz w:val="20"/>
                <w:szCs w:val="20"/>
                <w:color w:val="auto"/>
              </w:rPr>
            </w:pPr>
            <w:r>
              <w:rPr>
                <w:rFonts w:ascii="Arial" w:cs="Arial" w:eastAsia="Arial" w:hAnsi="Arial"/>
                <w:sz w:val="18"/>
                <w:szCs w:val="18"/>
                <w:color w:val="auto"/>
              </w:rPr>
              <w:t>Dilutive effect of share-based awards</w:t>
            </w: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220,364</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160" w:type="dxa"/>
            <w:vAlign w:val="bottom"/>
            <w:gridSpan w:val="2"/>
          </w:tcPr>
          <w:p>
            <w:pPr>
              <w:jc w:val="right"/>
              <w:ind w:right="220"/>
              <w:spacing w:after="0"/>
              <w:rPr>
                <w:sz w:val="20"/>
                <w:szCs w:val="20"/>
                <w:color w:val="auto"/>
              </w:rPr>
            </w:pPr>
            <w:r>
              <w:rPr>
                <w:rFonts w:ascii="Arial" w:cs="Arial" w:eastAsia="Arial" w:hAnsi="Arial"/>
                <w:sz w:val="18"/>
                <w:szCs w:val="18"/>
                <w:color w:val="auto"/>
              </w:rPr>
              <w:t>160,790</w:t>
            </w:r>
          </w:p>
        </w:tc>
        <w:tc>
          <w:tcPr>
            <w:tcW w:w="140" w:type="dxa"/>
            <w:vAlign w:val="bottom"/>
          </w:tcPr>
          <w:p>
            <w:pPr>
              <w:spacing w:after="0"/>
              <w:rPr>
                <w:sz w:val="18"/>
                <w:szCs w:val="18"/>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236,623</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209,665</w:t>
            </w:r>
          </w:p>
        </w:tc>
        <w:tc>
          <w:tcPr>
            <w:tcW w:w="0" w:type="dxa"/>
            <w:vAlign w:val="bottom"/>
          </w:tcPr>
          <w:p>
            <w:pPr>
              <w:spacing w:after="0"/>
              <w:rPr>
                <w:sz w:val="1"/>
                <w:szCs w:val="1"/>
                <w:color w:val="auto"/>
              </w:rPr>
            </w:pPr>
          </w:p>
        </w:tc>
      </w:tr>
      <w:tr>
        <w:trPr>
          <w:trHeight w:val="250"/>
        </w:trPr>
        <w:tc>
          <w:tcPr>
            <w:tcW w:w="5320" w:type="dxa"/>
            <w:vAlign w:val="bottom"/>
            <w:tcBorders>
              <w:bottom w:val="single" w:sz="8" w:color="CCEEFF"/>
            </w:tcBorders>
            <w:shd w:val="clear" w:color="auto" w:fill="CCEEFF"/>
          </w:tcPr>
          <w:p>
            <w:pPr>
              <w:ind w:left="160"/>
              <w:spacing w:after="0"/>
              <w:rPr>
                <w:sz w:val="20"/>
                <w:szCs w:val="20"/>
                <w:color w:val="auto"/>
              </w:rPr>
            </w:pPr>
            <w:r>
              <w:rPr>
                <w:rFonts w:ascii="Arial" w:cs="Arial" w:eastAsia="Arial" w:hAnsi="Arial"/>
                <w:sz w:val="18"/>
                <w:szCs w:val="18"/>
                <w:color w:val="auto"/>
                <w:w w:val="96"/>
              </w:rPr>
              <w:t>Weighted average number of common shares outstanding - dilutive</w:t>
            </w: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16,890,722</w:t>
            </w:r>
          </w:p>
        </w:tc>
        <w:tc>
          <w:tcPr>
            <w:tcW w:w="22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4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17,132,206</w:t>
            </w:r>
          </w:p>
        </w:tc>
        <w:tc>
          <w:tcPr>
            <w:tcW w:w="220" w:type="dxa"/>
            <w:vAlign w:val="bottom"/>
            <w:tcBorders>
              <w:bottom w:val="single" w:sz="8" w:color="CCEEFF"/>
            </w:tcBorders>
            <w:shd w:val="clear" w:color="auto" w:fill="CCEEFF"/>
          </w:tcPr>
          <w:p>
            <w:pPr>
              <w:spacing w:after="0"/>
              <w:rPr>
                <w:sz w:val="21"/>
                <w:szCs w:val="21"/>
                <w:color w:val="auto"/>
              </w:rPr>
            </w:pPr>
          </w:p>
        </w:tc>
        <w:tc>
          <w:tcPr>
            <w:tcW w:w="140" w:type="dxa"/>
            <w:vAlign w:val="bottom"/>
            <w:tcBorders>
              <w:top w:val="single" w:sz="8" w:color="auto"/>
              <w:bottom w:val="single" w:sz="8" w:color="auto"/>
            </w:tcBorders>
            <w:shd w:val="clear" w:color="auto" w:fill="CCEEFF"/>
          </w:tcPr>
          <w:p>
            <w:pPr>
              <w:spacing w:after="0"/>
              <w:rPr>
                <w:sz w:val="21"/>
                <w:szCs w:val="21"/>
                <w:color w:val="auto"/>
              </w:rPr>
            </w:pPr>
          </w:p>
        </w:tc>
        <w:tc>
          <w:tcPr>
            <w:tcW w:w="10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17,071,591</w:t>
            </w:r>
          </w:p>
        </w:tc>
        <w:tc>
          <w:tcPr>
            <w:tcW w:w="200" w:type="dxa"/>
            <w:vAlign w:val="bottom"/>
            <w:tcBorders>
              <w:bottom w:val="single" w:sz="8" w:color="CCEEFF"/>
            </w:tcBorders>
            <w:shd w:val="clear" w:color="auto" w:fill="CCEEFF"/>
          </w:tcPr>
          <w:p>
            <w:pPr>
              <w:spacing w:after="0"/>
              <w:rPr>
                <w:sz w:val="21"/>
                <w:szCs w:val="21"/>
                <w:color w:val="auto"/>
              </w:rPr>
            </w:pPr>
          </w:p>
        </w:tc>
        <w:tc>
          <w:tcPr>
            <w:tcW w:w="240" w:type="dxa"/>
            <w:vAlign w:val="bottom"/>
            <w:tcBorders>
              <w:top w:val="single" w:sz="8" w:color="auto"/>
              <w:bottom w:val="single" w:sz="8" w:color="auto"/>
            </w:tcBorders>
            <w:shd w:val="clear" w:color="auto" w:fill="CCEEFF"/>
          </w:tcPr>
          <w:p>
            <w:pPr>
              <w:spacing w:after="0"/>
              <w:rPr>
                <w:sz w:val="21"/>
                <w:szCs w:val="21"/>
                <w:color w:val="auto"/>
              </w:rPr>
            </w:pPr>
          </w:p>
        </w:tc>
        <w:tc>
          <w:tcPr>
            <w:tcW w:w="960" w:type="dxa"/>
            <w:vAlign w:val="bottom"/>
            <w:tcBorders>
              <w:top w:val="single" w:sz="8" w:color="auto"/>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17,108,910</w:t>
            </w:r>
          </w:p>
        </w:tc>
        <w:tc>
          <w:tcPr>
            <w:tcW w:w="100" w:type="dxa"/>
            <w:vAlign w:val="bottom"/>
            <w:tcBorders>
              <w:bottom w:val="single" w:sz="8" w:color="CCEEFF"/>
            </w:tcBorders>
            <w:shd w:val="clear" w:color="auto" w:fill="CCEEFF"/>
          </w:tcPr>
          <w:p>
            <w:pPr>
              <w:spacing w:after="0"/>
              <w:rPr>
                <w:sz w:val="21"/>
                <w:szCs w:val="21"/>
                <w:color w:val="auto"/>
              </w:rPr>
            </w:pPr>
          </w:p>
        </w:tc>
        <w:tc>
          <w:tcPr>
            <w:tcW w:w="0" w:type="dxa"/>
            <w:vAlign w:val="bottom"/>
          </w:tcPr>
          <w:p>
            <w:pPr>
              <w:spacing w:after="0"/>
              <w:rPr>
                <w:sz w:val="1"/>
                <w:szCs w:val="1"/>
                <w:color w:val="auto"/>
              </w:rPr>
            </w:pPr>
          </w:p>
        </w:tc>
      </w:tr>
      <w:tr>
        <w:trPr>
          <w:trHeight w:val="182"/>
        </w:trPr>
        <w:tc>
          <w:tcPr>
            <w:tcW w:w="5320" w:type="dxa"/>
            <w:vAlign w:val="bottom"/>
          </w:tcPr>
          <w:p>
            <w:pPr>
              <w:spacing w:after="0" w:line="182" w:lineRule="exact"/>
              <w:rPr>
                <w:sz w:val="20"/>
                <w:szCs w:val="20"/>
                <w:color w:val="auto"/>
              </w:rPr>
            </w:pPr>
            <w:r>
              <w:rPr>
                <w:rFonts w:ascii="Arial" w:cs="Arial" w:eastAsia="Arial" w:hAnsi="Arial"/>
                <w:sz w:val="18"/>
                <w:szCs w:val="18"/>
                <w:color w:val="auto"/>
              </w:rPr>
              <w:t>Basic income per common share attributable to Build-A-Bear</w:t>
            </w:r>
          </w:p>
        </w:tc>
        <w:tc>
          <w:tcPr>
            <w:tcW w:w="140" w:type="dxa"/>
            <w:vAlign w:val="bottom"/>
            <w:vMerge w:val="restart"/>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vMerge w:val="restart"/>
          </w:tcPr>
          <w:p>
            <w:pPr>
              <w:jc w:val="right"/>
              <w:spacing w:after="0"/>
              <w:rPr>
                <w:sz w:val="20"/>
                <w:szCs w:val="20"/>
                <w:color w:val="auto"/>
              </w:rPr>
            </w:pPr>
            <w:r>
              <w:rPr>
                <w:rFonts w:ascii="Arial" w:cs="Arial" w:eastAsia="Arial" w:hAnsi="Arial"/>
                <w:sz w:val="18"/>
                <w:szCs w:val="18"/>
                <w:color w:val="auto"/>
              </w:rPr>
              <w:t>0.06</w:t>
            </w:r>
          </w:p>
        </w:tc>
        <w:tc>
          <w:tcPr>
            <w:tcW w:w="220" w:type="dxa"/>
            <w:vAlign w:val="bottom"/>
          </w:tcPr>
          <w:p>
            <w:pPr>
              <w:spacing w:after="0"/>
              <w:rPr>
                <w:sz w:val="15"/>
                <w:szCs w:val="15"/>
                <w:color w:val="auto"/>
              </w:rPr>
            </w:pPr>
          </w:p>
        </w:tc>
        <w:tc>
          <w:tcPr>
            <w:tcW w:w="240" w:type="dxa"/>
            <w:vAlign w:val="bottom"/>
            <w:vMerge w:val="restart"/>
          </w:tcPr>
          <w:p>
            <w:pPr>
              <w:jc w:val="right"/>
              <w:ind w:right="82"/>
              <w:spacing w:after="0"/>
              <w:rPr>
                <w:sz w:val="20"/>
                <w:szCs w:val="20"/>
                <w:color w:val="auto"/>
              </w:rPr>
            </w:pPr>
            <w:r>
              <w:rPr>
                <w:rFonts w:ascii="Arial" w:cs="Arial" w:eastAsia="Arial" w:hAnsi="Arial"/>
                <w:sz w:val="15"/>
                <w:szCs w:val="15"/>
                <w:color w:val="auto"/>
                <w:w w:val="71"/>
              </w:rPr>
              <w:t>$</w:t>
            </w:r>
          </w:p>
        </w:tc>
        <w:tc>
          <w:tcPr>
            <w:tcW w:w="116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0.10</w:t>
            </w:r>
          </w:p>
        </w:tc>
        <w:tc>
          <w:tcPr>
            <w:tcW w:w="140" w:type="dxa"/>
            <w:vAlign w:val="bottom"/>
            <w:vMerge w:val="restart"/>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0.42</w:t>
            </w:r>
          </w:p>
        </w:tc>
        <w:tc>
          <w:tcPr>
            <w:tcW w:w="240" w:type="dxa"/>
            <w:vAlign w:val="bottom"/>
            <w:vMerge w:val="restart"/>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tcPr>
          <w:p>
            <w:pPr>
              <w:jc w:val="right"/>
              <w:ind w:right="100"/>
              <w:spacing w:after="0"/>
              <w:rPr>
                <w:sz w:val="20"/>
                <w:szCs w:val="20"/>
                <w:color w:val="auto"/>
              </w:rPr>
            </w:pPr>
            <w:r>
              <w:rPr>
                <w:rFonts w:ascii="Arial" w:cs="Arial" w:eastAsia="Arial" w:hAnsi="Arial"/>
                <w:sz w:val="18"/>
                <w:szCs w:val="18"/>
                <w:color w:val="auto"/>
              </w:rPr>
              <w:t>0.15</w:t>
            </w:r>
          </w:p>
        </w:tc>
        <w:tc>
          <w:tcPr>
            <w:tcW w:w="0" w:type="dxa"/>
            <w:vAlign w:val="bottom"/>
          </w:tcPr>
          <w:p>
            <w:pPr>
              <w:spacing w:after="0"/>
              <w:rPr>
                <w:sz w:val="1"/>
                <w:szCs w:val="1"/>
                <w:color w:val="auto"/>
              </w:rPr>
            </w:pPr>
          </w:p>
        </w:tc>
      </w:tr>
      <w:tr>
        <w:trPr>
          <w:trHeight w:val="190"/>
        </w:trPr>
        <w:tc>
          <w:tcPr>
            <w:tcW w:w="5320" w:type="dxa"/>
            <w:vAlign w:val="bottom"/>
          </w:tcPr>
          <w:p>
            <w:pPr>
              <w:ind w:left="160"/>
              <w:spacing w:after="0" w:line="190" w:lineRule="exact"/>
              <w:rPr>
                <w:sz w:val="20"/>
                <w:szCs w:val="20"/>
                <w:color w:val="auto"/>
              </w:rPr>
            </w:pPr>
            <w:r>
              <w:rPr>
                <w:rFonts w:ascii="Arial" w:cs="Arial" w:eastAsia="Arial" w:hAnsi="Arial"/>
                <w:sz w:val="18"/>
                <w:szCs w:val="18"/>
                <w:color w:val="auto"/>
              </w:rPr>
              <w:t>Workshop, Inc. stockholders</w:t>
            </w:r>
          </w:p>
        </w:tc>
        <w:tc>
          <w:tcPr>
            <w:tcW w:w="140" w:type="dxa"/>
            <w:vAlign w:val="bottom"/>
            <w:vMerge w:val="continue"/>
          </w:tcPr>
          <w:p>
            <w:pPr>
              <w:spacing w:after="0"/>
              <w:rPr>
                <w:sz w:val="16"/>
                <w:szCs w:val="16"/>
                <w:color w:val="auto"/>
              </w:rPr>
            </w:pPr>
          </w:p>
        </w:tc>
        <w:tc>
          <w:tcPr>
            <w:tcW w:w="1040" w:type="dxa"/>
            <w:vAlign w:val="bottom"/>
            <w:vMerge w:val="continue"/>
          </w:tcPr>
          <w:p>
            <w:pPr>
              <w:spacing w:after="0"/>
              <w:rPr>
                <w:sz w:val="16"/>
                <w:szCs w:val="16"/>
                <w:color w:val="auto"/>
              </w:rPr>
            </w:pPr>
          </w:p>
        </w:tc>
        <w:tc>
          <w:tcPr>
            <w:tcW w:w="220" w:type="dxa"/>
            <w:vAlign w:val="bottom"/>
          </w:tcPr>
          <w:p>
            <w:pPr>
              <w:spacing w:after="0"/>
              <w:rPr>
                <w:sz w:val="16"/>
                <w:szCs w:val="16"/>
                <w:color w:val="auto"/>
              </w:rPr>
            </w:pPr>
          </w:p>
        </w:tc>
        <w:tc>
          <w:tcPr>
            <w:tcW w:w="240" w:type="dxa"/>
            <w:vAlign w:val="bottom"/>
            <w:vMerge w:val="continue"/>
          </w:tcPr>
          <w:p>
            <w:pPr>
              <w:spacing w:after="0"/>
              <w:rPr>
                <w:sz w:val="16"/>
                <w:szCs w:val="16"/>
                <w:color w:val="auto"/>
              </w:rPr>
            </w:pPr>
          </w:p>
        </w:tc>
        <w:tc>
          <w:tcPr>
            <w:tcW w:w="1160" w:type="dxa"/>
            <w:vAlign w:val="bottom"/>
            <w:gridSpan w:val="2"/>
            <w:vMerge w:val="continue"/>
          </w:tcPr>
          <w:p>
            <w:pPr>
              <w:spacing w:after="0"/>
              <w:rPr>
                <w:sz w:val="16"/>
                <w:szCs w:val="16"/>
                <w:color w:val="auto"/>
              </w:rPr>
            </w:pPr>
          </w:p>
        </w:tc>
        <w:tc>
          <w:tcPr>
            <w:tcW w:w="140" w:type="dxa"/>
            <w:vAlign w:val="bottom"/>
            <w:vMerge w:val="continue"/>
          </w:tcPr>
          <w:p>
            <w:pPr>
              <w:spacing w:after="0"/>
              <w:rPr>
                <w:sz w:val="16"/>
                <w:szCs w:val="16"/>
                <w:color w:val="auto"/>
              </w:rPr>
            </w:pPr>
          </w:p>
        </w:tc>
        <w:tc>
          <w:tcPr>
            <w:tcW w:w="1260" w:type="dxa"/>
            <w:vAlign w:val="bottom"/>
            <w:gridSpan w:val="2"/>
            <w:vMerge w:val="continue"/>
          </w:tcPr>
          <w:p>
            <w:pPr>
              <w:spacing w:after="0"/>
              <w:rPr>
                <w:sz w:val="16"/>
                <w:szCs w:val="16"/>
                <w:color w:val="auto"/>
              </w:rPr>
            </w:pPr>
          </w:p>
        </w:tc>
        <w:tc>
          <w:tcPr>
            <w:tcW w:w="240" w:type="dxa"/>
            <w:vAlign w:val="bottom"/>
            <w:vMerge w:val="continue"/>
          </w:tcPr>
          <w:p>
            <w:pPr>
              <w:spacing w:after="0"/>
              <w:rPr>
                <w:sz w:val="16"/>
                <w:szCs w:val="16"/>
                <w:color w:val="auto"/>
              </w:rPr>
            </w:pPr>
          </w:p>
        </w:tc>
        <w:tc>
          <w:tcPr>
            <w:tcW w:w="1060" w:type="dxa"/>
            <w:vAlign w:val="bottom"/>
            <w:gridSpan w:val="2"/>
            <w:vMerge w:val="continue"/>
          </w:tcPr>
          <w:p>
            <w:pPr>
              <w:spacing w:after="0"/>
              <w:rPr>
                <w:sz w:val="16"/>
                <w:szCs w:val="16"/>
                <w:color w:val="auto"/>
              </w:rPr>
            </w:pPr>
          </w:p>
        </w:tc>
        <w:tc>
          <w:tcPr>
            <w:tcW w:w="0" w:type="dxa"/>
            <w:vAlign w:val="bottom"/>
          </w:tcPr>
          <w:p>
            <w:pPr>
              <w:spacing w:after="0"/>
              <w:rPr>
                <w:sz w:val="1"/>
                <w:szCs w:val="1"/>
                <w:color w:val="auto"/>
              </w:rPr>
            </w:pPr>
          </w:p>
        </w:tc>
      </w:tr>
      <w:tr>
        <w:trPr>
          <w:trHeight w:val="20"/>
        </w:trPr>
        <w:tc>
          <w:tcPr>
            <w:tcW w:w="5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9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2"/>
        </w:trPr>
        <w:tc>
          <w:tcPr>
            <w:tcW w:w="5320" w:type="dxa"/>
            <w:vAlign w:val="bottom"/>
            <w:shd w:val="clear" w:color="auto" w:fill="CCEEFF"/>
          </w:tcPr>
          <w:p>
            <w:pPr>
              <w:spacing w:after="0" w:line="182" w:lineRule="exact"/>
              <w:rPr>
                <w:sz w:val="20"/>
                <w:szCs w:val="20"/>
                <w:color w:val="auto"/>
              </w:rPr>
            </w:pPr>
            <w:r>
              <w:rPr>
                <w:rFonts w:ascii="Arial" w:cs="Arial" w:eastAsia="Arial" w:hAnsi="Arial"/>
                <w:sz w:val="18"/>
                <w:szCs w:val="18"/>
                <w:color w:val="auto"/>
              </w:rPr>
              <w:t>Diluted income per common share attributable to Build-A-Bear</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rPr>
              <w:t>0.06</w:t>
            </w:r>
          </w:p>
        </w:tc>
        <w:tc>
          <w:tcPr>
            <w:tcW w:w="220" w:type="dxa"/>
            <w:vAlign w:val="bottom"/>
            <w:shd w:val="clear" w:color="auto" w:fill="CCEEFF"/>
          </w:tcPr>
          <w:p>
            <w:pPr>
              <w:spacing w:after="0"/>
              <w:rPr>
                <w:sz w:val="15"/>
                <w:szCs w:val="15"/>
                <w:color w:val="auto"/>
              </w:rPr>
            </w:pPr>
          </w:p>
        </w:tc>
        <w:tc>
          <w:tcPr>
            <w:tcW w:w="240" w:type="dxa"/>
            <w:vAlign w:val="bottom"/>
            <w:vMerge w:val="restart"/>
            <w:shd w:val="clear" w:color="auto" w:fill="CCEEFF"/>
          </w:tcPr>
          <w:p>
            <w:pPr>
              <w:jc w:val="right"/>
              <w:ind w:right="82"/>
              <w:spacing w:after="0"/>
              <w:rPr>
                <w:sz w:val="20"/>
                <w:szCs w:val="20"/>
                <w:color w:val="auto"/>
              </w:rPr>
            </w:pPr>
            <w:r>
              <w:rPr>
                <w:rFonts w:ascii="Arial" w:cs="Arial" w:eastAsia="Arial" w:hAnsi="Arial"/>
                <w:sz w:val="15"/>
                <w:szCs w:val="15"/>
                <w:color w:val="auto"/>
                <w:w w:val="71"/>
              </w:rPr>
              <w:t>$</w:t>
            </w:r>
          </w:p>
        </w:tc>
        <w:tc>
          <w:tcPr>
            <w:tcW w:w="1160" w:type="dxa"/>
            <w:vAlign w:val="bottom"/>
            <w:gridSpan w:val="2"/>
            <w:vMerge w:val="restart"/>
            <w:shd w:val="clear" w:color="auto" w:fill="CCEEFF"/>
          </w:tcPr>
          <w:p>
            <w:pPr>
              <w:jc w:val="right"/>
              <w:ind w:right="220"/>
              <w:spacing w:after="0"/>
              <w:rPr>
                <w:sz w:val="20"/>
                <w:szCs w:val="20"/>
                <w:color w:val="auto"/>
              </w:rPr>
            </w:pPr>
            <w:r>
              <w:rPr>
                <w:rFonts w:ascii="Arial" w:cs="Arial" w:eastAsia="Arial" w:hAnsi="Arial"/>
                <w:sz w:val="18"/>
                <w:szCs w:val="18"/>
                <w:color w:val="auto"/>
              </w:rPr>
              <w:t>0.10</w:t>
            </w:r>
          </w:p>
        </w:tc>
        <w:tc>
          <w:tcPr>
            <w:tcW w:w="140" w:type="dxa"/>
            <w:vAlign w:val="bottom"/>
            <w:vMerge w:val="restart"/>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vMerge w:val="restart"/>
            <w:shd w:val="clear" w:color="auto" w:fill="CCEEFF"/>
          </w:tcPr>
          <w:p>
            <w:pPr>
              <w:jc w:val="right"/>
              <w:ind w:right="200"/>
              <w:spacing w:after="0"/>
              <w:rPr>
                <w:sz w:val="20"/>
                <w:szCs w:val="20"/>
                <w:color w:val="auto"/>
              </w:rPr>
            </w:pPr>
            <w:r>
              <w:rPr>
                <w:rFonts w:ascii="Arial" w:cs="Arial" w:eastAsia="Arial" w:hAnsi="Arial"/>
                <w:sz w:val="18"/>
                <w:szCs w:val="18"/>
                <w:color w:val="auto"/>
              </w:rPr>
              <w:t>0.42</w:t>
            </w:r>
          </w:p>
        </w:tc>
        <w:tc>
          <w:tcPr>
            <w:tcW w:w="240" w:type="dxa"/>
            <w:vAlign w:val="bottom"/>
            <w:vMerge w:val="restart"/>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vMerge w:val="restart"/>
            <w:shd w:val="clear" w:color="auto" w:fill="CCEEFF"/>
          </w:tcPr>
          <w:p>
            <w:pPr>
              <w:jc w:val="right"/>
              <w:ind w:right="100"/>
              <w:spacing w:after="0"/>
              <w:rPr>
                <w:sz w:val="20"/>
                <w:szCs w:val="20"/>
                <w:color w:val="auto"/>
              </w:rPr>
            </w:pPr>
            <w:r>
              <w:rPr>
                <w:rFonts w:ascii="Arial" w:cs="Arial" w:eastAsia="Arial" w:hAnsi="Arial"/>
                <w:sz w:val="18"/>
                <w:szCs w:val="18"/>
                <w:color w:val="auto"/>
              </w:rPr>
              <w:t>0.14</w:t>
            </w:r>
          </w:p>
        </w:tc>
        <w:tc>
          <w:tcPr>
            <w:tcW w:w="0" w:type="dxa"/>
            <w:vAlign w:val="bottom"/>
          </w:tcPr>
          <w:p>
            <w:pPr>
              <w:spacing w:after="0"/>
              <w:rPr>
                <w:sz w:val="1"/>
                <w:szCs w:val="1"/>
                <w:color w:val="auto"/>
              </w:rPr>
            </w:pPr>
          </w:p>
        </w:tc>
      </w:tr>
      <w:tr>
        <w:trPr>
          <w:trHeight w:val="210"/>
        </w:trPr>
        <w:tc>
          <w:tcPr>
            <w:tcW w:w="5320" w:type="dxa"/>
            <w:vAlign w:val="bottom"/>
            <w:shd w:val="clear" w:color="auto" w:fill="CCEEFF"/>
          </w:tcPr>
          <w:p>
            <w:pPr>
              <w:ind w:left="160"/>
              <w:spacing w:after="0" w:line="190" w:lineRule="exact"/>
              <w:rPr>
                <w:sz w:val="20"/>
                <w:szCs w:val="20"/>
                <w:color w:val="auto"/>
              </w:rPr>
            </w:pPr>
            <w:r>
              <w:rPr>
                <w:rFonts w:ascii="Arial" w:cs="Arial" w:eastAsia="Arial" w:hAnsi="Arial"/>
                <w:sz w:val="18"/>
                <w:szCs w:val="18"/>
                <w:color w:val="auto"/>
              </w:rPr>
              <w:t>Workshop, Inc. stockholders</w:t>
            </w:r>
          </w:p>
        </w:tc>
        <w:tc>
          <w:tcPr>
            <w:tcW w:w="140" w:type="dxa"/>
            <w:vAlign w:val="bottom"/>
            <w:vMerge w:val="continue"/>
            <w:shd w:val="clear" w:color="auto" w:fill="CCEEFF"/>
          </w:tcPr>
          <w:p>
            <w:pPr>
              <w:spacing w:after="0"/>
              <w:rPr>
                <w:sz w:val="18"/>
                <w:szCs w:val="18"/>
                <w:color w:val="auto"/>
              </w:rPr>
            </w:pPr>
          </w:p>
        </w:tc>
        <w:tc>
          <w:tcPr>
            <w:tcW w:w="1040" w:type="dxa"/>
            <w:vAlign w:val="bottom"/>
            <w:vMerge w:val="continue"/>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160" w:type="dxa"/>
            <w:vAlign w:val="bottom"/>
            <w:gridSpan w:val="2"/>
            <w:vMerge w:val="continue"/>
            <w:shd w:val="clear" w:color="auto" w:fill="CCEEFF"/>
          </w:tcPr>
          <w:p>
            <w:pPr>
              <w:spacing w:after="0"/>
              <w:rPr>
                <w:sz w:val="18"/>
                <w:szCs w:val="18"/>
                <w:color w:val="auto"/>
              </w:rPr>
            </w:pPr>
          </w:p>
        </w:tc>
        <w:tc>
          <w:tcPr>
            <w:tcW w:w="140" w:type="dxa"/>
            <w:vAlign w:val="bottom"/>
            <w:vMerge w:val="continue"/>
            <w:shd w:val="clear" w:color="auto" w:fill="CCEEFF"/>
          </w:tcPr>
          <w:p>
            <w:pPr>
              <w:spacing w:after="0"/>
              <w:rPr>
                <w:sz w:val="18"/>
                <w:szCs w:val="18"/>
                <w:color w:val="auto"/>
              </w:rPr>
            </w:pPr>
          </w:p>
        </w:tc>
        <w:tc>
          <w:tcPr>
            <w:tcW w:w="1260" w:type="dxa"/>
            <w:vAlign w:val="bottom"/>
            <w:gridSpan w:val="2"/>
            <w:vMerge w:val="continue"/>
            <w:shd w:val="clear" w:color="auto" w:fill="CCEEFF"/>
          </w:tcPr>
          <w:p>
            <w:pPr>
              <w:spacing w:after="0"/>
              <w:rPr>
                <w:sz w:val="18"/>
                <w:szCs w:val="18"/>
                <w:color w:val="auto"/>
              </w:rPr>
            </w:pPr>
          </w:p>
        </w:tc>
        <w:tc>
          <w:tcPr>
            <w:tcW w:w="240" w:type="dxa"/>
            <w:vAlign w:val="bottom"/>
            <w:vMerge w:val="continue"/>
            <w:shd w:val="clear" w:color="auto" w:fill="CCEEFF"/>
          </w:tcPr>
          <w:p>
            <w:pPr>
              <w:spacing w:after="0"/>
              <w:rPr>
                <w:sz w:val="18"/>
                <w:szCs w:val="18"/>
                <w:color w:val="auto"/>
              </w:rPr>
            </w:pPr>
          </w:p>
        </w:tc>
        <w:tc>
          <w:tcPr>
            <w:tcW w:w="1060" w:type="dxa"/>
            <w:vAlign w:val="bottom"/>
            <w:gridSpan w:val="2"/>
            <w:vMerge w:val="continue"/>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53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00" w:type="dxa"/>
            <w:vAlign w:val="bottom"/>
            <w:tcBorders>
              <w:top w:val="single" w:sz="8" w:color="CCEEFF"/>
            </w:tcBorders>
            <w:shd w:val="clear" w:color="auto" w:fill="CCEEFF"/>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9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20"/>
        <w:spacing w:after="0" w:line="312" w:lineRule="auto"/>
        <w:rPr>
          <w:sz w:val="20"/>
          <w:szCs w:val="20"/>
          <w:color w:val="auto"/>
        </w:rPr>
      </w:pPr>
      <w:r>
        <w:rPr>
          <w:rFonts w:ascii="Arial" w:cs="Arial" w:eastAsia="Arial" w:hAnsi="Arial"/>
          <w:sz w:val="16"/>
          <w:szCs w:val="16"/>
          <w:color w:val="auto"/>
        </w:rPr>
        <w:t>For the thirteen and thirty-nine weeks ended October 3, 2015, 68,961options to purchase shares of common stock were excluded from the denominator for diluted loss per common share because of their anti-dilutive effect. For the thirteen and thirty-nine weeks ended September 27, 2014, options to purchase 136,168 shares of common stock were excluded from the denominator for diluted loss per common share because of their anti-dilutive effect.</w:t>
      </w:r>
    </w:p>
    <w:p>
      <w:pPr>
        <w:spacing w:after="0" w:line="390"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60"/>
          </w:cols>
          <w:pgMar w:left="240" w:top="580" w:right="299" w:bottom="1440" w:gutter="0" w:footer="0" w:header="0"/>
        </w:sectPr>
      </w:pPr>
    </w:p>
    <w:bookmarkStart w:id="7" w:name="page8"/>
    <w:bookmarkEnd w:id="7"/>
    <w:p>
      <w:pPr>
        <w:spacing w:after="0"/>
        <w:rPr>
          <w:sz w:val="20"/>
          <w:szCs w:val="20"/>
          <w:color w:val="auto"/>
        </w:rPr>
      </w:pPr>
      <w:r>
        <w:rPr>
          <w:rFonts w:ascii="Arial" w:cs="Arial" w:eastAsia="Arial" w:hAnsi="Arial"/>
          <w:sz w:val="18"/>
          <w:szCs w:val="18"/>
          <w:b w:val="1"/>
          <w:bCs w:val="1"/>
          <w:color w:val="auto"/>
        </w:rPr>
        <w:t>7. Comprehensive Income</w:t>
      </w:r>
    </w:p>
    <w:p>
      <w:pPr>
        <w:spacing w:after="0" w:line="229" w:lineRule="exact"/>
        <w:rPr>
          <w:sz w:val="20"/>
          <w:szCs w:val="20"/>
          <w:color w:val="auto"/>
        </w:rPr>
      </w:pPr>
    </w:p>
    <w:p>
      <w:pPr>
        <w:ind w:right="240"/>
        <w:spacing w:after="0" w:line="259" w:lineRule="auto"/>
        <w:rPr>
          <w:sz w:val="20"/>
          <w:szCs w:val="20"/>
          <w:color w:val="auto"/>
        </w:rPr>
      </w:pPr>
      <w:r>
        <w:rPr>
          <w:rFonts w:ascii="Arial" w:cs="Arial" w:eastAsia="Arial" w:hAnsi="Arial"/>
          <w:sz w:val="18"/>
          <w:szCs w:val="18"/>
          <w:color w:val="auto"/>
        </w:rPr>
        <w:t>The difference between comprehensive income or loss and net income or loss results from foreign currency translation adjustments on the balance sheets of subsidiaries whose functional currency is not the US Dollar. The accumulated other comprehensive loss balance at October 3, 2015, January 3, 2015 and September 27, 2014 is comprised entirely of foreign currency translation. For the thirteen and thirty-nine weeks ended October 3, 2015 and September 27, 2014, there were no reclassifications out of accumulated other comprehensive loss.</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8. Segment Information</w:t>
      </w:r>
    </w:p>
    <w:p>
      <w:pPr>
        <w:spacing w:after="0" w:line="229" w:lineRule="exact"/>
        <w:rPr>
          <w:sz w:val="20"/>
          <w:szCs w:val="20"/>
          <w:color w:val="auto"/>
        </w:rPr>
      </w:pPr>
    </w:p>
    <w:p>
      <w:pPr>
        <w:ind w:right="80"/>
        <w:spacing w:after="0" w:line="270" w:lineRule="auto"/>
        <w:rPr>
          <w:sz w:val="20"/>
          <w:szCs w:val="20"/>
          <w:color w:val="auto"/>
        </w:rPr>
      </w:pPr>
      <w:r>
        <w:rPr>
          <w:rFonts w:ascii="Arial" w:cs="Arial" w:eastAsia="Arial" w:hAnsi="Arial"/>
          <w:sz w:val="17"/>
          <w:szCs w:val="17"/>
          <w:color w:val="auto"/>
        </w:rPr>
        <w:t>The Company’s operations are conducted through three operating segments consisting of retail, international franchising and commercial. The retail segment includes the operating activities of company-owned stores in the United States, Canada, Puerto Rico, the United Kingdom, Ireland and Denmark and other retail delivery operations, including the Company’s web stores. The international franchising segment includes the licensing activities of the Company’s franchise agreements with store locations in Europe (outside of the United Kingdom, Ireland and Denmark), Asia, Australia, the Middle East, Africa and Mexico. The commercial segment includes the Company’s transactions with other businesses, mainly comprised of licensing the Company’s intellectual properties for third-party use and wholesale activities. The operating segments have discrete sources of revenue, different capital structures and different cost structures. These operating segments represent the basis on which the Company’s chief operating decision maker regularly evaluates the business in assessing performance, determining the allocation of resources and the pursuit of future growth opportunities. Accordingly, the Company has determined that each of its operating segments represent a reportable segment. The three reportable segments follow the same accounting policies used for the Company’s consolidated financial statements.</w:t>
      </w:r>
    </w:p>
    <w:p>
      <w:pPr>
        <w:spacing w:after="0" w:line="178" w:lineRule="exact"/>
        <w:rPr>
          <w:sz w:val="20"/>
          <w:szCs w:val="20"/>
          <w:color w:val="auto"/>
        </w:rPr>
      </w:pPr>
    </w:p>
    <w:p>
      <w:pPr>
        <w:spacing w:after="0"/>
        <w:rPr>
          <w:sz w:val="20"/>
          <w:szCs w:val="20"/>
          <w:color w:val="auto"/>
        </w:rPr>
      </w:pPr>
      <w:r>
        <w:rPr>
          <w:rFonts w:ascii="Arial" w:cs="Arial" w:eastAsia="Arial" w:hAnsi="Arial"/>
          <w:sz w:val="18"/>
          <w:szCs w:val="18"/>
          <w:color w:val="auto"/>
        </w:rPr>
        <w:t>Following is a summary of the financial information for the Company’s reportable segments (in thousands):</w:t>
      </w:r>
    </w:p>
    <w:p>
      <w:pPr>
        <w:spacing w:after="0" w:line="275" w:lineRule="exact"/>
        <w:rPr>
          <w:sz w:val="20"/>
          <w:szCs w:val="20"/>
          <w:color w:val="auto"/>
        </w:rPr>
      </w:pPr>
    </w:p>
    <w:tbl>
      <w:tblPr>
        <w:tblLayout w:type="fixed"/>
        <w:tblInd w:w="0" w:type="dxa"/>
        <w:tblCellMar>
          <w:top w:w="0" w:type="dxa"/>
          <w:left w:w="0" w:type="dxa"/>
          <w:bottom w:w="0" w:type="dxa"/>
          <w:right w:w="0" w:type="dxa"/>
        </w:tblCellMar>
      </w:tblPr>
      <w:tr>
        <w:trPr>
          <w:trHeight w:val="216"/>
        </w:trPr>
        <w:tc>
          <w:tcPr>
            <w:tcW w:w="1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20" w:type="dxa"/>
            <w:vAlign w:val="bottom"/>
            <w:gridSpan w:val="3"/>
          </w:tcPr>
          <w:p>
            <w:pPr>
              <w:jc w:val="right"/>
              <w:ind w:right="220"/>
              <w:spacing w:after="0"/>
              <w:rPr>
                <w:sz w:val="20"/>
                <w:szCs w:val="20"/>
                <w:color w:val="auto"/>
              </w:rPr>
            </w:pPr>
            <w:r>
              <w:rPr>
                <w:rFonts w:ascii="Arial" w:cs="Arial" w:eastAsia="Arial" w:hAnsi="Arial"/>
                <w:sz w:val="18"/>
                <w:szCs w:val="18"/>
                <w:b w:val="1"/>
                <w:bCs w:val="1"/>
                <w:color w:val="auto"/>
                <w:w w:val="99"/>
              </w:rPr>
              <w:t>International</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34"/>
        </w:trPr>
        <w:tc>
          <w:tcPr>
            <w:tcW w:w="180" w:type="dxa"/>
            <w:vAlign w:val="bottom"/>
          </w:tcPr>
          <w:p>
            <w:pPr>
              <w:spacing w:after="0"/>
              <w:rPr>
                <w:sz w:val="20"/>
                <w:szCs w:val="20"/>
                <w:color w:val="auto"/>
              </w:rPr>
            </w:pPr>
          </w:p>
        </w:tc>
        <w:tc>
          <w:tcPr>
            <w:tcW w:w="53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280" w:type="dxa"/>
            <w:vAlign w:val="bottom"/>
            <w:gridSpan w:val="2"/>
          </w:tcPr>
          <w:p>
            <w:pPr>
              <w:ind w:left="240"/>
              <w:spacing w:after="0"/>
              <w:rPr>
                <w:sz w:val="20"/>
                <w:szCs w:val="20"/>
                <w:color w:val="auto"/>
              </w:rPr>
            </w:pPr>
            <w:r>
              <w:rPr>
                <w:rFonts w:ascii="Arial" w:cs="Arial" w:eastAsia="Arial" w:hAnsi="Arial"/>
                <w:sz w:val="18"/>
                <w:szCs w:val="18"/>
                <w:b w:val="1"/>
                <w:bCs w:val="1"/>
                <w:color w:val="auto"/>
              </w:rPr>
              <w:t>Retail</w:t>
            </w:r>
          </w:p>
        </w:tc>
        <w:tc>
          <w:tcPr>
            <w:tcW w:w="10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b w:val="1"/>
                <w:bCs w:val="1"/>
                <w:color w:val="auto"/>
                <w:w w:val="92"/>
              </w:rPr>
              <w:t>Franchising</w:t>
            </w: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right"/>
              <w:ind w:right="340"/>
              <w:spacing w:after="0"/>
              <w:rPr>
                <w:sz w:val="20"/>
                <w:szCs w:val="20"/>
                <w:color w:val="auto"/>
              </w:rPr>
            </w:pPr>
            <w:r>
              <w:rPr>
                <w:rFonts w:ascii="Arial" w:cs="Arial" w:eastAsia="Arial" w:hAnsi="Arial"/>
                <w:sz w:val="18"/>
                <w:szCs w:val="18"/>
                <w:b w:val="1"/>
                <w:bCs w:val="1"/>
                <w:color w:val="auto"/>
                <w:w w:val="91"/>
              </w:rPr>
              <w:t>Commercial</w:t>
            </w:r>
          </w:p>
        </w:tc>
        <w:tc>
          <w:tcPr>
            <w:tcW w:w="24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c>
          <w:tcPr>
            <w:tcW w:w="460" w:type="dxa"/>
            <w:vAlign w:val="bottom"/>
          </w:tcPr>
          <w:p>
            <w:pPr>
              <w:spacing w:after="0"/>
              <w:rPr>
                <w:sz w:val="20"/>
                <w:szCs w:val="20"/>
                <w:color w:val="auto"/>
              </w:rPr>
            </w:pPr>
          </w:p>
        </w:tc>
      </w:tr>
      <w:tr>
        <w:trPr>
          <w:trHeight w:val="210"/>
        </w:trPr>
        <w:tc>
          <w:tcPr>
            <w:tcW w:w="18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October 3, 2015</w:t>
            </w:r>
          </w:p>
        </w:tc>
        <w:tc>
          <w:tcPr>
            <w:tcW w:w="120" w:type="dxa"/>
            <w:vAlign w:val="bottom"/>
            <w:tcBorders>
              <w:top w:val="single" w:sz="8" w:color="auto"/>
            </w:tcBorders>
            <w:shd w:val="clear" w:color="auto" w:fill="CCEEFF"/>
          </w:tcPr>
          <w:p>
            <w:pPr>
              <w:spacing w:after="0"/>
              <w:rPr>
                <w:sz w:val="18"/>
                <w:szCs w:val="18"/>
                <w:color w:val="auto"/>
              </w:rPr>
            </w:pPr>
          </w:p>
        </w:tc>
        <w:tc>
          <w:tcPr>
            <w:tcW w:w="106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84,303</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525</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795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85,623</w:t>
            </w: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1,120</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66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1,368</w:t>
            </w: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6,753</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25</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6,785</w:t>
            </w: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3,996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4,029</w:t>
            </w: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September 27, 2014</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85,561</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558</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542</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86,661</w:t>
            </w: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1,584</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216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258</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2,058</w:t>
            </w: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2,494</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2,511</w:t>
            </w: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4,386</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36</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4,422</w:t>
            </w: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Thirty-nine weeks ended October 3, 2015</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256,246</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1,624</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2,159</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260,029</w:t>
            </w: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before income taxes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6,539</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439</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1,003</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7,981</w:t>
            </w: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120" w:type="dxa"/>
            <w:vAlign w:val="bottom"/>
          </w:tcPr>
          <w:p>
            <w:pPr>
              <w:spacing w:after="0"/>
              <w:rPr>
                <w:sz w:val="18"/>
                <w:szCs w:val="18"/>
                <w:color w:val="auto"/>
              </w:rPr>
            </w:pP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12,800</w:t>
            </w: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57</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7</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12,864</w:t>
            </w: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12,159</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102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12,262</w:t>
            </w: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Thirty-nine weeks ended September 27, 2014</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257,752</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1,716</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1,384</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260,852</w:t>
            </w: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Income (loss) before income taxes</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2,782</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(62)</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684</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3,404</w:t>
            </w: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Capital expenditures, net</w:t>
            </w: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5,655</w:t>
            </w: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26</w:t>
            </w: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5,681</w:t>
            </w: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Depreciation and amortization</w:t>
            </w: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13,274</w:t>
            </w:r>
          </w:p>
        </w:tc>
        <w:tc>
          <w:tcPr>
            <w:tcW w:w="100" w:type="dxa"/>
            <w:vAlign w:val="bottom"/>
            <w:shd w:val="clear" w:color="auto" w:fill="CCEEFF"/>
          </w:tcPr>
          <w:p>
            <w:pPr>
              <w:spacing w:after="0"/>
              <w:rPr>
                <w:sz w:val="18"/>
                <w:szCs w:val="18"/>
                <w:color w:val="auto"/>
              </w:rPr>
            </w:pP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111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13,385</w:t>
            </w: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Total Assets as of:</w:t>
            </w: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320" w:type="dxa"/>
            <w:vAlign w:val="bottom"/>
          </w:tcPr>
          <w:p>
            <w:pPr>
              <w:ind w:left="160"/>
              <w:spacing w:after="0"/>
              <w:rPr>
                <w:sz w:val="20"/>
                <w:szCs w:val="20"/>
                <w:color w:val="auto"/>
              </w:rPr>
            </w:pPr>
            <w:r>
              <w:rPr>
                <w:rFonts w:ascii="Arial" w:cs="Arial" w:eastAsia="Arial" w:hAnsi="Arial"/>
                <w:sz w:val="18"/>
                <w:szCs w:val="18"/>
                <w:color w:val="auto"/>
              </w:rPr>
              <w:t>October 3, 2015</w:t>
            </w:r>
          </w:p>
        </w:tc>
        <w:tc>
          <w:tcPr>
            <w:tcW w:w="12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177,067</w:t>
            </w:r>
          </w:p>
        </w:tc>
        <w:tc>
          <w:tcPr>
            <w:tcW w:w="220" w:type="dxa"/>
            <w:vAlign w:val="bottom"/>
          </w:tcPr>
          <w:p>
            <w:pPr>
              <w:spacing w:after="0"/>
              <w:rPr>
                <w:sz w:val="18"/>
                <w:szCs w:val="18"/>
                <w:color w:val="auto"/>
              </w:rPr>
            </w:pP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tcPr>
          <w:p>
            <w:pPr>
              <w:jc w:val="right"/>
              <w:ind w:right="140"/>
              <w:spacing w:after="0"/>
              <w:rPr>
                <w:sz w:val="20"/>
                <w:szCs w:val="20"/>
                <w:color w:val="auto"/>
              </w:rPr>
            </w:pPr>
            <w:r>
              <w:rPr>
                <w:rFonts w:ascii="Arial" w:cs="Arial" w:eastAsia="Arial" w:hAnsi="Arial"/>
                <w:sz w:val="18"/>
                <w:szCs w:val="18"/>
                <w:color w:val="auto"/>
              </w:rPr>
              <w:t>1,472</w:t>
            </w:r>
          </w:p>
        </w:tc>
        <w:tc>
          <w:tcPr>
            <w:tcW w:w="1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4,765</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183,304</w:t>
            </w:r>
          </w:p>
        </w:tc>
        <w:tc>
          <w:tcPr>
            <w:tcW w:w="460" w:type="dxa"/>
            <w:vAlign w:val="bottom"/>
          </w:tcPr>
          <w:p>
            <w:pPr>
              <w:spacing w:after="0"/>
              <w:rPr>
                <w:sz w:val="18"/>
                <w:szCs w:val="18"/>
                <w:color w:val="auto"/>
              </w:rPr>
            </w:pPr>
          </w:p>
        </w:tc>
      </w:tr>
      <w:tr>
        <w:trPr>
          <w:trHeight w:val="216"/>
        </w:trPr>
        <w:tc>
          <w:tcPr>
            <w:tcW w:w="180" w:type="dxa"/>
            <w:vAlign w:val="bottom"/>
          </w:tcPr>
          <w:p>
            <w:pPr>
              <w:spacing w:after="0"/>
              <w:rPr>
                <w:sz w:val="18"/>
                <w:szCs w:val="18"/>
                <w:color w:val="auto"/>
              </w:rPr>
            </w:pPr>
          </w:p>
        </w:tc>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September 27, 2014</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166,403</w:t>
            </w:r>
          </w:p>
        </w:tc>
        <w:tc>
          <w:tcPr>
            <w:tcW w:w="220" w:type="dxa"/>
            <w:vAlign w:val="bottom"/>
            <w:shd w:val="clear" w:color="auto" w:fill="CCEEFF"/>
          </w:tcPr>
          <w:p>
            <w:pPr>
              <w:spacing w:after="0"/>
              <w:rPr>
                <w:sz w:val="18"/>
                <w:szCs w:val="18"/>
                <w:color w:val="auto"/>
              </w:rPr>
            </w:pP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22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color w:val="auto"/>
              </w:rPr>
              <w:t>2,849</w:t>
            </w:r>
          </w:p>
        </w:tc>
        <w:tc>
          <w:tcPr>
            <w:tcW w:w="1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5,613</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174,865</w:t>
            </w:r>
          </w:p>
        </w:tc>
        <w:tc>
          <w:tcPr>
            <w:tcW w:w="460" w:type="dxa"/>
            <w:vAlign w:val="bottom"/>
          </w:tcPr>
          <w:p>
            <w:pPr>
              <w:spacing w:after="0"/>
              <w:rPr>
                <w:sz w:val="18"/>
                <w:szCs w:val="18"/>
                <w:color w:val="auto"/>
              </w:rPr>
            </w:pPr>
          </w:p>
        </w:tc>
      </w:tr>
      <w:tr>
        <w:trPr>
          <w:trHeight w:val="729"/>
        </w:trPr>
        <w:tc>
          <w:tcPr>
            <w:tcW w:w="180" w:type="dxa"/>
            <w:vAlign w:val="bottom"/>
          </w:tcPr>
          <w:p>
            <w:pPr>
              <w:spacing w:after="0"/>
              <w:rPr>
                <w:sz w:val="24"/>
                <w:szCs w:val="24"/>
                <w:color w:val="auto"/>
              </w:rPr>
            </w:pPr>
          </w:p>
        </w:tc>
        <w:tc>
          <w:tcPr>
            <w:tcW w:w="5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1060" w:type="dxa"/>
            <w:vAlign w:val="bottom"/>
          </w:tcPr>
          <w:p>
            <w:pPr>
              <w:jc w:val="right"/>
              <w:ind w:right="830"/>
              <w:spacing w:after="0"/>
              <w:rPr>
                <w:sz w:val="20"/>
                <w:szCs w:val="20"/>
                <w:color w:val="auto"/>
              </w:rPr>
            </w:pPr>
            <w:r>
              <w:rPr>
                <w:rFonts w:ascii="Arial" w:cs="Arial" w:eastAsia="Arial" w:hAnsi="Arial"/>
                <w:sz w:val="18"/>
                <w:szCs w:val="18"/>
                <w:color w:val="auto"/>
              </w:rPr>
              <w:t>8</w:t>
            </w:r>
          </w:p>
        </w:tc>
        <w:tc>
          <w:tcPr>
            <w:tcW w:w="2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9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r>
      <w:tr>
        <w:trPr>
          <w:trHeight w:val="105"/>
        </w:trPr>
        <w:tc>
          <w:tcPr>
            <w:tcW w:w="180" w:type="dxa"/>
            <w:vAlign w:val="bottom"/>
          </w:tcPr>
          <w:p>
            <w:pPr>
              <w:spacing w:after="0"/>
              <w:rPr>
                <w:sz w:val="9"/>
                <w:szCs w:val="9"/>
                <w:color w:val="auto"/>
              </w:rPr>
            </w:pPr>
          </w:p>
        </w:tc>
        <w:tc>
          <w:tcPr>
            <w:tcW w:w="5320" w:type="dxa"/>
            <w:vAlign w:val="bottom"/>
          </w:tcPr>
          <w:p>
            <w:pPr>
              <w:spacing w:after="0"/>
              <w:rPr>
                <w:sz w:val="9"/>
                <w:szCs w:val="9"/>
                <w:color w:val="auto"/>
              </w:rPr>
            </w:pPr>
          </w:p>
        </w:tc>
        <w:tc>
          <w:tcPr>
            <w:tcW w:w="120" w:type="dxa"/>
            <w:vAlign w:val="bottom"/>
          </w:tcPr>
          <w:p>
            <w:pPr>
              <w:spacing w:after="0"/>
              <w:rPr>
                <w:sz w:val="9"/>
                <w:szCs w:val="9"/>
                <w:color w:val="auto"/>
              </w:rPr>
            </w:pPr>
          </w:p>
        </w:tc>
        <w:tc>
          <w:tcPr>
            <w:tcW w:w="1060" w:type="dxa"/>
            <w:vAlign w:val="bottom"/>
          </w:tcPr>
          <w:p>
            <w:pPr>
              <w:spacing w:after="0"/>
              <w:rPr>
                <w:sz w:val="9"/>
                <w:szCs w:val="9"/>
                <w:color w:val="auto"/>
              </w:rPr>
            </w:pPr>
          </w:p>
        </w:tc>
        <w:tc>
          <w:tcPr>
            <w:tcW w:w="2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140" w:type="dxa"/>
            <w:vAlign w:val="bottom"/>
          </w:tcPr>
          <w:p>
            <w:pPr>
              <w:spacing w:after="0"/>
              <w:rPr>
                <w:sz w:val="9"/>
                <w:szCs w:val="9"/>
                <w:color w:val="auto"/>
              </w:rPr>
            </w:pPr>
          </w:p>
        </w:tc>
        <w:tc>
          <w:tcPr>
            <w:tcW w:w="8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80" w:type="dxa"/>
            <w:vAlign w:val="bottom"/>
          </w:tcPr>
          <w:p>
            <w:pPr>
              <w:spacing w:after="0"/>
              <w:rPr>
                <w:sz w:val="9"/>
                <w:szCs w:val="9"/>
                <w:color w:val="auto"/>
              </w:rPr>
            </w:pPr>
          </w:p>
        </w:tc>
        <w:tc>
          <w:tcPr>
            <w:tcW w:w="220" w:type="dxa"/>
            <w:vAlign w:val="bottom"/>
          </w:tcPr>
          <w:p>
            <w:pPr>
              <w:spacing w:after="0"/>
              <w:rPr>
                <w:sz w:val="9"/>
                <w:szCs w:val="9"/>
                <w:color w:val="auto"/>
              </w:rPr>
            </w:pPr>
          </w:p>
        </w:tc>
        <w:tc>
          <w:tcPr>
            <w:tcW w:w="240" w:type="dxa"/>
            <w:vAlign w:val="bottom"/>
          </w:tcPr>
          <w:p>
            <w:pPr>
              <w:spacing w:after="0"/>
              <w:rPr>
                <w:sz w:val="9"/>
                <w:szCs w:val="9"/>
                <w:color w:val="auto"/>
              </w:rPr>
            </w:pPr>
          </w:p>
        </w:tc>
        <w:tc>
          <w:tcPr>
            <w:tcW w:w="960" w:type="dxa"/>
            <w:vAlign w:val="bottom"/>
          </w:tcPr>
          <w:p>
            <w:pPr>
              <w:spacing w:after="0"/>
              <w:rPr>
                <w:sz w:val="9"/>
                <w:szCs w:val="9"/>
                <w:color w:val="auto"/>
              </w:rPr>
            </w:pPr>
          </w:p>
        </w:tc>
        <w:tc>
          <w:tcPr>
            <w:tcW w:w="100" w:type="dxa"/>
            <w:vAlign w:val="bottom"/>
          </w:tcPr>
          <w:p>
            <w:pPr>
              <w:spacing w:after="0"/>
              <w:rPr>
                <w:sz w:val="9"/>
                <w:szCs w:val="9"/>
                <w:color w:val="auto"/>
              </w:rPr>
            </w:pPr>
          </w:p>
        </w:tc>
        <w:tc>
          <w:tcPr>
            <w:tcW w:w="460" w:type="dxa"/>
            <w:vAlign w:val="bottom"/>
          </w:tcPr>
          <w:p>
            <w:pPr>
              <w:spacing w:after="0"/>
              <w:rPr>
                <w:sz w:val="9"/>
                <w:szCs w:val="9"/>
                <w:color w:val="auto"/>
              </w:rPr>
            </w:pPr>
          </w:p>
        </w:tc>
      </w:tr>
      <w:tr>
        <w:trPr>
          <w:trHeight w:val="61"/>
        </w:trPr>
        <w:tc>
          <w:tcPr>
            <w:tcW w:w="180" w:type="dxa"/>
            <w:vAlign w:val="bottom"/>
            <w:shd w:val="clear" w:color="auto" w:fill="808080"/>
          </w:tcPr>
          <w:p>
            <w:pPr>
              <w:spacing w:after="0"/>
              <w:rPr>
                <w:sz w:val="5"/>
                <w:szCs w:val="5"/>
                <w:color w:val="auto"/>
              </w:rPr>
            </w:pPr>
          </w:p>
        </w:tc>
        <w:tc>
          <w:tcPr>
            <w:tcW w:w="5320" w:type="dxa"/>
            <w:vAlign w:val="bottom"/>
            <w:shd w:val="clear" w:color="auto" w:fill="808080"/>
          </w:tcPr>
          <w:p>
            <w:pPr>
              <w:spacing w:after="0"/>
              <w:rPr>
                <w:sz w:val="5"/>
                <w:szCs w:val="5"/>
                <w:color w:val="auto"/>
              </w:rPr>
            </w:pPr>
          </w:p>
        </w:tc>
        <w:tc>
          <w:tcPr>
            <w:tcW w:w="120" w:type="dxa"/>
            <w:vAlign w:val="bottom"/>
            <w:shd w:val="clear" w:color="auto" w:fill="808080"/>
          </w:tcPr>
          <w:p>
            <w:pPr>
              <w:spacing w:after="0"/>
              <w:rPr>
                <w:sz w:val="5"/>
                <w:szCs w:val="5"/>
                <w:color w:val="auto"/>
              </w:rPr>
            </w:pPr>
          </w:p>
        </w:tc>
        <w:tc>
          <w:tcPr>
            <w:tcW w:w="106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140" w:type="dxa"/>
            <w:vAlign w:val="bottom"/>
            <w:shd w:val="clear" w:color="auto" w:fill="808080"/>
          </w:tcPr>
          <w:p>
            <w:pPr>
              <w:spacing w:after="0"/>
              <w:rPr>
                <w:sz w:val="5"/>
                <w:szCs w:val="5"/>
                <w:color w:val="auto"/>
              </w:rPr>
            </w:pPr>
          </w:p>
        </w:tc>
        <w:tc>
          <w:tcPr>
            <w:tcW w:w="8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80" w:type="dxa"/>
            <w:vAlign w:val="bottom"/>
            <w:shd w:val="clear" w:color="auto" w:fill="808080"/>
          </w:tcPr>
          <w:p>
            <w:pPr>
              <w:spacing w:after="0"/>
              <w:rPr>
                <w:sz w:val="5"/>
                <w:szCs w:val="5"/>
                <w:color w:val="auto"/>
              </w:rPr>
            </w:pPr>
          </w:p>
        </w:tc>
        <w:tc>
          <w:tcPr>
            <w:tcW w:w="220" w:type="dxa"/>
            <w:vAlign w:val="bottom"/>
            <w:shd w:val="clear" w:color="auto" w:fill="808080"/>
          </w:tcPr>
          <w:p>
            <w:pPr>
              <w:spacing w:after="0"/>
              <w:rPr>
                <w:sz w:val="5"/>
                <w:szCs w:val="5"/>
                <w:color w:val="auto"/>
              </w:rPr>
            </w:pPr>
          </w:p>
        </w:tc>
        <w:tc>
          <w:tcPr>
            <w:tcW w:w="240" w:type="dxa"/>
            <w:vAlign w:val="bottom"/>
            <w:shd w:val="clear" w:color="auto" w:fill="808080"/>
          </w:tcPr>
          <w:p>
            <w:pPr>
              <w:spacing w:after="0"/>
              <w:rPr>
                <w:sz w:val="5"/>
                <w:szCs w:val="5"/>
                <w:color w:val="auto"/>
              </w:rPr>
            </w:pPr>
          </w:p>
        </w:tc>
        <w:tc>
          <w:tcPr>
            <w:tcW w:w="96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46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607" w:right="199" w:bottom="1440" w:gutter="0" w:footer="0" w:header="0"/>
        </w:sectPr>
      </w:pPr>
    </w:p>
    <w:bookmarkStart w:id="8" w:name="page9"/>
    <w:bookmarkEnd w:id="8"/>
    <w:p>
      <w:pPr>
        <w:ind w:right="40"/>
        <w:spacing w:after="0" w:line="286" w:lineRule="auto"/>
        <w:rPr>
          <w:sz w:val="20"/>
          <w:szCs w:val="20"/>
          <w:color w:val="auto"/>
        </w:rPr>
      </w:pPr>
      <w:r>
        <w:rPr>
          <w:rFonts w:ascii="Arial" w:cs="Arial" w:eastAsia="Arial" w:hAnsi="Arial"/>
          <w:sz w:val="17"/>
          <w:szCs w:val="17"/>
          <w:color w:val="auto"/>
        </w:rPr>
        <w:t>The Company’s reportable segments are primarily determined by the types of products and services that they offer. Each reportable segment may operate in many geographic areas. The Company allocates revenues to geographic areas based on the location of the customer or franchisee. The following schedule is a summary of the Company’s sales to external customers and long-lived assets by geographic area (in thousands):</w:t>
      </w:r>
    </w:p>
    <w:p>
      <w:pPr>
        <w:spacing w:after="0" w:line="162"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5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300" w:type="dxa"/>
            <w:vAlign w:val="bottom"/>
            <w:gridSpan w:val="2"/>
          </w:tcPr>
          <w:p>
            <w:pPr>
              <w:jc w:val="center"/>
              <w:ind w:right="320"/>
              <w:spacing w:after="0"/>
              <w:rPr>
                <w:sz w:val="20"/>
                <w:szCs w:val="20"/>
                <w:color w:val="auto"/>
              </w:rPr>
            </w:pPr>
            <w:r>
              <w:rPr>
                <w:rFonts w:ascii="Arial" w:cs="Arial" w:eastAsia="Arial" w:hAnsi="Arial"/>
                <w:sz w:val="18"/>
                <w:szCs w:val="18"/>
                <w:b w:val="1"/>
                <w:bCs w:val="1"/>
                <w:color w:val="auto"/>
                <w:w w:val="95"/>
              </w:rPr>
              <w:t>North</w:t>
            </w: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4"/>
        </w:trPr>
        <w:tc>
          <w:tcPr>
            <w:tcW w:w="5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00" w:type="dxa"/>
            <w:vAlign w:val="bottom"/>
            <w:gridSpan w:val="2"/>
          </w:tcPr>
          <w:p>
            <w:pPr>
              <w:jc w:val="center"/>
              <w:ind w:right="340"/>
              <w:spacing w:after="0"/>
              <w:rPr>
                <w:sz w:val="20"/>
                <w:szCs w:val="20"/>
                <w:color w:val="auto"/>
              </w:rPr>
            </w:pPr>
            <w:r>
              <w:rPr>
                <w:rFonts w:ascii="Arial" w:cs="Arial" w:eastAsia="Arial" w:hAnsi="Arial"/>
                <w:sz w:val="18"/>
                <w:szCs w:val="18"/>
                <w:b w:val="1"/>
                <w:bCs w:val="1"/>
                <w:color w:val="auto"/>
                <w:w w:val="93"/>
              </w:rPr>
              <w:t>America (1)</w:t>
            </w:r>
          </w:p>
        </w:tc>
        <w:tc>
          <w:tcPr>
            <w:tcW w:w="140" w:type="dxa"/>
            <w:vAlign w:val="bottom"/>
          </w:tcPr>
          <w:p>
            <w:pPr>
              <w:spacing w:after="0"/>
              <w:rPr>
                <w:sz w:val="20"/>
                <w:szCs w:val="20"/>
                <w:color w:val="auto"/>
              </w:rPr>
            </w:pPr>
          </w:p>
        </w:tc>
        <w:tc>
          <w:tcPr>
            <w:tcW w:w="116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w w:val="94"/>
              </w:rPr>
              <w:t>Europe (2)</w:t>
            </w:r>
          </w:p>
        </w:tc>
        <w:tc>
          <w:tcPr>
            <w:tcW w:w="1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240" w:type="dxa"/>
            <w:vAlign w:val="bottom"/>
            <w:gridSpan w:val="2"/>
          </w:tcPr>
          <w:p>
            <w:pPr>
              <w:jc w:val="right"/>
              <w:ind w:right="440"/>
              <w:spacing w:after="0"/>
              <w:rPr>
                <w:sz w:val="20"/>
                <w:szCs w:val="20"/>
                <w:color w:val="auto"/>
              </w:rPr>
            </w:pPr>
            <w:r>
              <w:rPr>
                <w:rFonts w:ascii="Arial" w:cs="Arial" w:eastAsia="Arial" w:hAnsi="Arial"/>
                <w:sz w:val="18"/>
                <w:szCs w:val="18"/>
                <w:b w:val="1"/>
                <w:bCs w:val="1"/>
                <w:color w:val="auto"/>
              </w:rPr>
              <w:t>Other (3)</w:t>
            </w:r>
          </w:p>
        </w:tc>
        <w:tc>
          <w:tcPr>
            <w:tcW w:w="240" w:type="dxa"/>
            <w:vAlign w:val="bottom"/>
          </w:tcPr>
          <w:p>
            <w:pPr>
              <w:spacing w:after="0"/>
              <w:rPr>
                <w:sz w:val="20"/>
                <w:szCs w:val="20"/>
                <w:color w:val="auto"/>
              </w:rPr>
            </w:pPr>
          </w:p>
        </w:tc>
        <w:tc>
          <w:tcPr>
            <w:tcW w:w="1060" w:type="dxa"/>
            <w:vAlign w:val="bottom"/>
            <w:gridSpan w:val="2"/>
          </w:tcPr>
          <w:p>
            <w:pPr>
              <w:ind w:left="160"/>
              <w:spacing w:after="0"/>
              <w:rPr>
                <w:sz w:val="20"/>
                <w:szCs w:val="20"/>
                <w:color w:val="auto"/>
              </w:rPr>
            </w:pPr>
            <w:r>
              <w:rPr>
                <w:rFonts w:ascii="Arial" w:cs="Arial" w:eastAsia="Arial" w:hAnsi="Arial"/>
                <w:sz w:val="18"/>
                <w:szCs w:val="18"/>
                <w:b w:val="1"/>
                <w:bCs w:val="1"/>
                <w:color w:val="auto"/>
              </w:rPr>
              <w:t>Total</w:t>
            </w:r>
          </w:p>
        </w:tc>
      </w:tr>
      <w:tr>
        <w:trPr>
          <w:trHeight w:val="210"/>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Thirteen weeks ended October 3, 2015</w:t>
            </w:r>
          </w:p>
        </w:tc>
        <w:tc>
          <w:tcPr>
            <w:tcW w:w="100" w:type="dxa"/>
            <w:vAlign w:val="bottom"/>
            <w:tcBorders>
              <w:top w:val="single" w:sz="8" w:color="auto"/>
            </w:tcBorders>
            <w:shd w:val="clear" w:color="auto" w:fill="CCEEFF"/>
          </w:tcPr>
          <w:p>
            <w:pPr>
              <w:spacing w:after="0"/>
              <w:rPr>
                <w:sz w:val="18"/>
                <w:szCs w:val="18"/>
                <w:color w:val="auto"/>
              </w:rPr>
            </w:pPr>
          </w:p>
        </w:tc>
        <w:tc>
          <w:tcPr>
            <w:tcW w:w="108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tcBorders>
              <w:top w:val="single" w:sz="8" w:color="auto"/>
            </w:tcBorders>
            <w:shd w:val="clear" w:color="auto" w:fill="CCEEFF"/>
          </w:tcPr>
          <w:p>
            <w:pPr>
              <w:spacing w:after="0"/>
              <w:rPr>
                <w:sz w:val="18"/>
                <w:szCs w:val="18"/>
                <w:color w:val="auto"/>
              </w:rPr>
            </w:pPr>
          </w:p>
        </w:tc>
        <w:tc>
          <w:tcPr>
            <w:tcW w:w="1040" w:type="dxa"/>
            <w:vAlign w:val="bottom"/>
            <w:tcBorders>
              <w:top w:val="single" w:sz="8" w:color="auto"/>
            </w:tcBorders>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tcBorders>
              <w:top w:val="single" w:sz="8" w:color="auto"/>
            </w:tcBorders>
            <w:shd w:val="clear" w:color="auto" w:fill="CCEEFF"/>
          </w:tcPr>
          <w:p>
            <w:pPr>
              <w:spacing w:after="0"/>
              <w:rPr>
                <w:sz w:val="18"/>
                <w:szCs w:val="18"/>
                <w:color w:val="auto"/>
              </w:rPr>
            </w:pPr>
          </w:p>
        </w:tc>
        <w:tc>
          <w:tcPr>
            <w:tcW w:w="1020" w:type="dxa"/>
            <w:vAlign w:val="bottom"/>
            <w:tcBorders>
              <w:top w:val="single" w:sz="8" w:color="auto"/>
            </w:tcBorders>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tcBorders>
              <w:top w:val="single" w:sz="8" w:color="auto"/>
            </w:tcBorders>
            <w:shd w:val="clear" w:color="auto" w:fill="CCEEFF"/>
          </w:tcPr>
          <w:p>
            <w:pPr>
              <w:spacing w:after="0"/>
              <w:rPr>
                <w:sz w:val="18"/>
                <w:szCs w:val="18"/>
                <w:color w:val="auto"/>
              </w:rPr>
            </w:pPr>
          </w:p>
        </w:tc>
        <w:tc>
          <w:tcPr>
            <w:tcW w:w="960" w:type="dxa"/>
            <w:vAlign w:val="bottom"/>
            <w:tcBorders>
              <w:top w:val="single" w:sz="8" w:color="auto"/>
            </w:tcBorders>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66,202</w:t>
            </w: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19,065</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356</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85,623</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53,544</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6,546</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60,090</w:t>
            </w: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Thirteen weeks ended September 27, 2014</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68,067</w:t>
            </w: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18,247</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347</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86,661</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54,284</w:t>
            </w: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6,747</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61,031</w:t>
            </w:r>
          </w:p>
        </w:tc>
      </w:tr>
      <w:tr>
        <w:trPr>
          <w:trHeight w:val="216"/>
        </w:trPr>
        <w:tc>
          <w:tcPr>
            <w:tcW w:w="53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spacing w:after="0"/>
              <w:rPr>
                <w:sz w:val="20"/>
                <w:szCs w:val="20"/>
                <w:color w:val="auto"/>
              </w:rPr>
            </w:pPr>
            <w:r>
              <w:rPr>
                <w:rFonts w:ascii="Arial" w:cs="Arial" w:eastAsia="Arial" w:hAnsi="Arial"/>
                <w:sz w:val="18"/>
                <w:szCs w:val="18"/>
                <w:color w:val="auto"/>
              </w:rPr>
              <w:t>Thirty-nine weeks ended October 3, 2015</w:t>
            </w:r>
          </w:p>
        </w:tc>
        <w:tc>
          <w:tcPr>
            <w:tcW w:w="100" w:type="dxa"/>
            <w:vAlign w:val="bottom"/>
          </w:tcPr>
          <w:p>
            <w:pPr>
              <w:spacing w:after="0"/>
              <w:rPr>
                <w:sz w:val="18"/>
                <w:szCs w:val="18"/>
                <w:color w:val="auto"/>
              </w:rPr>
            </w:pPr>
          </w:p>
        </w:tc>
        <w:tc>
          <w:tcPr>
            <w:tcW w:w="10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9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Net sales to external customers</w:t>
            </w:r>
          </w:p>
        </w:tc>
        <w:tc>
          <w:tcPr>
            <w:tcW w:w="10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207,321</w:t>
            </w: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51,693</w:t>
            </w:r>
          </w:p>
        </w:tc>
        <w:tc>
          <w:tcPr>
            <w:tcW w:w="2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1,015</w:t>
            </w:r>
          </w:p>
        </w:tc>
        <w:tc>
          <w:tcPr>
            <w:tcW w:w="240" w:type="dxa"/>
            <w:vAlign w:val="bottom"/>
            <w:shd w:val="clear" w:color="auto" w:fill="CCEEFF"/>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260,029</w:t>
            </w: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Property and equipment, net</w:t>
            </w:r>
          </w:p>
        </w:tc>
        <w:tc>
          <w:tcPr>
            <w:tcW w:w="100" w:type="dxa"/>
            <w:vAlign w:val="bottom"/>
          </w:tcPr>
          <w:p>
            <w:pPr>
              <w:spacing w:after="0"/>
              <w:rPr>
                <w:sz w:val="18"/>
                <w:szCs w:val="18"/>
                <w:color w:val="auto"/>
              </w:rPr>
            </w:pPr>
          </w:p>
        </w:tc>
        <w:tc>
          <w:tcPr>
            <w:tcW w:w="1300" w:type="dxa"/>
            <w:vAlign w:val="bottom"/>
            <w:gridSpan w:val="2"/>
          </w:tcPr>
          <w:p>
            <w:pPr>
              <w:jc w:val="right"/>
              <w:ind w:right="220"/>
              <w:spacing w:after="0"/>
              <w:rPr>
                <w:sz w:val="20"/>
                <w:szCs w:val="20"/>
                <w:color w:val="auto"/>
              </w:rPr>
            </w:pPr>
            <w:r>
              <w:rPr>
                <w:rFonts w:ascii="Arial" w:cs="Arial" w:eastAsia="Arial" w:hAnsi="Arial"/>
                <w:sz w:val="18"/>
                <w:szCs w:val="18"/>
                <w:color w:val="auto"/>
              </w:rPr>
              <w:t>53,544</w:t>
            </w:r>
          </w:p>
        </w:tc>
        <w:tc>
          <w:tcPr>
            <w:tcW w:w="140" w:type="dxa"/>
            <w:vAlign w:val="bottom"/>
          </w:tcPr>
          <w:p>
            <w:pPr>
              <w:spacing w:after="0"/>
              <w:rPr>
                <w:sz w:val="18"/>
                <w:szCs w:val="18"/>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6,546</w:t>
            </w:r>
          </w:p>
        </w:tc>
        <w:tc>
          <w:tcPr>
            <w:tcW w:w="1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18"/>
                <w:szCs w:val="18"/>
                <w:color w:val="auto"/>
              </w:rPr>
            </w:pP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60,090</w:t>
            </w:r>
          </w:p>
        </w:tc>
      </w:tr>
      <w:tr>
        <w:trPr>
          <w:trHeight w:val="216"/>
        </w:trPr>
        <w:tc>
          <w:tcPr>
            <w:tcW w:w="5320" w:type="dxa"/>
            <w:vAlign w:val="bottom"/>
            <w:shd w:val="clear" w:color="auto" w:fill="CCEEFF"/>
          </w:tcPr>
          <w:p>
            <w:pPr>
              <w:spacing w:after="0"/>
              <w:rPr>
                <w:sz w:val="20"/>
                <w:szCs w:val="20"/>
                <w:color w:val="auto"/>
              </w:rPr>
            </w:pPr>
            <w:r>
              <w:rPr>
                <w:rFonts w:ascii="Arial" w:cs="Arial" w:eastAsia="Arial" w:hAnsi="Arial"/>
                <w:sz w:val="18"/>
                <w:szCs w:val="18"/>
                <w:color w:val="auto"/>
              </w:rPr>
              <w:t>Thirty-nine weeks ended September 27, 2014</w:t>
            </w:r>
          </w:p>
        </w:tc>
        <w:tc>
          <w:tcPr>
            <w:tcW w:w="100" w:type="dxa"/>
            <w:vAlign w:val="bottom"/>
            <w:shd w:val="clear" w:color="auto" w:fill="CCEEFF"/>
          </w:tcPr>
          <w:p>
            <w:pPr>
              <w:spacing w:after="0"/>
              <w:rPr>
                <w:sz w:val="18"/>
                <w:szCs w:val="18"/>
                <w:color w:val="auto"/>
              </w:rPr>
            </w:pPr>
          </w:p>
        </w:tc>
        <w:tc>
          <w:tcPr>
            <w:tcW w:w="10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r>
      <w:tr>
        <w:trPr>
          <w:trHeight w:val="216"/>
        </w:trPr>
        <w:tc>
          <w:tcPr>
            <w:tcW w:w="5320" w:type="dxa"/>
            <w:vAlign w:val="bottom"/>
          </w:tcPr>
          <w:p>
            <w:pPr>
              <w:ind w:left="160"/>
              <w:spacing w:after="0"/>
              <w:rPr>
                <w:sz w:val="20"/>
                <w:szCs w:val="20"/>
                <w:color w:val="auto"/>
              </w:rPr>
            </w:pPr>
            <w:r>
              <w:rPr>
                <w:rFonts w:ascii="Arial" w:cs="Arial" w:eastAsia="Arial" w:hAnsi="Arial"/>
                <w:sz w:val="18"/>
                <w:szCs w:val="18"/>
                <w:color w:val="auto"/>
              </w:rPr>
              <w:t>Net sales to external customers</w:t>
            </w:r>
          </w:p>
        </w:tc>
        <w:tc>
          <w:tcPr>
            <w:tcW w:w="10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080" w:type="dxa"/>
            <w:vAlign w:val="bottom"/>
          </w:tcPr>
          <w:p>
            <w:pPr>
              <w:jc w:val="right"/>
              <w:spacing w:after="0"/>
              <w:rPr>
                <w:sz w:val="20"/>
                <w:szCs w:val="20"/>
                <w:color w:val="auto"/>
              </w:rPr>
            </w:pPr>
            <w:r>
              <w:rPr>
                <w:rFonts w:ascii="Arial" w:cs="Arial" w:eastAsia="Arial" w:hAnsi="Arial"/>
                <w:sz w:val="18"/>
                <w:szCs w:val="18"/>
                <w:color w:val="auto"/>
              </w:rPr>
              <w:t>209,400</w:t>
            </w:r>
          </w:p>
        </w:tc>
        <w:tc>
          <w:tcPr>
            <w:tcW w:w="220" w:type="dxa"/>
            <w:vAlign w:val="bottom"/>
          </w:tcPr>
          <w:p>
            <w:pPr>
              <w:spacing w:after="0"/>
              <w:rPr>
                <w:sz w:val="18"/>
                <w:szCs w:val="18"/>
                <w:color w:val="auto"/>
              </w:rPr>
            </w:pPr>
          </w:p>
        </w:tc>
        <w:tc>
          <w:tcPr>
            <w:tcW w:w="140" w:type="dxa"/>
            <w:vAlign w:val="bottom"/>
          </w:tcPr>
          <w:p>
            <w:pPr>
              <w:jc w:val="right"/>
              <w:spacing w:after="0"/>
              <w:rPr>
                <w:sz w:val="20"/>
                <w:szCs w:val="20"/>
                <w:color w:val="auto"/>
              </w:rPr>
            </w:pPr>
            <w:r>
              <w:rPr>
                <w:rFonts w:ascii="Arial" w:cs="Arial" w:eastAsia="Arial" w:hAnsi="Arial"/>
                <w:sz w:val="15"/>
                <w:szCs w:val="15"/>
                <w:color w:val="auto"/>
                <w:w w:val="71"/>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50,422</w:t>
            </w:r>
          </w:p>
        </w:tc>
        <w:tc>
          <w:tcPr>
            <w:tcW w:w="260" w:type="dxa"/>
            <w:vAlign w:val="bottom"/>
            <w:gridSpan w:val="2"/>
          </w:tcPr>
          <w:p>
            <w:pPr>
              <w:jc w:val="right"/>
              <w:ind w:right="60"/>
              <w:spacing w:after="0"/>
              <w:rPr>
                <w:sz w:val="20"/>
                <w:szCs w:val="20"/>
                <w:color w:val="auto"/>
              </w:rPr>
            </w:pPr>
            <w:r>
              <w:rPr>
                <w:rFonts w:ascii="Arial" w:cs="Arial" w:eastAsia="Arial" w:hAnsi="Arial"/>
                <w:sz w:val="18"/>
                <w:szCs w:val="18"/>
                <w:color w:val="auto"/>
              </w:rPr>
              <w:t>$</w:t>
            </w:r>
          </w:p>
        </w:tc>
        <w:tc>
          <w:tcPr>
            <w:tcW w:w="1240" w:type="dxa"/>
            <w:vAlign w:val="bottom"/>
            <w:gridSpan w:val="2"/>
          </w:tcPr>
          <w:p>
            <w:pPr>
              <w:jc w:val="right"/>
              <w:ind w:right="220"/>
              <w:spacing w:after="0"/>
              <w:rPr>
                <w:sz w:val="20"/>
                <w:szCs w:val="20"/>
                <w:color w:val="auto"/>
              </w:rPr>
            </w:pPr>
            <w:r>
              <w:rPr>
                <w:rFonts w:ascii="Arial" w:cs="Arial" w:eastAsia="Arial" w:hAnsi="Arial"/>
                <w:sz w:val="18"/>
                <w:szCs w:val="18"/>
                <w:color w:val="auto"/>
              </w:rPr>
              <w:t>1,030</w:t>
            </w:r>
          </w:p>
        </w:tc>
        <w:tc>
          <w:tcPr>
            <w:tcW w:w="240" w:type="dxa"/>
            <w:vAlign w:val="bottom"/>
          </w:tcPr>
          <w:p>
            <w:pPr>
              <w:jc w:val="right"/>
              <w:ind w:right="50"/>
              <w:spacing w:after="0"/>
              <w:rPr>
                <w:sz w:val="20"/>
                <w:szCs w:val="20"/>
                <w:color w:val="auto"/>
              </w:rPr>
            </w:pPr>
            <w:r>
              <w:rPr>
                <w:rFonts w:ascii="Arial" w:cs="Arial" w:eastAsia="Arial" w:hAnsi="Arial"/>
                <w:sz w:val="18"/>
                <w:szCs w:val="18"/>
                <w:color w:val="auto"/>
                <w:w w:val="79"/>
              </w:rPr>
              <w:t>$</w:t>
            </w:r>
          </w:p>
        </w:tc>
        <w:tc>
          <w:tcPr>
            <w:tcW w:w="1060" w:type="dxa"/>
            <w:vAlign w:val="bottom"/>
            <w:gridSpan w:val="2"/>
          </w:tcPr>
          <w:p>
            <w:pPr>
              <w:jc w:val="right"/>
              <w:ind w:right="100"/>
              <w:spacing w:after="0"/>
              <w:rPr>
                <w:sz w:val="20"/>
                <w:szCs w:val="20"/>
                <w:color w:val="auto"/>
              </w:rPr>
            </w:pPr>
            <w:r>
              <w:rPr>
                <w:rFonts w:ascii="Arial" w:cs="Arial" w:eastAsia="Arial" w:hAnsi="Arial"/>
                <w:sz w:val="18"/>
                <w:szCs w:val="18"/>
                <w:color w:val="auto"/>
              </w:rPr>
              <w:t>260,852</w:t>
            </w:r>
          </w:p>
        </w:tc>
      </w:tr>
      <w:tr>
        <w:trPr>
          <w:trHeight w:val="216"/>
        </w:trPr>
        <w:tc>
          <w:tcPr>
            <w:tcW w:w="5320" w:type="dxa"/>
            <w:vAlign w:val="bottom"/>
            <w:shd w:val="clear" w:color="auto" w:fill="CCEEFF"/>
          </w:tcPr>
          <w:p>
            <w:pPr>
              <w:ind w:left="160"/>
              <w:spacing w:after="0"/>
              <w:rPr>
                <w:sz w:val="20"/>
                <w:szCs w:val="20"/>
                <w:color w:val="auto"/>
              </w:rPr>
            </w:pPr>
            <w:r>
              <w:rPr>
                <w:rFonts w:ascii="Arial" w:cs="Arial" w:eastAsia="Arial" w:hAnsi="Arial"/>
                <w:sz w:val="18"/>
                <w:szCs w:val="18"/>
                <w:color w:val="auto"/>
              </w:rPr>
              <w:t>Property and equipment, net</w:t>
            </w:r>
          </w:p>
        </w:tc>
        <w:tc>
          <w:tcPr>
            <w:tcW w:w="100" w:type="dxa"/>
            <w:vAlign w:val="bottom"/>
            <w:shd w:val="clear" w:color="auto" w:fill="CCEEFF"/>
          </w:tcPr>
          <w:p>
            <w:pPr>
              <w:spacing w:after="0"/>
              <w:rPr>
                <w:sz w:val="18"/>
                <w:szCs w:val="18"/>
                <w:color w:val="auto"/>
              </w:rPr>
            </w:pPr>
          </w:p>
        </w:tc>
        <w:tc>
          <w:tcPr>
            <w:tcW w:w="13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54,284</w:t>
            </w:r>
          </w:p>
        </w:tc>
        <w:tc>
          <w:tcPr>
            <w:tcW w:w="14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6,747</w:t>
            </w:r>
          </w:p>
        </w:tc>
        <w:tc>
          <w:tcPr>
            <w:tcW w:w="1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4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w:t>
            </w:r>
          </w:p>
        </w:tc>
        <w:tc>
          <w:tcPr>
            <w:tcW w:w="240" w:type="dxa"/>
            <w:vAlign w:val="bottom"/>
            <w:shd w:val="clear" w:color="auto" w:fill="CCEEFF"/>
          </w:tcPr>
          <w:p>
            <w:pPr>
              <w:spacing w:after="0"/>
              <w:rPr>
                <w:sz w:val="18"/>
                <w:szCs w:val="18"/>
                <w:color w:val="auto"/>
              </w:rPr>
            </w:pPr>
          </w:p>
        </w:tc>
        <w:tc>
          <w:tcPr>
            <w:tcW w:w="10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61,031</w:t>
            </w: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For purposes of this table only:</w:t>
      </w:r>
    </w:p>
    <w:p>
      <w:pPr>
        <w:spacing w:after="0" w:line="23" w:lineRule="exact"/>
        <w:rPr>
          <w:sz w:val="20"/>
          <w:szCs w:val="20"/>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North America includes the United States, Canada, Puerto Rico and franchise business in Mexico</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Europe includes the United Kingdom, Ireland, Denmark (in 2015) and franchise businesses in Europe</w:t>
      </w:r>
    </w:p>
    <w:p>
      <w:pPr>
        <w:spacing w:after="0" w:line="9" w:lineRule="exact"/>
        <w:rPr>
          <w:rFonts w:ascii="Arial" w:cs="Arial" w:eastAsia="Arial" w:hAnsi="Arial"/>
          <w:sz w:val="18"/>
          <w:szCs w:val="18"/>
          <w:color w:val="auto"/>
        </w:rPr>
      </w:pPr>
    </w:p>
    <w:p>
      <w:pPr>
        <w:ind w:left="340" w:hanging="332"/>
        <w:spacing w:after="0"/>
        <w:tabs>
          <w:tab w:leader="none" w:pos="340" w:val="left"/>
        </w:tabs>
        <w:numPr>
          <w:ilvl w:val="0"/>
          <w:numId w:val="3"/>
        </w:numPr>
        <w:rPr>
          <w:rFonts w:ascii="Arial" w:cs="Arial" w:eastAsia="Arial" w:hAnsi="Arial"/>
          <w:sz w:val="18"/>
          <w:szCs w:val="18"/>
          <w:color w:val="auto"/>
        </w:rPr>
      </w:pPr>
      <w:r>
        <w:rPr>
          <w:rFonts w:ascii="Arial" w:cs="Arial" w:eastAsia="Arial" w:hAnsi="Arial"/>
          <w:sz w:val="18"/>
          <w:szCs w:val="18"/>
          <w:color w:val="auto"/>
        </w:rPr>
        <w:t>Other includes franchise businesses outside of North America and Europe</w:t>
      </w:r>
    </w:p>
    <w:p>
      <w:pPr>
        <w:spacing w:after="0" w:line="20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9. Contingencies</w:t>
      </w:r>
    </w:p>
    <w:p>
      <w:pPr>
        <w:spacing w:after="0" w:line="229" w:lineRule="exact"/>
        <w:rPr>
          <w:sz w:val="20"/>
          <w:szCs w:val="20"/>
          <w:color w:val="auto"/>
        </w:rPr>
      </w:pPr>
    </w:p>
    <w:p>
      <w:pPr>
        <w:spacing w:after="0" w:line="289" w:lineRule="auto"/>
        <w:rPr>
          <w:sz w:val="20"/>
          <w:szCs w:val="20"/>
          <w:color w:val="auto"/>
        </w:rPr>
      </w:pPr>
      <w:r>
        <w:rPr>
          <w:rFonts w:ascii="Arial" w:cs="Arial" w:eastAsia="Arial" w:hAnsi="Arial"/>
          <w:sz w:val="16"/>
          <w:szCs w:val="16"/>
          <w:color w:val="auto"/>
        </w:rPr>
        <w:t>In the normal course of business, the Company is subject to regular examination by various taxing authorities for years not closed by the statute of limitations, including an ongoing customs audit in the United Kingdom in which the Company is contesting audit findings. The Company accrues a liability for this type of contingency when it believes that it is both probable that a liability has been incurred and that it can reasonably estimate the amount of the loss. In 2012, the Company received notification from the customs authority that it intended to make an assessment for unpaid duty, penalties and interest. The assessment was made in 2013. The Company has appealed this determination and continues to believe that the ultimate outcome of these matters will not have a material adverse impact on the results of operations, liquidity or financial position of the Company. However, if one or more of these examinations has an unfavorable resolution, it is possible that the results of operation, liquidity or financial position of the Company could be materially affected in any particular period. Since the date of the notification in the third quarter of fiscal 2012, the Company has been required to pay the disputed duty, pending resolution of the appeal. As of October 3, 2015, $3.6 million had been paid in respect of the disputed duty and is included in receivables in the Retail segment.</w:t>
      </w:r>
    </w:p>
    <w:p>
      <w:pPr>
        <w:spacing w:after="0" w:line="16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10. Recently Issued Accounting Pronouncements</w:t>
      </w:r>
    </w:p>
    <w:p>
      <w:pPr>
        <w:spacing w:after="0" w:line="229" w:lineRule="exact"/>
        <w:rPr>
          <w:sz w:val="20"/>
          <w:szCs w:val="20"/>
          <w:color w:val="auto"/>
        </w:rPr>
      </w:pPr>
    </w:p>
    <w:p>
      <w:pPr>
        <w:ind w:right="40"/>
        <w:spacing w:after="0" w:line="293" w:lineRule="auto"/>
        <w:rPr>
          <w:sz w:val="20"/>
          <w:szCs w:val="20"/>
          <w:color w:val="auto"/>
        </w:rPr>
      </w:pPr>
      <w:r>
        <w:rPr>
          <w:rFonts w:ascii="Arial" w:cs="Arial" w:eastAsia="Arial" w:hAnsi="Arial"/>
          <w:sz w:val="16"/>
          <w:szCs w:val="16"/>
          <w:color w:val="auto"/>
        </w:rPr>
        <w:t xml:space="preserve">In May 2014, the Financial Accounting Standards Board issued ASU 2014-09, </w:t>
      </w:r>
      <w:r>
        <w:rPr>
          <w:rFonts w:ascii="Arial" w:cs="Arial" w:eastAsia="Arial" w:hAnsi="Arial"/>
          <w:sz w:val="16"/>
          <w:szCs w:val="16"/>
          <w:i w:val="1"/>
          <w:iCs w:val="1"/>
          <w:color w:val="auto"/>
        </w:rPr>
        <w:t>Revenue from Contracts with Customers</w:t>
      </w:r>
      <w:r>
        <w:rPr>
          <w:rFonts w:ascii="Arial" w:cs="Arial" w:eastAsia="Arial" w:hAnsi="Arial"/>
          <w:sz w:val="16"/>
          <w:szCs w:val="16"/>
          <w:color w:val="auto"/>
        </w:rPr>
        <w:t>, which will replace most existing revenue recognition guidance in U.S. GAAP. The core principle of the ASU is that an entity should recognize revenue for the transfer of goods or services equal to the amount that it expects to be entitled to receive for those goods or services. The ASU requires additional disclosure about the nature, amount, timing and uncertainty of revenue and cash flows arising from customer contracts, including significant judgments and changes in judgments. The ASU will be effective for the Company in the first quarter of fiscal 2018, and allows for both retrospective and prospective methods of adoption. The Company is in the process of determining the method of adoption and assessing the impact of this ASU on its consolidated financial statements.</w:t>
      </w:r>
    </w:p>
    <w:p>
      <w:pPr>
        <w:spacing w:after="0" w:line="165" w:lineRule="exact"/>
        <w:rPr>
          <w:sz w:val="20"/>
          <w:szCs w:val="20"/>
          <w:color w:val="auto"/>
        </w:rPr>
      </w:pPr>
    </w:p>
    <w:p>
      <w:pPr>
        <w:jc w:val="both"/>
        <w:spacing w:after="0" w:line="276" w:lineRule="auto"/>
        <w:rPr>
          <w:sz w:val="20"/>
          <w:szCs w:val="20"/>
          <w:color w:val="auto"/>
        </w:rPr>
      </w:pPr>
      <w:r>
        <w:rPr>
          <w:rFonts w:ascii="Arial" w:cs="Arial" w:eastAsia="Arial" w:hAnsi="Arial"/>
          <w:sz w:val="17"/>
          <w:szCs w:val="17"/>
          <w:color w:val="auto"/>
        </w:rPr>
        <w:t xml:space="preserve">In August 2014, the FASB issued ASU 2014-15, </w:t>
      </w:r>
      <w:r>
        <w:rPr>
          <w:rFonts w:ascii="Arial" w:cs="Arial" w:eastAsia="Arial" w:hAnsi="Arial"/>
          <w:sz w:val="17"/>
          <w:szCs w:val="17"/>
          <w:i w:val="1"/>
          <w:iCs w:val="1"/>
          <w:color w:val="auto"/>
        </w:rPr>
        <w:t>Disclosure of Uncertainties about an Entity’s Ability to Continue as a Going Concern.</w:t>
      </w:r>
      <w:r>
        <w:rPr>
          <w:rFonts w:ascii="Arial" w:cs="Arial" w:eastAsia="Arial" w:hAnsi="Arial"/>
          <w:sz w:val="17"/>
          <w:szCs w:val="17"/>
          <w:color w:val="auto"/>
        </w:rPr>
        <w:t xml:space="preserve"> ASU 2014-15 requires management to evaluate for each annual and interim reporting period whether conditions or events give rise to substantial doubt that an entity has the ability to continue as a going concern within one year following issuance of the financial statements and requires specific disclosures regarding the conditions or events leading to substantial doubt. The ASU will be effective for the Company beginning January 1, 2017, with early adoption permitted. The adoption of ASU 2014-15 is not expected to have a material impact on the Company’s financial position or results of operations.</w:t>
      </w:r>
    </w:p>
    <w:p>
      <w:pPr>
        <w:spacing w:after="0" w:line="173" w:lineRule="exact"/>
        <w:rPr>
          <w:sz w:val="20"/>
          <w:szCs w:val="20"/>
          <w:color w:val="auto"/>
        </w:rPr>
      </w:pPr>
    </w:p>
    <w:p>
      <w:pPr>
        <w:ind w:right="20"/>
        <w:spacing w:after="0" w:line="255" w:lineRule="auto"/>
        <w:rPr>
          <w:sz w:val="20"/>
          <w:szCs w:val="20"/>
          <w:color w:val="auto"/>
        </w:rPr>
      </w:pPr>
      <w:r>
        <w:rPr>
          <w:rFonts w:ascii="Arial" w:cs="Arial" w:eastAsia="Arial" w:hAnsi="Arial"/>
          <w:sz w:val="18"/>
          <w:szCs w:val="18"/>
          <w:color w:val="auto"/>
        </w:rPr>
        <w:t xml:space="preserve">In April 2015, the Financial Accounting Standards Board issued ASU 2015-05, </w:t>
      </w:r>
      <w:r>
        <w:rPr>
          <w:rFonts w:ascii="Arial" w:cs="Arial" w:eastAsia="Arial" w:hAnsi="Arial"/>
          <w:sz w:val="18"/>
          <w:szCs w:val="18"/>
          <w:i w:val="1"/>
          <w:iCs w:val="1"/>
          <w:color w:val="auto"/>
        </w:rPr>
        <w:t>Customer’s Accounting for Fees Paid in a Cloud Computing Arrangements</w:t>
      </w:r>
      <w:r>
        <w:rPr>
          <w:rFonts w:ascii="Arial" w:cs="Arial" w:eastAsia="Arial" w:hAnsi="Arial"/>
          <w:sz w:val="18"/>
          <w:szCs w:val="18"/>
          <w:color w:val="auto"/>
        </w:rPr>
        <w:t>, which provides guidance to assist entities in determining whether a cloud computing arrangement contains a software license. The ASU states that if a cloud computing arrangement includes a software license, then the customer should account for the software license element of the arrangement consistent with the acquisition of other software licenses. If a cloud computing arrangement does not include a software license, the customer should account for the arrangement as a service contract. The ASU will be effective for the Company in the first quarter of fiscal 2016, and allows for both retrospective and prospective methods of adoption. The Company is in the process of determining the method of adoption and assessing the impact of this ASU on its consolidated financial statements.</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9" w:name="page10"/>
    <w:bookmarkEnd w:id="9"/>
    <w:p>
      <w:pPr>
        <w:spacing w:after="0"/>
        <w:rPr>
          <w:sz w:val="20"/>
          <w:szCs w:val="20"/>
          <w:color w:val="auto"/>
        </w:rPr>
      </w:pPr>
      <w:r>
        <w:rPr>
          <w:rFonts w:ascii="Arial" w:cs="Arial" w:eastAsia="Arial" w:hAnsi="Arial"/>
          <w:sz w:val="18"/>
          <w:szCs w:val="18"/>
          <w:b w:val="1"/>
          <w:bCs w:val="1"/>
          <w:color w:val="auto"/>
        </w:rPr>
        <w:t>11. Subsequent Event</w:t>
      </w:r>
    </w:p>
    <w:p>
      <w:pPr>
        <w:spacing w:after="0" w:line="229" w:lineRule="exact"/>
        <w:rPr>
          <w:sz w:val="20"/>
          <w:szCs w:val="20"/>
          <w:color w:val="auto"/>
        </w:rPr>
      </w:pPr>
    </w:p>
    <w:p>
      <w:pPr>
        <w:spacing w:after="0" w:line="308" w:lineRule="auto"/>
        <w:rPr>
          <w:sz w:val="20"/>
          <w:szCs w:val="20"/>
          <w:color w:val="auto"/>
        </w:rPr>
      </w:pPr>
      <w:r>
        <w:rPr>
          <w:rFonts w:ascii="Arial" w:cs="Arial" w:eastAsia="Arial" w:hAnsi="Arial"/>
          <w:sz w:val="17"/>
          <w:szCs w:val="17"/>
          <w:color w:val="auto"/>
        </w:rPr>
        <w:t>In the period from October 4, 2015 through November 10, 2015, the Company repurchased approximately 485,000 shares of its common stock for an aggregate amount of $7.4 million leaving $1.5 million of availability under the Board approved share repurchase programs.</w:t>
      </w:r>
    </w:p>
    <w:p>
      <w:pPr>
        <w:spacing w:after="0" w:line="390" w:lineRule="exact"/>
        <w:rPr>
          <w:sz w:val="20"/>
          <w:szCs w:val="20"/>
          <w:color w:val="auto"/>
        </w:rPr>
      </w:pPr>
    </w:p>
    <w:p>
      <w:pPr>
        <w:ind w:left="5620"/>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0780"/>
          </w:cols>
          <w:pgMar w:left="240" w:top="580" w:right="879" w:bottom="1440" w:gutter="0" w:footer="0" w:header="0"/>
        </w:sectPr>
      </w:pPr>
    </w:p>
    <w:bookmarkStart w:id="10" w:name="page11"/>
    <w:bookmarkEnd w:id="10"/>
    <w:p>
      <w:pPr>
        <w:spacing w:after="0"/>
        <w:rPr>
          <w:sz w:val="20"/>
          <w:szCs w:val="20"/>
          <w:color w:val="auto"/>
        </w:rPr>
      </w:pPr>
      <w:r>
        <w:rPr>
          <w:rFonts w:ascii="Arial" w:cs="Arial" w:eastAsia="Arial" w:hAnsi="Arial"/>
          <w:sz w:val="18"/>
          <w:szCs w:val="18"/>
          <w:b w:val="1"/>
          <w:bCs w:val="1"/>
          <w:color w:val="auto"/>
        </w:rPr>
        <w:t>Item 2. Management’s Discussion and Analysis of Financial Condition and Results of Operations</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Cautionary Notice Regarding Forward-Looking Statements</w:t>
      </w:r>
    </w:p>
    <w:p>
      <w:pPr>
        <w:spacing w:after="0" w:line="229" w:lineRule="exact"/>
        <w:rPr>
          <w:sz w:val="20"/>
          <w:szCs w:val="20"/>
          <w:color w:val="auto"/>
        </w:rPr>
      </w:pPr>
    </w:p>
    <w:p>
      <w:pPr>
        <w:ind w:right="60"/>
        <w:spacing w:after="0" w:line="302" w:lineRule="auto"/>
        <w:rPr>
          <w:sz w:val="20"/>
          <w:szCs w:val="20"/>
          <w:color w:val="auto"/>
        </w:rPr>
      </w:pPr>
      <w:r>
        <w:rPr>
          <w:rFonts w:ascii="Arial" w:cs="Arial" w:eastAsia="Arial" w:hAnsi="Arial"/>
          <w:sz w:val="16"/>
          <w:szCs w:val="16"/>
          <w:color w:val="auto"/>
        </w:rPr>
        <w:t>The following Management’s Discussion and Analysis of Financial Condition and Results of Operations contains forward-looking statements that involve risks and uncertainties, and we undertake no obligation to update these statements except as required by federal securities laws. Our actual results may differ materially from the results discussed in the forward-looking statements. These risks and uncertainties include, without limitation, those detailed under the caption “Risk Factors” in the Company’s annual report on Form 10-K for the year ended January 3, 2015, as filed with the SEC, and the following:</w:t>
      </w:r>
    </w:p>
    <w:p>
      <w:pPr>
        <w:spacing w:after="0" w:line="154" w:lineRule="exact"/>
        <w:rPr>
          <w:sz w:val="20"/>
          <w:szCs w:val="20"/>
          <w:color w:val="auto"/>
        </w:rPr>
      </w:pPr>
    </w:p>
    <w:p>
      <w:pPr>
        <w:ind w:left="740" w:right="360" w:hanging="367"/>
        <w:spacing w:after="0" w:line="258"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general global economic conditions may deteriorate, which could lead to disproportionately reduced consumer demand for our products, which represent relatively discretionary spending;</w:t>
      </w:r>
    </w:p>
    <w:p>
      <w:pPr>
        <w:spacing w:after="0" w:line="1" w:lineRule="exact"/>
        <w:rPr>
          <w:rFonts w:ascii="Arial" w:cs="Arial" w:eastAsia="Arial" w:hAnsi="Arial"/>
          <w:sz w:val="18"/>
          <w:szCs w:val="18"/>
          <w:color w:val="auto"/>
        </w:rPr>
      </w:pP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customer traffic may decrease in the shopping malls where we are located, on which we depend to attract guests to our stores;</w:t>
      </w:r>
    </w:p>
    <w:p>
      <w:pPr>
        <w:spacing w:after="0" w:line="9" w:lineRule="exact"/>
        <w:rPr>
          <w:rFonts w:ascii="Arial" w:cs="Arial" w:eastAsia="Arial" w:hAnsi="Arial"/>
          <w:sz w:val="18"/>
          <w:szCs w:val="18"/>
          <w:color w:val="auto"/>
        </w:rPr>
      </w:pPr>
    </w:p>
    <w:p>
      <w:pPr>
        <w:ind w:left="740" w:right="200" w:hanging="367"/>
        <w:spacing w:after="0" w:line="25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generate interest in and demand for our interactive retail experience, or to identify and respond to consumer preferences in a timely fashion;</w:t>
      </w: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marketing and on-line initiatives may not be effective in generating sufficient levels of brand awareness and guest traffic;</w:t>
      </w:r>
    </w:p>
    <w:p>
      <w:pPr>
        <w:spacing w:after="0" w:line="9" w:lineRule="exact"/>
        <w:rPr>
          <w:rFonts w:ascii="Arial" w:cs="Arial" w:eastAsia="Arial" w:hAnsi="Arial"/>
          <w:sz w:val="18"/>
          <w:szCs w:val="18"/>
          <w:color w:val="auto"/>
        </w:rPr>
      </w:pPr>
    </w:p>
    <w:p>
      <w:pPr>
        <w:ind w:left="740" w:right="940" w:hanging="367"/>
        <w:spacing w:after="0" w:line="25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improperly obtain or be unable to adequately protect customer information in violation of privacy or security laws or customer expectations;</w:t>
      </w: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generate comparable store sales growth;</w:t>
      </w:r>
    </w:p>
    <w:p>
      <w:pPr>
        <w:spacing w:after="0" w:line="9" w:lineRule="exact"/>
        <w:rPr>
          <w:rFonts w:ascii="Arial" w:cs="Arial" w:eastAsia="Arial" w:hAnsi="Arial"/>
          <w:sz w:val="18"/>
          <w:szCs w:val="18"/>
          <w:color w:val="auto"/>
        </w:rPr>
      </w:pP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effectively operate or manage the overall portfolio of our company-owned stores;</w:t>
      </w:r>
    </w:p>
    <w:p>
      <w:pPr>
        <w:spacing w:after="0" w:line="9" w:lineRule="exact"/>
        <w:rPr>
          <w:rFonts w:ascii="Arial" w:cs="Arial" w:eastAsia="Arial" w:hAnsi="Arial"/>
          <w:sz w:val="18"/>
          <w:szCs w:val="18"/>
          <w:color w:val="auto"/>
        </w:rPr>
      </w:pPr>
    </w:p>
    <w:p>
      <w:pPr>
        <w:ind w:left="740" w:right="480" w:hanging="367"/>
        <w:spacing w:after="0" w:line="25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renew or replace our store leases, or enter into leases for new stores on favorable terms or in favorable locations, or may violate the terms of our current leases;</w:t>
      </w: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not be able to operate our international company-owned stores profitably;</w:t>
      </w:r>
    </w:p>
    <w:p>
      <w:pPr>
        <w:spacing w:after="0" w:line="9" w:lineRule="exact"/>
        <w:rPr>
          <w:rFonts w:ascii="Arial" w:cs="Arial" w:eastAsia="Arial" w:hAnsi="Arial"/>
          <w:sz w:val="18"/>
          <w:szCs w:val="18"/>
          <w:color w:val="auto"/>
        </w:rPr>
      </w:pPr>
    </w:p>
    <w:p>
      <w:pPr>
        <w:ind w:left="740" w:right="420" w:hanging="367"/>
        <w:spacing w:after="0" w:line="25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availability and costs of our products could be adversely affected by risks associated with international manufacturing and trade, including foreign currency fluctuation;</w:t>
      </w:r>
    </w:p>
    <w:p>
      <w:pPr>
        <w:ind w:left="740" w:right="600" w:hanging="367"/>
        <w:spacing w:after="0" w:line="25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products could become subject to recalls or product liability claims that could adversely impact our financial performance and harm our reputation among consumers;</w:t>
      </w: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lose key personnel, be unable to hire qualified additional personnel, or experience turnover of our management team;</w:t>
      </w:r>
    </w:p>
    <w:p>
      <w:pPr>
        <w:spacing w:after="0" w:line="9" w:lineRule="exact"/>
        <w:rPr>
          <w:rFonts w:ascii="Arial" w:cs="Arial" w:eastAsia="Arial" w:hAnsi="Arial"/>
          <w:sz w:val="18"/>
          <w:szCs w:val="18"/>
          <w:color w:val="auto"/>
        </w:rPr>
      </w:pP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susceptible to disruption in our inventory flow due to our reliance on a few vendors;</w:t>
      </w:r>
    </w:p>
    <w:p>
      <w:pPr>
        <w:spacing w:after="0" w:line="9" w:lineRule="exact"/>
        <w:rPr>
          <w:rFonts w:ascii="Arial" w:cs="Arial" w:eastAsia="Arial" w:hAnsi="Arial"/>
          <w:sz w:val="18"/>
          <w:szCs w:val="18"/>
          <w:color w:val="auto"/>
        </w:rPr>
      </w:pP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effectively manage our international franchises or laws relating to those franchises may change;</w:t>
      </w:r>
    </w:p>
    <w:p>
      <w:pPr>
        <w:spacing w:after="0" w:line="9" w:lineRule="exact"/>
        <w:rPr>
          <w:rFonts w:ascii="Arial" w:cs="Arial" w:eastAsia="Arial" w:hAnsi="Arial"/>
          <w:sz w:val="18"/>
          <w:szCs w:val="18"/>
          <w:color w:val="auto"/>
        </w:rPr>
      </w:pP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fail to renew, register or otherwise protect our trademarks or other intellectual property;</w:t>
      </w:r>
    </w:p>
    <w:p>
      <w:pPr>
        <w:spacing w:after="0" w:line="9" w:lineRule="exact"/>
        <w:rPr>
          <w:rFonts w:ascii="Arial" w:cs="Arial" w:eastAsia="Arial" w:hAnsi="Arial"/>
          <w:sz w:val="18"/>
          <w:szCs w:val="18"/>
          <w:color w:val="auto"/>
        </w:rPr>
      </w:pP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are subject to risks associated with technology and digital operations;</w:t>
      </w:r>
    </w:p>
    <w:p>
      <w:pPr>
        <w:spacing w:after="0" w:line="9" w:lineRule="exact"/>
        <w:rPr>
          <w:rFonts w:ascii="Arial" w:cs="Arial" w:eastAsia="Arial" w:hAnsi="Arial"/>
          <w:sz w:val="18"/>
          <w:szCs w:val="18"/>
          <w:color w:val="auto"/>
        </w:rPr>
      </w:pPr>
    </w:p>
    <w:p>
      <w:pPr>
        <w:ind w:left="740" w:hanging="367"/>
        <w:spacing w:after="0"/>
        <w:tabs>
          <w:tab w:leader="none" w:pos="740" w:val="left"/>
        </w:tabs>
        <w:numPr>
          <w:ilvl w:val="0"/>
          <w:numId w:val="4"/>
        </w:numPr>
        <w:rPr>
          <w:rFonts w:ascii="Arial" w:cs="Arial" w:eastAsia="Arial" w:hAnsi="Arial"/>
          <w:sz w:val="17"/>
          <w:szCs w:val="17"/>
          <w:color w:val="auto"/>
        </w:rPr>
      </w:pPr>
      <w:r>
        <w:rPr>
          <w:rFonts w:ascii="Arial" w:cs="Arial" w:eastAsia="Arial" w:hAnsi="Arial"/>
          <w:sz w:val="17"/>
          <w:szCs w:val="17"/>
          <w:color w:val="auto"/>
        </w:rPr>
        <w:t>we may suffer negative publicity or be sued due to violations of labor laws or unethical practices by manufacturers of our merchandise;</w:t>
      </w:r>
    </w:p>
    <w:p>
      <w:pPr>
        <w:spacing w:after="0" w:line="20" w:lineRule="exact"/>
        <w:rPr>
          <w:rFonts w:ascii="Arial" w:cs="Arial" w:eastAsia="Arial" w:hAnsi="Arial"/>
          <w:sz w:val="17"/>
          <w:szCs w:val="17"/>
          <w:color w:val="auto"/>
        </w:rPr>
      </w:pPr>
    </w:p>
    <w:p>
      <w:pPr>
        <w:ind w:left="740" w:hanging="367"/>
        <w:spacing w:after="0"/>
        <w:tabs>
          <w:tab w:leader="none" w:pos="740" w:val="left"/>
        </w:tabs>
        <w:numPr>
          <w:ilvl w:val="0"/>
          <w:numId w:val="4"/>
        </w:numPr>
        <w:rPr>
          <w:rFonts w:ascii="Arial" w:cs="Arial" w:eastAsia="Arial" w:hAnsi="Arial"/>
          <w:sz w:val="16"/>
          <w:szCs w:val="16"/>
          <w:color w:val="auto"/>
        </w:rPr>
      </w:pPr>
      <w:r>
        <w:rPr>
          <w:rFonts w:ascii="Arial" w:cs="Arial" w:eastAsia="Arial" w:hAnsi="Arial"/>
          <w:sz w:val="16"/>
          <w:szCs w:val="16"/>
          <w:color w:val="auto"/>
        </w:rPr>
        <w:t>we may be unable to operate our company-owned distribution center efficiently or our third-party distribution center providers may perform poorly;</w:t>
      </w:r>
    </w:p>
    <w:p>
      <w:pPr>
        <w:spacing w:after="0" w:line="32" w:lineRule="exact"/>
        <w:rPr>
          <w:rFonts w:ascii="Arial" w:cs="Arial" w:eastAsia="Arial" w:hAnsi="Arial"/>
          <w:sz w:val="16"/>
          <w:szCs w:val="16"/>
          <w:color w:val="auto"/>
        </w:rPr>
      </w:pP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high petroleum products prices could increase our inventory transportation costs and adversely affect our profitability;</w:t>
      </w:r>
    </w:p>
    <w:p>
      <w:pPr>
        <w:spacing w:after="0" w:line="9" w:lineRule="exact"/>
        <w:rPr>
          <w:rFonts w:ascii="Arial" w:cs="Arial" w:eastAsia="Arial" w:hAnsi="Arial"/>
          <w:sz w:val="18"/>
          <w:szCs w:val="18"/>
          <w:color w:val="auto"/>
        </w:rPr>
      </w:pP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plans to leverage the Build-A-Bear brand to drive strategic expansion may not be successful;</w:t>
      </w:r>
    </w:p>
    <w:p>
      <w:pPr>
        <w:spacing w:after="0" w:line="9" w:lineRule="exact"/>
        <w:rPr>
          <w:rFonts w:ascii="Arial" w:cs="Arial" w:eastAsia="Arial" w:hAnsi="Arial"/>
          <w:sz w:val="18"/>
          <w:szCs w:val="18"/>
          <w:color w:val="auto"/>
        </w:rPr>
      </w:pP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our market share could be adversely affected by a significant, or increased, number of competitors;</w:t>
      </w:r>
    </w:p>
    <w:p>
      <w:pPr>
        <w:spacing w:after="0" w:line="9" w:lineRule="exact"/>
        <w:rPr>
          <w:rFonts w:ascii="Arial" w:cs="Arial" w:eastAsia="Arial" w:hAnsi="Arial"/>
          <w:sz w:val="18"/>
          <w:szCs w:val="18"/>
          <w:color w:val="auto"/>
        </w:rPr>
      </w:pPr>
    </w:p>
    <w:p>
      <w:pPr>
        <w:ind w:left="740" w:right="720" w:hanging="367"/>
        <w:spacing w:after="0" w:line="250"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suffer negative publicity or negative sales if the non-proprietary toy products we sell in our stores do not meet our quality or sales expectations;</w:t>
      </w: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poor global economic conditions could have a material adverse effect on our liquidity and capital resources;</w:t>
      </w:r>
    </w:p>
    <w:p>
      <w:pPr>
        <w:spacing w:after="0" w:line="9" w:lineRule="exact"/>
        <w:rPr>
          <w:rFonts w:ascii="Arial" w:cs="Arial" w:eastAsia="Arial" w:hAnsi="Arial"/>
          <w:sz w:val="18"/>
          <w:szCs w:val="18"/>
          <w:color w:val="auto"/>
        </w:rPr>
      </w:pPr>
    </w:p>
    <w:p>
      <w:pPr>
        <w:ind w:left="740" w:hanging="367"/>
        <w:spacing w:after="0"/>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fluctuations in our quarterly results of operations could cause the price of our common stock to substantially decline; and</w:t>
      </w:r>
    </w:p>
    <w:p>
      <w:pPr>
        <w:spacing w:after="0" w:line="9" w:lineRule="exact"/>
        <w:rPr>
          <w:rFonts w:ascii="Arial" w:cs="Arial" w:eastAsia="Arial" w:hAnsi="Arial"/>
          <w:sz w:val="18"/>
          <w:szCs w:val="18"/>
          <w:color w:val="auto"/>
        </w:rPr>
      </w:pPr>
    </w:p>
    <w:p>
      <w:pPr>
        <w:ind w:left="740" w:right="540" w:hanging="367"/>
        <w:spacing w:after="0" w:line="261" w:lineRule="auto"/>
        <w:tabs>
          <w:tab w:leader="none" w:pos="740" w:val="left"/>
        </w:tabs>
        <w:numPr>
          <w:ilvl w:val="0"/>
          <w:numId w:val="4"/>
        </w:numPr>
        <w:rPr>
          <w:rFonts w:ascii="Arial" w:cs="Arial" w:eastAsia="Arial" w:hAnsi="Arial"/>
          <w:sz w:val="18"/>
          <w:szCs w:val="18"/>
          <w:color w:val="auto"/>
        </w:rPr>
      </w:pPr>
      <w:r>
        <w:rPr>
          <w:rFonts w:ascii="Arial" w:cs="Arial" w:eastAsia="Arial" w:hAnsi="Arial"/>
          <w:sz w:val="18"/>
          <w:szCs w:val="18"/>
          <w:color w:val="auto"/>
        </w:rPr>
        <w:t>we may be unable to repurchase shares of our common stock at the times or in the amounts we currently anticipate or the results of the share repurchase program may not be as beneficial as we currently anticipate.</w:t>
      </w:r>
    </w:p>
    <w:p>
      <w:pPr>
        <w:spacing w:after="0" w:line="180"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00" w:lineRule="exact"/>
        <w:rPr>
          <w:sz w:val="20"/>
          <w:szCs w:val="20"/>
          <w:color w:val="auto"/>
        </w:rPr>
      </w:pPr>
    </w:p>
    <w:p>
      <w:pPr>
        <w:spacing w:after="0" w:line="245" w:lineRule="exact"/>
        <w:rPr>
          <w:sz w:val="20"/>
          <w:szCs w:val="20"/>
          <w:color w:val="auto"/>
        </w:rPr>
      </w:pPr>
    </w:p>
    <w:p>
      <w:pPr>
        <w:ind w:right="60"/>
        <w:spacing w:after="0" w:line="279" w:lineRule="auto"/>
        <w:rPr>
          <w:sz w:val="20"/>
          <w:szCs w:val="20"/>
          <w:color w:val="auto"/>
        </w:rPr>
      </w:pPr>
      <w:r>
        <w:rPr>
          <w:rFonts w:ascii="Arial" w:cs="Arial" w:eastAsia="Arial" w:hAnsi="Arial"/>
          <w:sz w:val="17"/>
          <w:szCs w:val="17"/>
          <w:color w:val="auto"/>
        </w:rPr>
        <w:t>We are the only global company that offers an interactive “make your own stuffed animal” retail entertainment experience under the Build-A-Bear Workshop brand, in which our guests stuff, fluff, dress, accessorize and name their own teddy bears and other stuffed animals. As of October 3, 2015, we operated 257 stores in the United States, Canada and Puerto Rico (collectively, North America), 60 stores in the United Kingdom, Ireland and Denmark (collectively, Europe) and had 67 franchised stores operating internationally under the Build-A-Bear Workshop brand.</w:t>
      </w:r>
    </w:p>
    <w:p>
      <w:pPr>
        <w:spacing w:after="0" w:line="171"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We operate in three segments; each segment shares the same infrastructure, including management, systems, merchandising and marketing, and generates revenues as follows:</w:t>
      </w:r>
    </w:p>
    <w:p>
      <w:pPr>
        <w:spacing w:after="0" w:line="170" w:lineRule="exact"/>
        <w:rPr>
          <w:sz w:val="20"/>
          <w:szCs w:val="20"/>
          <w:color w:val="auto"/>
        </w:rPr>
      </w:pPr>
    </w:p>
    <w:p>
      <w:pPr>
        <w:ind w:left="440" w:hanging="279"/>
        <w:spacing w:after="0"/>
        <w:tabs>
          <w:tab w:leader="none" w:pos="440" w:val="left"/>
        </w:tabs>
        <w:numPr>
          <w:ilvl w:val="1"/>
          <w:numId w:val="5"/>
        </w:numPr>
        <w:rPr>
          <w:rFonts w:ascii="Arial" w:cs="Arial" w:eastAsia="Arial" w:hAnsi="Arial"/>
          <w:sz w:val="18"/>
          <w:szCs w:val="18"/>
          <w:color w:val="auto"/>
        </w:rPr>
      </w:pPr>
      <w:r>
        <w:rPr>
          <w:rFonts w:ascii="Arial" w:cs="Arial" w:eastAsia="Arial" w:hAnsi="Arial"/>
          <w:sz w:val="18"/>
          <w:szCs w:val="18"/>
          <w:color w:val="auto"/>
        </w:rPr>
        <w:t>Retail - Company-owned retail stores located in North America and Europe and two web stores;</w:t>
      </w:r>
    </w:p>
    <w:p>
      <w:pPr>
        <w:spacing w:after="0" w:line="225" w:lineRule="exact"/>
        <w:rPr>
          <w:rFonts w:ascii="Arial" w:cs="Arial" w:eastAsia="Arial" w:hAnsi="Arial"/>
          <w:sz w:val="18"/>
          <w:szCs w:val="18"/>
          <w:color w:val="auto"/>
        </w:rPr>
      </w:pPr>
    </w:p>
    <w:p>
      <w:pPr>
        <w:ind w:left="440" w:hanging="324"/>
        <w:spacing w:after="0"/>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International Franchising – Other international stores operated under franchise agreements; and</w:t>
      </w:r>
    </w:p>
    <w:p>
      <w:pPr>
        <w:spacing w:after="0" w:line="225" w:lineRule="exact"/>
        <w:rPr>
          <w:rFonts w:ascii="Arial" w:cs="Arial" w:eastAsia="Arial" w:hAnsi="Arial"/>
          <w:sz w:val="18"/>
          <w:szCs w:val="18"/>
          <w:color w:val="auto"/>
        </w:rPr>
      </w:pPr>
    </w:p>
    <w:p>
      <w:pPr>
        <w:ind w:left="440" w:right="80" w:hanging="324"/>
        <w:spacing w:after="0" w:line="277" w:lineRule="auto"/>
        <w:tabs>
          <w:tab w:leader="none" w:pos="440" w:val="left"/>
        </w:tabs>
        <w:numPr>
          <w:ilvl w:val="0"/>
          <w:numId w:val="5"/>
        </w:numPr>
        <w:rPr>
          <w:rFonts w:ascii="Arial" w:cs="Arial" w:eastAsia="Arial" w:hAnsi="Arial"/>
          <w:sz w:val="18"/>
          <w:szCs w:val="18"/>
          <w:color w:val="auto"/>
        </w:rPr>
      </w:pPr>
      <w:r>
        <w:rPr>
          <w:rFonts w:ascii="Arial" w:cs="Arial" w:eastAsia="Arial" w:hAnsi="Arial"/>
          <w:sz w:val="18"/>
          <w:szCs w:val="18"/>
          <w:color w:val="auto"/>
        </w:rPr>
        <w:t>Commercial - Transactions with other business partners, mainly comprised of wholesale product sales and licensing our intellectual property, including entertainment properties, for third-party use.</w:t>
      </w:r>
    </w:p>
    <w:p>
      <w:pPr>
        <w:spacing w:after="0" w:line="200" w:lineRule="exact"/>
        <w:rPr>
          <w:sz w:val="20"/>
          <w:szCs w:val="20"/>
          <w:color w:val="auto"/>
        </w:rPr>
      </w:pPr>
    </w:p>
    <w:p>
      <w:pPr>
        <w:spacing w:after="0" w:line="214" w:lineRule="exact"/>
        <w:rPr>
          <w:sz w:val="20"/>
          <w:szCs w:val="20"/>
          <w:color w:val="auto"/>
        </w:rPr>
      </w:pPr>
    </w:p>
    <w:p>
      <w:pPr>
        <w:jc w:val="center"/>
        <w:ind w:right="-39"/>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0" w:right="259" w:bottom="1440" w:gutter="0" w:footer="0" w:header="0"/>
        </w:sectPr>
      </w:pPr>
    </w:p>
    <w:bookmarkStart w:id="11" w:name="page12"/>
    <w:bookmarkEnd w:id="11"/>
    <w:p>
      <w:pPr>
        <w:ind w:right="160"/>
        <w:spacing w:after="0" w:line="277" w:lineRule="auto"/>
        <w:rPr>
          <w:sz w:val="20"/>
          <w:szCs w:val="20"/>
          <w:color w:val="auto"/>
        </w:rPr>
      </w:pPr>
      <w:r>
        <w:rPr>
          <w:rFonts w:ascii="Arial" w:cs="Arial" w:eastAsia="Arial" w:hAnsi="Arial"/>
          <w:sz w:val="18"/>
          <w:szCs w:val="18"/>
          <w:color w:val="auto"/>
        </w:rPr>
        <w:t>Selected financial data attributable to each segment for the thirteen and thirty-nine weeks ended October 3, 2015 and September 27, 2014 are set forth in the notes to our condensed consolidated financial statements included elsewhere in this quarterly report on Form 10-Q.</w:t>
      </w:r>
    </w:p>
    <w:p>
      <w:pPr>
        <w:spacing w:after="0" w:line="170" w:lineRule="exact"/>
        <w:rPr>
          <w:sz w:val="20"/>
          <w:szCs w:val="20"/>
          <w:color w:val="auto"/>
        </w:rPr>
      </w:pPr>
    </w:p>
    <w:p>
      <w:pPr>
        <w:ind w:right="40"/>
        <w:spacing w:after="0" w:line="271" w:lineRule="auto"/>
        <w:rPr>
          <w:sz w:val="20"/>
          <w:szCs w:val="20"/>
          <w:color w:val="auto"/>
        </w:rPr>
      </w:pPr>
      <w:r>
        <w:rPr>
          <w:rFonts w:ascii="Arial" w:cs="Arial" w:eastAsia="Arial" w:hAnsi="Arial"/>
          <w:sz w:val="17"/>
          <w:szCs w:val="17"/>
          <w:color w:val="auto"/>
        </w:rPr>
        <w:t>Our financial results in fiscal 2014 demonstrated the impact of the successful and consistent implementation of our key strategies of optimizing real estate, resetting the consumer value equation and rationalizing our expense structure. Our 2015 plan builds on the progress we made in 2014 and 2013 in implementing these key strategies, with a combination of continuous improvement of these initiatives and strategic expansion into additive opportunities. Specifically, we plan to expand into more places as we continue to improve our real estate model through selective new high-potential openings, a systematic refresh of our store base and strategic international expansion. We plan to reach more people as we continue to drive core consumer business and strategically expand our business with the over 12 year-old consumer segment. Additionally, we intend to sell more products by developing proprietary product stories along with re-launching an out-bound licensing program. We expect to do this more profitably as we continue to improve the value engineering of products and implement new systems that facilitate sales growth and increase efficiency.</w:t>
      </w:r>
    </w:p>
    <w:p>
      <w:pPr>
        <w:spacing w:after="0" w:line="17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We use comparable store sales as one of the performance measures for our business. Comparable store sales percentage changes are based on net retail sales, excluding our store-commerce sites and seasonal and event-based locations. Stores are considered comparable beginning in their thirteenth full month of operation. Stores with relocations or remodels that result in a significant change in square footage are excluded from the comparable stores sales calculation until the thirteenth full month of operation after the change. Comparable store sales percentage changes for the thirteen and thirty-nine weeks ended October 3, 2015 are based on net retail sales as compared to the thirteen and thirty-nine weeks ended October 4, 2014. The percentage change in comparable store sales for the periods presented below is as follows:</w:t>
      </w:r>
    </w:p>
    <w:p>
      <w:pPr>
        <w:spacing w:after="0" w:line="174" w:lineRule="exact"/>
        <w:rPr>
          <w:sz w:val="20"/>
          <w:szCs w:val="20"/>
          <w:color w:val="auto"/>
        </w:rPr>
      </w:pPr>
    </w:p>
    <w:tbl>
      <w:tblPr>
        <w:tblLayout w:type="fixed"/>
        <w:tblInd w:w="1140" w:type="dxa"/>
        <w:tblCellMar>
          <w:top w:w="0" w:type="dxa"/>
          <w:left w:w="0" w:type="dxa"/>
          <w:bottom w:w="0" w:type="dxa"/>
          <w:right w:w="0" w:type="dxa"/>
        </w:tblCellMar>
      </w:tblPr>
      <w:tr>
        <w:trPr>
          <w:trHeight w:val="234"/>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2960" w:type="dxa"/>
            <w:vAlign w:val="bottom"/>
            <w:gridSpan w:val="4"/>
          </w:tcPr>
          <w:p>
            <w:pPr>
              <w:jc w:val="right"/>
              <w:ind w:right="760"/>
              <w:spacing w:after="0"/>
              <w:rPr>
                <w:sz w:val="20"/>
                <w:szCs w:val="20"/>
                <w:color w:val="auto"/>
              </w:rPr>
            </w:pPr>
            <w:r>
              <w:rPr>
                <w:rFonts w:ascii="Arial" w:cs="Arial" w:eastAsia="Arial" w:hAnsi="Arial"/>
                <w:sz w:val="18"/>
                <w:szCs w:val="18"/>
                <w:b w:val="1"/>
                <w:bCs w:val="1"/>
                <w:color w:val="auto"/>
              </w:rPr>
              <w:t>Thirteen weeks ended</w:t>
            </w:r>
          </w:p>
        </w:tc>
        <w:tc>
          <w:tcPr>
            <w:tcW w:w="2960" w:type="dxa"/>
            <w:vAlign w:val="bottom"/>
            <w:gridSpan w:val="4"/>
          </w:tcPr>
          <w:p>
            <w:pPr>
              <w:ind w:left="420"/>
              <w:spacing w:after="0"/>
              <w:rPr>
                <w:sz w:val="20"/>
                <w:szCs w:val="20"/>
                <w:color w:val="auto"/>
              </w:rPr>
            </w:pPr>
            <w:r>
              <w:rPr>
                <w:rFonts w:ascii="Arial" w:cs="Arial" w:eastAsia="Arial" w:hAnsi="Arial"/>
                <w:sz w:val="18"/>
                <w:szCs w:val="18"/>
                <w:b w:val="1"/>
                <w:bCs w:val="1"/>
                <w:color w:val="auto"/>
              </w:rPr>
              <w:t>Thirty-nine weeks ended</w:t>
            </w:r>
          </w:p>
        </w:tc>
        <w:tc>
          <w:tcPr>
            <w:tcW w:w="0" w:type="dxa"/>
            <w:vAlign w:val="bottom"/>
          </w:tcPr>
          <w:p>
            <w:pPr>
              <w:spacing w:after="0"/>
              <w:rPr>
                <w:sz w:val="1"/>
                <w:szCs w:val="1"/>
                <w:color w:val="auto"/>
              </w:rPr>
            </w:pPr>
          </w:p>
        </w:tc>
      </w:tr>
      <w:tr>
        <w:trPr>
          <w:trHeight w:val="191"/>
        </w:trPr>
        <w:tc>
          <w:tcPr>
            <w:tcW w:w="20" w:type="dxa"/>
            <w:vAlign w:val="bottom"/>
          </w:tcPr>
          <w:p>
            <w:pPr>
              <w:spacing w:after="0"/>
              <w:rPr>
                <w:sz w:val="16"/>
                <w:szCs w:val="16"/>
                <w:color w:val="auto"/>
              </w:rPr>
            </w:pPr>
          </w:p>
        </w:tc>
        <w:tc>
          <w:tcPr>
            <w:tcW w:w="3200" w:type="dxa"/>
            <w:vAlign w:val="bottom"/>
          </w:tcPr>
          <w:p>
            <w:pPr>
              <w:spacing w:after="0"/>
              <w:rPr>
                <w:sz w:val="16"/>
                <w:szCs w:val="16"/>
                <w:color w:val="auto"/>
              </w:rPr>
            </w:pPr>
          </w:p>
        </w:tc>
        <w:tc>
          <w:tcPr>
            <w:tcW w:w="1480" w:type="dxa"/>
            <w:vAlign w:val="bottom"/>
            <w:tcBorders>
              <w:top w:val="single" w:sz="8" w:color="auto"/>
            </w:tcBorders>
            <w:gridSpan w:val="2"/>
          </w:tcPr>
          <w:p>
            <w:pPr>
              <w:jc w:val="center"/>
              <w:ind w:right="280"/>
              <w:spacing w:after="0" w:line="191" w:lineRule="exact"/>
              <w:rPr>
                <w:sz w:val="20"/>
                <w:szCs w:val="20"/>
                <w:color w:val="auto"/>
              </w:rPr>
            </w:pPr>
            <w:r>
              <w:rPr>
                <w:rFonts w:ascii="Arial" w:cs="Arial" w:eastAsia="Arial" w:hAnsi="Arial"/>
                <w:sz w:val="18"/>
                <w:szCs w:val="18"/>
                <w:b w:val="1"/>
                <w:bCs w:val="1"/>
                <w:color w:val="auto"/>
                <w:w w:val="89"/>
              </w:rPr>
              <w:t>October 3,</w:t>
            </w:r>
          </w:p>
        </w:tc>
        <w:tc>
          <w:tcPr>
            <w:tcW w:w="12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2"/>
              </w:rPr>
              <w:t>September 27,</w:t>
            </w:r>
          </w:p>
        </w:tc>
        <w:tc>
          <w:tcPr>
            <w:tcW w:w="240" w:type="dxa"/>
            <w:vAlign w:val="bottom"/>
          </w:tcPr>
          <w:p>
            <w:pPr>
              <w:spacing w:after="0"/>
              <w:rPr>
                <w:sz w:val="16"/>
                <w:szCs w:val="16"/>
                <w:color w:val="auto"/>
              </w:rPr>
            </w:pPr>
          </w:p>
        </w:tc>
        <w:tc>
          <w:tcPr>
            <w:tcW w:w="1500" w:type="dxa"/>
            <w:vAlign w:val="bottom"/>
            <w:tcBorders>
              <w:top w:val="single" w:sz="8" w:color="auto"/>
            </w:tcBorders>
            <w:gridSpan w:val="2"/>
          </w:tcPr>
          <w:p>
            <w:pPr>
              <w:jc w:val="right"/>
              <w:ind w:right="480"/>
              <w:spacing w:after="0" w:line="191" w:lineRule="exact"/>
              <w:rPr>
                <w:sz w:val="20"/>
                <w:szCs w:val="20"/>
                <w:color w:val="auto"/>
              </w:rPr>
            </w:pPr>
            <w:r>
              <w:rPr>
                <w:rFonts w:ascii="Arial" w:cs="Arial" w:eastAsia="Arial" w:hAnsi="Arial"/>
                <w:sz w:val="18"/>
                <w:szCs w:val="18"/>
                <w:b w:val="1"/>
                <w:bCs w:val="1"/>
                <w:color w:val="auto"/>
              </w:rPr>
              <w:t>October 3,</w:t>
            </w:r>
          </w:p>
        </w:tc>
        <w:tc>
          <w:tcPr>
            <w:tcW w:w="1240" w:type="dxa"/>
            <w:vAlign w:val="bottom"/>
            <w:tcBorders>
              <w:top w:val="single" w:sz="8" w:color="auto"/>
            </w:tcBorders>
          </w:tcPr>
          <w:p>
            <w:pPr>
              <w:jc w:val="center"/>
              <w:spacing w:after="0" w:line="191" w:lineRule="exact"/>
              <w:rPr>
                <w:sz w:val="20"/>
                <w:szCs w:val="20"/>
                <w:color w:val="auto"/>
              </w:rPr>
            </w:pPr>
            <w:r>
              <w:rPr>
                <w:rFonts w:ascii="Arial" w:cs="Arial" w:eastAsia="Arial" w:hAnsi="Arial"/>
                <w:sz w:val="18"/>
                <w:szCs w:val="18"/>
                <w:b w:val="1"/>
                <w:bCs w:val="1"/>
                <w:color w:val="auto"/>
                <w:w w:val="89"/>
              </w:rPr>
              <w:t>September 27,</w:t>
            </w:r>
          </w:p>
        </w:tc>
        <w:tc>
          <w:tcPr>
            <w:tcW w:w="2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3200" w:type="dxa"/>
            <w:vAlign w:val="bottom"/>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40" w:type="dxa"/>
            <w:vAlign w:val="bottom"/>
          </w:tcPr>
          <w:p>
            <w:pPr>
              <w:spacing w:after="0"/>
              <w:rPr>
                <w:sz w:val="20"/>
                <w:szCs w:val="20"/>
                <w:color w:val="auto"/>
              </w:rPr>
            </w:pPr>
          </w:p>
        </w:tc>
        <w:tc>
          <w:tcPr>
            <w:tcW w:w="1240" w:type="dxa"/>
            <w:vAlign w:val="bottom"/>
            <w:tcBorders>
              <w:bottom w:val="single" w:sz="8" w:color="auto"/>
            </w:tcBorders>
          </w:tcPr>
          <w:p>
            <w:pPr>
              <w:ind w:left="44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124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2014</w:t>
            </w:r>
          </w:p>
        </w:tc>
        <w:tc>
          <w:tcPr>
            <w:tcW w:w="2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3200" w:type="dxa"/>
            <w:vAlign w:val="bottom"/>
          </w:tcPr>
          <w:p>
            <w:pPr>
              <w:spacing w:after="0"/>
              <w:rPr>
                <w:sz w:val="18"/>
                <w:szCs w:val="18"/>
                <w:color w:val="auto"/>
              </w:rPr>
            </w:pPr>
          </w:p>
        </w:tc>
        <w:tc>
          <w:tcPr>
            <w:tcW w:w="1480" w:type="dxa"/>
            <w:vAlign w:val="bottom"/>
            <w:gridSpan w:val="2"/>
          </w:tcPr>
          <w:p>
            <w:pPr>
              <w:spacing w:after="0"/>
              <w:rPr>
                <w:sz w:val="18"/>
                <w:szCs w:val="18"/>
                <w:color w:val="auto"/>
              </w:rPr>
            </w:pPr>
          </w:p>
        </w:tc>
        <w:tc>
          <w:tcPr>
            <w:tcW w:w="1480" w:type="dxa"/>
            <w:vAlign w:val="bottom"/>
            <w:gridSpan w:val="2"/>
          </w:tcPr>
          <w:p>
            <w:pPr>
              <w:spacing w:after="0"/>
              <w:rPr>
                <w:sz w:val="18"/>
                <w:szCs w:val="18"/>
                <w:color w:val="auto"/>
              </w:rPr>
            </w:pPr>
          </w:p>
        </w:tc>
        <w:tc>
          <w:tcPr>
            <w:tcW w:w="150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North America</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0.2%</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1.0%</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1.9%</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3200" w:type="dxa"/>
            <w:vAlign w:val="bottom"/>
          </w:tcPr>
          <w:p>
            <w:pPr>
              <w:spacing w:after="0"/>
              <w:rPr>
                <w:sz w:val="20"/>
                <w:szCs w:val="20"/>
                <w:color w:val="auto"/>
              </w:rPr>
            </w:pPr>
            <w:r>
              <w:rPr>
                <w:rFonts w:ascii="Arial" w:cs="Arial" w:eastAsia="Arial" w:hAnsi="Arial"/>
                <w:sz w:val="18"/>
                <w:szCs w:val="18"/>
                <w:color w:val="auto"/>
              </w:rPr>
              <w:t>Europe</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8.9%</w:t>
            </w:r>
          </w:p>
        </w:tc>
        <w:tc>
          <w:tcPr>
            <w:tcW w:w="1480" w:type="dxa"/>
            <w:vAlign w:val="bottom"/>
            <w:gridSpan w:val="2"/>
          </w:tcPr>
          <w:p>
            <w:pPr>
              <w:jc w:val="right"/>
              <w:ind w:right="100"/>
              <w:spacing w:after="0"/>
              <w:rPr>
                <w:sz w:val="20"/>
                <w:szCs w:val="20"/>
                <w:color w:val="auto"/>
              </w:rPr>
            </w:pPr>
            <w:r>
              <w:rPr>
                <w:rFonts w:ascii="Arial" w:cs="Arial" w:eastAsia="Arial" w:hAnsi="Arial"/>
                <w:sz w:val="18"/>
                <w:szCs w:val="18"/>
                <w:color w:val="auto"/>
              </w:rPr>
              <w:t>0.0%</w:t>
            </w:r>
          </w:p>
        </w:tc>
        <w:tc>
          <w:tcPr>
            <w:tcW w:w="150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13.1%</w:t>
            </w:r>
          </w:p>
        </w:tc>
        <w:tc>
          <w:tcPr>
            <w:tcW w:w="1460" w:type="dxa"/>
            <w:vAlign w:val="bottom"/>
            <w:gridSpan w:val="2"/>
          </w:tcPr>
          <w:p>
            <w:pPr>
              <w:jc w:val="right"/>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0"/>
        </w:trPr>
        <w:tc>
          <w:tcPr>
            <w:tcW w:w="3220" w:type="dxa"/>
            <w:vAlign w:val="bottom"/>
            <w:gridSpan w:val="2"/>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0"/>
        </w:trPr>
        <w:tc>
          <w:tcPr>
            <w:tcW w:w="20" w:type="dxa"/>
            <w:vAlign w:val="bottom"/>
          </w:tcPr>
          <w:p>
            <w:pPr>
              <w:spacing w:after="0"/>
              <w:rPr>
                <w:sz w:val="19"/>
                <w:szCs w:val="19"/>
                <w:color w:val="auto"/>
              </w:rPr>
            </w:pPr>
          </w:p>
        </w:tc>
        <w:tc>
          <w:tcPr>
            <w:tcW w:w="3200" w:type="dxa"/>
            <w:vAlign w:val="bottom"/>
            <w:shd w:val="clear" w:color="auto" w:fill="CCEEFF"/>
          </w:tcPr>
          <w:p>
            <w:pPr>
              <w:spacing w:after="0"/>
              <w:rPr>
                <w:sz w:val="20"/>
                <w:szCs w:val="20"/>
                <w:color w:val="auto"/>
              </w:rPr>
            </w:pPr>
            <w:r>
              <w:rPr>
                <w:rFonts w:ascii="Arial" w:cs="Arial" w:eastAsia="Arial" w:hAnsi="Arial"/>
                <w:sz w:val="18"/>
                <w:szCs w:val="18"/>
                <w:color w:val="auto"/>
              </w:rPr>
              <w:t>Consolidated</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2.1%</w:t>
            </w:r>
          </w:p>
        </w:tc>
        <w:tc>
          <w:tcPr>
            <w:tcW w:w="14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0.8%</w:t>
            </w:r>
          </w:p>
        </w:tc>
        <w:tc>
          <w:tcPr>
            <w:tcW w:w="15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4.0%</w:t>
            </w:r>
          </w:p>
        </w:tc>
        <w:tc>
          <w:tcPr>
            <w:tcW w:w="146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(2.0)%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32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CEEFF"/>
            </w:tcBorders>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8"/>
          <w:szCs w:val="18"/>
          <w:color w:val="auto"/>
        </w:rPr>
        <w:t>We believe our positive consolidated comparable store sales for the periods presented are primarily attributable to the following factors:</w:t>
      </w:r>
    </w:p>
    <w:p>
      <w:pPr>
        <w:spacing w:after="0" w:line="225" w:lineRule="exact"/>
        <w:rPr>
          <w:sz w:val="20"/>
          <w:szCs w:val="20"/>
          <w:color w:val="auto"/>
        </w:rPr>
      </w:pPr>
    </w:p>
    <w:p>
      <w:pPr>
        <w:ind w:left="660" w:right="60" w:hanging="328"/>
        <w:spacing w:after="0" w:line="286" w:lineRule="auto"/>
        <w:tabs>
          <w:tab w:leader="none" w:pos="660" w:val="left"/>
        </w:tabs>
        <w:numPr>
          <w:ilvl w:val="0"/>
          <w:numId w:val="6"/>
        </w:numPr>
        <w:rPr>
          <w:rFonts w:ascii="Arial" w:cs="Arial" w:eastAsia="Arial" w:hAnsi="Arial"/>
          <w:sz w:val="17"/>
          <w:szCs w:val="17"/>
          <w:color w:val="auto"/>
        </w:rPr>
      </w:pPr>
      <w:r>
        <w:rPr>
          <w:rFonts w:ascii="Arial" w:cs="Arial" w:eastAsia="Arial" w:hAnsi="Arial"/>
          <w:sz w:val="17"/>
          <w:szCs w:val="17"/>
          <w:color w:val="auto"/>
        </w:rPr>
        <w:t>A balanced product assortment that simultaneously and consistently focused on our four key consumer segments supported by elevated marketing programs. We believe this drove improvements in key metrics including dollars and units per transaction in both North America and Europe for both the thirteen and thirty-nine week periods which contributed to growth in our comparable store sales; and</w:t>
      </w:r>
    </w:p>
    <w:p>
      <w:pPr>
        <w:spacing w:after="0" w:line="165" w:lineRule="exact"/>
        <w:rPr>
          <w:rFonts w:ascii="Arial" w:cs="Arial" w:eastAsia="Arial" w:hAnsi="Arial"/>
          <w:sz w:val="17"/>
          <w:szCs w:val="17"/>
          <w:color w:val="auto"/>
        </w:rPr>
      </w:pPr>
    </w:p>
    <w:p>
      <w:pPr>
        <w:ind w:left="660" w:right="180" w:hanging="328"/>
        <w:spacing w:after="0" w:line="264" w:lineRule="auto"/>
        <w:tabs>
          <w:tab w:leader="none" w:pos="660" w:val="left"/>
        </w:tabs>
        <w:numPr>
          <w:ilvl w:val="0"/>
          <w:numId w:val="6"/>
        </w:numPr>
        <w:rPr>
          <w:rFonts w:ascii="Arial" w:cs="Arial" w:eastAsia="Arial" w:hAnsi="Arial"/>
          <w:sz w:val="18"/>
          <w:szCs w:val="18"/>
          <w:color w:val="auto"/>
        </w:rPr>
      </w:pPr>
      <w:r>
        <w:rPr>
          <w:rFonts w:ascii="Arial" w:cs="Arial" w:eastAsia="Arial" w:hAnsi="Arial"/>
          <w:sz w:val="18"/>
          <w:szCs w:val="18"/>
          <w:color w:val="auto"/>
        </w:rPr>
        <w:t>We believe that comparable store sales for the thirty-nine weeks benefitted from increased traffic in the second quarter of 2015 that we believe was due, in part, to children being out of school for more days as compared to the 2014 period when many schools lengthened the year to make up for earlier school cancellations due to weather factors.</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color w:val="auto"/>
        </w:rPr>
        <w:t>We expect to improve comparable store sales through the following key initiatives:</w:t>
      </w:r>
    </w:p>
    <w:p>
      <w:pPr>
        <w:spacing w:after="0" w:line="221" w:lineRule="exact"/>
        <w:rPr>
          <w:sz w:val="20"/>
          <w:szCs w:val="20"/>
          <w:color w:val="auto"/>
        </w:rPr>
      </w:pPr>
    </w:p>
    <w:p>
      <w:pPr>
        <w:ind w:left="1300" w:hanging="644"/>
        <w:spacing w:after="0" w:line="272" w:lineRule="auto"/>
        <w:tabs>
          <w:tab w:leader="none" w:pos="1300" w:val="left"/>
        </w:tabs>
        <w:numPr>
          <w:ilvl w:val="0"/>
          <w:numId w:val="7"/>
        </w:numPr>
        <w:rPr>
          <w:rFonts w:ascii="Arial" w:cs="Arial" w:eastAsia="Arial" w:hAnsi="Arial"/>
          <w:sz w:val="17"/>
          <w:szCs w:val="17"/>
          <w:color w:val="auto"/>
        </w:rPr>
      </w:pPr>
      <w:r>
        <w:rPr>
          <w:rFonts w:ascii="Arial" w:cs="Arial" w:eastAsia="Arial" w:hAnsi="Arial"/>
          <w:sz w:val="17"/>
          <w:szCs w:val="17"/>
          <w:b w:val="1"/>
          <w:bCs w:val="1"/>
          <w:color w:val="auto"/>
        </w:rPr>
        <w:t xml:space="preserve">Expanding into more places: </w:t>
      </w:r>
      <w:r>
        <w:rPr>
          <w:rFonts w:ascii="Arial" w:cs="Arial" w:eastAsia="Arial" w:hAnsi="Arial"/>
          <w:sz w:val="17"/>
          <w:szCs w:val="17"/>
          <w:color w:val="auto"/>
        </w:rPr>
        <w:t>We intend to continue to evolve our real estate portfolio to align with market trends while selectively</w:t>
      </w:r>
      <w:r>
        <w:rPr>
          <w:rFonts w:ascii="Arial" w:cs="Arial" w:eastAsia="Arial" w:hAnsi="Arial"/>
          <w:sz w:val="17"/>
          <w:szCs w:val="17"/>
          <w:b w:val="1"/>
          <w:bCs w:val="1"/>
          <w:color w:val="auto"/>
        </w:rPr>
        <w:t xml:space="preserve"> </w:t>
      </w:r>
      <w:r>
        <w:rPr>
          <w:rFonts w:ascii="Arial" w:cs="Arial" w:eastAsia="Arial" w:hAnsi="Arial"/>
          <w:sz w:val="17"/>
          <w:szCs w:val="17"/>
          <w:color w:val="auto"/>
        </w:rPr>
        <w:t>opening new locations and systematically remodeling our store base. To this end, we introduced a new store design, which was developed to increase productivity and update the brand look and are currently operating seven of these stores. We opened five true outlet concept locations and announced the expansion of our ongoing partnership with Macy’s through which we expect to open seven shop-in-shops for the holiday season. We also expect to strategically expand our international presence by leveraging the improving strength in our company-owned stores to restructure and extend our international footprint. In the third quarter, the first Build-A-Bear Workshop location in China opened on Li &amp; Fung’s Shanghai campus in the Explorium, a retail laboratory and exhibition operated by the Fung Group, a Hong Kong-based multinational with international brands and retail operations across China.</w:t>
      </w:r>
    </w:p>
    <w:p>
      <w:pPr>
        <w:spacing w:after="0" w:line="200" w:lineRule="exact"/>
        <w:rPr>
          <w:sz w:val="20"/>
          <w:szCs w:val="20"/>
          <w:color w:val="auto"/>
        </w:rPr>
      </w:pP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2" w:name="page13"/>
    <w:bookmarkEnd w:id="12"/>
    <w:p>
      <w:pPr>
        <w:ind w:left="1300" w:right="20" w:hanging="644"/>
        <w:spacing w:after="0" w:line="271" w:lineRule="auto"/>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Targeting more people: </w:t>
      </w:r>
      <w:r>
        <w:rPr>
          <w:rFonts w:ascii="Arial" w:cs="Arial" w:eastAsia="Arial" w:hAnsi="Arial"/>
          <w:sz w:val="17"/>
          <w:szCs w:val="17"/>
          <w:color w:val="auto"/>
        </w:rPr>
        <w:t>We intend to have continuous growth in our business with our core three to twelve year-old consumer segment</w:t>
      </w:r>
      <w:r>
        <w:rPr>
          <w:rFonts w:ascii="Arial" w:cs="Arial" w:eastAsia="Arial" w:hAnsi="Arial"/>
          <w:sz w:val="17"/>
          <w:szCs w:val="17"/>
          <w:b w:val="1"/>
          <w:bCs w:val="1"/>
          <w:color w:val="auto"/>
        </w:rPr>
        <w:t xml:space="preserve"> </w:t>
      </w:r>
      <w:r>
        <w:rPr>
          <w:rFonts w:ascii="Arial" w:cs="Arial" w:eastAsia="Arial" w:hAnsi="Arial"/>
          <w:sz w:val="17"/>
          <w:szCs w:val="17"/>
          <w:color w:val="auto"/>
        </w:rPr>
        <w:t>which represents a majority of current revenue. We will focus on initiatives that drive trial and increase repeat visits with an evolved segmentation, product development and marketing strategy. In the quarter, we successfully reached our older girl segment with the launch of the new proprietary Honey Girls collection, expanded our offering to boys with the initial launch of Star Wars product, and continued to sell Minions, which appealed across all consumer segments. We expect to strategically grow sales to the over twelve year-old consumers with a focus on key categories including gift-giving, affinity and collectibles. The over-twelve consumer segment currently represents approximately 20% of sales and has a tendency to over-index on less price-sensitive gift-able purchases. In the third quarter, we introduced Build-A-Bear Workshop’s Sports Central concept both online and in stores to leverage the licensing relationships that we have with major sports leagues and many major universities.</w:t>
      </w:r>
    </w:p>
    <w:p>
      <w:pPr>
        <w:spacing w:after="0" w:line="228" w:lineRule="exact"/>
        <w:rPr>
          <w:rFonts w:ascii="Arial" w:cs="Arial" w:eastAsia="Arial" w:hAnsi="Arial"/>
          <w:sz w:val="17"/>
          <w:szCs w:val="17"/>
          <w:color w:val="auto"/>
        </w:rPr>
      </w:pPr>
    </w:p>
    <w:p>
      <w:pPr>
        <w:ind w:left="1300" w:hanging="644"/>
        <w:spacing w:after="0" w:line="273" w:lineRule="auto"/>
        <w:tabs>
          <w:tab w:leader="none" w:pos="1300" w:val="left"/>
        </w:tabs>
        <w:numPr>
          <w:ilvl w:val="0"/>
          <w:numId w:val="8"/>
        </w:numPr>
        <w:rPr>
          <w:rFonts w:ascii="Arial" w:cs="Arial" w:eastAsia="Arial" w:hAnsi="Arial"/>
          <w:sz w:val="17"/>
          <w:szCs w:val="17"/>
          <w:color w:val="auto"/>
        </w:rPr>
      </w:pPr>
      <w:r>
        <w:rPr>
          <w:rFonts w:ascii="Arial" w:cs="Arial" w:eastAsia="Arial" w:hAnsi="Arial"/>
          <w:sz w:val="17"/>
          <w:szCs w:val="17"/>
          <w:b w:val="1"/>
          <w:bCs w:val="1"/>
          <w:color w:val="auto"/>
        </w:rPr>
        <w:t xml:space="preserve">Developing more products: </w:t>
      </w:r>
      <w:r>
        <w:rPr>
          <w:rFonts w:ascii="Arial" w:cs="Arial" w:eastAsia="Arial" w:hAnsi="Arial"/>
          <w:sz w:val="17"/>
          <w:szCs w:val="17"/>
          <w:color w:val="auto"/>
        </w:rPr>
        <w:t>We intend to make continuous improvements and extend our efforts to successfully develop high impact</w:t>
      </w:r>
      <w:r>
        <w:rPr>
          <w:rFonts w:ascii="Arial" w:cs="Arial" w:eastAsia="Arial" w:hAnsi="Arial"/>
          <w:sz w:val="17"/>
          <w:szCs w:val="17"/>
          <w:b w:val="1"/>
          <w:bCs w:val="1"/>
          <w:color w:val="auto"/>
        </w:rPr>
        <w:t xml:space="preserve"> </w:t>
      </w:r>
      <w:r>
        <w:rPr>
          <w:rFonts w:ascii="Arial" w:cs="Arial" w:eastAsia="Arial" w:hAnsi="Arial"/>
          <w:sz w:val="17"/>
          <w:szCs w:val="17"/>
          <w:color w:val="auto"/>
        </w:rPr>
        <w:t>product stories coupled with integrated marketing programs that tend to garner higher price points, drive add-on purchases and create “play beyond the plush.” In conjunction with the launch of our proprietary Honey Girls collection, we introduced music videos which have been viewed online more than 2.5 million times. We expect to strategically expand our business by launching an out-bound licensing program to leverage our strong brand equity. This will enable us to extend our brand reach with new offerings in relevant categories with “products beyond the plush”. To this end, we have entered into an agreement with Spin Master, Inc. to design, market and distribute a complementary toy line that is expected to launch in fall of 2016.</w:t>
      </w:r>
    </w:p>
    <w:p>
      <w:pPr>
        <w:spacing w:after="0" w:line="226" w:lineRule="exact"/>
        <w:rPr>
          <w:rFonts w:ascii="Arial" w:cs="Arial" w:eastAsia="Arial" w:hAnsi="Arial"/>
          <w:sz w:val="17"/>
          <w:szCs w:val="17"/>
          <w:color w:val="auto"/>
        </w:rPr>
      </w:pPr>
    </w:p>
    <w:p>
      <w:pPr>
        <w:ind w:left="1300" w:right="100" w:hanging="644"/>
        <w:spacing w:after="0" w:line="303" w:lineRule="auto"/>
        <w:tabs>
          <w:tab w:leader="none" w:pos="1300" w:val="left"/>
        </w:tabs>
        <w:numPr>
          <w:ilvl w:val="0"/>
          <w:numId w:val="8"/>
        </w:numPr>
        <w:rPr>
          <w:rFonts w:ascii="Arial" w:cs="Arial" w:eastAsia="Arial" w:hAnsi="Arial"/>
          <w:sz w:val="16"/>
          <w:szCs w:val="16"/>
          <w:color w:val="auto"/>
        </w:rPr>
      </w:pPr>
      <w:r>
        <w:rPr>
          <w:rFonts w:ascii="Arial" w:cs="Arial" w:eastAsia="Arial" w:hAnsi="Arial"/>
          <w:sz w:val="16"/>
          <w:szCs w:val="16"/>
          <w:b w:val="1"/>
          <w:bCs w:val="1"/>
          <w:color w:val="auto"/>
        </w:rPr>
        <w:t xml:space="preserve">Driving more profitability: </w:t>
      </w:r>
      <w:r>
        <w:rPr>
          <w:rFonts w:ascii="Arial" w:cs="Arial" w:eastAsia="Arial" w:hAnsi="Arial"/>
          <w:sz w:val="16"/>
          <w:szCs w:val="16"/>
          <w:color w:val="auto"/>
        </w:rPr>
        <w:t>We intend to continue to improve our value engineering initiatives to further optimize product margins while</w:t>
      </w:r>
      <w:r>
        <w:rPr>
          <w:rFonts w:ascii="Arial" w:cs="Arial" w:eastAsia="Arial" w:hAnsi="Arial"/>
          <w:sz w:val="16"/>
          <w:szCs w:val="16"/>
          <w:b w:val="1"/>
          <w:bCs w:val="1"/>
          <w:color w:val="auto"/>
        </w:rPr>
        <w:t xml:space="preserve"> </w:t>
      </w:r>
      <w:r>
        <w:rPr>
          <w:rFonts w:ascii="Arial" w:cs="Arial" w:eastAsia="Arial" w:hAnsi="Arial"/>
          <w:sz w:val="16"/>
          <w:szCs w:val="16"/>
          <w:color w:val="auto"/>
        </w:rPr>
        <w:t>implementing new systems that we expect to facilitate sales growth, increase efficiency and improve long term profitability. We expect to strategically expand our profitability by prioritizing incremental growth initiatives, like those discussed above, that leverage existing infrastructure, are primarily royalty-based, and/or allow for discrete pricing and are therefore comparatively margin-accretive.</w:t>
      </w:r>
    </w:p>
    <w:p>
      <w:pPr>
        <w:spacing w:after="0" w:line="36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Stores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Company-owned:</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color w:val="auto"/>
        </w:rPr>
        <w:t>The table below sets forth the number of Build-A-Bear Workshop company-owned stores in North America and Europe for the periods presented:</w:t>
      </w:r>
    </w:p>
    <w:p>
      <w:pPr>
        <w:spacing w:after="0" w:line="233" w:lineRule="exact"/>
        <w:rPr>
          <w:sz w:val="20"/>
          <w:szCs w:val="20"/>
          <w:color w:val="auto"/>
        </w:rPr>
      </w:pPr>
    </w:p>
    <w:tbl>
      <w:tblPr>
        <w:tblLayout w:type="fixed"/>
        <w:tblInd w:w="300" w:type="dxa"/>
        <w:tblCellMar>
          <w:top w:w="0" w:type="dxa"/>
          <w:left w:w="0" w:type="dxa"/>
          <w:bottom w:w="0" w:type="dxa"/>
          <w:right w:w="0" w:type="dxa"/>
        </w:tblCellMar>
      </w:tblPr>
      <w:tr>
        <w:trPr>
          <w:trHeight w:val="234"/>
        </w:trPr>
        <w:tc>
          <w:tcPr>
            <w:tcW w:w="2500" w:type="dxa"/>
            <w:vAlign w:val="bottom"/>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20" w:type="dxa"/>
            <w:vAlign w:val="bottom"/>
            <w:tcBorders>
              <w:bottom w:val="single" w:sz="8" w:color="auto"/>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2640" w:type="dxa"/>
            <w:vAlign w:val="bottom"/>
            <w:tcBorders>
              <w:bottom w:val="single" w:sz="8" w:color="auto"/>
            </w:tcBorders>
            <w:gridSpan w:val="3"/>
          </w:tcPr>
          <w:p>
            <w:pPr>
              <w:jc w:val="right"/>
              <w:ind w:right="270"/>
              <w:spacing w:after="0"/>
              <w:rPr>
                <w:sz w:val="20"/>
                <w:szCs w:val="20"/>
                <w:color w:val="auto"/>
              </w:rPr>
            </w:pPr>
            <w:r>
              <w:rPr>
                <w:rFonts w:ascii="Arial" w:cs="Arial" w:eastAsia="Arial" w:hAnsi="Arial"/>
                <w:sz w:val="18"/>
                <w:szCs w:val="18"/>
                <w:b w:val="1"/>
                <w:bCs w:val="1"/>
                <w:color w:val="auto"/>
              </w:rPr>
              <w:t>Thirty-nine Weeks Ended</w:t>
            </w:r>
          </w:p>
        </w:tc>
        <w:tc>
          <w:tcPr>
            <w:tcW w:w="16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200" w:type="dxa"/>
            <w:vAlign w:val="bottom"/>
            <w:tcBorders>
              <w:bottom w:val="single" w:sz="8" w:color="auto"/>
            </w:tcBorders>
          </w:tcPr>
          <w:p>
            <w:pPr>
              <w:spacing w:after="0"/>
              <w:rPr>
                <w:sz w:val="20"/>
                <w:szCs w:val="20"/>
                <w:color w:val="auto"/>
              </w:rPr>
            </w:pPr>
          </w:p>
        </w:tc>
        <w:tc>
          <w:tcPr>
            <w:tcW w:w="1200" w:type="dxa"/>
            <w:vAlign w:val="bottom"/>
            <w:tcBorders>
              <w:bottom w:val="single" w:sz="8" w:color="auto"/>
            </w:tcBorders>
          </w:tcPr>
          <w:p>
            <w:pPr>
              <w:spacing w:after="0"/>
              <w:rPr>
                <w:sz w:val="20"/>
                <w:szCs w:val="20"/>
                <w:color w:val="auto"/>
              </w:rPr>
            </w:pPr>
          </w:p>
        </w:tc>
        <w:tc>
          <w:tcPr>
            <w:tcW w:w="100" w:type="dxa"/>
            <w:vAlign w:val="bottom"/>
          </w:tcPr>
          <w:p>
            <w:pPr>
              <w:spacing w:after="0"/>
              <w:rPr>
                <w:sz w:val="20"/>
                <w:szCs w:val="20"/>
                <w:color w:val="auto"/>
              </w:rPr>
            </w:pPr>
          </w:p>
        </w:tc>
      </w:tr>
      <w:tr>
        <w:trPr>
          <w:trHeight w:val="210"/>
        </w:trPr>
        <w:tc>
          <w:tcPr>
            <w:tcW w:w="2500" w:type="dxa"/>
            <w:vAlign w:val="bottom"/>
          </w:tcPr>
          <w:p>
            <w:pPr>
              <w:spacing w:after="0"/>
              <w:rPr>
                <w:sz w:val="18"/>
                <w:szCs w:val="18"/>
                <w:color w:val="auto"/>
              </w:rPr>
            </w:pPr>
          </w:p>
        </w:tc>
        <w:tc>
          <w:tcPr>
            <w:tcW w:w="1200" w:type="dxa"/>
            <w:vAlign w:val="bottom"/>
            <w:tcBorders>
              <w:bottom w:val="single" w:sz="8" w:color="auto"/>
            </w:tcBorders>
          </w:tcPr>
          <w:p>
            <w:pPr>
              <w:spacing w:after="0"/>
              <w:rPr>
                <w:sz w:val="18"/>
                <w:szCs w:val="18"/>
                <w:color w:val="auto"/>
              </w:rPr>
            </w:pPr>
          </w:p>
        </w:tc>
        <w:tc>
          <w:tcPr>
            <w:tcW w:w="120" w:type="dxa"/>
            <w:vAlign w:val="bottom"/>
            <w:tcBorders>
              <w:bottom w:val="single" w:sz="8" w:color="auto"/>
            </w:tcBorders>
          </w:tcPr>
          <w:p>
            <w:pPr>
              <w:spacing w:after="0"/>
              <w:rPr>
                <w:sz w:val="18"/>
                <w:szCs w:val="18"/>
                <w:color w:val="auto"/>
              </w:rPr>
            </w:pPr>
          </w:p>
        </w:tc>
        <w:tc>
          <w:tcPr>
            <w:tcW w:w="1500" w:type="dxa"/>
            <w:vAlign w:val="bottom"/>
            <w:tcBorders>
              <w:bottom w:val="single" w:sz="8" w:color="auto"/>
            </w:tcBorders>
            <w:gridSpan w:val="3"/>
          </w:tcPr>
          <w:p>
            <w:pPr>
              <w:jc w:val="right"/>
              <w:ind w:right="200"/>
              <w:spacing w:after="0"/>
              <w:rPr>
                <w:sz w:val="20"/>
                <w:szCs w:val="20"/>
                <w:color w:val="auto"/>
              </w:rPr>
            </w:pPr>
            <w:r>
              <w:rPr>
                <w:rFonts w:ascii="Arial" w:cs="Arial" w:eastAsia="Arial" w:hAnsi="Arial"/>
                <w:sz w:val="18"/>
                <w:szCs w:val="18"/>
                <w:b w:val="1"/>
                <w:bCs w:val="1"/>
                <w:color w:val="auto"/>
                <w:w w:val="95"/>
              </w:rPr>
              <w:t>October 3, 2015</w:t>
            </w:r>
          </w:p>
        </w:tc>
        <w:tc>
          <w:tcPr>
            <w:tcW w:w="1180" w:type="dxa"/>
            <w:vAlign w:val="bottom"/>
            <w:tcBorders>
              <w:bottom w:val="single" w:sz="8" w:color="auto"/>
            </w:tcBorders>
          </w:tcPr>
          <w:p>
            <w:pPr>
              <w:spacing w:after="0"/>
              <w:rPr>
                <w:sz w:val="18"/>
                <w:szCs w:val="18"/>
                <w:color w:val="auto"/>
              </w:rPr>
            </w:pPr>
          </w:p>
        </w:tc>
        <w:tc>
          <w:tcPr>
            <w:tcW w:w="220" w:type="dxa"/>
            <w:vAlign w:val="bottom"/>
          </w:tcPr>
          <w:p>
            <w:pPr>
              <w:spacing w:after="0"/>
              <w:rPr>
                <w:sz w:val="18"/>
                <w:szCs w:val="18"/>
                <w:color w:val="auto"/>
              </w:rPr>
            </w:pPr>
          </w:p>
        </w:tc>
        <w:tc>
          <w:tcPr>
            <w:tcW w:w="1240" w:type="dxa"/>
            <w:vAlign w:val="bottom"/>
            <w:tcBorders>
              <w:bottom w:val="single" w:sz="8" w:color="auto"/>
            </w:tcBorders>
          </w:tcPr>
          <w:p>
            <w:pPr>
              <w:spacing w:after="0"/>
              <w:rPr>
                <w:sz w:val="18"/>
                <w:szCs w:val="18"/>
                <w:color w:val="auto"/>
              </w:rPr>
            </w:pPr>
          </w:p>
        </w:tc>
        <w:tc>
          <w:tcPr>
            <w:tcW w:w="1560" w:type="dxa"/>
            <w:vAlign w:val="bottom"/>
            <w:tcBorders>
              <w:bottom w:val="single" w:sz="8" w:color="auto"/>
            </w:tcBorders>
            <w:gridSpan w:val="3"/>
          </w:tcPr>
          <w:p>
            <w:pPr>
              <w:jc w:val="right"/>
              <w:ind w:right="40"/>
              <w:spacing w:after="0"/>
              <w:rPr>
                <w:sz w:val="20"/>
                <w:szCs w:val="20"/>
                <w:color w:val="auto"/>
              </w:rPr>
            </w:pPr>
            <w:r>
              <w:rPr>
                <w:rFonts w:ascii="Arial" w:cs="Arial" w:eastAsia="Arial" w:hAnsi="Arial"/>
                <w:sz w:val="18"/>
                <w:szCs w:val="18"/>
                <w:b w:val="1"/>
                <w:bCs w:val="1"/>
                <w:color w:val="auto"/>
                <w:w w:val="89"/>
              </w:rPr>
              <w:t>September 27, 2014</w:t>
            </w:r>
          </w:p>
        </w:tc>
        <w:tc>
          <w:tcPr>
            <w:tcW w:w="1200" w:type="dxa"/>
            <w:vAlign w:val="bottom"/>
            <w:tcBorders>
              <w:bottom w:val="single" w:sz="8" w:color="auto"/>
            </w:tcBorders>
          </w:tcPr>
          <w:p>
            <w:pPr>
              <w:spacing w:after="0"/>
              <w:rPr>
                <w:sz w:val="18"/>
                <w:szCs w:val="18"/>
                <w:color w:val="auto"/>
              </w:rPr>
            </w:pPr>
          </w:p>
        </w:tc>
        <w:tc>
          <w:tcPr>
            <w:tcW w:w="100" w:type="dxa"/>
            <w:vAlign w:val="bottom"/>
          </w:tcPr>
          <w:p>
            <w:pPr>
              <w:spacing w:after="0"/>
              <w:rPr>
                <w:sz w:val="18"/>
                <w:szCs w:val="18"/>
                <w:color w:val="auto"/>
              </w:rPr>
            </w:pPr>
          </w:p>
        </w:tc>
      </w:tr>
      <w:tr>
        <w:trPr>
          <w:trHeight w:val="210"/>
        </w:trPr>
        <w:tc>
          <w:tcPr>
            <w:tcW w:w="2500" w:type="dxa"/>
            <w:vAlign w:val="bottom"/>
          </w:tcPr>
          <w:p>
            <w:pPr>
              <w:spacing w:after="0"/>
              <w:rPr>
                <w:sz w:val="18"/>
                <w:szCs w:val="18"/>
                <w:color w:val="auto"/>
              </w:rPr>
            </w:pPr>
          </w:p>
        </w:tc>
        <w:tc>
          <w:tcPr>
            <w:tcW w:w="132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w w:val="93"/>
              </w:rPr>
              <w:t>North America</w:t>
            </w:r>
          </w:p>
        </w:tc>
        <w:tc>
          <w:tcPr>
            <w:tcW w:w="80" w:type="dxa"/>
            <w:vAlign w:val="bottom"/>
          </w:tcPr>
          <w:p>
            <w:pPr>
              <w:spacing w:after="0"/>
              <w:rPr>
                <w:sz w:val="18"/>
                <w:szCs w:val="18"/>
                <w:color w:val="auto"/>
              </w:rPr>
            </w:pPr>
          </w:p>
        </w:tc>
        <w:tc>
          <w:tcPr>
            <w:tcW w:w="1420" w:type="dxa"/>
            <w:vAlign w:val="bottom"/>
            <w:gridSpan w:val="2"/>
          </w:tcPr>
          <w:p>
            <w:pPr>
              <w:jc w:val="right"/>
              <w:ind w:right="540"/>
              <w:spacing w:after="0"/>
              <w:rPr>
                <w:sz w:val="20"/>
                <w:szCs w:val="20"/>
                <w:color w:val="auto"/>
              </w:rPr>
            </w:pPr>
            <w:r>
              <w:rPr>
                <w:rFonts w:ascii="Arial" w:cs="Arial" w:eastAsia="Arial" w:hAnsi="Arial"/>
                <w:sz w:val="18"/>
                <w:szCs w:val="18"/>
                <w:b w:val="1"/>
                <w:bCs w:val="1"/>
                <w:color w:val="auto"/>
              </w:rPr>
              <w:t>Europe</w:t>
            </w:r>
          </w:p>
        </w:tc>
        <w:tc>
          <w:tcPr>
            <w:tcW w:w="118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220" w:type="dxa"/>
            <w:vAlign w:val="bottom"/>
          </w:tcPr>
          <w:p>
            <w:pPr>
              <w:spacing w:after="0"/>
              <w:rPr>
                <w:sz w:val="18"/>
                <w:szCs w:val="18"/>
                <w:color w:val="auto"/>
              </w:rPr>
            </w:pPr>
          </w:p>
        </w:tc>
        <w:tc>
          <w:tcPr>
            <w:tcW w:w="1240" w:type="dxa"/>
            <w:vAlign w:val="bottom"/>
          </w:tcPr>
          <w:p>
            <w:pPr>
              <w:jc w:val="right"/>
              <w:spacing w:after="0"/>
              <w:rPr>
                <w:sz w:val="20"/>
                <w:szCs w:val="20"/>
                <w:color w:val="auto"/>
              </w:rPr>
            </w:pPr>
            <w:r>
              <w:rPr>
                <w:rFonts w:ascii="Arial" w:cs="Arial" w:eastAsia="Arial" w:hAnsi="Arial"/>
                <w:sz w:val="18"/>
                <w:szCs w:val="18"/>
                <w:b w:val="1"/>
                <w:bCs w:val="1"/>
                <w:color w:val="auto"/>
                <w:w w:val="93"/>
              </w:rPr>
              <w:t>North America</w:t>
            </w:r>
          </w:p>
        </w:tc>
        <w:tc>
          <w:tcPr>
            <w:tcW w:w="160" w:type="dxa"/>
            <w:vAlign w:val="bottom"/>
          </w:tcPr>
          <w:p>
            <w:pPr>
              <w:spacing w:after="0"/>
              <w:rPr>
                <w:sz w:val="18"/>
                <w:szCs w:val="18"/>
                <w:color w:val="auto"/>
              </w:rPr>
            </w:pPr>
          </w:p>
        </w:tc>
        <w:tc>
          <w:tcPr>
            <w:tcW w:w="1400" w:type="dxa"/>
            <w:vAlign w:val="bottom"/>
            <w:gridSpan w:val="2"/>
          </w:tcPr>
          <w:p>
            <w:pPr>
              <w:jc w:val="right"/>
              <w:ind w:right="520"/>
              <w:spacing w:after="0"/>
              <w:rPr>
                <w:sz w:val="20"/>
                <w:szCs w:val="20"/>
                <w:color w:val="auto"/>
              </w:rPr>
            </w:pPr>
            <w:r>
              <w:rPr>
                <w:rFonts w:ascii="Arial" w:cs="Arial" w:eastAsia="Arial" w:hAnsi="Arial"/>
                <w:sz w:val="18"/>
                <w:szCs w:val="18"/>
                <w:b w:val="1"/>
                <w:bCs w:val="1"/>
                <w:color w:val="auto"/>
              </w:rPr>
              <w:t>Europe</w:t>
            </w:r>
          </w:p>
        </w:tc>
        <w:tc>
          <w:tcPr>
            <w:tcW w:w="1200" w:type="dxa"/>
            <w:vAlign w:val="bottom"/>
          </w:tcPr>
          <w:p>
            <w:pPr>
              <w:jc w:val="right"/>
              <w:ind w:right="310"/>
              <w:spacing w:after="0"/>
              <w:rPr>
                <w:sz w:val="20"/>
                <w:szCs w:val="20"/>
                <w:color w:val="auto"/>
              </w:rPr>
            </w:pPr>
            <w:r>
              <w:rPr>
                <w:rFonts w:ascii="Arial" w:cs="Arial" w:eastAsia="Arial" w:hAnsi="Arial"/>
                <w:sz w:val="18"/>
                <w:szCs w:val="18"/>
                <w:b w:val="1"/>
                <w:bCs w:val="1"/>
                <w:color w:val="auto"/>
              </w:rPr>
              <w:t>Total</w:t>
            </w:r>
          </w:p>
        </w:tc>
        <w:tc>
          <w:tcPr>
            <w:tcW w:w="100" w:type="dxa"/>
            <w:vAlign w:val="bottom"/>
          </w:tcPr>
          <w:p>
            <w:pPr>
              <w:spacing w:after="0"/>
              <w:rPr>
                <w:sz w:val="18"/>
                <w:szCs w:val="18"/>
                <w:color w:val="auto"/>
              </w:rPr>
            </w:pPr>
          </w:p>
        </w:tc>
      </w:tr>
      <w:tr>
        <w:trPr>
          <w:trHeight w:val="210"/>
        </w:trPr>
        <w:tc>
          <w:tcPr>
            <w:tcW w:w="2500" w:type="dxa"/>
            <w:vAlign w:val="bottom"/>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265</w:t>
            </w:r>
          </w:p>
        </w:tc>
        <w:tc>
          <w:tcPr>
            <w:tcW w:w="1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w:t>
            </w:r>
          </w:p>
        </w:tc>
        <w:tc>
          <w:tcPr>
            <w:tcW w:w="220" w:type="dxa"/>
            <w:vAlign w:val="bottom"/>
            <w:shd w:val="clear" w:color="auto" w:fill="CCEEFF"/>
          </w:tcPr>
          <w:p>
            <w:pPr>
              <w:spacing w:after="0"/>
              <w:rPr>
                <w:sz w:val="18"/>
                <w:szCs w:val="18"/>
                <w:color w:val="auto"/>
              </w:rPr>
            </w:pPr>
          </w:p>
        </w:tc>
        <w:tc>
          <w:tcPr>
            <w:tcW w:w="1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324</w:t>
            </w:r>
          </w:p>
        </w:tc>
        <w:tc>
          <w:tcPr>
            <w:tcW w:w="220" w:type="dxa"/>
            <w:vAlign w:val="bottom"/>
            <w:shd w:val="clear" w:color="auto" w:fill="CCEEFF"/>
          </w:tcPr>
          <w:p>
            <w:pPr>
              <w:spacing w:after="0"/>
              <w:rPr>
                <w:sz w:val="18"/>
                <w:szCs w:val="18"/>
                <w:color w:val="auto"/>
              </w:rPr>
            </w:pPr>
          </w:p>
        </w:tc>
        <w:tc>
          <w:tcPr>
            <w:tcW w:w="124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263</w:t>
            </w:r>
          </w:p>
        </w:tc>
        <w:tc>
          <w:tcPr>
            <w:tcW w:w="1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60</w:t>
            </w:r>
          </w:p>
        </w:tc>
        <w:tc>
          <w:tcPr>
            <w:tcW w:w="20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323</w:t>
            </w:r>
          </w:p>
        </w:tc>
        <w:tc>
          <w:tcPr>
            <w:tcW w:w="100" w:type="dxa"/>
            <w:vAlign w:val="bottom"/>
            <w:shd w:val="clear" w:color="auto" w:fill="CCEEFF"/>
          </w:tcPr>
          <w:p>
            <w:pPr>
              <w:spacing w:after="0"/>
              <w:rPr>
                <w:sz w:val="18"/>
                <w:szCs w:val="18"/>
                <w:color w:val="auto"/>
              </w:rPr>
            </w:pPr>
          </w:p>
        </w:tc>
      </w:tr>
      <w:tr>
        <w:trPr>
          <w:trHeight w:val="216"/>
        </w:trPr>
        <w:tc>
          <w:tcPr>
            <w:tcW w:w="2500" w:type="dxa"/>
            <w:vAlign w:val="bottom"/>
          </w:tcPr>
          <w:p>
            <w:pPr>
              <w:ind w:left="160"/>
              <w:spacing w:after="0"/>
              <w:rPr>
                <w:sz w:val="20"/>
                <w:szCs w:val="20"/>
                <w:color w:val="auto"/>
              </w:rPr>
            </w:pPr>
            <w:r>
              <w:rPr>
                <w:rFonts w:ascii="Arial" w:cs="Arial" w:eastAsia="Arial" w:hAnsi="Arial"/>
                <w:sz w:val="18"/>
                <w:szCs w:val="18"/>
                <w:color w:val="auto"/>
              </w:rPr>
              <w:t>Opened</w:t>
            </w:r>
          </w:p>
        </w:tc>
        <w:tc>
          <w:tcPr>
            <w:tcW w:w="1200" w:type="dxa"/>
            <w:vAlign w:val="bottom"/>
          </w:tcPr>
          <w:p>
            <w:pPr>
              <w:jc w:val="right"/>
              <w:spacing w:after="0"/>
              <w:rPr>
                <w:sz w:val="20"/>
                <w:szCs w:val="20"/>
                <w:color w:val="auto"/>
              </w:rPr>
            </w:pPr>
            <w:r>
              <w:rPr>
                <w:rFonts w:ascii="Arial" w:cs="Arial" w:eastAsia="Arial" w:hAnsi="Arial"/>
                <w:sz w:val="18"/>
                <w:szCs w:val="18"/>
                <w:color w:val="auto"/>
              </w:rPr>
              <w:t>7</w:t>
            </w:r>
          </w:p>
        </w:tc>
        <w:tc>
          <w:tcPr>
            <w:tcW w:w="120" w:type="dxa"/>
            <w:vAlign w:val="bottom"/>
          </w:tcPr>
          <w:p>
            <w:pPr>
              <w:spacing w:after="0"/>
              <w:rPr>
                <w:sz w:val="18"/>
                <w:szCs w:val="18"/>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8"/>
                <w:szCs w:val="18"/>
                <w:color w:val="auto"/>
              </w:rPr>
              <w:t>2</w:t>
            </w: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9</w:t>
            </w:r>
          </w:p>
        </w:tc>
        <w:tc>
          <w:tcPr>
            <w:tcW w:w="1240" w:type="dxa"/>
            <w:vAlign w:val="bottom"/>
          </w:tcPr>
          <w:p>
            <w:pPr>
              <w:jc w:val="right"/>
              <w:spacing w:after="0"/>
              <w:rPr>
                <w:sz w:val="20"/>
                <w:szCs w:val="20"/>
                <w:color w:val="auto"/>
              </w:rPr>
            </w:pPr>
            <w:r>
              <w:rPr>
                <w:rFonts w:ascii="Arial" w:cs="Arial" w:eastAsia="Arial" w:hAnsi="Arial"/>
                <w:sz w:val="18"/>
                <w:szCs w:val="18"/>
                <w:color w:val="auto"/>
              </w:rPr>
              <w:t>5</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5</w:t>
            </w:r>
          </w:p>
        </w:tc>
      </w:tr>
      <w:tr>
        <w:trPr>
          <w:trHeight w:val="216"/>
        </w:trPr>
        <w:tc>
          <w:tcPr>
            <w:tcW w:w="2500" w:type="dxa"/>
            <w:vAlign w:val="bottom"/>
            <w:shd w:val="clear" w:color="auto" w:fill="CCEEFF"/>
          </w:tcPr>
          <w:p>
            <w:pPr>
              <w:ind w:left="160"/>
              <w:spacing w:after="0"/>
              <w:rPr>
                <w:sz w:val="20"/>
                <w:szCs w:val="20"/>
                <w:color w:val="auto"/>
              </w:rPr>
            </w:pPr>
            <w:r>
              <w:rPr>
                <w:rFonts w:ascii="Arial" w:cs="Arial" w:eastAsia="Arial" w:hAnsi="Arial"/>
                <w:sz w:val="18"/>
                <w:szCs w:val="18"/>
                <w:color w:val="auto"/>
              </w:rPr>
              <w:t>Closed</w:t>
            </w:r>
          </w:p>
        </w:tc>
        <w:tc>
          <w:tcPr>
            <w:tcW w:w="13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15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w:t>
            </w:r>
          </w:p>
        </w:tc>
        <w:tc>
          <w:tcPr>
            <w:tcW w:w="140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(16)</w:t>
            </w:r>
          </w:p>
        </w:tc>
        <w:tc>
          <w:tcPr>
            <w:tcW w:w="124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(14)</w:t>
            </w:r>
          </w:p>
        </w:tc>
        <w:tc>
          <w:tcPr>
            <w:tcW w:w="15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color w:val="auto"/>
              </w:rPr>
              <w:t>(1)</w:t>
            </w:r>
          </w:p>
        </w:tc>
        <w:tc>
          <w:tcPr>
            <w:tcW w:w="130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(15)</w:t>
            </w:r>
          </w:p>
        </w:tc>
      </w:tr>
      <w:tr>
        <w:trPr>
          <w:trHeight w:val="20"/>
        </w:trPr>
        <w:tc>
          <w:tcPr>
            <w:tcW w:w="25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20" w:type="dxa"/>
            <w:vAlign w:val="bottom"/>
            <w:shd w:val="clear" w:color="auto" w:fill="CCEEFF"/>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18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40" w:type="dxa"/>
            <w:vAlign w:val="bottom"/>
            <w:tcBorders>
              <w:right w:val="single" w:sz="8" w:color="CCEEFF"/>
            </w:tcBorders>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0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2500" w:type="dxa"/>
            <w:vAlign w:val="bottom"/>
          </w:tcPr>
          <w:p>
            <w:pPr>
              <w:spacing w:after="0"/>
              <w:rPr>
                <w:sz w:val="20"/>
                <w:szCs w:val="20"/>
                <w:color w:val="auto"/>
              </w:rPr>
            </w:pPr>
            <w:r>
              <w:rPr>
                <w:rFonts w:ascii="Arial" w:cs="Arial" w:eastAsia="Arial" w:hAnsi="Arial"/>
                <w:sz w:val="18"/>
                <w:szCs w:val="18"/>
                <w:color w:val="auto"/>
              </w:rPr>
              <w:t>End of period</w:t>
            </w:r>
          </w:p>
        </w:tc>
        <w:tc>
          <w:tcPr>
            <w:tcW w:w="1200" w:type="dxa"/>
            <w:vAlign w:val="bottom"/>
          </w:tcPr>
          <w:p>
            <w:pPr>
              <w:jc w:val="right"/>
              <w:spacing w:after="0"/>
              <w:rPr>
                <w:sz w:val="20"/>
                <w:szCs w:val="20"/>
                <w:color w:val="auto"/>
              </w:rPr>
            </w:pPr>
            <w:r>
              <w:rPr>
                <w:rFonts w:ascii="Arial" w:cs="Arial" w:eastAsia="Arial" w:hAnsi="Arial"/>
                <w:sz w:val="18"/>
                <w:szCs w:val="18"/>
                <w:color w:val="auto"/>
              </w:rPr>
              <w:t>257</w:t>
            </w: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w:t>
            </w:r>
          </w:p>
        </w:tc>
        <w:tc>
          <w:tcPr>
            <w:tcW w:w="220" w:type="dxa"/>
            <w:vAlign w:val="bottom"/>
          </w:tcPr>
          <w:p>
            <w:pPr>
              <w:spacing w:after="0"/>
              <w:rPr>
                <w:sz w:val="18"/>
                <w:szCs w:val="18"/>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317</w:t>
            </w:r>
          </w:p>
        </w:tc>
        <w:tc>
          <w:tcPr>
            <w:tcW w:w="1240" w:type="dxa"/>
            <w:vAlign w:val="bottom"/>
          </w:tcPr>
          <w:p>
            <w:pPr>
              <w:jc w:val="right"/>
              <w:spacing w:after="0"/>
              <w:rPr>
                <w:sz w:val="20"/>
                <w:szCs w:val="20"/>
                <w:color w:val="auto"/>
              </w:rPr>
            </w:pPr>
            <w:r>
              <w:rPr>
                <w:rFonts w:ascii="Arial" w:cs="Arial" w:eastAsia="Arial" w:hAnsi="Arial"/>
                <w:sz w:val="18"/>
                <w:szCs w:val="18"/>
                <w:color w:val="auto"/>
              </w:rPr>
              <w:t>254</w:t>
            </w:r>
          </w:p>
        </w:tc>
        <w:tc>
          <w:tcPr>
            <w:tcW w:w="1560" w:type="dxa"/>
            <w:vAlign w:val="bottom"/>
            <w:gridSpan w:val="3"/>
          </w:tcPr>
          <w:p>
            <w:pPr>
              <w:jc w:val="right"/>
              <w:ind w:right="200"/>
              <w:spacing w:after="0"/>
              <w:rPr>
                <w:sz w:val="20"/>
                <w:szCs w:val="20"/>
                <w:color w:val="auto"/>
              </w:rPr>
            </w:pPr>
            <w:r>
              <w:rPr>
                <w:rFonts w:ascii="Arial" w:cs="Arial" w:eastAsia="Arial" w:hAnsi="Arial"/>
                <w:sz w:val="18"/>
                <w:szCs w:val="18"/>
                <w:color w:val="auto"/>
              </w:rPr>
              <w:t>59</w:t>
            </w:r>
          </w:p>
        </w:tc>
        <w:tc>
          <w:tcPr>
            <w:tcW w:w="1300" w:type="dxa"/>
            <w:vAlign w:val="bottom"/>
            <w:gridSpan w:val="2"/>
          </w:tcPr>
          <w:p>
            <w:pPr>
              <w:jc w:val="right"/>
              <w:ind w:right="100"/>
              <w:spacing w:after="0"/>
              <w:rPr>
                <w:sz w:val="20"/>
                <w:szCs w:val="20"/>
                <w:color w:val="auto"/>
              </w:rPr>
            </w:pPr>
            <w:r>
              <w:rPr>
                <w:rFonts w:ascii="Arial" w:cs="Arial" w:eastAsia="Arial" w:hAnsi="Arial"/>
                <w:sz w:val="18"/>
                <w:szCs w:val="18"/>
                <w:color w:val="auto"/>
              </w:rPr>
              <w:t>313</w:t>
            </w:r>
          </w:p>
        </w:tc>
      </w:tr>
      <w:tr>
        <w:trPr>
          <w:trHeight w:val="20"/>
        </w:trPr>
        <w:tc>
          <w:tcPr>
            <w:tcW w:w="25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1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line="276" w:lineRule="auto"/>
        <w:rPr>
          <w:sz w:val="20"/>
          <w:szCs w:val="20"/>
          <w:color w:val="auto"/>
        </w:rPr>
      </w:pPr>
      <w:r>
        <w:rPr>
          <w:rFonts w:ascii="Arial" w:cs="Arial" w:eastAsia="Arial" w:hAnsi="Arial"/>
          <w:sz w:val="17"/>
          <w:szCs w:val="17"/>
          <w:color w:val="auto"/>
        </w:rPr>
        <w:t>During 2015, we expect to open stores in high potential destinations such as tourist locations, outlet malls and shop-in-shops. In the second half of 2015, we also began to systematically refresh our store base with our new “Discovery” format developed to improve productivity, optimize space and update our brand look. After completing value-engineering work on the design to move it from concept stage to standard model, we plan to open new stores in the format as well as systematically update our existing store fleet primarily in conjunction with natural lease events. We also expect to close select stores as a normal course of managing our real estate portfolio and ongoing operational planning.</w:t>
      </w:r>
    </w:p>
    <w:p>
      <w:pPr>
        <w:spacing w:after="0" w:line="200" w:lineRule="exact"/>
        <w:rPr>
          <w:sz w:val="20"/>
          <w:szCs w:val="20"/>
          <w:color w:val="auto"/>
        </w:rPr>
      </w:pPr>
    </w:p>
    <w:p>
      <w:pPr>
        <w:spacing w:after="0" w:line="216"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340"/>
          </w:cols>
          <w:pgMar w:left="240" w:top="607" w:right="319" w:bottom="1440" w:gutter="0" w:footer="0" w:header="0"/>
        </w:sectPr>
      </w:pPr>
    </w:p>
    <w:bookmarkStart w:id="13" w:name="page14"/>
    <w:bookmarkEnd w:id="13"/>
    <w:p>
      <w:pPr>
        <w:spacing w:after="0"/>
        <w:rPr>
          <w:sz w:val="20"/>
          <w:szCs w:val="20"/>
          <w:color w:val="auto"/>
        </w:rPr>
      </w:pPr>
      <w:r>
        <w:rPr>
          <w:rFonts w:ascii="Arial" w:cs="Arial" w:eastAsia="Arial" w:hAnsi="Arial"/>
          <w:sz w:val="18"/>
          <w:szCs w:val="18"/>
          <w:b w:val="1"/>
          <w:bCs w:val="1"/>
          <w:i w:val="1"/>
          <w:iCs w:val="1"/>
          <w:color w:val="auto"/>
        </w:rPr>
        <w:t>International Franchise Locations:</w:t>
      </w:r>
    </w:p>
    <w:p>
      <w:pPr>
        <w:spacing w:after="0" w:line="225" w:lineRule="exact"/>
        <w:rPr>
          <w:sz w:val="20"/>
          <w:szCs w:val="20"/>
          <w:color w:val="auto"/>
        </w:rPr>
      </w:pPr>
    </w:p>
    <w:p>
      <w:pPr>
        <w:ind w:right="100"/>
        <w:spacing w:after="0" w:line="259" w:lineRule="auto"/>
        <w:rPr>
          <w:sz w:val="20"/>
          <w:szCs w:val="20"/>
          <w:color w:val="auto"/>
        </w:rPr>
      </w:pPr>
      <w:r>
        <w:rPr>
          <w:rFonts w:ascii="Arial" w:cs="Arial" w:eastAsia="Arial" w:hAnsi="Arial"/>
          <w:sz w:val="18"/>
          <w:szCs w:val="18"/>
          <w:color w:val="auto"/>
        </w:rPr>
        <w:t>Our first franchisee location was opened in November 2003. All franchised stores have similar signage, store layout, merchandise characteristics and guest experience as our company-owned stores. As of October 3, 2015, we had eight master franchise agreements, which typically grant franchise rights for a particular country or group of countries, covering an aggregate of 14 countries. The number of traditional international franchised stores opened and closed for the periods presented below are summarized as follows:</w:t>
      </w:r>
    </w:p>
    <w:p>
      <w:pPr>
        <w:spacing w:after="0" w:line="183" w:lineRule="exact"/>
        <w:rPr>
          <w:sz w:val="20"/>
          <w:szCs w:val="20"/>
          <w:color w:val="auto"/>
        </w:rPr>
      </w:pPr>
    </w:p>
    <w:p>
      <w:pPr>
        <w:ind w:left="7600"/>
        <w:spacing w:after="0"/>
        <w:rPr>
          <w:sz w:val="20"/>
          <w:szCs w:val="20"/>
          <w:color w:val="auto"/>
        </w:rPr>
      </w:pPr>
      <w:r>
        <w:rPr>
          <w:rFonts w:ascii="Arial" w:cs="Arial" w:eastAsia="Arial" w:hAnsi="Arial"/>
          <w:sz w:val="18"/>
          <w:szCs w:val="18"/>
          <w:b w:val="1"/>
          <w:bCs w:val="1"/>
          <w:color w:val="auto"/>
        </w:rPr>
        <w:t>Thirty-nine weeks ended</w:t>
      </w:r>
    </w:p>
    <w:p>
      <w:pPr>
        <w:spacing w:after="0" w:line="27" w:lineRule="exact"/>
        <w:rPr>
          <w:sz w:val="20"/>
          <w:szCs w:val="20"/>
          <w:color w:val="auto"/>
        </w:rPr>
      </w:pPr>
    </w:p>
    <w:tbl>
      <w:tblPr>
        <w:tblLayout w:type="fixed"/>
        <w:tblInd w:w="1140" w:type="dxa"/>
        <w:tblCellMar>
          <w:top w:w="0" w:type="dxa"/>
          <w:left w:w="0" w:type="dxa"/>
          <w:bottom w:w="0" w:type="dxa"/>
          <w:right w:w="0" w:type="dxa"/>
        </w:tblCellMar>
      </w:tblPr>
      <w:tr>
        <w:trPr>
          <w:trHeight w:val="191"/>
        </w:trPr>
        <w:tc>
          <w:tcPr>
            <w:tcW w:w="20" w:type="dxa"/>
            <w:vAlign w:val="bottom"/>
          </w:tcPr>
          <w:p>
            <w:pPr>
              <w:spacing w:after="0"/>
              <w:rPr>
                <w:sz w:val="16"/>
                <w:szCs w:val="16"/>
                <w:color w:val="auto"/>
              </w:rPr>
            </w:pPr>
          </w:p>
        </w:tc>
        <w:tc>
          <w:tcPr>
            <w:tcW w:w="5760" w:type="dxa"/>
            <w:vAlign w:val="bottom"/>
          </w:tcPr>
          <w:p>
            <w:pPr>
              <w:spacing w:after="0"/>
              <w:rPr>
                <w:sz w:val="16"/>
                <w:szCs w:val="16"/>
                <w:color w:val="auto"/>
              </w:rPr>
            </w:pPr>
          </w:p>
        </w:tc>
        <w:tc>
          <w:tcPr>
            <w:tcW w:w="1280" w:type="dxa"/>
            <w:vAlign w:val="bottom"/>
            <w:tcBorders>
              <w:top w:val="single" w:sz="8" w:color="auto"/>
            </w:tcBorders>
          </w:tcPr>
          <w:p>
            <w:pPr>
              <w:jc w:val="center"/>
              <w:ind w:left="190"/>
              <w:spacing w:after="0" w:line="191" w:lineRule="exact"/>
              <w:rPr>
                <w:sz w:val="20"/>
                <w:szCs w:val="20"/>
                <w:color w:val="auto"/>
              </w:rPr>
            </w:pPr>
            <w:r>
              <w:rPr>
                <w:rFonts w:ascii="Arial" w:cs="Arial" w:eastAsia="Arial" w:hAnsi="Arial"/>
                <w:sz w:val="18"/>
                <w:szCs w:val="18"/>
                <w:b w:val="1"/>
                <w:bCs w:val="1"/>
                <w:color w:val="auto"/>
                <w:w w:val="89"/>
              </w:rPr>
              <w:t>October 3,</w:t>
            </w:r>
          </w:p>
        </w:tc>
        <w:tc>
          <w:tcPr>
            <w:tcW w:w="280" w:type="dxa"/>
            <w:vAlign w:val="bottom"/>
            <w:tcBorders>
              <w:top w:val="single" w:sz="8" w:color="auto"/>
            </w:tcBorders>
          </w:tcPr>
          <w:p>
            <w:pPr>
              <w:spacing w:after="0"/>
              <w:rPr>
                <w:sz w:val="16"/>
                <w:szCs w:val="16"/>
                <w:color w:val="auto"/>
              </w:rPr>
            </w:pPr>
          </w:p>
        </w:tc>
        <w:tc>
          <w:tcPr>
            <w:tcW w:w="180" w:type="dxa"/>
            <w:vAlign w:val="bottom"/>
            <w:tcBorders>
              <w:top w:val="single" w:sz="8" w:color="auto"/>
            </w:tcBorders>
          </w:tcPr>
          <w:p>
            <w:pPr>
              <w:spacing w:after="0"/>
              <w:rPr>
                <w:sz w:val="16"/>
                <w:szCs w:val="16"/>
                <w:color w:val="auto"/>
              </w:rPr>
            </w:pPr>
          </w:p>
        </w:tc>
        <w:tc>
          <w:tcPr>
            <w:tcW w:w="1540" w:type="dxa"/>
            <w:vAlign w:val="bottom"/>
            <w:tcBorders>
              <w:top w:val="single" w:sz="8" w:color="auto"/>
            </w:tcBorders>
          </w:tcPr>
          <w:p>
            <w:pPr>
              <w:jc w:val="right"/>
              <w:ind w:right="130"/>
              <w:spacing w:after="0" w:line="191" w:lineRule="exact"/>
              <w:rPr>
                <w:sz w:val="20"/>
                <w:szCs w:val="20"/>
                <w:color w:val="auto"/>
              </w:rPr>
            </w:pPr>
            <w:r>
              <w:rPr>
                <w:rFonts w:ascii="Arial" w:cs="Arial" w:eastAsia="Arial" w:hAnsi="Arial"/>
                <w:sz w:val="18"/>
                <w:szCs w:val="18"/>
                <w:b w:val="1"/>
                <w:bCs w:val="1"/>
                <w:color w:val="auto"/>
              </w:rPr>
              <w:t>September 27,</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34"/>
        </w:trPr>
        <w:tc>
          <w:tcPr>
            <w:tcW w:w="5780" w:type="dxa"/>
            <w:vAlign w:val="bottom"/>
            <w:gridSpan w:val="2"/>
          </w:tcPr>
          <w:p>
            <w:pPr>
              <w:spacing w:after="0"/>
              <w:rPr>
                <w:sz w:val="20"/>
                <w:szCs w:val="20"/>
                <w:color w:val="auto"/>
              </w:rPr>
            </w:pPr>
          </w:p>
        </w:tc>
        <w:tc>
          <w:tcPr>
            <w:tcW w:w="1280" w:type="dxa"/>
            <w:vAlign w:val="bottom"/>
            <w:tcBorders>
              <w:bottom w:val="single" w:sz="8" w:color="auto"/>
            </w:tcBorders>
          </w:tcPr>
          <w:p>
            <w:pPr>
              <w:jc w:val="right"/>
              <w:ind w:right="230"/>
              <w:spacing w:after="0"/>
              <w:rPr>
                <w:sz w:val="20"/>
                <w:szCs w:val="20"/>
                <w:color w:val="auto"/>
              </w:rPr>
            </w:pPr>
            <w:r>
              <w:rPr>
                <w:rFonts w:ascii="Arial" w:cs="Arial" w:eastAsia="Arial" w:hAnsi="Arial"/>
                <w:sz w:val="18"/>
                <w:szCs w:val="18"/>
                <w:b w:val="1"/>
                <w:bCs w:val="1"/>
                <w:color w:val="auto"/>
              </w:rPr>
              <w:t>2015</w:t>
            </w:r>
          </w:p>
        </w:tc>
        <w:tc>
          <w:tcPr>
            <w:tcW w:w="280" w:type="dxa"/>
            <w:vAlign w:val="bottom"/>
            <w:tcBorders>
              <w:bottom w:val="single" w:sz="8" w:color="auto"/>
            </w:tcBorders>
          </w:tcPr>
          <w:p>
            <w:pPr>
              <w:spacing w:after="0"/>
              <w:rPr>
                <w:sz w:val="20"/>
                <w:szCs w:val="20"/>
                <w:color w:val="auto"/>
              </w:rPr>
            </w:pPr>
          </w:p>
        </w:tc>
        <w:tc>
          <w:tcPr>
            <w:tcW w:w="180" w:type="dxa"/>
            <w:vAlign w:val="bottom"/>
          </w:tcPr>
          <w:p>
            <w:pPr>
              <w:spacing w:after="0"/>
              <w:rPr>
                <w:sz w:val="20"/>
                <w:szCs w:val="20"/>
                <w:color w:val="auto"/>
              </w:rPr>
            </w:pPr>
          </w:p>
        </w:tc>
        <w:tc>
          <w:tcPr>
            <w:tcW w:w="1540" w:type="dxa"/>
            <w:vAlign w:val="bottom"/>
            <w:tcBorders>
              <w:bottom w:val="single" w:sz="8" w:color="auto"/>
            </w:tcBorders>
          </w:tcPr>
          <w:p>
            <w:pPr>
              <w:jc w:val="right"/>
              <w:ind w:right="510"/>
              <w:spacing w:after="0"/>
              <w:rPr>
                <w:sz w:val="20"/>
                <w:szCs w:val="20"/>
                <w:color w:val="auto"/>
              </w:rPr>
            </w:pPr>
            <w:r>
              <w:rPr>
                <w:rFonts w:ascii="Arial" w:cs="Arial" w:eastAsia="Arial" w:hAnsi="Arial"/>
                <w:sz w:val="18"/>
                <w:szCs w:val="18"/>
                <w:b w:val="1"/>
                <w:bCs w:val="1"/>
                <w:color w:val="auto"/>
              </w:rPr>
              <w:t>2014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0"/>
        </w:trPr>
        <w:tc>
          <w:tcPr>
            <w:tcW w:w="20" w:type="dxa"/>
            <w:vAlign w:val="bottom"/>
            <w:vMerge w:val="restart"/>
          </w:tcPr>
          <w:p>
            <w:pPr>
              <w:spacing w:after="0"/>
              <w:rPr>
                <w:sz w:val="18"/>
                <w:szCs w:val="18"/>
                <w:color w:val="auto"/>
              </w:rPr>
            </w:pPr>
          </w:p>
        </w:tc>
        <w:tc>
          <w:tcPr>
            <w:tcW w:w="7040" w:type="dxa"/>
            <w:vAlign w:val="bottom"/>
            <w:gridSpan w:val="2"/>
          </w:tcPr>
          <w:p>
            <w:pPr>
              <w:spacing w:after="0"/>
              <w:rPr>
                <w:sz w:val="18"/>
                <w:szCs w:val="18"/>
                <w:color w:val="auto"/>
              </w:rPr>
            </w:pPr>
          </w:p>
        </w:tc>
        <w:tc>
          <w:tcPr>
            <w:tcW w:w="2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5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04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Beginning of period</w:t>
            </w:r>
          </w:p>
        </w:tc>
        <w:tc>
          <w:tcPr>
            <w:tcW w:w="2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71</w:t>
            </w:r>
          </w:p>
        </w:tc>
        <w:tc>
          <w:tcPr>
            <w:tcW w:w="180" w:type="dxa"/>
            <w:vAlign w:val="bottom"/>
            <w:shd w:val="clear" w:color="auto" w:fill="CCEEFF"/>
          </w:tcPr>
          <w:p>
            <w:pPr>
              <w:spacing w:after="0"/>
              <w:rPr>
                <w:sz w:val="18"/>
                <w:szCs w:val="18"/>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86</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040" w:type="dxa"/>
            <w:vAlign w:val="bottom"/>
            <w:gridSpan w:val="2"/>
          </w:tcPr>
          <w:p>
            <w:pPr>
              <w:spacing w:after="0"/>
              <w:rPr>
                <w:sz w:val="20"/>
                <w:szCs w:val="20"/>
                <w:color w:val="auto"/>
              </w:rPr>
            </w:pPr>
            <w:r>
              <w:rPr>
                <w:rFonts w:ascii="Arial" w:cs="Arial" w:eastAsia="Arial" w:hAnsi="Arial"/>
                <w:sz w:val="18"/>
                <w:szCs w:val="18"/>
                <w:color w:val="auto"/>
              </w:rPr>
              <w:t>Opened</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4</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3</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5760" w:type="dxa"/>
            <w:vAlign w:val="bottom"/>
            <w:shd w:val="clear" w:color="auto" w:fill="CCEEFF"/>
          </w:tcPr>
          <w:p>
            <w:pPr>
              <w:spacing w:after="0"/>
              <w:rPr>
                <w:sz w:val="20"/>
                <w:szCs w:val="20"/>
                <w:color w:val="auto"/>
              </w:rPr>
            </w:pPr>
            <w:r>
              <w:rPr>
                <w:rFonts w:ascii="Arial" w:cs="Arial" w:eastAsia="Arial" w:hAnsi="Arial"/>
                <w:sz w:val="18"/>
                <w:szCs w:val="18"/>
                <w:color w:val="auto"/>
              </w:rPr>
              <w:t>Closed</w:t>
            </w:r>
          </w:p>
        </w:tc>
        <w:tc>
          <w:tcPr>
            <w:tcW w:w="1280" w:type="dxa"/>
            <w:vAlign w:val="bottom"/>
            <w:shd w:val="clear" w:color="auto" w:fill="CCEEFF"/>
          </w:tcPr>
          <w:p>
            <w:pPr>
              <w:spacing w:after="0"/>
              <w:rPr>
                <w:sz w:val="18"/>
                <w:szCs w:val="18"/>
                <w:color w:val="auto"/>
              </w:rPr>
            </w:pPr>
          </w:p>
        </w:tc>
        <w:tc>
          <w:tcPr>
            <w:tcW w:w="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(8)</w:t>
            </w:r>
          </w:p>
        </w:tc>
        <w:tc>
          <w:tcPr>
            <w:tcW w:w="162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(19)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shd w:val="clear" w:color="auto" w:fill="CCEEFF"/>
          </w:tcPr>
          <w:p>
            <w:pPr>
              <w:spacing w:after="0" w:line="20" w:lineRule="exact"/>
              <w:rPr>
                <w:sz w:val="1"/>
                <w:szCs w:val="1"/>
                <w:color w:val="auto"/>
              </w:rPr>
            </w:pPr>
          </w:p>
        </w:tc>
        <w:tc>
          <w:tcPr>
            <w:tcW w:w="128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80" w:type="dxa"/>
            <w:vAlign w:val="bottom"/>
            <w:shd w:val="clear" w:color="auto" w:fill="CCEEFF"/>
          </w:tcPr>
          <w:p>
            <w:pPr>
              <w:spacing w:after="0" w:line="20" w:lineRule="exact"/>
              <w:rPr>
                <w:sz w:val="1"/>
                <w:szCs w:val="1"/>
                <w:color w:val="auto"/>
              </w:rPr>
            </w:pPr>
          </w:p>
        </w:tc>
        <w:tc>
          <w:tcPr>
            <w:tcW w:w="154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060" w:type="dxa"/>
            <w:vAlign w:val="bottom"/>
            <w:gridSpan w:val="3"/>
          </w:tcPr>
          <w:p>
            <w:pPr>
              <w:spacing w:after="0"/>
              <w:rPr>
                <w:sz w:val="20"/>
                <w:szCs w:val="20"/>
                <w:color w:val="auto"/>
              </w:rPr>
            </w:pPr>
            <w:r>
              <w:rPr>
                <w:rFonts w:ascii="Arial" w:cs="Arial" w:eastAsia="Arial" w:hAnsi="Arial"/>
                <w:sz w:val="18"/>
                <w:szCs w:val="18"/>
                <w:color w:val="auto"/>
              </w:rPr>
              <w:t>End of period</w:t>
            </w:r>
          </w:p>
        </w:tc>
        <w:tc>
          <w:tcPr>
            <w:tcW w:w="280" w:type="dxa"/>
            <w:vAlign w:val="bottom"/>
          </w:tcPr>
          <w:p>
            <w:pPr>
              <w:jc w:val="right"/>
              <w:spacing w:after="0"/>
              <w:rPr>
                <w:sz w:val="20"/>
                <w:szCs w:val="20"/>
                <w:color w:val="auto"/>
              </w:rPr>
            </w:pPr>
            <w:r>
              <w:rPr>
                <w:rFonts w:ascii="Arial" w:cs="Arial" w:eastAsia="Arial" w:hAnsi="Arial"/>
                <w:sz w:val="18"/>
                <w:szCs w:val="18"/>
                <w:b w:val="1"/>
                <w:bCs w:val="1"/>
                <w:color w:val="auto"/>
              </w:rPr>
              <w:t>67</w:t>
            </w:r>
          </w:p>
        </w:tc>
        <w:tc>
          <w:tcPr>
            <w:tcW w:w="180" w:type="dxa"/>
            <w:vAlign w:val="bottom"/>
          </w:tcPr>
          <w:p>
            <w:pPr>
              <w:spacing w:after="0"/>
              <w:rPr>
                <w:sz w:val="18"/>
                <w:szCs w:val="18"/>
                <w:color w:val="auto"/>
              </w:rPr>
            </w:pPr>
          </w:p>
        </w:tc>
        <w:tc>
          <w:tcPr>
            <w:tcW w:w="1540" w:type="dxa"/>
            <w:vAlign w:val="bottom"/>
          </w:tcPr>
          <w:p>
            <w:pPr>
              <w:jc w:val="right"/>
              <w:spacing w:after="0"/>
              <w:rPr>
                <w:sz w:val="20"/>
                <w:szCs w:val="20"/>
                <w:color w:val="auto"/>
              </w:rPr>
            </w:pPr>
            <w:r>
              <w:rPr>
                <w:rFonts w:ascii="Arial" w:cs="Arial" w:eastAsia="Arial" w:hAnsi="Arial"/>
                <w:sz w:val="18"/>
                <w:szCs w:val="18"/>
                <w:color w:val="auto"/>
              </w:rPr>
              <w:t>70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5760" w:type="dxa"/>
            <w:vAlign w:val="bottom"/>
          </w:tcPr>
          <w:p>
            <w:pPr>
              <w:spacing w:after="0" w:line="20" w:lineRule="exact"/>
              <w:rPr>
                <w:sz w:val="1"/>
                <w:szCs w:val="1"/>
                <w:color w:val="auto"/>
              </w:rPr>
            </w:pPr>
          </w:p>
        </w:tc>
        <w:tc>
          <w:tcPr>
            <w:tcW w:w="12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54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ind w:right="280"/>
        <w:spacing w:after="0" w:line="264" w:lineRule="auto"/>
        <w:rPr>
          <w:sz w:val="20"/>
          <w:szCs w:val="20"/>
          <w:color w:val="auto"/>
        </w:rPr>
      </w:pPr>
      <w:r>
        <w:rPr>
          <w:rFonts w:ascii="Arial" w:cs="Arial" w:eastAsia="Arial" w:hAnsi="Arial"/>
          <w:sz w:val="18"/>
          <w:szCs w:val="18"/>
          <w:color w:val="auto"/>
        </w:rPr>
        <w:t>In 2015, one franchise agreement expired and was not renewed and two franchise agreements were terminated. In the ordinary course of business, we anticipate signing additional master franchise agreements in the future and terminating other such agreements. We believe there is a market potential for approximately 300 international stores outside of North America and Europe.</w:t>
      </w:r>
    </w:p>
    <w:p>
      <w:pPr>
        <w:spacing w:after="0" w:line="181" w:lineRule="exact"/>
        <w:rPr>
          <w:sz w:val="20"/>
          <w:szCs w:val="20"/>
          <w:color w:val="auto"/>
        </w:rPr>
      </w:pPr>
    </w:p>
    <w:p>
      <w:pPr>
        <w:ind w:right="80"/>
        <w:spacing w:after="0" w:line="259" w:lineRule="auto"/>
        <w:rPr>
          <w:sz w:val="20"/>
          <w:szCs w:val="20"/>
          <w:color w:val="auto"/>
        </w:rPr>
      </w:pPr>
      <w:r>
        <w:rPr>
          <w:rFonts w:ascii="Arial" w:cs="Arial" w:eastAsia="Arial" w:hAnsi="Arial"/>
          <w:sz w:val="18"/>
          <w:szCs w:val="18"/>
          <w:color w:val="auto"/>
        </w:rPr>
        <w:t>In 2015, our international strategy is to leverage the improving strength in our company-owned stores to restructure and extend our international footprint. Key franchisees have started to apply our successful real estate approach including opening pop-up stores to assess long-term potential and adding shop-in-shops with key partners. As of October 3, 2015, our franchisees were operating eight of these non-traditional locations which are not included in the store count presented above.</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Results of Operations</w:t>
      </w:r>
    </w:p>
    <w:p>
      <w:pPr>
        <w:spacing w:after="0" w:line="229" w:lineRule="exact"/>
        <w:rPr>
          <w:sz w:val="20"/>
          <w:szCs w:val="20"/>
          <w:color w:val="auto"/>
        </w:rPr>
      </w:pPr>
    </w:p>
    <w:p>
      <w:pPr>
        <w:ind w:right="380"/>
        <w:spacing w:after="0" w:line="277" w:lineRule="auto"/>
        <w:rPr>
          <w:sz w:val="20"/>
          <w:szCs w:val="20"/>
          <w:color w:val="auto"/>
        </w:rPr>
      </w:pPr>
      <w:r>
        <w:rPr>
          <w:rFonts w:ascii="Arial" w:cs="Arial" w:eastAsia="Arial" w:hAnsi="Arial"/>
          <w:sz w:val="18"/>
          <w:szCs w:val="18"/>
          <w:color w:val="auto"/>
        </w:rPr>
        <w:t>The following table sets forth, for the periods indicated, selected statement of operations data expressed as a percentage of total revenues, except where otherwise indicated:</w:t>
      </w:r>
    </w:p>
    <w:p>
      <w:pPr>
        <w:spacing w:after="0" w:line="166"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BUILD-A-BEAR WORKSHOP, INC. AND SUBSIDIARIES</w:t>
      </w:r>
    </w:p>
    <w:p>
      <w:pPr>
        <w:spacing w:after="0" w:line="27"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CONDENSED CONSOLIDATED STATEMENTS OF OPERATIONS</w:t>
      </w:r>
    </w:p>
    <w:p>
      <w:pPr>
        <w:spacing w:after="0" w:line="9" w:lineRule="exact"/>
        <w:rPr>
          <w:sz w:val="20"/>
          <w:szCs w:val="20"/>
          <w:color w:val="auto"/>
        </w:rPr>
      </w:pPr>
    </w:p>
    <w:p>
      <w:pPr>
        <w:jc w:val="center"/>
        <w:ind w:right="-139"/>
        <w:spacing w:after="0"/>
        <w:rPr>
          <w:sz w:val="20"/>
          <w:szCs w:val="20"/>
          <w:color w:val="auto"/>
        </w:rPr>
      </w:pPr>
      <w:r>
        <w:rPr>
          <w:rFonts w:ascii="Arial" w:cs="Arial" w:eastAsia="Arial" w:hAnsi="Arial"/>
          <w:sz w:val="18"/>
          <w:szCs w:val="18"/>
          <w:b w:val="1"/>
          <w:bCs w:val="1"/>
          <w:color w:val="auto"/>
        </w:rPr>
        <w:t>(Unaudited)</w:t>
      </w:r>
    </w:p>
    <w:p>
      <w:pPr>
        <w:spacing w:after="0" w:line="207" w:lineRule="exact"/>
        <w:rPr>
          <w:sz w:val="20"/>
          <w:szCs w:val="20"/>
          <w:color w:val="auto"/>
        </w:rPr>
      </w:pPr>
    </w:p>
    <w:tbl>
      <w:tblPr>
        <w:tblLayout w:type="fixed"/>
        <w:tblInd w:w="580" w:type="dxa"/>
        <w:tblCellMar>
          <w:top w:w="0" w:type="dxa"/>
          <w:left w:w="0" w:type="dxa"/>
          <w:bottom w:w="0" w:type="dxa"/>
          <w:right w:w="0" w:type="dxa"/>
        </w:tblCellMar>
      </w:tblPr>
      <w:tr>
        <w:trPr>
          <w:trHeight w:val="234"/>
        </w:trPr>
        <w:tc>
          <w:tcPr>
            <w:tcW w:w="4500" w:type="dxa"/>
            <w:vAlign w:val="bottom"/>
          </w:tcPr>
          <w:p>
            <w:pPr>
              <w:spacing w:after="0"/>
              <w:rPr>
                <w:sz w:val="20"/>
                <w:szCs w:val="20"/>
                <w:color w:val="auto"/>
              </w:rPr>
            </w:pPr>
          </w:p>
        </w:tc>
        <w:tc>
          <w:tcPr>
            <w:tcW w:w="2920" w:type="dxa"/>
            <w:vAlign w:val="bottom"/>
            <w:gridSpan w:val="4"/>
          </w:tcPr>
          <w:p>
            <w:pPr>
              <w:jc w:val="right"/>
              <w:ind w:right="740"/>
              <w:spacing w:after="0"/>
              <w:rPr>
                <w:sz w:val="20"/>
                <w:szCs w:val="20"/>
                <w:color w:val="auto"/>
              </w:rPr>
            </w:pPr>
            <w:r>
              <w:rPr>
                <w:rFonts w:ascii="Arial" w:cs="Arial" w:eastAsia="Arial" w:hAnsi="Arial"/>
                <w:sz w:val="18"/>
                <w:szCs w:val="18"/>
                <w:b w:val="1"/>
                <w:bCs w:val="1"/>
                <w:color w:val="auto"/>
              </w:rPr>
              <w:t>Thirteen weeks ended</w:t>
            </w:r>
          </w:p>
        </w:tc>
        <w:tc>
          <w:tcPr>
            <w:tcW w:w="2840" w:type="dxa"/>
            <w:vAlign w:val="bottom"/>
            <w:gridSpan w:val="4"/>
          </w:tcPr>
          <w:p>
            <w:pPr>
              <w:jc w:val="right"/>
              <w:ind w:right="540"/>
              <w:spacing w:after="0"/>
              <w:rPr>
                <w:sz w:val="20"/>
                <w:szCs w:val="20"/>
                <w:color w:val="auto"/>
              </w:rPr>
            </w:pPr>
            <w:r>
              <w:rPr>
                <w:rFonts w:ascii="Arial" w:cs="Arial" w:eastAsia="Arial" w:hAnsi="Arial"/>
                <w:sz w:val="18"/>
                <w:szCs w:val="18"/>
                <w:b w:val="1"/>
                <w:bCs w:val="1"/>
                <w:color w:val="auto"/>
              </w:rPr>
              <w:t>Thirty-nine weeks ended</w:t>
            </w:r>
          </w:p>
        </w:tc>
      </w:tr>
      <w:tr>
        <w:trPr>
          <w:trHeight w:val="191"/>
        </w:trPr>
        <w:tc>
          <w:tcPr>
            <w:tcW w:w="4500" w:type="dxa"/>
            <w:vAlign w:val="bottom"/>
          </w:tcPr>
          <w:p>
            <w:pPr>
              <w:spacing w:after="0"/>
              <w:rPr>
                <w:sz w:val="16"/>
                <w:szCs w:val="16"/>
                <w:color w:val="auto"/>
              </w:rPr>
            </w:pPr>
          </w:p>
        </w:tc>
        <w:tc>
          <w:tcPr>
            <w:tcW w:w="1460" w:type="dxa"/>
            <w:vAlign w:val="bottom"/>
            <w:tcBorders>
              <w:top w:val="single" w:sz="8" w:color="auto"/>
            </w:tcBorders>
            <w:gridSpan w:val="2"/>
          </w:tcPr>
          <w:p>
            <w:pPr>
              <w:jc w:val="right"/>
              <w:ind w:right="460"/>
              <w:spacing w:after="0" w:line="191" w:lineRule="exact"/>
              <w:rPr>
                <w:sz w:val="20"/>
                <w:szCs w:val="20"/>
                <w:color w:val="auto"/>
              </w:rPr>
            </w:pPr>
            <w:r>
              <w:rPr>
                <w:rFonts w:ascii="Arial" w:cs="Arial" w:eastAsia="Arial" w:hAnsi="Arial"/>
                <w:sz w:val="18"/>
                <w:szCs w:val="18"/>
                <w:b w:val="1"/>
                <w:bCs w:val="1"/>
                <w:color w:val="auto"/>
              </w:rPr>
              <w:t>October 3,</w:t>
            </w:r>
          </w:p>
        </w:tc>
        <w:tc>
          <w:tcPr>
            <w:tcW w:w="12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2"/>
              </w:rPr>
              <w:t>September 27,</w:t>
            </w:r>
          </w:p>
        </w:tc>
        <w:tc>
          <w:tcPr>
            <w:tcW w:w="260" w:type="dxa"/>
            <w:vAlign w:val="bottom"/>
          </w:tcPr>
          <w:p>
            <w:pPr>
              <w:spacing w:after="0"/>
              <w:rPr>
                <w:sz w:val="16"/>
                <w:szCs w:val="16"/>
                <w:color w:val="auto"/>
              </w:rPr>
            </w:pPr>
          </w:p>
        </w:tc>
        <w:tc>
          <w:tcPr>
            <w:tcW w:w="1460" w:type="dxa"/>
            <w:vAlign w:val="bottom"/>
            <w:tcBorders>
              <w:top w:val="single" w:sz="8" w:color="auto"/>
            </w:tcBorders>
            <w:gridSpan w:val="2"/>
          </w:tcPr>
          <w:p>
            <w:pPr>
              <w:jc w:val="center"/>
              <w:ind w:right="240"/>
              <w:spacing w:after="0" w:line="191" w:lineRule="exact"/>
              <w:rPr>
                <w:sz w:val="20"/>
                <w:szCs w:val="20"/>
                <w:color w:val="auto"/>
              </w:rPr>
            </w:pPr>
            <w:r>
              <w:rPr>
                <w:rFonts w:ascii="Arial" w:cs="Arial" w:eastAsia="Arial" w:hAnsi="Arial"/>
                <w:sz w:val="18"/>
                <w:szCs w:val="18"/>
                <w:b w:val="1"/>
                <w:bCs w:val="1"/>
                <w:color w:val="auto"/>
                <w:w w:val="92"/>
              </w:rPr>
              <w:t>October 3,</w:t>
            </w:r>
          </w:p>
        </w:tc>
        <w:tc>
          <w:tcPr>
            <w:tcW w:w="122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b w:val="1"/>
                <w:bCs w:val="1"/>
                <w:color w:val="auto"/>
                <w:w w:val="92"/>
              </w:rPr>
              <w:t>September 27,</w:t>
            </w:r>
          </w:p>
        </w:tc>
        <w:tc>
          <w:tcPr>
            <w:tcW w:w="160" w:type="dxa"/>
            <w:vAlign w:val="bottom"/>
          </w:tcPr>
          <w:p>
            <w:pPr>
              <w:spacing w:after="0"/>
              <w:rPr>
                <w:sz w:val="16"/>
                <w:szCs w:val="16"/>
                <w:color w:val="auto"/>
              </w:rPr>
            </w:pPr>
          </w:p>
        </w:tc>
      </w:tr>
      <w:tr>
        <w:trPr>
          <w:trHeight w:val="234"/>
        </w:trPr>
        <w:tc>
          <w:tcPr>
            <w:tcW w:w="4500" w:type="dxa"/>
            <w:vAlign w:val="bottom"/>
          </w:tcPr>
          <w:p>
            <w:pPr>
              <w:spacing w:after="0"/>
              <w:rPr>
                <w:sz w:val="20"/>
                <w:szCs w:val="20"/>
                <w:color w:val="auto"/>
              </w:rPr>
            </w:pPr>
          </w:p>
        </w:tc>
        <w:tc>
          <w:tcPr>
            <w:tcW w:w="1220" w:type="dxa"/>
            <w:vAlign w:val="bottom"/>
            <w:tcBorders>
              <w:bottom w:val="single" w:sz="8" w:color="auto"/>
            </w:tcBorders>
          </w:tcPr>
          <w:p>
            <w:pPr>
              <w:jc w:val="right"/>
              <w:ind w:right="350"/>
              <w:spacing w:after="0"/>
              <w:rPr>
                <w:sz w:val="20"/>
                <w:szCs w:val="20"/>
                <w:color w:val="auto"/>
              </w:rPr>
            </w:pPr>
            <w:r>
              <w:rPr>
                <w:rFonts w:ascii="Arial" w:cs="Arial" w:eastAsia="Arial" w:hAnsi="Arial"/>
                <w:sz w:val="18"/>
                <w:szCs w:val="18"/>
                <w:b w:val="1"/>
                <w:bCs w:val="1"/>
                <w:color w:val="auto"/>
              </w:rPr>
              <w:t>2015</w:t>
            </w:r>
          </w:p>
        </w:tc>
        <w:tc>
          <w:tcPr>
            <w:tcW w:w="24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260" w:type="dxa"/>
            <w:vAlign w:val="bottom"/>
          </w:tcPr>
          <w:p>
            <w:pPr>
              <w:spacing w:after="0"/>
              <w:rPr>
                <w:sz w:val="20"/>
                <w:szCs w:val="20"/>
                <w:color w:val="auto"/>
              </w:rPr>
            </w:pPr>
          </w:p>
        </w:tc>
        <w:tc>
          <w:tcPr>
            <w:tcW w:w="120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2015</w:t>
            </w:r>
          </w:p>
        </w:tc>
        <w:tc>
          <w:tcPr>
            <w:tcW w:w="260" w:type="dxa"/>
            <w:vAlign w:val="bottom"/>
          </w:tcPr>
          <w:p>
            <w:pPr>
              <w:spacing w:after="0"/>
              <w:rPr>
                <w:sz w:val="20"/>
                <w:szCs w:val="20"/>
                <w:color w:val="auto"/>
              </w:rPr>
            </w:pPr>
          </w:p>
        </w:tc>
        <w:tc>
          <w:tcPr>
            <w:tcW w:w="1220" w:type="dxa"/>
            <w:vAlign w:val="bottom"/>
            <w:tcBorders>
              <w:bottom w:val="single" w:sz="8" w:color="auto"/>
            </w:tcBorders>
          </w:tcPr>
          <w:p>
            <w:pPr>
              <w:jc w:val="right"/>
              <w:ind w:right="330"/>
              <w:spacing w:after="0"/>
              <w:rPr>
                <w:sz w:val="20"/>
                <w:szCs w:val="20"/>
                <w:color w:val="auto"/>
              </w:rPr>
            </w:pPr>
            <w:r>
              <w:rPr>
                <w:rFonts w:ascii="Arial" w:cs="Arial" w:eastAsia="Arial" w:hAnsi="Arial"/>
                <w:sz w:val="18"/>
                <w:szCs w:val="18"/>
                <w:b w:val="1"/>
                <w:bCs w:val="1"/>
                <w:color w:val="auto"/>
              </w:rPr>
              <w:t>2014</w:t>
            </w:r>
          </w:p>
        </w:tc>
        <w:tc>
          <w:tcPr>
            <w:tcW w:w="160" w:type="dxa"/>
            <w:vAlign w:val="bottom"/>
          </w:tcPr>
          <w:p>
            <w:pPr>
              <w:spacing w:after="0"/>
              <w:rPr>
                <w:sz w:val="20"/>
                <w:szCs w:val="20"/>
                <w:color w:val="auto"/>
              </w:rPr>
            </w:pPr>
          </w:p>
        </w:tc>
      </w:tr>
      <w:tr>
        <w:trPr>
          <w:trHeight w:val="210"/>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Revenues:</w:t>
            </w:r>
          </w:p>
        </w:tc>
        <w:tc>
          <w:tcPr>
            <w:tcW w:w="1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00" w:type="dxa"/>
            <w:vAlign w:val="bottom"/>
          </w:tcPr>
          <w:p>
            <w:pPr>
              <w:ind w:left="320"/>
              <w:spacing w:after="0"/>
              <w:rPr>
                <w:sz w:val="20"/>
                <w:szCs w:val="20"/>
                <w:color w:val="auto"/>
              </w:rPr>
            </w:pPr>
            <w:r>
              <w:rPr>
                <w:rFonts w:ascii="Arial" w:cs="Arial" w:eastAsia="Arial" w:hAnsi="Arial"/>
                <w:sz w:val="18"/>
                <w:szCs w:val="18"/>
                <w:color w:val="auto"/>
              </w:rPr>
              <w:t>Net retail sales</w:t>
            </w:r>
          </w:p>
        </w:tc>
        <w:tc>
          <w:tcPr>
            <w:tcW w:w="1460" w:type="dxa"/>
            <w:vAlign w:val="bottom"/>
            <w:gridSpan w:val="2"/>
          </w:tcPr>
          <w:p>
            <w:pPr>
              <w:jc w:val="right"/>
              <w:ind w:right="120"/>
              <w:spacing w:after="0"/>
              <w:rPr>
                <w:sz w:val="20"/>
                <w:szCs w:val="20"/>
                <w:color w:val="auto"/>
              </w:rPr>
            </w:pPr>
            <w:r>
              <w:rPr>
                <w:rFonts w:ascii="Arial" w:cs="Arial" w:eastAsia="Arial" w:hAnsi="Arial"/>
                <w:sz w:val="18"/>
                <w:szCs w:val="18"/>
                <w:color w:val="auto"/>
              </w:rPr>
              <w:t>98.5%</w:t>
            </w:r>
          </w:p>
        </w:tc>
        <w:tc>
          <w:tcPr>
            <w:tcW w:w="1460" w:type="dxa"/>
            <w:vAlign w:val="bottom"/>
            <w:gridSpan w:val="2"/>
          </w:tcPr>
          <w:p>
            <w:pPr>
              <w:jc w:val="right"/>
              <w:ind w:right="100"/>
              <w:spacing w:after="0"/>
              <w:rPr>
                <w:sz w:val="20"/>
                <w:szCs w:val="20"/>
                <w:color w:val="auto"/>
              </w:rPr>
            </w:pPr>
            <w:r>
              <w:rPr>
                <w:rFonts w:ascii="Arial" w:cs="Arial" w:eastAsia="Arial" w:hAnsi="Arial"/>
                <w:sz w:val="18"/>
                <w:szCs w:val="18"/>
                <w:color w:val="auto"/>
              </w:rPr>
              <w:t>98.7%</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98.5</w:t>
            </w:r>
          </w:p>
        </w:tc>
        <w:tc>
          <w:tcPr>
            <w:tcW w:w="1380" w:type="dxa"/>
            <w:vAlign w:val="bottom"/>
            <w:gridSpan w:val="2"/>
          </w:tcPr>
          <w:p>
            <w:pPr>
              <w:jc w:val="right"/>
              <w:spacing w:after="0"/>
              <w:rPr>
                <w:sz w:val="20"/>
                <w:szCs w:val="20"/>
                <w:color w:val="auto"/>
              </w:rPr>
            </w:pPr>
            <w:r>
              <w:rPr>
                <w:rFonts w:ascii="Arial" w:cs="Arial" w:eastAsia="Arial" w:hAnsi="Arial"/>
                <w:sz w:val="18"/>
                <w:szCs w:val="18"/>
                <w:color w:val="auto"/>
              </w:rPr>
              <w:t>98.8%</w:t>
            </w:r>
          </w:p>
        </w:tc>
      </w:tr>
      <w:tr>
        <w:trPr>
          <w:trHeight w:val="216"/>
        </w:trPr>
        <w:tc>
          <w:tcPr>
            <w:tcW w:w="4500" w:type="dxa"/>
            <w:vAlign w:val="bottom"/>
            <w:shd w:val="clear" w:color="auto" w:fill="CCEEFF"/>
          </w:tcPr>
          <w:p>
            <w:pPr>
              <w:ind w:left="320"/>
              <w:spacing w:after="0"/>
              <w:rPr>
                <w:sz w:val="20"/>
                <w:szCs w:val="20"/>
                <w:color w:val="auto"/>
              </w:rPr>
            </w:pPr>
            <w:r>
              <w:rPr>
                <w:rFonts w:ascii="Arial" w:cs="Arial" w:eastAsia="Arial" w:hAnsi="Arial"/>
                <w:sz w:val="18"/>
                <w:szCs w:val="18"/>
                <w:color w:val="auto"/>
              </w:rPr>
              <w:t>Franchise fees</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0.6</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0.6</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0.6</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0.7</w:t>
            </w:r>
          </w:p>
        </w:tc>
      </w:tr>
      <w:tr>
        <w:trPr>
          <w:trHeight w:val="216"/>
        </w:trPr>
        <w:tc>
          <w:tcPr>
            <w:tcW w:w="4500" w:type="dxa"/>
            <w:vAlign w:val="bottom"/>
          </w:tcPr>
          <w:p>
            <w:pPr>
              <w:ind w:left="320"/>
              <w:spacing w:after="0"/>
              <w:rPr>
                <w:sz w:val="20"/>
                <w:szCs w:val="20"/>
                <w:color w:val="auto"/>
              </w:rPr>
            </w:pPr>
            <w:r>
              <w:rPr>
                <w:rFonts w:ascii="Arial" w:cs="Arial" w:eastAsia="Arial" w:hAnsi="Arial"/>
                <w:sz w:val="18"/>
                <w:szCs w:val="18"/>
                <w:color w:val="auto"/>
              </w:rPr>
              <w:t>Commercial revenue</w:t>
            </w:r>
          </w:p>
        </w:tc>
        <w:tc>
          <w:tcPr>
            <w:tcW w:w="1220" w:type="dxa"/>
            <w:vAlign w:val="bottom"/>
          </w:tcPr>
          <w:p>
            <w:pPr>
              <w:jc w:val="right"/>
              <w:spacing w:after="0"/>
              <w:rPr>
                <w:sz w:val="20"/>
                <w:szCs w:val="20"/>
                <w:color w:val="auto"/>
              </w:rPr>
            </w:pPr>
            <w:r>
              <w:rPr>
                <w:rFonts w:ascii="Arial" w:cs="Arial" w:eastAsia="Arial" w:hAnsi="Arial"/>
                <w:sz w:val="18"/>
                <w:szCs w:val="18"/>
                <w:color w:val="auto"/>
              </w:rPr>
              <w:t>0.9</w:t>
            </w:r>
          </w:p>
        </w:tc>
        <w:tc>
          <w:tcPr>
            <w:tcW w:w="24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0.6</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0.8</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0.5</w:t>
            </w:r>
          </w:p>
        </w:tc>
      </w:tr>
      <w:tr>
        <w:trPr>
          <w:trHeight w:val="210"/>
        </w:trPr>
        <w:tc>
          <w:tcPr>
            <w:tcW w:w="4500" w:type="dxa"/>
            <w:vAlign w:val="bottom"/>
            <w:shd w:val="clear" w:color="auto" w:fill="CCEEFF"/>
          </w:tcPr>
          <w:p>
            <w:pPr>
              <w:ind w:left="800"/>
              <w:spacing w:after="0"/>
              <w:rPr>
                <w:sz w:val="20"/>
                <w:szCs w:val="20"/>
                <w:color w:val="auto"/>
              </w:rPr>
            </w:pPr>
            <w:r>
              <w:rPr>
                <w:rFonts w:ascii="Arial" w:cs="Arial" w:eastAsia="Arial" w:hAnsi="Arial"/>
                <w:sz w:val="18"/>
                <w:szCs w:val="18"/>
                <w:color w:val="auto"/>
              </w:rPr>
              <w:t>Total revenues</w:t>
            </w:r>
          </w:p>
        </w:tc>
        <w:tc>
          <w:tcPr>
            <w:tcW w:w="1220" w:type="dxa"/>
            <w:vAlign w:val="bottom"/>
            <w:tcBorders>
              <w:top w:val="single" w:sz="8" w:color="auto"/>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4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26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100.0</w:t>
            </w:r>
          </w:p>
        </w:tc>
        <w:tc>
          <w:tcPr>
            <w:tcW w:w="160" w:type="dxa"/>
            <w:vAlign w:val="bottom"/>
            <w:shd w:val="clear" w:color="auto" w:fill="CCEEFF"/>
          </w:tcPr>
          <w:p>
            <w:pPr>
              <w:spacing w:after="0"/>
              <w:rPr>
                <w:sz w:val="18"/>
                <w:szCs w:val="18"/>
                <w:color w:val="auto"/>
              </w:rPr>
            </w:pPr>
          </w:p>
        </w:tc>
      </w:tr>
      <w:tr>
        <w:trPr>
          <w:trHeight w:val="210"/>
        </w:trPr>
        <w:tc>
          <w:tcPr>
            <w:tcW w:w="4500" w:type="dxa"/>
            <w:vAlign w:val="bottom"/>
            <w:tcBorders>
              <w:top w:val="single" w:sz="8" w:color="CCEEFF"/>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24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00" w:type="dxa"/>
            <w:vAlign w:val="bottom"/>
            <w:tcBorders>
              <w:top w:val="single" w:sz="8" w:color="auto"/>
            </w:tcBorders>
          </w:tcPr>
          <w:p>
            <w:pPr>
              <w:spacing w:after="0"/>
              <w:rPr>
                <w:sz w:val="18"/>
                <w:szCs w:val="18"/>
                <w:color w:val="auto"/>
              </w:rPr>
            </w:pPr>
          </w:p>
        </w:tc>
        <w:tc>
          <w:tcPr>
            <w:tcW w:w="260" w:type="dxa"/>
            <w:vAlign w:val="bottom"/>
            <w:tcBorders>
              <w:top w:val="single" w:sz="8" w:color="CCEEFF"/>
            </w:tcBorders>
          </w:tcPr>
          <w:p>
            <w:pPr>
              <w:spacing w:after="0"/>
              <w:rPr>
                <w:sz w:val="18"/>
                <w:szCs w:val="18"/>
                <w:color w:val="auto"/>
              </w:rPr>
            </w:pPr>
          </w:p>
        </w:tc>
        <w:tc>
          <w:tcPr>
            <w:tcW w:w="1220" w:type="dxa"/>
            <w:vAlign w:val="bottom"/>
            <w:tcBorders>
              <w:top w:val="single" w:sz="8" w:color="auto"/>
            </w:tcBorders>
          </w:tcPr>
          <w:p>
            <w:pPr>
              <w:spacing w:after="0"/>
              <w:rPr>
                <w:sz w:val="18"/>
                <w:szCs w:val="18"/>
                <w:color w:val="auto"/>
              </w:rPr>
            </w:pPr>
          </w:p>
        </w:tc>
        <w:tc>
          <w:tcPr>
            <w:tcW w:w="160" w:type="dxa"/>
            <w:vAlign w:val="bottom"/>
            <w:tcBorders>
              <w:top w:val="single" w:sz="8" w:color="CCEEFF"/>
            </w:tcBorders>
          </w:tcPr>
          <w:p>
            <w:pPr>
              <w:spacing w:after="0"/>
              <w:rPr>
                <w:sz w:val="18"/>
                <w:szCs w:val="18"/>
                <w:color w:val="auto"/>
              </w:rPr>
            </w:pPr>
          </w:p>
        </w:tc>
      </w:tr>
      <w:tr>
        <w:trPr>
          <w:trHeight w:val="216"/>
        </w:trPr>
        <w:tc>
          <w:tcPr>
            <w:tcW w:w="4500" w:type="dxa"/>
            <w:vAlign w:val="bottom"/>
            <w:shd w:val="clear" w:color="auto" w:fill="CCEEFF"/>
          </w:tcPr>
          <w:p>
            <w:pPr>
              <w:spacing w:after="0"/>
              <w:rPr>
                <w:sz w:val="20"/>
                <w:szCs w:val="20"/>
                <w:color w:val="auto"/>
              </w:rPr>
            </w:pPr>
            <w:r>
              <w:rPr>
                <w:rFonts w:ascii="Arial" w:cs="Arial" w:eastAsia="Arial" w:hAnsi="Arial"/>
                <w:sz w:val="18"/>
                <w:szCs w:val="18"/>
                <w:color w:val="auto"/>
              </w:rPr>
              <w:t>Costs and expenses:</w:t>
            </w:r>
          </w:p>
        </w:tc>
        <w:tc>
          <w:tcPr>
            <w:tcW w:w="1220" w:type="dxa"/>
            <w:vAlign w:val="bottom"/>
            <w:tcBorders>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00" w:type="dxa"/>
            <w:vAlign w:val="bottom"/>
          </w:tcPr>
          <w:p>
            <w:pPr>
              <w:ind w:left="320"/>
              <w:spacing w:after="0" w:line="216" w:lineRule="exact"/>
              <w:rPr>
                <w:sz w:val="20"/>
                <w:szCs w:val="20"/>
                <w:color w:val="auto"/>
              </w:rPr>
            </w:pPr>
            <w:r>
              <w:rPr>
                <w:rFonts w:ascii="Arial" w:cs="Arial" w:eastAsia="Arial" w:hAnsi="Arial"/>
                <w:sz w:val="16"/>
                <w:szCs w:val="16"/>
                <w:color w:val="auto"/>
              </w:rPr>
              <w:t xml:space="preserve">Cost of merchandise sold - retail </w:t>
            </w:r>
            <w:r>
              <w:rPr>
                <w:rFonts w:ascii="Arial" w:cs="Arial" w:eastAsia="Arial" w:hAnsi="Arial"/>
                <w:sz w:val="25"/>
                <w:szCs w:val="25"/>
                <w:color w:val="auto"/>
                <w:vertAlign w:val="superscript"/>
              </w:rPr>
              <w:t>(1)</w:t>
            </w:r>
          </w:p>
        </w:tc>
        <w:tc>
          <w:tcPr>
            <w:tcW w:w="1220" w:type="dxa"/>
            <w:vAlign w:val="bottom"/>
          </w:tcPr>
          <w:p>
            <w:pPr>
              <w:jc w:val="right"/>
              <w:spacing w:after="0"/>
              <w:rPr>
                <w:sz w:val="20"/>
                <w:szCs w:val="20"/>
                <w:color w:val="auto"/>
              </w:rPr>
            </w:pPr>
            <w:r>
              <w:rPr>
                <w:rFonts w:ascii="Arial" w:cs="Arial" w:eastAsia="Arial" w:hAnsi="Arial"/>
                <w:sz w:val="18"/>
                <w:szCs w:val="18"/>
                <w:color w:val="auto"/>
              </w:rPr>
              <w:t>54.7</w:t>
            </w:r>
          </w:p>
        </w:tc>
        <w:tc>
          <w:tcPr>
            <w:tcW w:w="24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56.3</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54.7</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57.7</w:t>
            </w:r>
          </w:p>
        </w:tc>
      </w:tr>
      <w:tr>
        <w:trPr>
          <w:trHeight w:val="216"/>
        </w:trPr>
        <w:tc>
          <w:tcPr>
            <w:tcW w:w="4500" w:type="dxa"/>
            <w:vAlign w:val="bottom"/>
            <w:shd w:val="clear" w:color="auto" w:fill="CCEEFF"/>
          </w:tcPr>
          <w:p>
            <w:pPr>
              <w:ind w:left="320"/>
              <w:spacing w:after="0" w:line="216" w:lineRule="exact"/>
              <w:rPr>
                <w:sz w:val="20"/>
                <w:szCs w:val="20"/>
                <w:color w:val="auto"/>
              </w:rPr>
            </w:pPr>
            <w:r>
              <w:rPr>
                <w:rFonts w:ascii="Arial" w:cs="Arial" w:eastAsia="Arial" w:hAnsi="Arial"/>
                <w:sz w:val="16"/>
                <w:szCs w:val="16"/>
                <w:color w:val="auto"/>
              </w:rPr>
              <w:t xml:space="preserve">Cost of merchandise sold - commercial </w:t>
            </w:r>
            <w:r>
              <w:rPr>
                <w:rFonts w:ascii="Arial" w:cs="Arial" w:eastAsia="Arial" w:hAnsi="Arial"/>
                <w:sz w:val="25"/>
                <w:szCs w:val="25"/>
                <w:color w:val="auto"/>
                <w:vertAlign w:val="superscript"/>
              </w:rPr>
              <w:t>(1)</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69.3</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51.3</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50.6</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46.0</w:t>
            </w:r>
          </w:p>
        </w:tc>
      </w:tr>
      <w:tr>
        <w:trPr>
          <w:trHeight w:val="216"/>
        </w:trPr>
        <w:tc>
          <w:tcPr>
            <w:tcW w:w="4500" w:type="dxa"/>
            <w:vAlign w:val="bottom"/>
          </w:tcPr>
          <w:p>
            <w:pPr>
              <w:ind w:left="480"/>
              <w:spacing w:after="0"/>
              <w:rPr>
                <w:sz w:val="20"/>
                <w:szCs w:val="20"/>
                <w:color w:val="auto"/>
              </w:rPr>
            </w:pPr>
            <w:r>
              <w:rPr>
                <w:rFonts w:ascii="Arial" w:cs="Arial" w:eastAsia="Arial" w:hAnsi="Arial"/>
                <w:sz w:val="18"/>
                <w:szCs w:val="18"/>
                <w:color w:val="auto"/>
              </w:rPr>
              <w:t>Selling, general and administrative</w:t>
            </w:r>
          </w:p>
        </w:tc>
        <w:tc>
          <w:tcPr>
            <w:tcW w:w="1220" w:type="dxa"/>
            <w:vAlign w:val="bottom"/>
          </w:tcPr>
          <w:p>
            <w:pPr>
              <w:jc w:val="right"/>
              <w:spacing w:after="0"/>
              <w:rPr>
                <w:sz w:val="20"/>
                <w:szCs w:val="20"/>
                <w:color w:val="auto"/>
              </w:rPr>
            </w:pPr>
            <w:r>
              <w:rPr>
                <w:rFonts w:ascii="Arial" w:cs="Arial" w:eastAsia="Arial" w:hAnsi="Arial"/>
                <w:sz w:val="18"/>
                <w:szCs w:val="18"/>
                <w:color w:val="auto"/>
              </w:rPr>
              <w:t>44.0</w:t>
            </w:r>
          </w:p>
        </w:tc>
        <w:tc>
          <w:tcPr>
            <w:tcW w:w="24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41.8</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42.6</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41.4</w:t>
            </w:r>
          </w:p>
        </w:tc>
      </w:tr>
      <w:tr>
        <w:trPr>
          <w:trHeight w:val="216"/>
        </w:trPr>
        <w:tc>
          <w:tcPr>
            <w:tcW w:w="4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Interest expense (income), net</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(0.0)</w:t>
            </w:r>
          </w:p>
        </w:tc>
        <w:tc>
          <w:tcPr>
            <w:tcW w:w="146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(0.1)</w:t>
            </w:r>
          </w:p>
        </w:tc>
        <w:tc>
          <w:tcPr>
            <w:tcW w:w="138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(0.0)</w:t>
            </w:r>
          </w:p>
        </w:tc>
      </w:tr>
      <w:tr>
        <w:trPr>
          <w:trHeight w:val="20"/>
        </w:trPr>
        <w:tc>
          <w:tcPr>
            <w:tcW w:w="4500" w:type="dxa"/>
            <w:vAlign w:val="bottom"/>
            <w:shd w:val="clear" w:color="auto" w:fill="CCEEFF"/>
          </w:tcPr>
          <w:p>
            <w:pPr>
              <w:spacing w:after="0" w:line="20" w:lineRule="exact"/>
              <w:rPr>
                <w:sz w:val="1"/>
                <w:szCs w:val="1"/>
                <w:color w:val="auto"/>
              </w:rPr>
            </w:pPr>
          </w:p>
        </w:tc>
        <w:tc>
          <w:tcPr>
            <w:tcW w:w="12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500" w:type="dxa"/>
            <w:vAlign w:val="bottom"/>
          </w:tcPr>
          <w:p>
            <w:pPr>
              <w:ind w:left="800"/>
              <w:spacing w:after="0"/>
              <w:rPr>
                <w:sz w:val="20"/>
                <w:szCs w:val="20"/>
                <w:color w:val="auto"/>
              </w:rPr>
            </w:pPr>
            <w:r>
              <w:rPr>
                <w:rFonts w:ascii="Arial" w:cs="Arial" w:eastAsia="Arial" w:hAnsi="Arial"/>
                <w:sz w:val="18"/>
                <w:szCs w:val="18"/>
                <w:color w:val="auto"/>
              </w:rPr>
              <w:t>Total costs and expenses</w:t>
            </w:r>
          </w:p>
        </w:tc>
        <w:tc>
          <w:tcPr>
            <w:tcW w:w="1220" w:type="dxa"/>
            <w:vAlign w:val="bottom"/>
          </w:tcPr>
          <w:p>
            <w:pPr>
              <w:jc w:val="right"/>
              <w:spacing w:after="0"/>
              <w:rPr>
                <w:sz w:val="20"/>
                <w:szCs w:val="20"/>
                <w:color w:val="auto"/>
              </w:rPr>
            </w:pPr>
            <w:r>
              <w:rPr>
                <w:rFonts w:ascii="Arial" w:cs="Arial" w:eastAsia="Arial" w:hAnsi="Arial"/>
                <w:sz w:val="18"/>
                <w:szCs w:val="18"/>
                <w:color w:val="auto"/>
              </w:rPr>
              <w:t>98.4</w:t>
            </w:r>
          </w:p>
        </w:tc>
        <w:tc>
          <w:tcPr>
            <w:tcW w:w="24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97.6</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96.9</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98.7</w:t>
            </w:r>
          </w:p>
        </w:tc>
      </w:tr>
      <w:tr>
        <w:trPr>
          <w:trHeight w:val="210"/>
        </w:trPr>
        <w:tc>
          <w:tcPr>
            <w:tcW w:w="4500" w:type="dxa"/>
            <w:vAlign w:val="bottom"/>
            <w:shd w:val="clear" w:color="auto" w:fill="CCEEFF"/>
          </w:tcPr>
          <w:p>
            <w:pPr>
              <w:spacing w:after="0"/>
              <w:rPr>
                <w:sz w:val="18"/>
                <w:szCs w:val="18"/>
                <w:color w:val="auto"/>
              </w:rPr>
            </w:pPr>
          </w:p>
        </w:tc>
        <w:tc>
          <w:tcPr>
            <w:tcW w:w="1220" w:type="dxa"/>
            <w:vAlign w:val="bottom"/>
            <w:tcBorders>
              <w:top w:val="single" w:sz="8" w:color="auto"/>
              <w:right w:val="single" w:sz="8" w:color="CCEEFF"/>
            </w:tcBorders>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00" w:type="dxa"/>
            <w:vAlign w:val="bottom"/>
            <w:tcBorders>
              <w:top w:val="single" w:sz="8" w:color="auto"/>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r>
      <w:tr>
        <w:trPr>
          <w:trHeight w:val="216"/>
        </w:trPr>
        <w:tc>
          <w:tcPr>
            <w:tcW w:w="4500" w:type="dxa"/>
            <w:vAlign w:val="bottom"/>
          </w:tcPr>
          <w:p>
            <w:pPr>
              <w:ind w:left="800"/>
              <w:spacing w:after="0"/>
              <w:rPr>
                <w:sz w:val="20"/>
                <w:szCs w:val="20"/>
                <w:color w:val="auto"/>
              </w:rPr>
            </w:pPr>
            <w:r>
              <w:rPr>
                <w:rFonts w:ascii="Arial" w:cs="Arial" w:eastAsia="Arial" w:hAnsi="Arial"/>
                <w:sz w:val="18"/>
                <w:szCs w:val="18"/>
                <w:color w:val="auto"/>
              </w:rPr>
              <w:t>Income before income taxes</w:t>
            </w:r>
          </w:p>
        </w:tc>
        <w:tc>
          <w:tcPr>
            <w:tcW w:w="1220" w:type="dxa"/>
            <w:vAlign w:val="bottom"/>
          </w:tcPr>
          <w:p>
            <w:pPr>
              <w:jc w:val="right"/>
              <w:spacing w:after="0"/>
              <w:rPr>
                <w:sz w:val="20"/>
                <w:szCs w:val="20"/>
                <w:color w:val="auto"/>
              </w:rPr>
            </w:pPr>
            <w:r>
              <w:rPr>
                <w:rFonts w:ascii="Arial" w:cs="Arial" w:eastAsia="Arial" w:hAnsi="Arial"/>
                <w:sz w:val="18"/>
                <w:szCs w:val="18"/>
                <w:color w:val="auto"/>
              </w:rPr>
              <w:t>1.6</w:t>
            </w:r>
          </w:p>
        </w:tc>
        <w:tc>
          <w:tcPr>
            <w:tcW w:w="24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2.4</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3.1</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1.3</w:t>
            </w:r>
          </w:p>
        </w:tc>
      </w:tr>
      <w:tr>
        <w:trPr>
          <w:trHeight w:val="216"/>
        </w:trPr>
        <w:tc>
          <w:tcPr>
            <w:tcW w:w="4500" w:type="dxa"/>
            <w:vAlign w:val="bottom"/>
            <w:shd w:val="clear" w:color="auto" w:fill="CCEEFF"/>
          </w:tcPr>
          <w:p>
            <w:pPr>
              <w:ind w:left="480"/>
              <w:spacing w:after="0"/>
              <w:rPr>
                <w:sz w:val="20"/>
                <w:szCs w:val="20"/>
                <w:color w:val="auto"/>
              </w:rPr>
            </w:pPr>
            <w:r>
              <w:rPr>
                <w:rFonts w:ascii="Arial" w:cs="Arial" w:eastAsia="Arial" w:hAnsi="Arial"/>
                <w:sz w:val="18"/>
                <w:szCs w:val="18"/>
                <w:color w:val="auto"/>
              </w:rPr>
              <w:t>Income tax expense</w:t>
            </w:r>
          </w:p>
        </w:tc>
        <w:tc>
          <w:tcPr>
            <w:tcW w:w="1220" w:type="dxa"/>
            <w:vAlign w:val="bottom"/>
            <w:tcBorders>
              <w:right w:val="single" w:sz="8" w:color="CCEEFF"/>
            </w:tcBorders>
            <w:shd w:val="clear" w:color="auto" w:fill="CCEEFF"/>
          </w:tcPr>
          <w:p>
            <w:pPr>
              <w:jc w:val="right"/>
              <w:spacing w:after="0"/>
              <w:rPr>
                <w:sz w:val="20"/>
                <w:szCs w:val="20"/>
                <w:color w:val="auto"/>
              </w:rPr>
            </w:pPr>
            <w:r>
              <w:rPr>
                <w:rFonts w:ascii="Arial" w:cs="Arial" w:eastAsia="Arial" w:hAnsi="Arial"/>
                <w:sz w:val="18"/>
                <w:szCs w:val="18"/>
                <w:color w:val="auto"/>
              </w:rPr>
              <w:t>0.4</w:t>
            </w:r>
          </w:p>
        </w:tc>
        <w:tc>
          <w:tcPr>
            <w:tcW w:w="240" w:type="dxa"/>
            <w:vAlign w:val="bottom"/>
            <w:shd w:val="clear" w:color="auto" w:fill="CCEEFF"/>
          </w:tcPr>
          <w:p>
            <w:pPr>
              <w:spacing w:after="0"/>
              <w:rPr>
                <w:sz w:val="18"/>
                <w:szCs w:val="18"/>
                <w:color w:val="auto"/>
              </w:rPr>
            </w:pPr>
          </w:p>
        </w:tc>
        <w:tc>
          <w:tcPr>
            <w:tcW w:w="14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0.3</w:t>
            </w:r>
          </w:p>
        </w:tc>
        <w:tc>
          <w:tcPr>
            <w:tcW w:w="14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0.3</w:t>
            </w:r>
          </w:p>
        </w:tc>
        <w:tc>
          <w:tcPr>
            <w:tcW w:w="138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color w:val="auto"/>
              </w:rPr>
              <w:t>0.3</w:t>
            </w:r>
          </w:p>
        </w:tc>
      </w:tr>
      <w:tr>
        <w:trPr>
          <w:trHeight w:val="20"/>
        </w:trPr>
        <w:tc>
          <w:tcPr>
            <w:tcW w:w="4500" w:type="dxa"/>
            <w:vAlign w:val="bottom"/>
            <w:shd w:val="clear" w:color="auto" w:fill="CCEEFF"/>
          </w:tcPr>
          <w:p>
            <w:pPr>
              <w:spacing w:after="0" w:line="20" w:lineRule="exact"/>
              <w:rPr>
                <w:sz w:val="1"/>
                <w:szCs w:val="1"/>
                <w:color w:val="auto"/>
              </w:rPr>
            </w:pPr>
          </w:p>
        </w:tc>
        <w:tc>
          <w:tcPr>
            <w:tcW w:w="1220" w:type="dxa"/>
            <w:vAlign w:val="bottom"/>
            <w:tcBorders>
              <w:right w:val="single" w:sz="8" w:color="CCEEFF"/>
            </w:tcBorders>
            <w:shd w:val="clear" w:color="auto" w:fill="000000"/>
          </w:tcPr>
          <w:p>
            <w:pPr>
              <w:spacing w:after="0" w:line="20" w:lineRule="exact"/>
              <w:rPr>
                <w:sz w:val="1"/>
                <w:szCs w:val="1"/>
                <w:color w:val="auto"/>
              </w:rPr>
            </w:pPr>
          </w:p>
        </w:tc>
        <w:tc>
          <w:tcPr>
            <w:tcW w:w="24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6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160" w:type="dxa"/>
            <w:vAlign w:val="bottom"/>
            <w:shd w:val="clear" w:color="auto" w:fill="CCEEFF"/>
          </w:tcPr>
          <w:p>
            <w:pPr>
              <w:spacing w:after="0" w:line="20" w:lineRule="exact"/>
              <w:rPr>
                <w:sz w:val="1"/>
                <w:szCs w:val="1"/>
                <w:color w:val="auto"/>
              </w:rPr>
            </w:pPr>
          </w:p>
        </w:tc>
      </w:tr>
      <w:tr>
        <w:trPr>
          <w:trHeight w:val="210"/>
        </w:trPr>
        <w:tc>
          <w:tcPr>
            <w:tcW w:w="4500" w:type="dxa"/>
            <w:vAlign w:val="bottom"/>
          </w:tcPr>
          <w:p>
            <w:pPr>
              <w:ind w:left="800"/>
              <w:spacing w:after="0"/>
              <w:rPr>
                <w:sz w:val="20"/>
                <w:szCs w:val="20"/>
                <w:color w:val="auto"/>
              </w:rPr>
            </w:pPr>
            <w:r>
              <w:rPr>
                <w:rFonts w:ascii="Arial" w:cs="Arial" w:eastAsia="Arial" w:hAnsi="Arial"/>
                <w:sz w:val="18"/>
                <w:szCs w:val="18"/>
                <w:color w:val="auto"/>
              </w:rPr>
              <w:t>Net income</w:t>
            </w:r>
          </w:p>
        </w:tc>
        <w:tc>
          <w:tcPr>
            <w:tcW w:w="1220" w:type="dxa"/>
            <w:vAlign w:val="bottom"/>
          </w:tcPr>
          <w:p>
            <w:pPr>
              <w:jc w:val="right"/>
              <w:spacing w:after="0"/>
              <w:rPr>
                <w:sz w:val="20"/>
                <w:szCs w:val="20"/>
                <w:color w:val="auto"/>
              </w:rPr>
            </w:pPr>
            <w:r>
              <w:rPr>
                <w:rFonts w:ascii="Arial" w:cs="Arial" w:eastAsia="Arial" w:hAnsi="Arial"/>
                <w:sz w:val="18"/>
                <w:szCs w:val="18"/>
                <w:color w:val="auto"/>
              </w:rPr>
              <w:t>1.2</w:t>
            </w:r>
          </w:p>
        </w:tc>
        <w:tc>
          <w:tcPr>
            <w:tcW w:w="240" w:type="dxa"/>
            <w:vAlign w:val="bottom"/>
          </w:tcPr>
          <w:p>
            <w:pPr>
              <w:spacing w:after="0"/>
              <w:rPr>
                <w:sz w:val="18"/>
                <w:szCs w:val="18"/>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2.1</w:t>
            </w:r>
          </w:p>
        </w:tc>
        <w:tc>
          <w:tcPr>
            <w:tcW w:w="1460" w:type="dxa"/>
            <w:vAlign w:val="bottom"/>
            <w:gridSpan w:val="2"/>
          </w:tcPr>
          <w:p>
            <w:pPr>
              <w:jc w:val="right"/>
              <w:ind w:right="260"/>
              <w:spacing w:after="0"/>
              <w:rPr>
                <w:sz w:val="20"/>
                <w:szCs w:val="20"/>
                <w:color w:val="auto"/>
              </w:rPr>
            </w:pPr>
            <w:r>
              <w:rPr>
                <w:rFonts w:ascii="Arial" w:cs="Arial" w:eastAsia="Arial" w:hAnsi="Arial"/>
                <w:sz w:val="18"/>
                <w:szCs w:val="18"/>
                <w:color w:val="auto"/>
              </w:rPr>
              <w:t>2.8</w:t>
            </w:r>
          </w:p>
        </w:tc>
        <w:tc>
          <w:tcPr>
            <w:tcW w:w="1380" w:type="dxa"/>
            <w:vAlign w:val="bottom"/>
            <w:gridSpan w:val="2"/>
          </w:tcPr>
          <w:p>
            <w:pPr>
              <w:jc w:val="right"/>
              <w:ind w:right="160"/>
              <w:spacing w:after="0"/>
              <w:rPr>
                <w:sz w:val="20"/>
                <w:szCs w:val="20"/>
                <w:color w:val="auto"/>
              </w:rPr>
            </w:pPr>
            <w:r>
              <w:rPr>
                <w:rFonts w:ascii="Arial" w:cs="Arial" w:eastAsia="Arial" w:hAnsi="Arial"/>
                <w:sz w:val="18"/>
                <w:szCs w:val="18"/>
                <w:color w:val="auto"/>
              </w:rPr>
              <w:t>1.0</w:t>
            </w:r>
          </w:p>
        </w:tc>
      </w:tr>
      <w:tr>
        <w:trPr>
          <w:trHeight w:val="20"/>
        </w:trPr>
        <w:tc>
          <w:tcPr>
            <w:tcW w:w="450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197"/>
        </w:trPr>
        <w:tc>
          <w:tcPr>
            <w:tcW w:w="4500" w:type="dxa"/>
            <w:vAlign w:val="bottom"/>
            <w:shd w:val="clear" w:color="auto" w:fill="CCEEFF"/>
          </w:tcPr>
          <w:p>
            <w:pPr>
              <w:spacing w:after="0"/>
              <w:rPr>
                <w:sz w:val="17"/>
                <w:szCs w:val="17"/>
                <w:color w:val="auto"/>
              </w:rPr>
            </w:pPr>
          </w:p>
        </w:tc>
        <w:tc>
          <w:tcPr>
            <w:tcW w:w="1460" w:type="dxa"/>
            <w:vAlign w:val="bottom"/>
            <w:gridSpan w:val="2"/>
            <w:shd w:val="clear" w:color="auto" w:fill="CCEEFF"/>
          </w:tcPr>
          <w:p>
            <w:pPr>
              <w:spacing w:after="0"/>
              <w:rPr>
                <w:sz w:val="17"/>
                <w:szCs w:val="17"/>
                <w:color w:val="auto"/>
              </w:rPr>
            </w:pPr>
          </w:p>
        </w:tc>
        <w:tc>
          <w:tcPr>
            <w:tcW w:w="1460" w:type="dxa"/>
            <w:vAlign w:val="bottom"/>
            <w:gridSpan w:val="2"/>
            <w:shd w:val="clear" w:color="auto" w:fill="CCEEFF"/>
          </w:tcPr>
          <w:p>
            <w:pPr>
              <w:spacing w:after="0"/>
              <w:rPr>
                <w:sz w:val="17"/>
                <w:szCs w:val="17"/>
                <w:color w:val="auto"/>
              </w:rPr>
            </w:pPr>
          </w:p>
        </w:tc>
        <w:tc>
          <w:tcPr>
            <w:tcW w:w="1460" w:type="dxa"/>
            <w:vAlign w:val="bottom"/>
            <w:gridSpan w:val="2"/>
            <w:shd w:val="clear" w:color="auto" w:fill="CCEEFF"/>
          </w:tcPr>
          <w:p>
            <w:pPr>
              <w:spacing w:after="0"/>
              <w:rPr>
                <w:sz w:val="17"/>
                <w:szCs w:val="17"/>
                <w:color w:val="auto"/>
              </w:rPr>
            </w:pPr>
          </w:p>
        </w:tc>
        <w:tc>
          <w:tcPr>
            <w:tcW w:w="1380" w:type="dxa"/>
            <w:vAlign w:val="bottom"/>
            <w:gridSpan w:val="2"/>
            <w:shd w:val="clear" w:color="auto" w:fill="CCEEFF"/>
          </w:tcPr>
          <w:p>
            <w:pPr>
              <w:spacing w:after="0"/>
              <w:rPr>
                <w:sz w:val="17"/>
                <w:szCs w:val="17"/>
                <w:color w:val="auto"/>
              </w:rPr>
            </w:pPr>
          </w:p>
        </w:tc>
      </w:tr>
      <w:tr>
        <w:trPr>
          <w:trHeight w:val="216"/>
        </w:trPr>
        <w:tc>
          <w:tcPr>
            <w:tcW w:w="4500" w:type="dxa"/>
            <w:vAlign w:val="bottom"/>
          </w:tcPr>
          <w:p>
            <w:pPr>
              <w:spacing w:after="0"/>
              <w:rPr>
                <w:sz w:val="18"/>
                <w:szCs w:val="18"/>
                <w:color w:val="auto"/>
              </w:rPr>
            </w:pPr>
          </w:p>
        </w:tc>
        <w:tc>
          <w:tcPr>
            <w:tcW w:w="146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1460" w:type="dxa"/>
            <w:vAlign w:val="bottom"/>
            <w:gridSpan w:val="2"/>
          </w:tcPr>
          <w:p>
            <w:pPr>
              <w:spacing w:after="0"/>
              <w:rPr>
                <w:sz w:val="18"/>
                <w:szCs w:val="18"/>
                <w:color w:val="auto"/>
              </w:rPr>
            </w:pPr>
          </w:p>
        </w:tc>
        <w:tc>
          <w:tcPr>
            <w:tcW w:w="1380" w:type="dxa"/>
            <w:vAlign w:val="bottom"/>
            <w:gridSpan w:val="2"/>
          </w:tcPr>
          <w:p>
            <w:pPr>
              <w:spacing w:after="0"/>
              <w:rPr>
                <w:sz w:val="18"/>
                <w:szCs w:val="18"/>
                <w:color w:val="auto"/>
              </w:rPr>
            </w:pPr>
          </w:p>
        </w:tc>
      </w:tr>
      <w:tr>
        <w:trPr>
          <w:trHeight w:val="236"/>
        </w:trPr>
        <w:tc>
          <w:tcPr>
            <w:tcW w:w="4500" w:type="dxa"/>
            <w:vAlign w:val="bottom"/>
            <w:shd w:val="clear" w:color="auto" w:fill="CCEEFF"/>
          </w:tcPr>
          <w:p>
            <w:pPr>
              <w:spacing w:after="0" w:line="216" w:lineRule="exact"/>
              <w:rPr>
                <w:sz w:val="20"/>
                <w:szCs w:val="20"/>
                <w:color w:val="auto"/>
              </w:rPr>
            </w:pPr>
            <w:r>
              <w:rPr>
                <w:rFonts w:ascii="Arial" w:cs="Arial" w:eastAsia="Arial" w:hAnsi="Arial"/>
                <w:sz w:val="16"/>
                <w:szCs w:val="16"/>
                <w:color w:val="auto"/>
              </w:rPr>
              <w:t xml:space="preserve">Retail Gross Margin % </w:t>
            </w:r>
            <w:r>
              <w:rPr>
                <w:rFonts w:ascii="Arial" w:cs="Arial" w:eastAsia="Arial" w:hAnsi="Arial"/>
                <w:sz w:val="25"/>
                <w:szCs w:val="25"/>
                <w:color w:val="auto"/>
                <w:vertAlign w:val="superscript"/>
              </w:rPr>
              <w:t>(2)</w:t>
            </w:r>
          </w:p>
        </w:tc>
        <w:tc>
          <w:tcPr>
            <w:tcW w:w="14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45.3%</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43.7%</w:t>
            </w:r>
          </w:p>
        </w:tc>
        <w:tc>
          <w:tcPr>
            <w:tcW w:w="146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45.3%</w:t>
            </w:r>
          </w:p>
        </w:tc>
        <w:tc>
          <w:tcPr>
            <w:tcW w:w="138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42.3%</w:t>
            </w:r>
          </w:p>
        </w:tc>
      </w:tr>
      <w:tr>
        <w:trPr>
          <w:trHeight w:val="20"/>
        </w:trPr>
        <w:tc>
          <w:tcPr>
            <w:tcW w:w="450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right w:val="single" w:sz="8" w:color="CCEEFF"/>
            </w:tcBorders>
            <w:shd w:val="clear" w:color="auto" w:fill="000000"/>
          </w:tcPr>
          <w:p>
            <w:pPr>
              <w:spacing w:after="0" w:line="20" w:lineRule="exact"/>
              <w:rPr>
                <w:sz w:val="1"/>
                <w:szCs w:val="1"/>
                <w:color w:val="auto"/>
              </w:rPr>
            </w:pPr>
          </w:p>
        </w:tc>
        <w:tc>
          <w:tcPr>
            <w:tcW w:w="24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CEEFF"/>
            </w:tcBorders>
            <w:shd w:val="clear" w:color="auto" w:fill="CCEEFF"/>
          </w:tcPr>
          <w:p>
            <w:pPr>
              <w:spacing w:after="0" w:line="20" w:lineRule="exact"/>
              <w:rPr>
                <w:sz w:val="1"/>
                <w:szCs w:val="1"/>
                <w:color w:val="auto"/>
              </w:rPr>
            </w:pPr>
          </w:p>
        </w:tc>
        <w:tc>
          <w:tcPr>
            <w:tcW w:w="122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CEEFF"/>
            </w:tcBorders>
            <w:shd w:val="clear" w:color="auto" w:fill="CCEEFF"/>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089025" cy="889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80" w:hanging="372"/>
        <w:spacing w:after="0" w:line="258" w:lineRule="auto"/>
        <w:tabs>
          <w:tab w:leader="none" w:pos="380" w:val="left"/>
        </w:tabs>
        <w:numPr>
          <w:ilvl w:val="0"/>
          <w:numId w:val="9"/>
        </w:numPr>
        <w:rPr>
          <w:rFonts w:ascii="Arial" w:cs="Arial" w:eastAsia="Arial" w:hAnsi="Arial"/>
          <w:sz w:val="18"/>
          <w:szCs w:val="18"/>
          <w:color w:val="auto"/>
        </w:rPr>
      </w:pPr>
      <w:r>
        <w:rPr>
          <w:rFonts w:ascii="Arial" w:cs="Arial" w:eastAsia="Arial" w:hAnsi="Arial"/>
          <w:sz w:val="18"/>
          <w:szCs w:val="18"/>
          <w:color w:val="auto"/>
        </w:rPr>
        <w:t>Cost of merchandise sold – retail is expressed as a percentage of net retail sales. Cost of merchandise sold – commercial is expressed as a percentage of commercial revenue.</w:t>
      </w:r>
    </w:p>
    <w:p>
      <w:pPr>
        <w:spacing w:after="0" w:line="1" w:lineRule="exact"/>
        <w:rPr>
          <w:rFonts w:ascii="Arial" w:cs="Arial" w:eastAsia="Arial" w:hAnsi="Arial"/>
          <w:sz w:val="18"/>
          <w:szCs w:val="18"/>
          <w:color w:val="auto"/>
        </w:rPr>
      </w:pPr>
    </w:p>
    <w:p>
      <w:pPr>
        <w:ind w:left="380" w:hanging="372"/>
        <w:spacing w:after="0"/>
        <w:tabs>
          <w:tab w:leader="none" w:pos="380" w:val="left"/>
        </w:tabs>
        <w:numPr>
          <w:ilvl w:val="0"/>
          <w:numId w:val="9"/>
        </w:numPr>
        <w:rPr>
          <w:rFonts w:ascii="Arial" w:cs="Arial" w:eastAsia="Arial" w:hAnsi="Arial"/>
          <w:sz w:val="16"/>
          <w:szCs w:val="16"/>
          <w:color w:val="auto"/>
        </w:rPr>
      </w:pPr>
      <w:r>
        <w:rPr>
          <w:rFonts w:ascii="Arial" w:cs="Arial" w:eastAsia="Arial" w:hAnsi="Arial"/>
          <w:sz w:val="16"/>
          <w:szCs w:val="16"/>
          <w:color w:val="auto"/>
        </w:rPr>
        <w:t>Retail gross margin percentage represents net retail sales less cost of merchandise sold – retail and is expressed as a percentage of net retail sales.</w:t>
      </w:r>
    </w:p>
    <w:p>
      <w:pPr>
        <w:spacing w:after="0" w:line="200" w:lineRule="exact"/>
        <w:rPr>
          <w:sz w:val="20"/>
          <w:szCs w:val="20"/>
          <w:color w:val="auto"/>
        </w:rPr>
      </w:pPr>
    </w:p>
    <w:p>
      <w:pPr>
        <w:spacing w:after="0" w:line="277" w:lineRule="exact"/>
        <w:rPr>
          <w:sz w:val="20"/>
          <w:szCs w:val="20"/>
          <w:color w:val="auto"/>
        </w:rPr>
      </w:pPr>
    </w:p>
    <w:p>
      <w:pPr>
        <w:jc w:val="center"/>
        <w:ind w:right="-139"/>
        <w:spacing w:after="0"/>
        <w:rPr>
          <w:sz w:val="20"/>
          <w:szCs w:val="20"/>
          <w:color w:val="auto"/>
        </w:rPr>
      </w:pPr>
      <w:r>
        <w:rPr>
          <w:rFonts w:ascii="Arial" w:cs="Arial" w:eastAsia="Arial" w:hAnsi="Arial"/>
          <w:sz w:val="18"/>
          <w:szCs w:val="18"/>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280"/>
          </w:cols>
          <w:pgMar w:left="240" w:top="584" w:right="379" w:bottom="1440" w:gutter="0" w:footer="0" w:header="0"/>
        </w:sectPr>
      </w:pPr>
    </w:p>
    <w:bookmarkStart w:id="14" w:name="page15"/>
    <w:bookmarkEnd w:id="14"/>
    <w:p>
      <w:pPr>
        <w:spacing w:after="0"/>
        <w:rPr>
          <w:sz w:val="20"/>
          <w:szCs w:val="20"/>
          <w:color w:val="auto"/>
        </w:rPr>
      </w:pPr>
      <w:r>
        <w:rPr>
          <w:rFonts w:ascii="Arial" w:cs="Arial" w:eastAsia="Arial" w:hAnsi="Arial"/>
          <w:sz w:val="18"/>
          <w:szCs w:val="18"/>
          <w:b w:val="1"/>
          <w:bCs w:val="1"/>
          <w:i w:val="1"/>
          <w:iCs w:val="1"/>
          <w:color w:val="auto"/>
        </w:rPr>
        <w:t>Thirteen weeks ended October 3, 2015 compared to thirteen weeks ended September 27,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 xml:space="preserve">Net retail sales. </w:t>
      </w:r>
      <w:r>
        <w:rPr>
          <w:rFonts w:ascii="Arial" w:cs="Arial" w:eastAsia="Arial" w:hAnsi="Arial"/>
          <w:sz w:val="17"/>
          <w:szCs w:val="17"/>
          <w:color w:val="auto"/>
        </w:rPr>
        <w:t>Net retail sales for the thirteen weeks ended October 3, 2015 were $84.3 million compared to $85.6 million for the thirteen weeks ended</w:t>
      </w:r>
    </w:p>
    <w:p>
      <w:pPr>
        <w:spacing w:after="0" w:line="35" w:lineRule="exact"/>
        <w:rPr>
          <w:sz w:val="20"/>
          <w:szCs w:val="20"/>
          <w:color w:val="auto"/>
        </w:rPr>
      </w:pPr>
    </w:p>
    <w:p>
      <w:pPr>
        <w:spacing w:after="0"/>
        <w:rPr>
          <w:sz w:val="20"/>
          <w:szCs w:val="20"/>
          <w:color w:val="auto"/>
        </w:rPr>
      </w:pPr>
      <w:r>
        <w:rPr>
          <w:rFonts w:ascii="Arial" w:cs="Arial" w:eastAsia="Arial" w:hAnsi="Arial"/>
          <w:sz w:val="18"/>
          <w:szCs w:val="18"/>
          <w:color w:val="auto"/>
        </w:rPr>
        <w:t>September 27, 2014, a decrease of $1.3 million, or 1.5%. The components of this decrease are as follows:</w:t>
      </w:r>
    </w:p>
    <w:p>
      <w:pPr>
        <w:spacing w:after="0" w:line="207"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5"/>
              </w:rPr>
              <w:t>Thirteen</w:t>
            </w: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weeks ended</w:t>
            </w:r>
          </w:p>
        </w:tc>
      </w:tr>
      <w:tr>
        <w:trPr>
          <w:trHeight w:val="234"/>
        </w:trPr>
        <w:tc>
          <w:tcPr>
            <w:tcW w:w="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October 3, 2015</w:t>
            </w:r>
          </w:p>
        </w:tc>
      </w:tr>
      <w:tr>
        <w:trPr>
          <w:trHeight w:val="210"/>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5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(dollars in millions)</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comparable store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Decrease in other retail, including the impact of calendar shift and e-commerce sales</w:t>
            </w:r>
          </w:p>
        </w:tc>
        <w:tc>
          <w:tcPr>
            <w:tcW w:w="1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(1.0)</w:t>
            </w:r>
          </w:p>
        </w:tc>
      </w:t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Impact of foreign currency translation</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(2.0)</w:t>
            </w: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Impact of store closures</w:t>
            </w:r>
          </w:p>
        </w:tc>
        <w:tc>
          <w:tcPr>
            <w:tcW w:w="1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(1.6)</w:t>
            </w:r>
          </w:p>
        </w:tc>
      </w:t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from new stores</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1.9</w:t>
            </w:r>
          </w:p>
        </w:tc>
        <w:tc>
          <w:tcPr>
            <w:tcW w:w="80" w:type="dxa"/>
            <w:vAlign w:val="bottom"/>
            <w:shd w:val="clear" w:color="auto" w:fill="CCEEFF"/>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Increase in non-comparable stores, primarily remodels and relocations</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w:t>
            </w:r>
          </w:p>
        </w:tc>
        <w:tc>
          <w:tcPr>
            <w:tcW w:w="80" w:type="dxa"/>
            <w:vAlign w:val="bottom"/>
          </w:tcPr>
          <w:p>
            <w:pPr>
              <w:spacing w:after="0"/>
              <w:rPr>
                <w:sz w:val="18"/>
                <w:szCs w:val="18"/>
                <w:color w:val="auto"/>
              </w:rPr>
            </w:pPr>
          </w:p>
        </w:tc>
      </w:t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deferred revenue</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(0.1)</w:t>
            </w:r>
          </w:p>
        </w:tc>
      </w:tr>
      <w:tr>
        <w:trPr>
          <w:trHeight w:val="20"/>
        </w:trPr>
        <w:tc>
          <w:tcPr>
            <w:tcW w:w="20" w:type="dxa"/>
            <w:vAlign w:val="bottom"/>
          </w:tcPr>
          <w:p>
            <w:pPr>
              <w:spacing w:after="0" w:line="20" w:lineRule="exact"/>
              <w:rPr>
                <w:sz w:val="1"/>
                <w:szCs w:val="1"/>
                <w:color w:val="auto"/>
              </w:rPr>
            </w:pPr>
          </w:p>
        </w:tc>
        <w:tc>
          <w:tcPr>
            <w:tcW w:w="75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(1.3)</w:t>
            </w: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bl>
    <w:p>
      <w:pPr>
        <w:spacing w:after="0" w:line="202"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We believe the changes in comparable store sales for the thirteen weeks ended October 3, 2015 are primarily attributable to a balanced product assortment that simultaneously and consistently focused on our four key consumer segments supported by elevated marketing programs. We believe this drove improvements in key metrics including dollars and units per transaction in both North America and Europe for both the thirteen weeks ended October 3, 2015 which contributed to growth in our comparable store sales.</w:t>
      </w:r>
    </w:p>
    <w:p>
      <w:pPr>
        <w:spacing w:after="0" w:line="187" w:lineRule="exact"/>
        <w:rPr>
          <w:sz w:val="20"/>
          <w:szCs w:val="20"/>
          <w:color w:val="auto"/>
        </w:rPr>
      </w:pPr>
    </w:p>
    <w:p>
      <w:pPr>
        <w:ind w:right="40"/>
        <w:spacing w:after="0" w:line="279" w:lineRule="auto"/>
        <w:rPr>
          <w:sz w:val="20"/>
          <w:szCs w:val="20"/>
          <w:color w:val="auto"/>
        </w:rPr>
      </w:pPr>
      <w:r>
        <w:rPr>
          <w:rFonts w:ascii="Arial" w:cs="Arial" w:eastAsia="Arial" w:hAnsi="Arial"/>
          <w:sz w:val="17"/>
          <w:szCs w:val="17"/>
          <w:i w:val="1"/>
          <w:iCs w:val="1"/>
          <w:color w:val="auto"/>
        </w:rPr>
        <w:t xml:space="preserve">Franchise fees and commercial revenue. </w:t>
      </w:r>
      <w:r>
        <w:rPr>
          <w:rFonts w:ascii="Arial" w:cs="Arial" w:eastAsia="Arial" w:hAnsi="Arial"/>
          <w:sz w:val="17"/>
          <w:szCs w:val="17"/>
          <w:color w:val="auto"/>
        </w:rPr>
        <w:t>Revenue from franchise fees was $0.5 million for the thirteen weeks ended October 3, 2015 compared to $0.6</w:t>
      </w:r>
      <w:r>
        <w:rPr>
          <w:rFonts w:ascii="Arial" w:cs="Arial" w:eastAsia="Arial" w:hAnsi="Arial"/>
          <w:sz w:val="17"/>
          <w:szCs w:val="17"/>
          <w:i w:val="1"/>
          <w:iCs w:val="1"/>
          <w:color w:val="auto"/>
        </w:rPr>
        <w:t xml:space="preserve"> </w:t>
      </w:r>
      <w:r>
        <w:rPr>
          <w:rFonts w:ascii="Arial" w:cs="Arial" w:eastAsia="Arial" w:hAnsi="Arial"/>
          <w:sz w:val="17"/>
          <w:szCs w:val="17"/>
          <w:color w:val="auto"/>
        </w:rPr>
        <w:t>million for the thirteen weeks ended September 27, 2014. The decrease was primarily attributable to a decline in the number of franchise stores in operation during the quarter. Commercial revenue was $0.8 million for the thirteen weeks ended October 3, 2015 compared to $0.5 million for the thirteen weeks ended September 27, 2014. This increase was primarily attributable to an increase in wholesale activities.</w:t>
      </w:r>
    </w:p>
    <w:p>
      <w:pPr>
        <w:spacing w:after="0" w:line="171"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Costs and expenses</w:t>
      </w:r>
    </w:p>
    <w:p>
      <w:pPr>
        <w:spacing w:after="0" w:line="225" w:lineRule="exact"/>
        <w:rPr>
          <w:sz w:val="20"/>
          <w:szCs w:val="20"/>
          <w:color w:val="auto"/>
        </w:rPr>
      </w:pPr>
    </w:p>
    <w:p>
      <w:pPr>
        <w:ind w:right="260"/>
        <w:spacing w:after="0" w:line="257" w:lineRule="auto"/>
        <w:rPr>
          <w:sz w:val="20"/>
          <w:szCs w:val="20"/>
          <w:color w:val="auto"/>
        </w:rPr>
      </w:pPr>
      <w:r>
        <w:rPr>
          <w:rFonts w:ascii="Arial" w:cs="Arial" w:eastAsia="Arial" w:hAnsi="Arial"/>
          <w:sz w:val="18"/>
          <w:szCs w:val="18"/>
          <w:i w:val="1"/>
          <w:iCs w:val="1"/>
          <w:color w:val="auto"/>
        </w:rPr>
        <w:t xml:space="preserve">Retail gross margin. </w:t>
      </w:r>
      <w:r>
        <w:rPr>
          <w:rFonts w:ascii="Arial" w:cs="Arial" w:eastAsia="Arial" w:hAnsi="Arial"/>
          <w:sz w:val="18"/>
          <w:szCs w:val="18"/>
          <w:color w:val="auto"/>
        </w:rPr>
        <w:t>Retail gross margin increased to $38.2 million for the thirteen weeks ended October 3, 2015 from $37.4 million for the thirteen weeks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27, 2014, an increase of $0.8 million, or 2.1%. As a percentage of net retail sales, retail gross margin was 45.3% for the thirteen weeks ended October 3, 2015 compared to 43.7% for the thirteen weeks ended September 27, 2014. This 160 basis points as a percentage of net retail sales (bps) increase was primarily driven by a 100 bps expansion in merchandise margin and 60 bps of improvement from reduced distribution costs and improved leverage of fixed occupancy costs.</w:t>
      </w:r>
    </w:p>
    <w:p>
      <w:pPr>
        <w:spacing w:after="0" w:line="188" w:lineRule="exact"/>
        <w:rPr>
          <w:sz w:val="20"/>
          <w:szCs w:val="20"/>
          <w:color w:val="auto"/>
        </w:rPr>
      </w:pPr>
    </w:p>
    <w:p>
      <w:pPr>
        <w:ind w:right="40"/>
        <w:spacing w:after="0" w:line="291" w:lineRule="auto"/>
        <w:rPr>
          <w:sz w:val="20"/>
          <w:szCs w:val="20"/>
          <w:color w:val="auto"/>
        </w:rPr>
      </w:pPr>
      <w:r>
        <w:rPr>
          <w:rFonts w:ascii="Arial" w:cs="Arial" w:eastAsia="Arial" w:hAnsi="Arial"/>
          <w:sz w:val="16"/>
          <w:szCs w:val="16"/>
          <w:i w:val="1"/>
          <w:iCs w:val="1"/>
          <w:color w:val="auto"/>
        </w:rPr>
        <w:t xml:space="preserve">Selling, general and administrative. </w:t>
      </w:r>
      <w:r>
        <w:rPr>
          <w:rFonts w:ascii="Arial" w:cs="Arial" w:eastAsia="Arial" w:hAnsi="Arial"/>
          <w:sz w:val="16"/>
          <w:szCs w:val="16"/>
          <w:color w:val="auto"/>
        </w:rPr>
        <w:t>Selling, general and administrative expenses were $37.6 million for the thirteen weeks ended October 3, 2015 as</w:t>
      </w:r>
      <w:r>
        <w:rPr>
          <w:rFonts w:ascii="Arial" w:cs="Arial" w:eastAsia="Arial" w:hAnsi="Arial"/>
          <w:sz w:val="16"/>
          <w:szCs w:val="16"/>
          <w:i w:val="1"/>
          <w:iCs w:val="1"/>
          <w:color w:val="auto"/>
        </w:rPr>
        <w:t xml:space="preserve"> </w:t>
      </w:r>
      <w:r>
        <w:rPr>
          <w:rFonts w:ascii="Arial" w:cs="Arial" w:eastAsia="Arial" w:hAnsi="Arial"/>
          <w:sz w:val="16"/>
          <w:szCs w:val="16"/>
          <w:color w:val="auto"/>
        </w:rPr>
        <w:t>compared to $36.2 million for the thirteen weeks ended September 27, 2014, an increase of $1.4 million, or 3.9%. As a percentage of total revenues, selling, general and administrative expenses increased to 44.0% for the thirteen weeks ended October 3, 2015 as compared to 41.8% for the thirteen weeks ended September 27, 2014, an increase of 220 bps. The 2015 third quarter included $1.0 million in management transition costs and currency loss, compared to $1.6 million in the 2014 third quarter. Adjusting for these items in both periods, selling, general and administrative expenses as a percent of total revenues for the thirteen weeks ended October 3, 2015 was 42.9%, compared to 39.9% for the thirteen weeks ended September 27, 2014. The majority of the dollar increase reflects investments made in support of long term strategies to position the Company to accelerate sales and earnings growth.</w:t>
      </w:r>
    </w:p>
    <w:p>
      <w:pPr>
        <w:spacing w:after="0" w:line="167"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income, net of interest expense, was $56,000 for the thirteen weeks ended October 3, 2015 as compared to $38,000 for</w:t>
      </w:r>
      <w:r>
        <w:rPr>
          <w:rFonts w:ascii="Arial" w:cs="Arial" w:eastAsia="Arial" w:hAnsi="Arial"/>
          <w:sz w:val="18"/>
          <w:szCs w:val="18"/>
          <w:i w:val="1"/>
          <w:iCs w:val="1"/>
          <w:color w:val="auto"/>
        </w:rPr>
        <w:t xml:space="preserve"> </w:t>
      </w:r>
      <w:r>
        <w:rPr>
          <w:rFonts w:ascii="Arial" w:cs="Arial" w:eastAsia="Arial" w:hAnsi="Arial"/>
          <w:sz w:val="18"/>
          <w:szCs w:val="18"/>
          <w:color w:val="auto"/>
        </w:rPr>
        <w:t>the thirteen weeks ended September 27, 2014.</w:t>
      </w:r>
    </w:p>
    <w:p>
      <w:pPr>
        <w:spacing w:after="0" w:line="170" w:lineRule="exact"/>
        <w:rPr>
          <w:sz w:val="20"/>
          <w:szCs w:val="20"/>
          <w:color w:val="auto"/>
        </w:rPr>
      </w:pPr>
    </w:p>
    <w:p>
      <w:pPr>
        <w:spacing w:after="0" w:line="255"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Income tax expense was $0.3 million for the thirteen weeks ended October 3, 2015 as compared to income tax expense of $0.2</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thirteen weeks ended September 27, 2014. The effective tax rate was 22.0% for the thirteen weeks ended October 3, 2015 compared to 11.6% for the thirteen weeks ended September 27, 2014. This $0.1 million increase was primarily attributable to an increase in state tax expense and by increased tax expense in foreign jurisdictions. As there was a valuation allowance recorded on substantially all domestic deferred tax assets in both periods, income tax expense on domestic income was offset by a reversal of a portion of the existing valuation allowance. The change in the effective tax rate was primarily attributable to the impact of recording withholding taxes, tax expense in foreign jurisdictions, adjustments to uncertain tax position reserves, and state tax expense.</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i w:val="1"/>
          <w:iCs w:val="1"/>
          <w:color w:val="auto"/>
        </w:rPr>
        <w:t>Thirty-nine weeks ended October 3, 2015 compared to thirty-nine weeks ended September 27, 2014</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Revenues</w:t>
      </w:r>
    </w:p>
    <w:p>
      <w:pPr>
        <w:spacing w:after="0" w:line="225"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i w:val="1"/>
          <w:iCs w:val="1"/>
          <w:color w:val="auto"/>
        </w:rPr>
        <w:t xml:space="preserve">Net retail sales. </w:t>
      </w:r>
      <w:r>
        <w:rPr>
          <w:rFonts w:ascii="Arial" w:cs="Arial" w:eastAsia="Arial" w:hAnsi="Arial"/>
          <w:sz w:val="18"/>
          <w:szCs w:val="18"/>
          <w:color w:val="auto"/>
        </w:rPr>
        <w:t>Net retail sales were $256.2 million for the thirty-nine weeks ended October 3, 2015 compared to $257.8 million for the thirty-nine weeks</w:t>
      </w:r>
      <w:r>
        <w:rPr>
          <w:rFonts w:ascii="Arial" w:cs="Arial" w:eastAsia="Arial" w:hAnsi="Arial"/>
          <w:sz w:val="18"/>
          <w:szCs w:val="18"/>
          <w:i w:val="1"/>
          <w:iCs w:val="1"/>
          <w:color w:val="auto"/>
        </w:rPr>
        <w:t xml:space="preserve"> </w:t>
      </w:r>
      <w:r>
        <w:rPr>
          <w:rFonts w:ascii="Arial" w:cs="Arial" w:eastAsia="Arial" w:hAnsi="Arial"/>
          <w:sz w:val="18"/>
          <w:szCs w:val="18"/>
          <w:color w:val="auto"/>
        </w:rPr>
        <w:t>ended September 27, 2014, a decrease of $1.5 million, or 0.6%. The components of this decrease are as follows:</w:t>
      </w:r>
    </w:p>
    <w:p>
      <w:pPr>
        <w:spacing w:after="0" w:line="166" w:lineRule="exact"/>
        <w:rPr>
          <w:sz w:val="20"/>
          <w:szCs w:val="20"/>
          <w:color w:val="auto"/>
        </w:rPr>
      </w:pPr>
    </w:p>
    <w:tbl>
      <w:tblPr>
        <w:tblLayout w:type="fixed"/>
        <w:tblInd w:w="1140" w:type="dxa"/>
        <w:tblCellMar>
          <w:top w:w="0" w:type="dxa"/>
          <w:left w:w="0" w:type="dxa"/>
          <w:bottom w:w="0" w:type="dxa"/>
          <w:right w:w="0" w:type="dxa"/>
        </w:tblCellMar>
      </w:tblPr>
      <w:tr>
        <w:trPr>
          <w:trHeight w:val="216"/>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Thirty-nine</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5"/>
              </w:rPr>
              <w:t>weeks ended</w:t>
            </w:r>
          </w:p>
        </w:tc>
        <w:tc>
          <w:tcPr>
            <w:tcW w:w="0" w:type="dxa"/>
            <w:vAlign w:val="bottom"/>
          </w:tcPr>
          <w:p>
            <w:pPr>
              <w:spacing w:after="0"/>
              <w:rPr>
                <w:sz w:val="1"/>
                <w:szCs w:val="1"/>
                <w:color w:val="auto"/>
              </w:rPr>
            </w:pPr>
          </w:p>
        </w:tc>
      </w:tr>
      <w:tr>
        <w:trPr>
          <w:trHeight w:val="234"/>
        </w:trPr>
        <w:tc>
          <w:tcPr>
            <w:tcW w:w="20" w:type="dxa"/>
            <w:vAlign w:val="bottom"/>
          </w:tcPr>
          <w:p>
            <w:pPr>
              <w:spacing w:after="0"/>
              <w:rPr>
                <w:sz w:val="20"/>
                <w:szCs w:val="20"/>
                <w:color w:val="auto"/>
              </w:rPr>
            </w:pPr>
          </w:p>
        </w:tc>
        <w:tc>
          <w:tcPr>
            <w:tcW w:w="75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50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89"/>
              </w:rPr>
              <w:t>October 3, 2015</w:t>
            </w:r>
          </w:p>
        </w:tc>
        <w:tc>
          <w:tcPr>
            <w:tcW w:w="0" w:type="dxa"/>
            <w:vAlign w:val="bottom"/>
          </w:tcPr>
          <w:p>
            <w:pPr>
              <w:spacing w:after="0"/>
              <w:rPr>
                <w:sz w:val="1"/>
                <w:szCs w:val="1"/>
                <w:color w:val="auto"/>
              </w:rPr>
            </w:pPr>
          </w:p>
        </w:tc>
      </w:tr>
      <w:tr>
        <w:trPr>
          <w:trHeight w:val="228"/>
        </w:trPr>
        <w:tc>
          <w:tcPr>
            <w:tcW w:w="20" w:type="dxa"/>
            <w:vAlign w:val="bottom"/>
          </w:tcPr>
          <w:p>
            <w:pPr>
              <w:spacing w:after="0"/>
              <w:rPr>
                <w:sz w:val="19"/>
                <w:szCs w:val="19"/>
                <w:color w:val="auto"/>
              </w:rPr>
            </w:pPr>
          </w:p>
        </w:tc>
        <w:tc>
          <w:tcPr>
            <w:tcW w:w="7500" w:type="dxa"/>
            <w:vAlign w:val="bottom"/>
          </w:tcPr>
          <w:p>
            <w:pPr>
              <w:spacing w:after="0"/>
              <w:rPr>
                <w:sz w:val="19"/>
                <w:szCs w:val="19"/>
                <w:color w:val="auto"/>
              </w:rPr>
            </w:pPr>
          </w:p>
        </w:tc>
        <w:tc>
          <w:tcPr>
            <w:tcW w:w="1540" w:type="dxa"/>
            <w:vAlign w:val="bottom"/>
            <w:tcBorders>
              <w:top w:val="single" w:sz="8" w:color="auto"/>
            </w:tcBorders>
            <w:gridSpan w:val="2"/>
          </w:tcPr>
          <w:p>
            <w:pPr>
              <w:jc w:val="center"/>
              <w:spacing w:after="0"/>
              <w:rPr>
                <w:sz w:val="20"/>
                <w:szCs w:val="20"/>
                <w:color w:val="auto"/>
              </w:rPr>
            </w:pPr>
            <w:r>
              <w:rPr>
                <w:rFonts w:ascii="Arial" w:cs="Arial" w:eastAsia="Arial" w:hAnsi="Arial"/>
                <w:sz w:val="18"/>
                <w:szCs w:val="18"/>
                <w:b w:val="1"/>
                <w:bCs w:val="1"/>
                <w:color w:val="auto"/>
                <w:w w:val="90"/>
              </w:rPr>
              <w:t>(dollars in millions)</w:t>
            </w: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98"/>
        </w:trPr>
        <w:tc>
          <w:tcPr>
            <w:tcW w:w="20" w:type="dxa"/>
            <w:vAlign w:val="bottom"/>
            <w:vMerge w:val="restart"/>
          </w:tcPr>
          <w:p>
            <w:pPr>
              <w:spacing w:after="0"/>
              <w:rPr>
                <w:sz w:val="17"/>
                <w:szCs w:val="17"/>
                <w:color w:val="auto"/>
              </w:rPr>
            </w:pPr>
          </w:p>
        </w:tc>
        <w:tc>
          <w:tcPr>
            <w:tcW w:w="750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20" w:type="dxa"/>
            <w:vAlign w:val="bottom"/>
            <w:vMerge w:val="continue"/>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in comparable store sales</w:t>
            </w: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b w:val="1"/>
                <w:bCs w:val="1"/>
                <w:color w:val="auto"/>
                <w:w w:val="71"/>
              </w:rPr>
              <w:t>$</w:t>
            </w: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Decrease in other retail, including the impact of calendar shift and e-commerce sales</w:t>
            </w:r>
          </w:p>
        </w:tc>
        <w:tc>
          <w:tcPr>
            <w:tcW w:w="1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(6.8)</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Impact of foreign currency translation</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(5.5)</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Impact of store closures</w:t>
            </w:r>
          </w:p>
        </w:tc>
        <w:tc>
          <w:tcPr>
            <w:tcW w:w="120" w:type="dxa"/>
            <w:vAlign w:val="bottom"/>
          </w:tcPr>
          <w:p>
            <w:pPr>
              <w:spacing w:after="0"/>
              <w:rPr>
                <w:sz w:val="18"/>
                <w:szCs w:val="18"/>
                <w:color w:val="auto"/>
              </w:rPr>
            </w:pPr>
          </w:p>
        </w:tc>
        <w:tc>
          <w:tcPr>
            <w:tcW w:w="1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(4.4)</w:t>
            </w: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Increase from new stores</w:t>
            </w:r>
          </w:p>
        </w:tc>
        <w:tc>
          <w:tcPr>
            <w:tcW w:w="120" w:type="dxa"/>
            <w:vAlign w:val="bottom"/>
            <w:shd w:val="clear" w:color="auto" w:fill="CCEEFF"/>
          </w:tcPr>
          <w:p>
            <w:pPr>
              <w:spacing w:after="0"/>
              <w:rPr>
                <w:sz w:val="18"/>
                <w:szCs w:val="18"/>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3.7</w:t>
            </w:r>
          </w:p>
        </w:tc>
        <w:tc>
          <w:tcPr>
            <w:tcW w:w="8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Pr>
          <w:p>
            <w:pPr>
              <w:spacing w:after="0"/>
              <w:rPr>
                <w:sz w:val="20"/>
                <w:szCs w:val="20"/>
                <w:color w:val="auto"/>
              </w:rPr>
            </w:pPr>
            <w:r>
              <w:rPr>
                <w:rFonts w:ascii="Arial" w:cs="Arial" w:eastAsia="Arial" w:hAnsi="Arial"/>
                <w:sz w:val="18"/>
                <w:szCs w:val="18"/>
                <w:color w:val="auto"/>
              </w:rPr>
              <w:t>Increase in non-comparable stores, primarily remodels and relocations</w:t>
            </w:r>
          </w:p>
        </w:tc>
        <w:tc>
          <w:tcPr>
            <w:tcW w:w="120" w:type="dxa"/>
            <w:vAlign w:val="bottom"/>
          </w:tcPr>
          <w:p>
            <w:pPr>
              <w:spacing w:after="0"/>
              <w:rPr>
                <w:sz w:val="18"/>
                <w:szCs w:val="18"/>
                <w:color w:val="auto"/>
              </w:rPr>
            </w:pPr>
          </w:p>
        </w:tc>
        <w:tc>
          <w:tcPr>
            <w:tcW w:w="142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7500" w:type="dxa"/>
            <w:vAlign w:val="bottom"/>
            <w:tcBorders>
              <w:right w:val="single" w:sz="8" w:color="CCEEFF"/>
            </w:tcBorders>
            <w:shd w:val="clear" w:color="auto" w:fill="CCEEFF"/>
          </w:tcPr>
          <w:p>
            <w:pPr>
              <w:spacing w:after="0"/>
              <w:rPr>
                <w:sz w:val="20"/>
                <w:szCs w:val="20"/>
                <w:color w:val="auto"/>
              </w:rPr>
            </w:pPr>
            <w:r>
              <w:rPr>
                <w:rFonts w:ascii="Arial" w:cs="Arial" w:eastAsia="Arial" w:hAnsi="Arial"/>
                <w:sz w:val="18"/>
                <w:szCs w:val="18"/>
                <w:color w:val="auto"/>
              </w:rPr>
              <w:t>Change in deferred revenue</w:t>
            </w:r>
          </w:p>
        </w:tc>
        <w:tc>
          <w:tcPr>
            <w:tcW w:w="120" w:type="dxa"/>
            <w:vAlign w:val="bottom"/>
            <w:shd w:val="clear" w:color="auto" w:fill="CCEEFF"/>
          </w:tcPr>
          <w:p>
            <w:pPr>
              <w:spacing w:after="0"/>
              <w:rPr>
                <w:sz w:val="18"/>
                <w:szCs w:val="18"/>
                <w:color w:val="auto"/>
              </w:rPr>
            </w:pPr>
          </w:p>
        </w:tc>
        <w:tc>
          <w:tcPr>
            <w:tcW w:w="1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Borders>
              <w:right w:val="single" w:sz="8" w:color="CCEEFF"/>
            </w:tcBorders>
            <w:shd w:val="clear" w:color="auto" w:fill="CCEEFF"/>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4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20" w:type="dxa"/>
            <w:vAlign w:val="bottom"/>
          </w:tcPr>
          <w:p>
            <w:pPr>
              <w:spacing w:after="0"/>
              <w:rPr>
                <w:sz w:val="18"/>
                <w:szCs w:val="18"/>
                <w:color w:val="auto"/>
              </w:rPr>
            </w:pPr>
          </w:p>
        </w:tc>
        <w:tc>
          <w:tcPr>
            <w:tcW w:w="7500" w:type="dxa"/>
            <w:vAlign w:val="bottom"/>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5"/>
                <w:szCs w:val="15"/>
                <w:b w:val="1"/>
                <w:bCs w:val="1"/>
                <w:color w:val="auto"/>
                <w:w w:val="71"/>
              </w:rPr>
              <w:t>$</w:t>
            </w:r>
          </w:p>
        </w:tc>
        <w:tc>
          <w:tcPr>
            <w:tcW w:w="15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75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4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2" w:lineRule="exact"/>
        <w:rPr>
          <w:sz w:val="20"/>
          <w:szCs w:val="20"/>
          <w:color w:val="auto"/>
        </w:rPr>
      </w:pPr>
    </w:p>
    <w:p>
      <w:pPr>
        <w:spacing w:after="0"/>
        <w:rPr>
          <w:sz w:val="20"/>
          <w:szCs w:val="20"/>
          <w:color w:val="auto"/>
        </w:rPr>
      </w:pPr>
      <w:r>
        <w:rPr>
          <w:rFonts w:ascii="Arial" w:cs="Arial" w:eastAsia="Arial" w:hAnsi="Arial"/>
          <w:sz w:val="17"/>
          <w:szCs w:val="17"/>
          <w:color w:val="auto"/>
        </w:rPr>
        <w:t>We believe the changes in comparable store sales for the thirty-nine weeks ended October 3, 2015 are primarily attributable to the following factors:</w:t>
      </w:r>
    </w:p>
    <w:p>
      <w:pPr>
        <w:spacing w:after="0" w:line="237" w:lineRule="exact"/>
        <w:rPr>
          <w:sz w:val="20"/>
          <w:szCs w:val="20"/>
          <w:color w:val="auto"/>
        </w:rPr>
      </w:pPr>
    </w:p>
    <w:p>
      <w:pPr>
        <w:ind w:left="660" w:right="6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A balanced product assortment that simultaneously and consistently focused on our four key consumer segments supported by elevated marketing programs. We believe this drove improvements in key metrics including dollars and units per transaction in both North America and Europe for both the thirty-nine week period which contributed to growth in our comparable store sales; and</w:t>
      </w:r>
    </w:p>
    <w:p>
      <w:pPr>
        <w:spacing w:after="0" w:line="181" w:lineRule="exact"/>
        <w:rPr>
          <w:rFonts w:ascii="Arial" w:cs="Arial" w:eastAsia="Arial" w:hAnsi="Arial"/>
          <w:sz w:val="18"/>
          <w:szCs w:val="18"/>
          <w:color w:val="auto"/>
        </w:rPr>
      </w:pPr>
    </w:p>
    <w:p>
      <w:pPr>
        <w:ind w:left="660" w:right="180" w:hanging="328"/>
        <w:spacing w:after="0" w:line="264" w:lineRule="auto"/>
        <w:tabs>
          <w:tab w:leader="none" w:pos="660" w:val="left"/>
        </w:tabs>
        <w:numPr>
          <w:ilvl w:val="0"/>
          <w:numId w:val="10"/>
        </w:numPr>
        <w:rPr>
          <w:rFonts w:ascii="Arial" w:cs="Arial" w:eastAsia="Arial" w:hAnsi="Arial"/>
          <w:sz w:val="18"/>
          <w:szCs w:val="18"/>
          <w:color w:val="auto"/>
        </w:rPr>
      </w:pPr>
      <w:r>
        <w:rPr>
          <w:rFonts w:ascii="Arial" w:cs="Arial" w:eastAsia="Arial" w:hAnsi="Arial"/>
          <w:sz w:val="18"/>
          <w:szCs w:val="18"/>
          <w:color w:val="auto"/>
        </w:rPr>
        <w:t>We believe that comparable store sales for the thirty-nine weeks benefitted from increased traffic in the second quarter of 2015 that we believe was due, in part, to children being out of school for more days as compared to the 2014 period when many schools lengthened the year to make up for earlier school cancellations due to weather factors.</w:t>
      </w:r>
    </w:p>
    <w:p>
      <w:pPr>
        <w:spacing w:after="0" w:line="181" w:lineRule="exact"/>
        <w:rPr>
          <w:sz w:val="20"/>
          <w:szCs w:val="20"/>
          <w:color w:val="auto"/>
        </w:rPr>
      </w:pPr>
    </w:p>
    <w:p>
      <w:pPr>
        <w:ind w:right="100"/>
        <w:spacing w:after="0" w:line="302" w:lineRule="auto"/>
        <w:rPr>
          <w:sz w:val="20"/>
          <w:szCs w:val="20"/>
          <w:color w:val="auto"/>
        </w:rPr>
      </w:pPr>
      <w:r>
        <w:rPr>
          <w:rFonts w:ascii="Arial" w:cs="Arial" w:eastAsia="Arial" w:hAnsi="Arial"/>
          <w:sz w:val="16"/>
          <w:szCs w:val="16"/>
          <w:i w:val="1"/>
          <w:iCs w:val="1"/>
          <w:color w:val="auto"/>
        </w:rPr>
        <w:t xml:space="preserve">Franchise fees and commercial revenue. </w:t>
      </w:r>
      <w:r>
        <w:rPr>
          <w:rFonts w:ascii="Arial" w:cs="Arial" w:eastAsia="Arial" w:hAnsi="Arial"/>
          <w:sz w:val="16"/>
          <w:szCs w:val="16"/>
          <w:color w:val="auto"/>
        </w:rPr>
        <w:t>Revenue from franchise fees was $1.6 million for the thirty-nine weeks ended October 3, 2015 compared to $1.7</w:t>
      </w:r>
      <w:r>
        <w:rPr>
          <w:rFonts w:ascii="Arial" w:cs="Arial" w:eastAsia="Arial" w:hAnsi="Arial"/>
          <w:sz w:val="16"/>
          <w:szCs w:val="16"/>
          <w:i w:val="1"/>
          <w:iCs w:val="1"/>
          <w:color w:val="auto"/>
        </w:rPr>
        <w:t xml:space="preserve"> </w:t>
      </w:r>
      <w:r>
        <w:rPr>
          <w:rFonts w:ascii="Arial" w:cs="Arial" w:eastAsia="Arial" w:hAnsi="Arial"/>
          <w:sz w:val="16"/>
          <w:szCs w:val="16"/>
          <w:color w:val="auto"/>
        </w:rPr>
        <w:t>million for the thirty-nine weeks ended September 27, 2014 a decrease of $0.1 million, primarily attributable to a decline in the number of franchise stores in operation in 2015. Commercial revenue was $2.2 million for the thirty-nine weeks ended October 3, 2015 compared to $1.4 million for the thirty-nine weeks ended September 27, 2014, an increase of $0.8 million. This increase was primarily attributable to an increase in wholesale activities.</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Cost and expenses</w:t>
      </w:r>
    </w:p>
    <w:p>
      <w:pPr>
        <w:spacing w:after="0" w:line="225" w:lineRule="exact"/>
        <w:rPr>
          <w:sz w:val="20"/>
          <w:szCs w:val="20"/>
          <w:color w:val="auto"/>
        </w:rPr>
      </w:pPr>
    </w:p>
    <w:p>
      <w:pPr>
        <w:ind w:right="160"/>
        <w:spacing w:after="0" w:line="302" w:lineRule="auto"/>
        <w:rPr>
          <w:sz w:val="20"/>
          <w:szCs w:val="20"/>
          <w:color w:val="auto"/>
        </w:rPr>
      </w:pPr>
      <w:r>
        <w:rPr>
          <w:rFonts w:ascii="Arial" w:cs="Arial" w:eastAsia="Arial" w:hAnsi="Arial"/>
          <w:sz w:val="16"/>
          <w:szCs w:val="16"/>
          <w:i w:val="1"/>
          <w:iCs w:val="1"/>
          <w:color w:val="auto"/>
        </w:rPr>
        <w:t xml:space="preserve">Retail gross margin. </w:t>
      </w:r>
      <w:r>
        <w:rPr>
          <w:rFonts w:ascii="Arial" w:cs="Arial" w:eastAsia="Arial" w:hAnsi="Arial"/>
          <w:sz w:val="16"/>
          <w:szCs w:val="16"/>
          <w:color w:val="auto"/>
        </w:rPr>
        <w:t>Retail gross margin increased to $116.0 million for the thirty-nine weeks ended October 3, 2015 from $109.0 million for the thirty-nine</w:t>
      </w:r>
      <w:r>
        <w:rPr>
          <w:rFonts w:ascii="Arial" w:cs="Arial" w:eastAsia="Arial" w:hAnsi="Arial"/>
          <w:sz w:val="16"/>
          <w:szCs w:val="16"/>
          <w:i w:val="1"/>
          <w:iCs w:val="1"/>
          <w:color w:val="auto"/>
        </w:rPr>
        <w:t xml:space="preserve"> </w:t>
      </w:r>
      <w:r>
        <w:rPr>
          <w:rFonts w:ascii="Arial" w:cs="Arial" w:eastAsia="Arial" w:hAnsi="Arial"/>
          <w:sz w:val="16"/>
          <w:szCs w:val="16"/>
          <w:color w:val="auto"/>
        </w:rPr>
        <w:t>weeks ended September 27, 2014, an increase of $7.0 million, or 6.4%. As a percentage of net retail sales, retail gross margin increased to 45.3% for the thirty-nine weeks ended October 3, 2015 from 42.3% for the thirty-nine weeks ended September 27, 2014. This 300 bps increase was primarily driven by a 200 bps expansion in merchandise margin, 50 bps of improvement in distribution costs and 50 bps of improved leverage of fixed occupancy costs.</w:t>
      </w:r>
    </w:p>
    <w:p>
      <w:pPr>
        <w:spacing w:after="0" w:line="154" w:lineRule="exact"/>
        <w:rPr>
          <w:sz w:val="20"/>
          <w:szCs w:val="20"/>
          <w:color w:val="auto"/>
        </w:rPr>
      </w:pPr>
    </w:p>
    <w:p>
      <w:pPr>
        <w:ind w:firstLine="45"/>
        <w:spacing w:after="0" w:line="255" w:lineRule="auto"/>
        <w:rPr>
          <w:sz w:val="20"/>
          <w:szCs w:val="20"/>
          <w:color w:val="auto"/>
        </w:rPr>
      </w:pPr>
      <w:r>
        <w:rPr>
          <w:rFonts w:ascii="Arial" w:cs="Arial" w:eastAsia="Arial" w:hAnsi="Arial"/>
          <w:sz w:val="18"/>
          <w:szCs w:val="18"/>
          <w:i w:val="1"/>
          <w:iCs w:val="1"/>
          <w:color w:val="auto"/>
        </w:rPr>
        <w:t xml:space="preserve">Selling, general and administrative. </w:t>
      </w:r>
      <w:r>
        <w:rPr>
          <w:rFonts w:ascii="Arial" w:cs="Arial" w:eastAsia="Arial" w:hAnsi="Arial"/>
          <w:sz w:val="18"/>
          <w:szCs w:val="18"/>
          <w:color w:val="auto"/>
        </w:rPr>
        <w:t>Selling, general and administrative expenses were $110.8 million for the thirty-nine weeks ended October 3, 2015</w:t>
      </w:r>
      <w:r>
        <w:rPr>
          <w:rFonts w:ascii="Arial" w:cs="Arial" w:eastAsia="Arial" w:hAnsi="Arial"/>
          <w:sz w:val="18"/>
          <w:szCs w:val="18"/>
          <w:i w:val="1"/>
          <w:iCs w:val="1"/>
          <w:color w:val="auto"/>
        </w:rPr>
        <w:t xml:space="preserve"> </w:t>
      </w:r>
      <w:r>
        <w:rPr>
          <w:rFonts w:ascii="Arial" w:cs="Arial" w:eastAsia="Arial" w:hAnsi="Arial"/>
          <w:sz w:val="18"/>
          <w:szCs w:val="18"/>
          <w:color w:val="auto"/>
        </w:rPr>
        <w:t>compared to $108.1 million for the thirty-nine weeks ended September 27, 2014, an increase of $2.8 million, or 2.5%. As a percentage of total revenues, selling, general and administrative expenses increased to 42.6% for the thirty-nine weeks ended October 3, 2015 as compared to 41.4% for the thirty-nine weeks ended September 27, 2014, an increase of 120 bps. The thirty-nine weeks ended October 3, 2015 included $2.4 million in management transition costs and currency loss, compared to $1.9 million in the thirty-nine weeks ended September 27, 2014. Adjusting for these items in both periods, selling, general and administrative expenses as a percent of total revenues for the thirty-nine weeks ended October 3, 2015 was 41.7%, compared to 40.7% for the thirty-nine weeks ended September 27, 2014.</w:t>
      </w:r>
    </w:p>
    <w:p>
      <w:pPr>
        <w:spacing w:after="0" w:line="200" w:lineRule="exact"/>
        <w:rPr>
          <w:sz w:val="20"/>
          <w:szCs w:val="20"/>
          <w:color w:val="auto"/>
        </w:rPr>
      </w:pPr>
    </w:p>
    <w:p>
      <w:pPr>
        <w:spacing w:after="0" w:line="232"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6" w:name="page17"/>
    <w:bookmarkEnd w:id="16"/>
    <w:p>
      <w:pPr>
        <w:ind w:right="320"/>
        <w:spacing w:after="0" w:line="277" w:lineRule="auto"/>
        <w:rPr>
          <w:sz w:val="20"/>
          <w:szCs w:val="20"/>
          <w:color w:val="auto"/>
        </w:rPr>
      </w:pPr>
      <w:r>
        <w:rPr>
          <w:rFonts w:ascii="Arial" w:cs="Arial" w:eastAsia="Arial" w:hAnsi="Arial"/>
          <w:sz w:val="18"/>
          <w:szCs w:val="18"/>
          <w:i w:val="1"/>
          <w:iCs w:val="1"/>
          <w:color w:val="auto"/>
        </w:rPr>
        <w:t xml:space="preserve">Interest expense (income), net. </w:t>
      </w:r>
      <w:r>
        <w:rPr>
          <w:rFonts w:ascii="Arial" w:cs="Arial" w:eastAsia="Arial" w:hAnsi="Arial"/>
          <w:sz w:val="18"/>
          <w:szCs w:val="18"/>
          <w:color w:val="auto"/>
        </w:rPr>
        <w:t>Interest income, net of interest expense, was $0.1 million and $36,000 for the thirty-nine weeks ended October 3, 2015 and</w:t>
      </w:r>
      <w:r>
        <w:rPr>
          <w:rFonts w:ascii="Arial" w:cs="Arial" w:eastAsia="Arial" w:hAnsi="Arial"/>
          <w:sz w:val="18"/>
          <w:szCs w:val="18"/>
          <w:i w:val="1"/>
          <w:iCs w:val="1"/>
          <w:color w:val="auto"/>
        </w:rPr>
        <w:t xml:space="preserve"> </w:t>
      </w:r>
      <w:r>
        <w:rPr>
          <w:rFonts w:ascii="Arial" w:cs="Arial" w:eastAsia="Arial" w:hAnsi="Arial"/>
          <w:sz w:val="18"/>
          <w:szCs w:val="18"/>
          <w:color w:val="auto"/>
        </w:rPr>
        <w:t>September 27, 2014, respectively.</w:t>
      </w:r>
    </w:p>
    <w:p>
      <w:pPr>
        <w:spacing w:after="0" w:line="170" w:lineRule="exact"/>
        <w:rPr>
          <w:sz w:val="20"/>
          <w:szCs w:val="20"/>
          <w:color w:val="auto"/>
        </w:rPr>
      </w:pPr>
    </w:p>
    <w:p>
      <w:pPr>
        <w:ind w:right="60"/>
        <w:spacing w:after="0" w:line="255" w:lineRule="auto"/>
        <w:rPr>
          <w:sz w:val="20"/>
          <w:szCs w:val="20"/>
          <w:color w:val="auto"/>
        </w:rPr>
      </w:pPr>
      <w:r>
        <w:rPr>
          <w:rFonts w:ascii="Arial" w:cs="Arial" w:eastAsia="Arial" w:hAnsi="Arial"/>
          <w:sz w:val="18"/>
          <w:szCs w:val="18"/>
          <w:i w:val="1"/>
          <w:iCs w:val="1"/>
          <w:color w:val="auto"/>
        </w:rPr>
        <w:t>Provision for income taxes</w:t>
      </w:r>
      <w:r>
        <w:rPr>
          <w:rFonts w:ascii="Arial" w:cs="Arial" w:eastAsia="Arial" w:hAnsi="Arial"/>
          <w:sz w:val="18"/>
          <w:szCs w:val="18"/>
          <w:color w:val="auto"/>
        </w:rPr>
        <w:t>. Income tax expense was $0.7 million for the thirty-nine weeks ended October 3, 2015 as compared to income tax expense of $0.9</w:t>
      </w:r>
      <w:r>
        <w:rPr>
          <w:rFonts w:ascii="Arial" w:cs="Arial" w:eastAsia="Arial" w:hAnsi="Arial"/>
          <w:sz w:val="18"/>
          <w:szCs w:val="18"/>
          <w:i w:val="1"/>
          <w:iCs w:val="1"/>
          <w:color w:val="auto"/>
        </w:rPr>
        <w:t xml:space="preserve"> </w:t>
      </w:r>
      <w:r>
        <w:rPr>
          <w:rFonts w:ascii="Arial" w:cs="Arial" w:eastAsia="Arial" w:hAnsi="Arial"/>
          <w:sz w:val="18"/>
          <w:szCs w:val="18"/>
          <w:color w:val="auto"/>
        </w:rPr>
        <w:t>million for the thirty-nine weeks ended September 27, 2014. The effective tax rate was 9.0% for the thirty-nine weeks ended October 3, 2015 compared to 25.3% for the thirty-nine weeks ended September 27, 2014. This $0.2 million decrease was primarily attributable to a decrease in tax expense in foreign jurisdictions. As there was a valuation allowance recorded on substantially all domestic deferred tax assets in both periods, income tax expense on domestic income was offset by a reversal of a portion of the existing valuation allowance. The change in the effective rate was primarily driven by the change in domestic pre-tax results for the respective periods.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Seasonality and Quarterly Results</w:t>
      </w:r>
    </w:p>
    <w:p>
      <w:pPr>
        <w:spacing w:after="0" w:line="229" w:lineRule="exact"/>
        <w:rPr>
          <w:sz w:val="20"/>
          <w:szCs w:val="20"/>
          <w:color w:val="auto"/>
        </w:rPr>
      </w:pPr>
    </w:p>
    <w:p>
      <w:pPr>
        <w:ind w:right="120"/>
        <w:spacing w:after="0" w:line="273" w:lineRule="auto"/>
        <w:rPr>
          <w:sz w:val="20"/>
          <w:szCs w:val="20"/>
          <w:color w:val="auto"/>
        </w:rPr>
      </w:pPr>
      <w:r>
        <w:rPr>
          <w:rFonts w:ascii="Arial" w:cs="Arial" w:eastAsia="Arial" w:hAnsi="Arial"/>
          <w:sz w:val="17"/>
          <w:szCs w:val="17"/>
          <w:color w:val="auto"/>
        </w:rPr>
        <w:t>Our operating results for one period may not be indicative of results for other periods, and may fluctuate significantly because of a variety of factors, including, but not limited to: (1) changes in general economic conditions and consumer spending patterns; (2) increases or decreases in our comparable store sales; (3) fluctuations in the profitability of our stores; (4) changes in foreign currency exchange rates; (5) the timing and frequency of our marketing initiatives, including national media and other public relations events; (6) the timing of our store openings and closings and related expenses; (7) changes in consumer preferences; (8) the effectiveness of our inventory management; (9) the actions of our competitors or mall anchors and co-tenants; (10) seasonal shopping patterns and holiday and vacation schedules; and (11) weather conditions.</w:t>
      </w:r>
    </w:p>
    <w:p>
      <w:pPr>
        <w:spacing w:after="0" w:line="178" w:lineRule="exact"/>
        <w:rPr>
          <w:sz w:val="20"/>
          <w:szCs w:val="20"/>
          <w:color w:val="auto"/>
        </w:rPr>
      </w:pPr>
    </w:p>
    <w:p>
      <w:pPr>
        <w:ind w:right="220"/>
        <w:spacing w:after="0" w:line="259" w:lineRule="auto"/>
        <w:rPr>
          <w:sz w:val="20"/>
          <w:szCs w:val="20"/>
          <w:color w:val="auto"/>
        </w:rPr>
      </w:pPr>
      <w:r>
        <w:rPr>
          <w:rFonts w:ascii="Arial" w:cs="Arial" w:eastAsia="Arial" w:hAnsi="Arial"/>
          <w:sz w:val="18"/>
          <w:szCs w:val="18"/>
          <w:color w:val="auto"/>
        </w:rPr>
        <w:t>The timing of store closures, remodels and openings may result in fluctuations in quarterly results based on the revenues and expenses associated with each store location. Expenses related to store closings are typically incurred in stages: when the decision is made to close the store; when the closure is communicated to store associates; and at the time of closure. We typically incur most preopening costs for a new store in the three months immediately preceding the store’s opening.</w:t>
      </w:r>
    </w:p>
    <w:p>
      <w:pPr>
        <w:spacing w:after="0" w:line="187" w:lineRule="exact"/>
        <w:rPr>
          <w:sz w:val="20"/>
          <w:szCs w:val="20"/>
          <w:color w:val="auto"/>
        </w:rPr>
      </w:pPr>
    </w:p>
    <w:p>
      <w:pPr>
        <w:ind w:right="20"/>
        <w:spacing w:after="0" w:line="286" w:lineRule="auto"/>
        <w:rPr>
          <w:sz w:val="20"/>
          <w:szCs w:val="20"/>
          <w:color w:val="auto"/>
        </w:rPr>
      </w:pPr>
      <w:r>
        <w:rPr>
          <w:rFonts w:ascii="Arial" w:cs="Arial" w:eastAsia="Arial" w:hAnsi="Arial"/>
          <w:sz w:val="17"/>
          <w:szCs w:val="17"/>
          <w:color w:val="auto"/>
        </w:rPr>
        <w:t>As a toy retailer, our sales are highest in our fourth quarter, followed by the first quarter. The timing of holidays and school vacations can impact our quarterly results. We cannot ensure that this will continue to be the case. In addition, for accounting purposes, the quarters of each fiscal year consist of 13 weeks, although we will have a 14-week quarter approximately once every six years. The 2014 fiscal fourth quarter had 14 weeks.</w:t>
      </w:r>
    </w:p>
    <w:p>
      <w:pPr>
        <w:spacing w:after="0" w:line="1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Liquidity and Capital Resources</w:t>
      </w:r>
    </w:p>
    <w:p>
      <w:pPr>
        <w:spacing w:after="0" w:line="229" w:lineRule="exact"/>
        <w:rPr>
          <w:sz w:val="20"/>
          <w:szCs w:val="20"/>
          <w:color w:val="auto"/>
        </w:rPr>
      </w:pPr>
    </w:p>
    <w:p>
      <w:pPr>
        <w:ind w:right="200"/>
        <w:spacing w:after="0" w:line="264" w:lineRule="auto"/>
        <w:rPr>
          <w:sz w:val="20"/>
          <w:szCs w:val="20"/>
          <w:color w:val="auto"/>
        </w:rPr>
      </w:pPr>
      <w:r>
        <w:rPr>
          <w:rFonts w:ascii="Arial" w:cs="Arial" w:eastAsia="Arial" w:hAnsi="Arial"/>
          <w:sz w:val="18"/>
          <w:szCs w:val="18"/>
          <w:color w:val="auto"/>
        </w:rPr>
        <w:t>Our cash requirements are primarily for the relocation and remodeling of existing stores in our new design, opening of new stores, information systems and working capital. Over the past several years, we have met these requirements through capital generated from cash flow provided by operations. We have access to additional cash through our revolving line of credit that has been in place since 2000.</w:t>
      </w:r>
    </w:p>
    <w:p>
      <w:pPr>
        <w:spacing w:after="0" w:line="181" w:lineRule="exact"/>
        <w:rPr>
          <w:sz w:val="20"/>
          <w:szCs w:val="20"/>
          <w:color w:val="auto"/>
        </w:rPr>
      </w:pPr>
    </w:p>
    <w:p>
      <w:pPr>
        <w:ind w:right="160"/>
        <w:spacing w:after="0" w:line="279" w:lineRule="auto"/>
        <w:rPr>
          <w:sz w:val="20"/>
          <w:szCs w:val="20"/>
          <w:color w:val="auto"/>
        </w:rPr>
      </w:pPr>
      <w:r>
        <w:rPr>
          <w:rFonts w:ascii="Arial" w:cs="Arial" w:eastAsia="Arial" w:hAnsi="Arial"/>
          <w:sz w:val="17"/>
          <w:szCs w:val="17"/>
          <w:i w:val="1"/>
          <w:iCs w:val="1"/>
          <w:color w:val="auto"/>
        </w:rPr>
        <w:t xml:space="preserve">Operating Activities. </w:t>
      </w:r>
      <w:r>
        <w:rPr>
          <w:rFonts w:ascii="Arial" w:cs="Arial" w:eastAsia="Arial" w:hAnsi="Arial"/>
          <w:sz w:val="17"/>
          <w:szCs w:val="17"/>
          <w:color w:val="auto"/>
        </w:rPr>
        <w:t>Cash used in operating activities was $2.7 million for the thirty-nine weeks ended October 3, 2015, compared to cash provided by</w:t>
      </w:r>
      <w:r>
        <w:rPr>
          <w:rFonts w:ascii="Arial" w:cs="Arial" w:eastAsia="Arial" w:hAnsi="Arial"/>
          <w:sz w:val="17"/>
          <w:szCs w:val="17"/>
          <w:i w:val="1"/>
          <w:iCs w:val="1"/>
          <w:color w:val="auto"/>
        </w:rPr>
        <w:t xml:space="preserve"> </w:t>
      </w:r>
      <w:r>
        <w:rPr>
          <w:rFonts w:ascii="Arial" w:cs="Arial" w:eastAsia="Arial" w:hAnsi="Arial"/>
          <w:sz w:val="17"/>
          <w:szCs w:val="17"/>
          <w:color w:val="auto"/>
        </w:rPr>
        <w:t>operating activities of $4.4 million for the thirty-nine weeks ended September 27, 2014, a change of $7.1 million. Generally, changes in cash from operating activities are driven by changes in net income and changes in operating assets and liabilities. This increase in cash used by operating activities over the year ago period was primarily due to the timing of inventory receipts and payments partially offset by improved store contribution.</w:t>
      </w:r>
    </w:p>
    <w:p>
      <w:pPr>
        <w:spacing w:after="0" w:line="171" w:lineRule="exact"/>
        <w:rPr>
          <w:sz w:val="20"/>
          <w:szCs w:val="20"/>
          <w:color w:val="auto"/>
        </w:rPr>
      </w:pPr>
    </w:p>
    <w:p>
      <w:pPr>
        <w:spacing w:after="0" w:line="273" w:lineRule="auto"/>
        <w:rPr>
          <w:sz w:val="20"/>
          <w:szCs w:val="20"/>
          <w:color w:val="auto"/>
        </w:rPr>
      </w:pPr>
      <w:r>
        <w:rPr>
          <w:rFonts w:ascii="Arial" w:cs="Arial" w:eastAsia="Arial" w:hAnsi="Arial"/>
          <w:sz w:val="17"/>
          <w:szCs w:val="17"/>
          <w:i w:val="1"/>
          <w:iCs w:val="1"/>
          <w:color w:val="auto"/>
        </w:rPr>
        <w:t xml:space="preserve">Investing Activities. </w:t>
      </w:r>
      <w:r>
        <w:rPr>
          <w:rFonts w:ascii="Arial" w:cs="Arial" w:eastAsia="Arial" w:hAnsi="Arial"/>
          <w:sz w:val="17"/>
          <w:szCs w:val="17"/>
          <w:color w:val="auto"/>
        </w:rPr>
        <w:t>Cash used in investing activities was $13.6 million for the thirty-nine weeks ended October 3, 2015 as compared to $6.6 million for the</w:t>
      </w:r>
      <w:r>
        <w:rPr>
          <w:rFonts w:ascii="Arial" w:cs="Arial" w:eastAsia="Arial" w:hAnsi="Arial"/>
          <w:sz w:val="17"/>
          <w:szCs w:val="17"/>
          <w:i w:val="1"/>
          <w:iCs w:val="1"/>
          <w:color w:val="auto"/>
        </w:rPr>
        <w:t xml:space="preserve"> </w:t>
      </w:r>
      <w:r>
        <w:rPr>
          <w:rFonts w:ascii="Arial" w:cs="Arial" w:eastAsia="Arial" w:hAnsi="Arial"/>
          <w:sz w:val="17"/>
          <w:szCs w:val="17"/>
          <w:color w:val="auto"/>
        </w:rPr>
        <w:t>thirty-nine weeks ended September 27, 2014, an increase of $7.0 million. Cash used in investing activities during the thirty-nine weeks ended October 3, 2015 primarily related to construction costs for new and remodeled stores, investments in central office information technology systems, the acquisition of trademarks and other intellectual property and the purchases of short-term investments, net of the proceeds from maturities. Cash used in investing activities during the thirty-nine weeks ended September 27, 2014 primarily related to construction costs for new and remodeled stores, investments in central office information technology systems and purchases of short-term investments.</w:t>
      </w:r>
    </w:p>
    <w:p>
      <w:pPr>
        <w:spacing w:after="0" w:line="178" w:lineRule="exact"/>
        <w:rPr>
          <w:sz w:val="20"/>
          <w:szCs w:val="20"/>
          <w:color w:val="auto"/>
        </w:rPr>
      </w:pPr>
    </w:p>
    <w:p>
      <w:pPr>
        <w:ind w:right="40"/>
        <w:spacing w:after="0" w:line="276" w:lineRule="auto"/>
        <w:rPr>
          <w:sz w:val="20"/>
          <w:szCs w:val="20"/>
          <w:color w:val="auto"/>
        </w:rPr>
      </w:pPr>
      <w:r>
        <w:rPr>
          <w:rFonts w:ascii="Arial" w:cs="Arial" w:eastAsia="Arial" w:hAnsi="Arial"/>
          <w:sz w:val="17"/>
          <w:szCs w:val="17"/>
          <w:i w:val="1"/>
          <w:iCs w:val="1"/>
          <w:color w:val="auto"/>
        </w:rPr>
        <w:t xml:space="preserve">Financing Activities. </w:t>
      </w:r>
      <w:r>
        <w:rPr>
          <w:rFonts w:ascii="Arial" w:cs="Arial" w:eastAsia="Arial" w:hAnsi="Arial"/>
          <w:sz w:val="17"/>
          <w:szCs w:val="17"/>
          <w:color w:val="auto"/>
        </w:rPr>
        <w:t>Financing activities used cash of $11.6 million in the thirty-nine weeks ended October 3, 2015, as purchases of our common stock used</w:t>
      </w:r>
      <w:r>
        <w:rPr>
          <w:rFonts w:ascii="Arial" w:cs="Arial" w:eastAsia="Arial" w:hAnsi="Arial"/>
          <w:sz w:val="17"/>
          <w:szCs w:val="17"/>
          <w:i w:val="1"/>
          <w:iCs w:val="1"/>
          <w:color w:val="auto"/>
        </w:rPr>
        <w:t xml:space="preserve"> </w:t>
      </w:r>
      <w:r>
        <w:rPr>
          <w:rFonts w:ascii="Arial" w:cs="Arial" w:eastAsia="Arial" w:hAnsi="Arial"/>
          <w:sz w:val="17"/>
          <w:szCs w:val="17"/>
          <w:color w:val="auto"/>
        </w:rPr>
        <w:t>cash of $11.1 million and exercises of employee stock options, net of shares used for withholding tax payments used $0.5 million. In the thirty-nine weeks ended September 27, 2014, financing activities used cash of $2.0 million, as purchases of our common stock used cash of $3.2 million partially offset by cash provided from the exercises of employee stock options, net of shares used for withholding tax payments of $1.3 million. No borrowings were made under our line of credit in either the thirty-nine weeks ended October 3, 2015 or September 27, 2014.</w:t>
      </w:r>
    </w:p>
    <w:p>
      <w:pPr>
        <w:spacing w:after="0" w:line="200" w:lineRule="exact"/>
        <w:rPr>
          <w:sz w:val="20"/>
          <w:szCs w:val="20"/>
          <w:color w:val="auto"/>
        </w:rPr>
      </w:pPr>
    </w:p>
    <w:p>
      <w:pPr>
        <w:spacing w:after="0" w:line="21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7" w:name="page18"/>
    <w:bookmarkEnd w:id="17"/>
    <w:p>
      <w:pPr>
        <w:spacing w:after="0" w:line="269" w:lineRule="auto"/>
        <w:rPr>
          <w:sz w:val="20"/>
          <w:szCs w:val="20"/>
          <w:color w:val="auto"/>
        </w:rPr>
      </w:pPr>
      <w:r>
        <w:rPr>
          <w:rFonts w:ascii="Arial" w:cs="Arial" w:eastAsia="Arial" w:hAnsi="Arial"/>
          <w:sz w:val="17"/>
          <w:szCs w:val="17"/>
          <w:i w:val="1"/>
          <w:iCs w:val="1"/>
          <w:color w:val="auto"/>
        </w:rPr>
        <w:t xml:space="preserve">Capital Resources. </w:t>
      </w:r>
      <w:r>
        <w:rPr>
          <w:rFonts w:ascii="Arial" w:cs="Arial" w:eastAsia="Arial" w:hAnsi="Arial"/>
          <w:sz w:val="17"/>
          <w:szCs w:val="17"/>
          <w:color w:val="auto"/>
        </w:rPr>
        <w:t>As of October 3, 2015, we had a consolidated cash balance of $37.1 million, over half of which was domiciled outside of the United</w:t>
      </w:r>
      <w:r>
        <w:rPr>
          <w:rFonts w:ascii="Arial" w:cs="Arial" w:eastAsia="Arial" w:hAnsi="Arial"/>
          <w:sz w:val="17"/>
          <w:szCs w:val="17"/>
          <w:i w:val="1"/>
          <w:iCs w:val="1"/>
          <w:color w:val="auto"/>
        </w:rPr>
        <w:t xml:space="preserve"> </w:t>
      </w:r>
      <w:r>
        <w:rPr>
          <w:rFonts w:ascii="Arial" w:cs="Arial" w:eastAsia="Arial" w:hAnsi="Arial"/>
          <w:sz w:val="17"/>
          <w:szCs w:val="17"/>
          <w:color w:val="auto"/>
        </w:rPr>
        <w:t>States. We also have a line of credit, which we can use to finance capital expenditures and working capital needs throughout the year. The bank line provides availability of $35 million. Borrowings under the credit agreement are secured by our assets and a pledge of 65% of our ownership interest in our foreign subsidiaries. The credit agreement expires on December 31, 2016 and contains various restrictions on indebtedness, liens, guarantees, redemptions, mergers, acquisitions or sale of assets, loans, transactions with affiliates and investments. It also prohibits us from declaring dividends without the bank’s prior consent, unless such payment of dividends would not violate any terms of the credit agreement. We are also prohibited from repurchasing shares of our common stock unless such repurchase of shares would not violate any terms of the credit agreement; we may not use the proceeds of the line of credit to repurchase shares. Borrowings bear interest at LIBOR plus 1.8%. Financial covenants include maintaining a minimum tangible net worth, maintaining a minimum fixed charge coverage ratio (as defined in the credit agreement) and not exceeding a maximum funded debt to earnings before interest, depreciation and amortization ratio. As of October 3, 2015: (i) we were in compliance with these covenants; (ii) there were no borrowings under our line of credit; and (iii) there was $35.0 million available for borrowing under the line of credit.</w:t>
      </w:r>
    </w:p>
    <w:p>
      <w:pPr>
        <w:spacing w:after="0" w:line="183" w:lineRule="exact"/>
        <w:rPr>
          <w:sz w:val="20"/>
          <w:szCs w:val="20"/>
          <w:color w:val="auto"/>
        </w:rPr>
      </w:pPr>
    </w:p>
    <w:p>
      <w:pPr>
        <w:ind w:right="100"/>
        <w:spacing w:after="0" w:line="255" w:lineRule="auto"/>
        <w:rPr>
          <w:sz w:val="20"/>
          <w:szCs w:val="20"/>
          <w:color w:val="auto"/>
        </w:rPr>
      </w:pPr>
      <w:r>
        <w:rPr>
          <w:rFonts w:ascii="Arial" w:cs="Arial" w:eastAsia="Arial" w:hAnsi="Arial"/>
          <w:sz w:val="18"/>
          <w:szCs w:val="18"/>
          <w:color w:val="auto"/>
        </w:rPr>
        <w:t>Most of our retail stores are located within shopping malls and all are operated under leases classified as operating leases. Our leases in North America typically have a ten-year term and contain provisions for base rent plus percentage rent based on defined sales levels. Many of the leases contain a provision whereby either we or the landlord may terminate the lease after a certain time, typically in the third to fourth year of the lease, if a certain minimum sales volume is not achieved. In addition, some of these leases contain various restrictions relating to change of control of our company. Our leases also subject us to risks relating to compliance with changing mall rules and the exercise of discretion by our landlords on various matters, including rights of termination in some cases.</w:t>
      </w:r>
    </w:p>
    <w:p>
      <w:pPr>
        <w:spacing w:after="0" w:line="193"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Our leases in the U.K. and Ireland typically have terms of 10 to 15 years and generally contain a provision whereby every fifth year the rental rate can be adjusted to reflect the current market rates. The leases typically provide the lessee with the first right for renewal at the end of the lease. Real estate taxes also change according to government time schedules to reflect current market rental rates for the locations we lease. Rents are charged quarterly and paid in advance.</w:t>
      </w:r>
    </w:p>
    <w:p>
      <w:pPr>
        <w:spacing w:after="0" w:line="187" w:lineRule="exact"/>
        <w:rPr>
          <w:sz w:val="20"/>
          <w:szCs w:val="20"/>
          <w:color w:val="auto"/>
        </w:rPr>
      </w:pPr>
    </w:p>
    <w:p>
      <w:pPr>
        <w:ind w:right="20"/>
        <w:spacing w:after="0" w:line="264" w:lineRule="auto"/>
        <w:rPr>
          <w:sz w:val="20"/>
          <w:szCs w:val="20"/>
          <w:color w:val="auto"/>
        </w:rPr>
      </w:pPr>
      <w:r>
        <w:rPr>
          <w:rFonts w:ascii="Arial" w:cs="Arial" w:eastAsia="Arial" w:hAnsi="Arial"/>
          <w:sz w:val="18"/>
          <w:szCs w:val="18"/>
          <w:color w:val="auto"/>
        </w:rPr>
        <w:t>In fiscal 2015, we expect to spend a total of $20 million to $25 million on capital expenditures. Capital spending through the thirty-nine weeks ended October 3, 2015 totaled $12.9 million, on track with our full year plans. Capital spending in fiscal 2015 is primarily to support the remodeling and opening of stores and investment in infrastructure.</w:t>
      </w:r>
    </w:p>
    <w:p>
      <w:pPr>
        <w:spacing w:after="0" w:line="181" w:lineRule="exact"/>
        <w:rPr>
          <w:sz w:val="20"/>
          <w:szCs w:val="20"/>
          <w:color w:val="auto"/>
        </w:rPr>
      </w:pPr>
    </w:p>
    <w:p>
      <w:pPr>
        <w:ind w:right="80"/>
        <w:spacing w:after="0" w:line="277" w:lineRule="auto"/>
        <w:rPr>
          <w:sz w:val="20"/>
          <w:szCs w:val="20"/>
          <w:color w:val="auto"/>
        </w:rPr>
      </w:pPr>
      <w:r>
        <w:rPr>
          <w:rFonts w:ascii="Arial" w:cs="Arial" w:eastAsia="Arial" w:hAnsi="Arial"/>
          <w:sz w:val="18"/>
          <w:szCs w:val="18"/>
          <w:color w:val="auto"/>
        </w:rPr>
        <w:t>We believe that cash generated from operations and borrowings under our credit agreement will be sufficient to fund our working capital and other cash flow requirements for the near future.</w:t>
      </w:r>
    </w:p>
    <w:p>
      <w:pPr>
        <w:spacing w:after="0" w:line="170" w:lineRule="exact"/>
        <w:rPr>
          <w:sz w:val="20"/>
          <w:szCs w:val="20"/>
          <w:color w:val="auto"/>
        </w:rPr>
      </w:pPr>
    </w:p>
    <w:p>
      <w:pPr>
        <w:spacing w:after="0" w:line="268" w:lineRule="auto"/>
        <w:rPr>
          <w:sz w:val="20"/>
          <w:szCs w:val="20"/>
          <w:color w:val="auto"/>
        </w:rPr>
      </w:pPr>
      <w:r>
        <w:rPr>
          <w:rFonts w:ascii="Arial" w:cs="Arial" w:eastAsia="Arial" w:hAnsi="Arial"/>
          <w:sz w:val="17"/>
          <w:szCs w:val="17"/>
          <w:color w:val="auto"/>
        </w:rPr>
        <w:t>On February 20, 2007, we announced that our board of directors had authorized a $25 million share repurchase program of our outstanding common stock. On March 10, 2008, we announced an expansion of our share repurchase program to $50 million (the “2008 Share Repurchase Program”). Following a series of annual extensions, as of February 25, 2015, under the 2008 Share Repurchase Program, we had repurchased approximately 6,245,000 shares at an average price of $7.40 per share for an aggregate amount of $46.2 million, leaving $3.8 million of availability under the program. On February 25, 2015, we announced the termination of the 2008 Share Repurchase Program and the adoption of a new repurchase program (the “February 2015 Share Repurchase Program”) which authorizes us to repurchase up to $10 million of our common stock until March 31, 2016, subject to further extension by our board of directors. On July 7, 2015, we announced that the board had left the February 2015 Share Repurchase Program in place and adopted a new repurchase program (the “July 2015 Share Repurchase Program”) (together, the “2015 Share Repurchase Programs”) which authorizes us to repurchase up to an additional $10 million of our common stock until March 31, 2016, subject to further extension by the board. Under the 2015 Share Repurchase Programs, we currently intend to purchase up to $20 million of our common stock in the open market (including through 10b5-1 trading plans), through privately negotiated transactions, or through an accelerated repurchase transaction. The primary source of funding has been, and is expected to be, cash on hand. The timing and amount of share repurchases, if any, will depend on price, market conditions, applicable regulatory requirements, and other factors. The 2015 Share Repurchase Programs do not require us to repurchase any specific number of shares, and may be modified, suspended or terminated at any time without prior notice. Shares repurchased under the 2015 Share Repurchase Programs will be subsequently retired. As of November 10, 2015, we had repurchased approximately 1,171,000 shares at an average price of $16.73 per share for an aggregate amount of $19.6 million, leaving $1.5 million of availability under the 2015 Share Repurchase Programs.</w:t>
      </w:r>
    </w:p>
    <w:p>
      <w:pPr>
        <w:spacing w:after="0" w:line="177"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Off-Balance Sheet Arrangements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Critical Accounting Estimates</w:t>
      </w:r>
    </w:p>
    <w:p>
      <w:pPr>
        <w:spacing w:after="0" w:line="229" w:lineRule="exact"/>
        <w:rPr>
          <w:sz w:val="20"/>
          <w:szCs w:val="20"/>
          <w:color w:val="auto"/>
        </w:rPr>
      </w:pPr>
    </w:p>
    <w:p>
      <w:pPr>
        <w:ind w:right="40"/>
        <w:spacing w:after="0" w:line="259" w:lineRule="auto"/>
        <w:rPr>
          <w:sz w:val="20"/>
          <w:szCs w:val="20"/>
          <w:color w:val="auto"/>
        </w:rPr>
      </w:pPr>
      <w:r>
        <w:rPr>
          <w:rFonts w:ascii="Arial" w:cs="Arial" w:eastAsia="Arial" w:hAnsi="Arial"/>
          <w:sz w:val="18"/>
          <w:szCs w:val="18"/>
          <w:color w:val="auto"/>
        </w:rPr>
        <w:t>The preparation of financial statements in conformity with U.S. GAAP requires the appropriate application of certain accounting policies, which require us to make estimates and assumptions about future events and their impact on amounts reported in our financial statements and related notes. Since future events and their impact cannot be determined with certainty, the actual results will inevitably differ from our estimates. Such differences could be material to the financial statements.</w:t>
      </w: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584" w:right="259" w:bottom="1440" w:gutter="0" w:footer="0" w:header="0"/>
        </w:sectPr>
      </w:pPr>
    </w:p>
    <w:bookmarkStart w:id="18" w:name="page19"/>
    <w:bookmarkEnd w:id="18"/>
    <w:p>
      <w:pPr>
        <w:ind w:right="80"/>
        <w:spacing w:after="0" w:line="259" w:lineRule="auto"/>
        <w:rPr>
          <w:sz w:val="20"/>
          <w:szCs w:val="20"/>
          <w:color w:val="auto"/>
        </w:rPr>
      </w:pPr>
      <w:r>
        <w:rPr>
          <w:rFonts w:ascii="Arial" w:cs="Arial" w:eastAsia="Arial" w:hAnsi="Arial"/>
          <w:sz w:val="18"/>
          <w:szCs w:val="18"/>
          <w:color w:val="auto"/>
        </w:rPr>
        <w:t>We believe the application of accounting policies, and the estimates inherently required therein, are reasonable. These accounting policies and estimates, including those related to long-lived assets, revenue recognition and income taxes, are reevaluated on an ongoing basis, and adjustments are made when facts and circumstances dictate a change. Historically, we have found our application of accounting policies to be appropriate, and actual results have not differed materially from those determined using necessary estimates.</w:t>
      </w:r>
    </w:p>
    <w:p>
      <w:pPr>
        <w:spacing w:after="0" w:line="187" w:lineRule="exact"/>
        <w:rPr>
          <w:sz w:val="20"/>
          <w:szCs w:val="20"/>
          <w:color w:val="auto"/>
        </w:rPr>
      </w:pPr>
    </w:p>
    <w:p>
      <w:pPr>
        <w:ind w:right="60"/>
        <w:spacing w:after="0" w:line="264" w:lineRule="auto"/>
        <w:rPr>
          <w:sz w:val="20"/>
          <w:szCs w:val="20"/>
          <w:color w:val="auto"/>
        </w:rPr>
      </w:pPr>
      <w:r>
        <w:rPr>
          <w:rFonts w:ascii="Arial" w:cs="Arial" w:eastAsia="Arial" w:hAnsi="Arial"/>
          <w:sz w:val="18"/>
          <w:szCs w:val="18"/>
          <w:color w:val="auto"/>
        </w:rPr>
        <w:t>Our critical accounting policies and estimates are discussed in and should be read in conjunction with our annual report on Form 10-K, as filed with the Securities and Exchange Commission (SEC) on March 19, 2015, which includes audited consolidated financial statements for our 2014, 2013 and 2012 fiscal years. There have been no material changes to the critical accounting estimates disclosed in the 2014 Form 10-K.</w:t>
      </w:r>
    </w:p>
    <w:p>
      <w:pPr>
        <w:spacing w:after="0" w:line="177" w:lineRule="exact"/>
        <w:rPr>
          <w:sz w:val="20"/>
          <w:szCs w:val="20"/>
          <w:color w:val="auto"/>
        </w:rPr>
      </w:pPr>
    </w:p>
    <w:p>
      <w:pPr>
        <w:ind w:left="60"/>
        <w:spacing w:after="0"/>
        <w:rPr>
          <w:sz w:val="20"/>
          <w:szCs w:val="20"/>
          <w:color w:val="auto"/>
        </w:rPr>
      </w:pPr>
      <w:r>
        <w:rPr>
          <w:rFonts w:ascii="Arial" w:cs="Arial" w:eastAsia="Arial" w:hAnsi="Arial"/>
          <w:sz w:val="18"/>
          <w:szCs w:val="18"/>
          <w:b w:val="1"/>
          <w:bCs w:val="1"/>
          <w:color w:val="auto"/>
        </w:rPr>
        <w:t>Recent Accounting Pronouncements</w:t>
      </w:r>
    </w:p>
    <w:p>
      <w:pPr>
        <w:spacing w:after="0" w:line="229" w:lineRule="exact"/>
        <w:rPr>
          <w:sz w:val="20"/>
          <w:szCs w:val="20"/>
          <w:color w:val="auto"/>
        </w:rPr>
      </w:pPr>
    </w:p>
    <w:p>
      <w:pPr>
        <w:spacing w:after="0"/>
        <w:rPr>
          <w:sz w:val="20"/>
          <w:szCs w:val="20"/>
          <w:color w:val="auto"/>
        </w:rPr>
      </w:pPr>
      <w:r>
        <w:rPr>
          <w:rFonts w:ascii="Arial" w:cs="Arial" w:eastAsia="Arial" w:hAnsi="Arial"/>
          <w:sz w:val="18"/>
          <w:szCs w:val="18"/>
          <w:color w:val="auto"/>
        </w:rPr>
        <w:t>None</w:t>
      </w:r>
    </w:p>
    <w:p>
      <w:pPr>
        <w:spacing w:after="0" w:line="22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3. Quantitative and Qualitative Disclosures About Market Risk.</w:t>
      </w:r>
    </w:p>
    <w:p>
      <w:pPr>
        <w:spacing w:after="0" w:line="229" w:lineRule="exact"/>
        <w:rPr>
          <w:sz w:val="20"/>
          <w:szCs w:val="20"/>
          <w:color w:val="auto"/>
        </w:rPr>
      </w:pPr>
    </w:p>
    <w:p>
      <w:pPr>
        <w:ind w:right="40"/>
        <w:spacing w:after="0" w:line="277" w:lineRule="auto"/>
        <w:rPr>
          <w:sz w:val="20"/>
          <w:szCs w:val="20"/>
          <w:color w:val="auto"/>
        </w:rPr>
      </w:pPr>
      <w:r>
        <w:rPr>
          <w:rFonts w:ascii="Arial" w:cs="Arial" w:eastAsia="Arial" w:hAnsi="Arial"/>
          <w:sz w:val="18"/>
          <w:szCs w:val="18"/>
          <w:color w:val="auto"/>
        </w:rPr>
        <w:t>There have been no material changes to our Quantitative and Qualitative Disclosures About Market Risk as disclosed in our Annual Report on Form 10-K for the year ended January 3, 2015 as filed with the SEC on March 19,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4. Controls and Procedures.</w:t>
      </w:r>
    </w:p>
    <w:p>
      <w:pPr>
        <w:spacing w:after="0" w:line="229" w:lineRule="exact"/>
        <w:rPr>
          <w:sz w:val="20"/>
          <w:szCs w:val="20"/>
          <w:color w:val="auto"/>
        </w:rPr>
      </w:pPr>
    </w:p>
    <w:p>
      <w:pPr>
        <w:ind w:right="100"/>
        <w:spacing w:after="0" w:line="271" w:lineRule="auto"/>
        <w:rPr>
          <w:sz w:val="20"/>
          <w:szCs w:val="20"/>
          <w:color w:val="auto"/>
        </w:rPr>
      </w:pPr>
      <w:r>
        <w:rPr>
          <w:rFonts w:ascii="Arial" w:cs="Arial" w:eastAsia="Arial" w:hAnsi="Arial"/>
          <w:sz w:val="17"/>
          <w:szCs w:val="17"/>
          <w:color w:val="auto"/>
        </w:rPr>
        <w:t>Our management, with the participation of our Chief Executive Officer and Chief President Bear and Chief Financial Officer, has evaluated the effectiveness of our disclosure controls and procedures (as such term is defined in Rules 13a-15(e) and 15d-15(e) under the Securities Exchange Act of 1934, as amended (the Exchange Act)), as of the end of the period covered by this report. Our disclosure controls and procedures are designed to ensure that information required to be disclosed by us in the reports filed or submitted under the Exchange Act is recorded, processed, summarized and reported within the time periods specified in the SEC’s rules and forms and is accumulated and communicated to management, including our certifying officers, as appropriate to allow timely decisions regarding required disclosure. Based on the foregoing evaluation, our management, including the Chief Executive Officer and Chief President Bear and Chief Financial Officer, concluded that our disclosure controls and procedures were effective as of October 3, 2015, the end of the period covered by this Quarterly Report.</w:t>
      </w:r>
    </w:p>
    <w:p>
      <w:pPr>
        <w:spacing w:after="0" w:line="179" w:lineRule="exact"/>
        <w:rPr>
          <w:sz w:val="20"/>
          <w:szCs w:val="20"/>
          <w:color w:val="auto"/>
        </w:rPr>
      </w:pPr>
    </w:p>
    <w:p>
      <w:pPr>
        <w:spacing w:after="0" w:line="287" w:lineRule="auto"/>
        <w:rPr>
          <w:sz w:val="20"/>
          <w:szCs w:val="20"/>
          <w:color w:val="auto"/>
        </w:rPr>
      </w:pPr>
      <w:r>
        <w:rPr>
          <w:rFonts w:ascii="Arial" w:cs="Arial" w:eastAsia="Arial" w:hAnsi="Arial"/>
          <w:sz w:val="16"/>
          <w:szCs w:val="16"/>
          <w:color w:val="auto"/>
        </w:rPr>
        <w:t>It should be noted that our management, including the Chief Executive Officer and Chief President Bear and the Chief Financial Officer, does not expect that our disclosure controls and procedures or internal controls will prevent all error and all fraud. A control system, no matter how well conceived or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within the Company have been detected. These inherent limitations include the realities that judgments in decision-making can be faulty, and that breakdowns can occur because of simple error or mistake. Additionally, controls can be circumvented by the individual acts of some persons, by collusion of two or more people, or by management override of the controls. The design of any system of controls is based in part upon certain assumptions about the likelihood of future events, and there can be no assurance that any design will succeed in achieving its stated goals under all potential future conditions; over time, controls may become inadequate because of changes in conditions, or the degree of compliance with the policies or procedures may deteriorate. Because of the inherent limitations in a cost-effective control system, misstatements due to error or fraud may occur and not be detected.</w:t>
      </w:r>
    </w:p>
    <w:p>
      <w:pPr>
        <w:spacing w:after="0" w:line="173" w:lineRule="exact"/>
        <w:rPr>
          <w:sz w:val="20"/>
          <w:szCs w:val="20"/>
          <w:color w:val="auto"/>
        </w:rPr>
      </w:pPr>
    </w:p>
    <w:p>
      <w:pPr>
        <w:ind w:right="180"/>
        <w:spacing w:after="0" w:line="257" w:lineRule="auto"/>
        <w:rPr>
          <w:sz w:val="20"/>
          <w:szCs w:val="20"/>
          <w:color w:val="auto"/>
        </w:rPr>
      </w:pPr>
      <w:r>
        <w:rPr>
          <w:rFonts w:ascii="Arial" w:cs="Arial" w:eastAsia="Arial" w:hAnsi="Arial"/>
          <w:sz w:val="18"/>
          <w:szCs w:val="18"/>
          <w:i w:val="1"/>
          <w:iCs w:val="1"/>
          <w:color w:val="auto"/>
        </w:rPr>
        <w:t xml:space="preserve">Changes in Internal Control Over Financial Reporting. </w:t>
      </w:r>
      <w:r>
        <w:rPr>
          <w:rFonts w:ascii="Arial" w:cs="Arial" w:eastAsia="Arial" w:hAnsi="Arial"/>
          <w:sz w:val="18"/>
          <w:szCs w:val="18"/>
          <w:color w:val="auto"/>
        </w:rPr>
        <w:t>The Company’s management, with the participation of the Company’s Chief Executive Officer and</w:t>
      </w:r>
      <w:r>
        <w:rPr>
          <w:rFonts w:ascii="Arial" w:cs="Arial" w:eastAsia="Arial" w:hAnsi="Arial"/>
          <w:sz w:val="18"/>
          <w:szCs w:val="18"/>
          <w:i w:val="1"/>
          <w:iCs w:val="1"/>
          <w:color w:val="auto"/>
        </w:rPr>
        <w:t xml:space="preserve"> </w:t>
      </w:r>
      <w:r>
        <w:rPr>
          <w:rFonts w:ascii="Arial" w:cs="Arial" w:eastAsia="Arial" w:hAnsi="Arial"/>
          <w:sz w:val="18"/>
          <w:szCs w:val="18"/>
          <w:color w:val="auto"/>
        </w:rPr>
        <w:t>Chief President Bear and Chief Financial Officer, also conducted an evaluation of the Company’s internal control over financial reporting (as defined in Exchange Act Rules 13a-15(f) and 15d-15(f)) to determine whether any changes occurred during the period covered by this report that have materially affected, or are reasonably likely to materially affect, the Company’s internal control over financial reporting. Based on that evaluation, there has been no such change during the period covered by this report.</w:t>
      </w:r>
    </w:p>
    <w:p>
      <w:pPr>
        <w:spacing w:after="0" w:line="200" w:lineRule="exact"/>
        <w:rPr>
          <w:sz w:val="20"/>
          <w:szCs w:val="20"/>
          <w:color w:val="auto"/>
        </w:rPr>
      </w:pPr>
    </w:p>
    <w:p>
      <w:pPr>
        <w:spacing w:after="0" w:line="231"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20"/>
          </w:cols>
          <w:pgMar w:left="240" w:top="584" w:right="239" w:bottom="1440" w:gutter="0" w:footer="0" w:header="0"/>
        </w:sectPr>
      </w:pPr>
    </w:p>
    <w:bookmarkStart w:id="19" w:name="page20"/>
    <w:bookmarkEnd w:id="19"/>
    <w:p>
      <w:pPr>
        <w:jc w:val="center"/>
        <w:ind w:right="-19"/>
        <w:spacing w:after="0"/>
        <w:rPr>
          <w:sz w:val="20"/>
          <w:szCs w:val="20"/>
          <w:color w:val="auto"/>
        </w:rPr>
      </w:pPr>
      <w:r>
        <w:rPr>
          <w:rFonts w:ascii="Arial" w:cs="Arial" w:eastAsia="Arial" w:hAnsi="Arial"/>
          <w:sz w:val="18"/>
          <w:szCs w:val="18"/>
          <w:b w:val="1"/>
          <w:bCs w:val="1"/>
          <w:color w:val="auto"/>
        </w:rPr>
        <w:t>PART II – OTHER INFORMATION</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1A. Risk Factors</w:t>
      </w:r>
    </w:p>
    <w:p>
      <w:pPr>
        <w:spacing w:after="0" w:line="229" w:lineRule="exact"/>
        <w:rPr>
          <w:sz w:val="20"/>
          <w:szCs w:val="20"/>
          <w:color w:val="auto"/>
        </w:rPr>
      </w:pPr>
    </w:p>
    <w:p>
      <w:pPr>
        <w:spacing w:after="0" w:line="277" w:lineRule="auto"/>
        <w:rPr>
          <w:sz w:val="20"/>
          <w:szCs w:val="20"/>
          <w:color w:val="auto"/>
        </w:rPr>
      </w:pPr>
      <w:r>
        <w:rPr>
          <w:rFonts w:ascii="Arial" w:cs="Arial" w:eastAsia="Arial" w:hAnsi="Arial"/>
          <w:sz w:val="18"/>
          <w:szCs w:val="18"/>
          <w:color w:val="auto"/>
        </w:rPr>
        <w:t>There have been no material changes to our Risk Factors as disclosed in our Annual Report on Form 10-K for the year ended January 3, 2015 as filed with the SEC on March 19, 2015.</w:t>
      </w:r>
    </w:p>
    <w:p>
      <w:pPr>
        <w:spacing w:after="0" w:line="166"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2. Unregistered Sales of Equity Securities and Use of Proceeds</w:t>
      </w: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8"/>
          <w:szCs w:val="18"/>
          <w:b w:val="1"/>
          <w:bCs w:val="1"/>
          <w:u w:val="single" w:color="auto"/>
          <w:color w:val="auto"/>
        </w:rPr>
        <w:t>ISSUER PURCHASES OF EQUITY SECURITIES</w:t>
      </w:r>
    </w:p>
    <w:p>
      <w:pPr>
        <w:spacing w:after="0" w:line="225" w:lineRule="exact"/>
        <w:rPr>
          <w:sz w:val="20"/>
          <w:szCs w:val="20"/>
          <w:color w:val="auto"/>
        </w:rPr>
      </w:pPr>
    </w:p>
    <w:tbl>
      <w:tblPr>
        <w:tblLayout w:type="fixed"/>
        <w:tblInd w:w="180" w:type="dxa"/>
        <w:tblCellMar>
          <w:top w:w="0" w:type="dxa"/>
          <w:left w:w="0" w:type="dxa"/>
          <w:bottom w:w="0" w:type="dxa"/>
          <w:right w:w="0" w:type="dxa"/>
        </w:tblCellMar>
      </w:tblPr>
      <w:tr>
        <w:trPr>
          <w:trHeight w:val="216"/>
        </w:trPr>
        <w:tc>
          <w:tcPr>
            <w:tcW w:w="4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5"/>
              </w:rPr>
              <w:t>(d)</w:t>
            </w:r>
          </w:p>
        </w:tc>
      </w:tr>
      <w:tr>
        <w:trPr>
          <w:trHeight w:val="216"/>
        </w:trPr>
        <w:tc>
          <w:tcPr>
            <w:tcW w:w="4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6"/>
              </w:rPr>
              <w:t>Maximum</w:t>
            </w:r>
          </w:p>
        </w:tc>
      </w:tr>
      <w:tr>
        <w:trPr>
          <w:trHeight w:val="216"/>
        </w:trPr>
        <w:tc>
          <w:tcPr>
            <w:tcW w:w="4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2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Number (or</w:t>
            </w:r>
          </w:p>
        </w:tc>
      </w:tr>
      <w:tr>
        <w:trPr>
          <w:trHeight w:val="216"/>
        </w:trPr>
        <w:tc>
          <w:tcPr>
            <w:tcW w:w="4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(c)</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Approximate</w:t>
            </w:r>
          </w:p>
        </w:tc>
      </w:tr>
      <w:tr>
        <w:trPr>
          <w:trHeight w:val="216"/>
        </w:trPr>
        <w:tc>
          <w:tcPr>
            <w:tcW w:w="4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3"/>
              </w:rPr>
              <w:t>Total Number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Dollar Value)</w:t>
            </w:r>
          </w:p>
        </w:tc>
      </w:tr>
      <w:tr>
        <w:trPr>
          <w:trHeight w:val="216"/>
        </w:trPr>
        <w:tc>
          <w:tcPr>
            <w:tcW w:w="4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8"/>
              </w:rPr>
              <w:t>of Shares (or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of Shares (or</w:t>
            </w:r>
          </w:p>
        </w:tc>
      </w:tr>
      <w:tr>
        <w:trPr>
          <w:trHeight w:val="216"/>
        </w:trPr>
        <w:tc>
          <w:tcPr>
            <w:tcW w:w="4620" w:type="dxa"/>
            <w:vAlign w:val="bottom"/>
          </w:tcPr>
          <w:p>
            <w:pPr>
              <w:spacing w:after="0"/>
              <w:rPr>
                <w:sz w:val="18"/>
                <w:szCs w:val="18"/>
                <w:color w:val="auto"/>
              </w:rPr>
            </w:pPr>
          </w:p>
        </w:tc>
        <w:tc>
          <w:tcPr>
            <w:tcW w:w="12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0"/>
              </w:rPr>
              <w:t>Units)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Units) that</w:t>
            </w:r>
          </w:p>
        </w:tc>
      </w:tr>
      <w:tr>
        <w:trPr>
          <w:trHeight w:val="216"/>
        </w:trPr>
        <w:tc>
          <w:tcPr>
            <w:tcW w:w="46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0"/>
              </w:rPr>
              <w:t>(a)</w:t>
            </w:r>
          </w:p>
        </w:tc>
        <w:tc>
          <w:tcPr>
            <w:tcW w:w="18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87"/>
              </w:rPr>
              <w:t>Purchased as</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3"/>
              </w:rPr>
              <w:t>May Yet Be</w:t>
            </w:r>
          </w:p>
        </w:tc>
      </w:tr>
      <w:tr>
        <w:trPr>
          <w:trHeight w:val="216"/>
        </w:trPr>
        <w:tc>
          <w:tcPr>
            <w:tcW w:w="46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3"/>
              </w:rPr>
              <w:t>Total Number</w:t>
            </w:r>
          </w:p>
        </w:tc>
        <w:tc>
          <w:tcPr>
            <w:tcW w:w="180" w:type="dxa"/>
            <w:vAlign w:val="bottom"/>
          </w:tcPr>
          <w:p>
            <w:pPr>
              <w:spacing w:after="0"/>
              <w:rPr>
                <w:sz w:val="18"/>
                <w:szCs w:val="18"/>
                <w:color w:val="auto"/>
              </w:rPr>
            </w:pPr>
          </w:p>
        </w:tc>
        <w:tc>
          <w:tcPr>
            <w:tcW w:w="1280" w:type="dxa"/>
            <w:vAlign w:val="bottom"/>
            <w:gridSpan w:val="2"/>
          </w:tcPr>
          <w:p>
            <w:pPr>
              <w:jc w:val="center"/>
              <w:ind w:right="380"/>
              <w:spacing w:after="0"/>
              <w:rPr>
                <w:sz w:val="20"/>
                <w:szCs w:val="20"/>
                <w:color w:val="auto"/>
              </w:rPr>
            </w:pPr>
            <w:r>
              <w:rPr>
                <w:rFonts w:ascii="Arial" w:cs="Arial" w:eastAsia="Arial" w:hAnsi="Arial"/>
                <w:sz w:val="18"/>
                <w:szCs w:val="18"/>
                <w:b w:val="1"/>
                <w:bCs w:val="1"/>
                <w:color w:val="auto"/>
                <w:w w:val="95"/>
              </w:rPr>
              <w:t>(b)</w:t>
            </w: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3"/>
              </w:rPr>
              <w:t>Part of Publicly</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Purchased</w:t>
            </w:r>
          </w:p>
        </w:tc>
      </w:tr>
      <w:tr>
        <w:trPr>
          <w:trHeight w:val="216"/>
        </w:trPr>
        <w:tc>
          <w:tcPr>
            <w:tcW w:w="4620" w:type="dxa"/>
            <w:vAlign w:val="bottom"/>
          </w:tcPr>
          <w:p>
            <w:pPr>
              <w:spacing w:after="0"/>
              <w:rPr>
                <w:sz w:val="18"/>
                <w:szCs w:val="18"/>
                <w:color w:val="auto"/>
              </w:rPr>
            </w:pP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8"/>
              </w:rPr>
              <w:t>of Shares (or</w:t>
            </w: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89"/>
              </w:rPr>
              <w:t>Average Price</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88"/>
              </w:rPr>
              <w:t>Announced</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92"/>
              </w:rPr>
              <w:t>Under the</w:t>
            </w:r>
          </w:p>
        </w:tc>
      </w:tr>
      <w:tr>
        <w:trPr>
          <w:trHeight w:val="216"/>
        </w:trPr>
        <w:tc>
          <w:tcPr>
            <w:tcW w:w="4620" w:type="dxa"/>
            <w:vAlign w:val="bottom"/>
          </w:tcPr>
          <w:p>
            <w:pPr>
              <w:spacing w:after="0"/>
              <w:rPr>
                <w:sz w:val="18"/>
                <w:szCs w:val="18"/>
                <w:color w:val="auto"/>
              </w:rPr>
            </w:pPr>
          </w:p>
        </w:tc>
        <w:tc>
          <w:tcPr>
            <w:tcW w:w="1460" w:type="dxa"/>
            <w:vAlign w:val="bottom"/>
            <w:gridSpan w:val="2"/>
          </w:tcPr>
          <w:p>
            <w:pPr>
              <w:jc w:val="center"/>
              <w:ind w:right="220"/>
              <w:spacing w:after="0"/>
              <w:rPr>
                <w:sz w:val="20"/>
                <w:szCs w:val="20"/>
                <w:color w:val="auto"/>
              </w:rPr>
            </w:pPr>
            <w:r>
              <w:rPr>
                <w:rFonts w:ascii="Arial" w:cs="Arial" w:eastAsia="Arial" w:hAnsi="Arial"/>
                <w:sz w:val="18"/>
                <w:szCs w:val="18"/>
                <w:b w:val="1"/>
                <w:bCs w:val="1"/>
                <w:color w:val="auto"/>
                <w:w w:val="94"/>
              </w:rPr>
              <w:t>Units)</w:t>
            </w:r>
          </w:p>
        </w:tc>
        <w:tc>
          <w:tcPr>
            <w:tcW w:w="1460" w:type="dxa"/>
            <w:vAlign w:val="bottom"/>
            <w:gridSpan w:val="3"/>
          </w:tcPr>
          <w:p>
            <w:pPr>
              <w:jc w:val="center"/>
              <w:ind w:right="220"/>
              <w:spacing w:after="0"/>
              <w:rPr>
                <w:sz w:val="20"/>
                <w:szCs w:val="20"/>
                <w:color w:val="auto"/>
              </w:rPr>
            </w:pPr>
            <w:r>
              <w:rPr>
                <w:rFonts w:ascii="Arial" w:cs="Arial" w:eastAsia="Arial" w:hAnsi="Arial"/>
                <w:sz w:val="18"/>
                <w:szCs w:val="18"/>
                <w:b w:val="1"/>
                <w:bCs w:val="1"/>
                <w:color w:val="auto"/>
                <w:w w:val="91"/>
              </w:rPr>
              <w:t>Paid Per Share</w:t>
            </w:r>
          </w:p>
        </w:tc>
        <w:tc>
          <w:tcPr>
            <w:tcW w:w="1300" w:type="dxa"/>
            <w:vAlign w:val="bottom"/>
            <w:gridSpan w:val="2"/>
          </w:tcPr>
          <w:p>
            <w:pPr>
              <w:jc w:val="center"/>
              <w:ind w:right="100"/>
              <w:spacing w:after="0"/>
              <w:rPr>
                <w:sz w:val="20"/>
                <w:szCs w:val="20"/>
                <w:color w:val="auto"/>
              </w:rPr>
            </w:pPr>
            <w:r>
              <w:rPr>
                <w:rFonts w:ascii="Arial" w:cs="Arial" w:eastAsia="Arial" w:hAnsi="Arial"/>
                <w:sz w:val="18"/>
                <w:szCs w:val="18"/>
                <w:b w:val="1"/>
                <w:bCs w:val="1"/>
                <w:color w:val="auto"/>
                <w:w w:val="90"/>
              </w:rPr>
              <w:t>Plans or</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22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7"/>
              </w:rPr>
              <w:t>Plans or</w:t>
            </w:r>
          </w:p>
        </w:tc>
      </w:tr>
      <w:tr>
        <w:trPr>
          <w:trHeight w:val="234"/>
        </w:trPr>
        <w:tc>
          <w:tcPr>
            <w:tcW w:w="4620" w:type="dxa"/>
            <w:vAlign w:val="bottom"/>
          </w:tcPr>
          <w:p>
            <w:pPr>
              <w:spacing w:after="0"/>
              <w:rPr>
                <w:sz w:val="20"/>
                <w:szCs w:val="20"/>
                <w:color w:val="auto"/>
              </w:rPr>
            </w:pPr>
            <w:r>
              <w:rPr>
                <w:rFonts w:ascii="Arial" w:cs="Arial" w:eastAsia="Arial" w:hAnsi="Arial"/>
                <w:sz w:val="18"/>
                <w:szCs w:val="18"/>
                <w:b w:val="1"/>
                <w:bCs w:val="1"/>
                <w:color w:val="auto"/>
              </w:rPr>
              <w:t>Period</w:t>
            </w:r>
          </w:p>
        </w:tc>
        <w:tc>
          <w:tcPr>
            <w:tcW w:w="1460" w:type="dxa"/>
            <w:vAlign w:val="bottom"/>
            <w:gridSpan w:val="2"/>
          </w:tcPr>
          <w:p>
            <w:pPr>
              <w:jc w:val="center"/>
              <w:ind w:right="200"/>
              <w:spacing w:after="0"/>
              <w:rPr>
                <w:sz w:val="20"/>
                <w:szCs w:val="20"/>
                <w:color w:val="auto"/>
              </w:rPr>
            </w:pPr>
            <w:r>
              <w:rPr>
                <w:rFonts w:ascii="Arial" w:cs="Arial" w:eastAsia="Arial" w:hAnsi="Arial"/>
                <w:sz w:val="18"/>
                <w:szCs w:val="18"/>
                <w:b w:val="1"/>
                <w:bCs w:val="1"/>
                <w:color w:val="auto"/>
                <w:w w:val="89"/>
              </w:rPr>
              <w:t>Purchased (1)</w:t>
            </w:r>
          </w:p>
        </w:tc>
        <w:tc>
          <w:tcPr>
            <w:tcW w:w="180" w:type="dxa"/>
            <w:vAlign w:val="bottom"/>
          </w:tcPr>
          <w:p>
            <w:pPr>
              <w:spacing w:after="0"/>
              <w:rPr>
                <w:sz w:val="20"/>
                <w:szCs w:val="20"/>
                <w:color w:val="auto"/>
              </w:rPr>
            </w:pPr>
          </w:p>
        </w:tc>
        <w:tc>
          <w:tcPr>
            <w:tcW w:w="1280" w:type="dxa"/>
            <w:vAlign w:val="bottom"/>
            <w:gridSpan w:val="2"/>
          </w:tcPr>
          <w:p>
            <w:pPr>
              <w:jc w:val="center"/>
              <w:ind w:right="400"/>
              <w:spacing w:after="0"/>
              <w:rPr>
                <w:sz w:val="20"/>
                <w:szCs w:val="20"/>
                <w:color w:val="auto"/>
              </w:rPr>
            </w:pPr>
            <w:r>
              <w:rPr>
                <w:rFonts w:ascii="Arial" w:cs="Arial" w:eastAsia="Arial" w:hAnsi="Arial"/>
                <w:sz w:val="18"/>
                <w:szCs w:val="18"/>
                <w:b w:val="1"/>
                <w:bCs w:val="1"/>
                <w:color w:val="auto"/>
                <w:w w:val="97"/>
              </w:rPr>
              <w:t>(or Unit)</w:t>
            </w:r>
          </w:p>
        </w:tc>
        <w:tc>
          <w:tcPr>
            <w:tcW w:w="1300" w:type="dxa"/>
            <w:vAlign w:val="bottom"/>
            <w:gridSpan w:val="2"/>
          </w:tcPr>
          <w:p>
            <w:pPr>
              <w:jc w:val="center"/>
              <w:ind w:right="80"/>
              <w:spacing w:after="0"/>
              <w:rPr>
                <w:sz w:val="20"/>
                <w:szCs w:val="20"/>
                <w:color w:val="auto"/>
              </w:rPr>
            </w:pPr>
            <w:r>
              <w:rPr>
                <w:rFonts w:ascii="Arial" w:cs="Arial" w:eastAsia="Arial" w:hAnsi="Arial"/>
                <w:sz w:val="18"/>
                <w:szCs w:val="18"/>
                <w:b w:val="1"/>
                <w:bCs w:val="1"/>
                <w:color w:val="auto"/>
                <w:w w:val="91"/>
              </w:rPr>
              <w:t>Programs (2)</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20" w:type="dxa"/>
            <w:vAlign w:val="bottom"/>
            <w:gridSpan w:val="2"/>
          </w:tcPr>
          <w:p>
            <w:pPr>
              <w:jc w:val="center"/>
              <w:ind w:right="180"/>
              <w:spacing w:after="0"/>
              <w:rPr>
                <w:sz w:val="20"/>
                <w:szCs w:val="20"/>
                <w:color w:val="auto"/>
              </w:rPr>
            </w:pPr>
            <w:r>
              <w:rPr>
                <w:rFonts w:ascii="Arial" w:cs="Arial" w:eastAsia="Arial" w:hAnsi="Arial"/>
                <w:sz w:val="18"/>
                <w:szCs w:val="18"/>
                <w:b w:val="1"/>
                <w:bCs w:val="1"/>
                <w:color w:val="auto"/>
                <w:w w:val="90"/>
              </w:rPr>
              <w:t>Programs</w:t>
            </w:r>
          </w:p>
        </w:tc>
      </w:tr>
      <w:tr>
        <w:trPr>
          <w:trHeight w:val="210"/>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Jul. 5, 2015 – Aug. 1, 2015</w:t>
            </w:r>
          </w:p>
        </w:tc>
        <w:tc>
          <w:tcPr>
            <w:tcW w:w="124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5,972</w:t>
            </w:r>
          </w:p>
        </w:tc>
        <w:tc>
          <w:tcPr>
            <w:tcW w:w="220" w:type="dxa"/>
            <w:vAlign w:val="bottom"/>
            <w:shd w:val="clear" w:color="auto" w:fill="CCEEFF"/>
          </w:tcPr>
          <w:p>
            <w:pPr>
              <w:spacing w:after="0"/>
              <w:rPr>
                <w:sz w:val="18"/>
                <w:szCs w:val="18"/>
                <w:color w:val="auto"/>
              </w:rPr>
            </w:pPr>
          </w:p>
        </w:tc>
        <w:tc>
          <w:tcPr>
            <w:tcW w:w="1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15.67</w:t>
            </w:r>
          </w:p>
        </w:tc>
        <w:tc>
          <w:tcPr>
            <w:tcW w:w="220" w:type="dxa"/>
            <w:vAlign w:val="bottom"/>
            <w:shd w:val="clear" w:color="auto" w:fill="CCEEFF"/>
          </w:tcPr>
          <w:p>
            <w:pPr>
              <w:spacing w:after="0"/>
              <w:rPr>
                <w:sz w:val="18"/>
                <w:szCs w:val="18"/>
                <w:color w:val="auto"/>
              </w:rPr>
            </w:pPr>
          </w:p>
        </w:tc>
        <w:tc>
          <w:tcPr>
            <w:tcW w:w="12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5,831</w:t>
            </w:r>
          </w:p>
        </w:tc>
        <w:tc>
          <w:tcPr>
            <w:tcW w:w="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10,744,794</w:t>
            </w:r>
          </w:p>
        </w:tc>
        <w:tc>
          <w:tcPr>
            <w:tcW w:w="100" w:type="dxa"/>
            <w:vAlign w:val="bottom"/>
            <w:shd w:val="clear" w:color="auto" w:fill="CCEEFF"/>
          </w:tcPr>
          <w:p>
            <w:pPr>
              <w:spacing w:after="0"/>
              <w:rPr>
                <w:sz w:val="18"/>
                <w:szCs w:val="18"/>
                <w:color w:val="auto"/>
              </w:rPr>
            </w:pPr>
          </w:p>
        </w:tc>
      </w:tr>
      <w:tr>
        <w:trPr>
          <w:trHeight w:val="216"/>
        </w:trPr>
        <w:tc>
          <w:tcPr>
            <w:tcW w:w="4620" w:type="dxa"/>
            <w:vAlign w:val="bottom"/>
          </w:tcPr>
          <w:p>
            <w:pPr>
              <w:ind w:left="160"/>
              <w:spacing w:after="0"/>
              <w:rPr>
                <w:sz w:val="20"/>
                <w:szCs w:val="20"/>
                <w:color w:val="auto"/>
              </w:rPr>
            </w:pPr>
            <w:r>
              <w:rPr>
                <w:rFonts w:ascii="Arial" w:cs="Arial" w:eastAsia="Arial" w:hAnsi="Arial"/>
                <w:sz w:val="18"/>
                <w:szCs w:val="18"/>
                <w:b w:val="1"/>
                <w:bCs w:val="1"/>
                <w:color w:val="auto"/>
              </w:rPr>
              <w:t>Aug. 2, 2015 – Aug. 29, 2015</w:t>
            </w:r>
          </w:p>
        </w:tc>
        <w:tc>
          <w:tcPr>
            <w:tcW w:w="1240" w:type="dxa"/>
            <w:vAlign w:val="bottom"/>
          </w:tcPr>
          <w:p>
            <w:pPr>
              <w:jc w:val="right"/>
              <w:spacing w:after="0"/>
              <w:rPr>
                <w:sz w:val="20"/>
                <w:szCs w:val="20"/>
                <w:color w:val="auto"/>
              </w:rPr>
            </w:pPr>
            <w:r>
              <w:rPr>
                <w:rFonts w:ascii="Arial" w:cs="Arial" w:eastAsia="Arial" w:hAnsi="Arial"/>
                <w:sz w:val="18"/>
                <w:szCs w:val="18"/>
                <w:color w:val="auto"/>
              </w:rPr>
              <w:t>5,867</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19.03</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4,900</w:t>
            </w:r>
          </w:p>
        </w:tc>
        <w:tc>
          <w:tcPr>
            <w:tcW w:w="20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tcPr>
          <w:p>
            <w:pPr>
              <w:jc w:val="right"/>
              <w:ind w:right="100"/>
              <w:spacing w:after="0"/>
              <w:rPr>
                <w:sz w:val="20"/>
                <w:szCs w:val="20"/>
                <w:color w:val="auto"/>
              </w:rPr>
            </w:pPr>
            <w:r>
              <w:rPr>
                <w:rFonts w:ascii="Arial" w:cs="Arial" w:eastAsia="Arial" w:hAnsi="Arial"/>
                <w:sz w:val="18"/>
                <w:szCs w:val="18"/>
                <w:color w:val="auto"/>
              </w:rPr>
              <w:t>10,652,447</w:t>
            </w:r>
          </w:p>
        </w:tc>
      </w:tr>
      <w:tr>
        <w:trPr>
          <w:trHeight w:val="216"/>
        </w:trPr>
        <w:tc>
          <w:tcPr>
            <w:tcW w:w="4620" w:type="dxa"/>
            <w:vAlign w:val="bottom"/>
            <w:shd w:val="clear" w:color="auto" w:fill="CCEEFF"/>
          </w:tcPr>
          <w:p>
            <w:pPr>
              <w:ind w:left="160"/>
              <w:spacing w:after="0"/>
              <w:rPr>
                <w:sz w:val="20"/>
                <w:szCs w:val="20"/>
                <w:color w:val="auto"/>
              </w:rPr>
            </w:pPr>
            <w:r>
              <w:rPr>
                <w:rFonts w:ascii="Arial" w:cs="Arial" w:eastAsia="Arial" w:hAnsi="Arial"/>
                <w:sz w:val="18"/>
                <w:szCs w:val="18"/>
                <w:b w:val="1"/>
                <w:bCs w:val="1"/>
                <w:color w:val="auto"/>
              </w:rPr>
              <w:t>Aug. 30, 2015 – Oct. 3, 2015</w:t>
            </w:r>
          </w:p>
        </w:tc>
        <w:tc>
          <w:tcPr>
            <w:tcW w:w="12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95,386</w:t>
            </w:r>
          </w:p>
        </w:tc>
        <w:tc>
          <w:tcPr>
            <w:tcW w:w="220" w:type="dxa"/>
            <w:vAlign w:val="bottom"/>
            <w:shd w:val="clear" w:color="auto" w:fill="CCEEFF"/>
          </w:tcPr>
          <w:p>
            <w:pPr>
              <w:spacing w:after="0"/>
              <w:rPr>
                <w:sz w:val="18"/>
                <w:szCs w:val="18"/>
                <w:color w:val="auto"/>
              </w:rPr>
            </w:pP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18.28</w:t>
            </w:r>
          </w:p>
        </w:tc>
        <w:tc>
          <w:tcPr>
            <w:tcW w:w="130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95,002</w:t>
            </w:r>
          </w:p>
        </w:tc>
        <w:tc>
          <w:tcPr>
            <w:tcW w:w="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2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color w:val="auto"/>
              </w:rPr>
              <w:t>8,915,764</w:t>
            </w:r>
          </w:p>
        </w:tc>
      </w:tr>
      <w:tr>
        <w:trPr>
          <w:trHeight w:val="20"/>
        </w:trPr>
        <w:tc>
          <w:tcPr>
            <w:tcW w:w="4620" w:type="dxa"/>
            <w:vAlign w:val="bottom"/>
            <w:shd w:val="clear" w:color="auto" w:fill="CCEEFF"/>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shd w:val="clear" w:color="auto" w:fill="CCEEFF"/>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shd w:val="clear" w:color="auto" w:fill="CCEEFF"/>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shd w:val="clear" w:color="auto" w:fill="CCEEFF"/>
          </w:tcPr>
          <w:p>
            <w:pPr>
              <w:spacing w:after="0" w:line="20" w:lineRule="exact"/>
              <w:rPr>
                <w:sz w:val="1"/>
                <w:szCs w:val="1"/>
                <w:color w:val="auto"/>
              </w:rPr>
            </w:pPr>
          </w:p>
        </w:tc>
      </w:tr>
      <w:tr>
        <w:trPr>
          <w:trHeight w:val="210"/>
        </w:trPr>
        <w:tc>
          <w:tcPr>
            <w:tcW w:w="4620" w:type="dxa"/>
            <w:vAlign w:val="bottom"/>
          </w:tcPr>
          <w:p>
            <w:pPr>
              <w:ind w:left="160"/>
              <w:spacing w:after="0"/>
              <w:rPr>
                <w:sz w:val="20"/>
                <w:szCs w:val="20"/>
                <w:color w:val="auto"/>
              </w:rPr>
            </w:pPr>
            <w:r>
              <w:rPr>
                <w:rFonts w:ascii="Arial" w:cs="Arial" w:eastAsia="Arial" w:hAnsi="Arial"/>
                <w:sz w:val="18"/>
                <w:szCs w:val="18"/>
                <w:b w:val="1"/>
                <w:bCs w:val="1"/>
                <w:color w:val="auto"/>
              </w:rPr>
              <w:t>Total</w:t>
            </w:r>
          </w:p>
        </w:tc>
        <w:tc>
          <w:tcPr>
            <w:tcW w:w="1240" w:type="dxa"/>
            <w:vAlign w:val="bottom"/>
          </w:tcPr>
          <w:p>
            <w:pPr>
              <w:jc w:val="right"/>
              <w:spacing w:after="0"/>
              <w:rPr>
                <w:sz w:val="20"/>
                <w:szCs w:val="20"/>
                <w:color w:val="auto"/>
              </w:rPr>
            </w:pPr>
            <w:r>
              <w:rPr>
                <w:rFonts w:ascii="Arial" w:cs="Arial" w:eastAsia="Arial" w:hAnsi="Arial"/>
                <w:sz w:val="18"/>
                <w:szCs w:val="18"/>
                <w:color w:val="auto"/>
              </w:rPr>
              <w:t>107,225</w:t>
            </w:r>
          </w:p>
        </w:tc>
        <w:tc>
          <w:tcPr>
            <w:tcW w:w="220" w:type="dxa"/>
            <w:vAlign w:val="bottom"/>
          </w:tcPr>
          <w:p>
            <w:pPr>
              <w:spacing w:after="0"/>
              <w:rPr>
                <w:sz w:val="18"/>
                <w:szCs w:val="18"/>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80" w:type="dxa"/>
            <w:vAlign w:val="bottom"/>
            <w:gridSpan w:val="2"/>
          </w:tcPr>
          <w:p>
            <w:pPr>
              <w:jc w:val="right"/>
              <w:ind w:right="220"/>
              <w:spacing w:after="0"/>
              <w:rPr>
                <w:sz w:val="20"/>
                <w:szCs w:val="20"/>
                <w:color w:val="auto"/>
              </w:rPr>
            </w:pPr>
            <w:r>
              <w:rPr>
                <w:rFonts w:ascii="Arial" w:cs="Arial" w:eastAsia="Arial" w:hAnsi="Arial"/>
                <w:sz w:val="18"/>
                <w:szCs w:val="18"/>
                <w:color w:val="auto"/>
              </w:rPr>
              <w:t>18.18</w:t>
            </w:r>
          </w:p>
        </w:tc>
        <w:tc>
          <w:tcPr>
            <w:tcW w:w="1300" w:type="dxa"/>
            <w:vAlign w:val="bottom"/>
            <w:gridSpan w:val="2"/>
          </w:tcPr>
          <w:p>
            <w:pPr>
              <w:jc w:val="right"/>
              <w:ind w:right="80"/>
              <w:spacing w:after="0"/>
              <w:rPr>
                <w:sz w:val="20"/>
                <w:szCs w:val="20"/>
                <w:color w:val="auto"/>
              </w:rPr>
            </w:pPr>
            <w:r>
              <w:rPr>
                <w:rFonts w:ascii="Arial" w:cs="Arial" w:eastAsia="Arial" w:hAnsi="Arial"/>
                <w:sz w:val="18"/>
                <w:szCs w:val="18"/>
                <w:color w:val="auto"/>
              </w:rPr>
              <w:t>105,733</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0"/>
        </w:trPr>
        <w:tc>
          <w:tcPr>
            <w:tcW w:w="462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22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205740</wp:posOffset>
            </wp:positionV>
            <wp:extent cx="1089025" cy="889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1089025" cy="8890"/>
                    </a:xfrm>
                    <a:prstGeom prst="rect">
                      <a:avLst/>
                    </a:prstGeom>
                    <a:noFill/>
                  </pic:spPr>
                </pic:pic>
              </a:graphicData>
            </a:graphic>
          </wp:anchor>
        </w:drawing>
      </w:r>
    </w:p>
    <w:p>
      <w:pPr>
        <w:spacing w:after="0" w:line="200" w:lineRule="exact"/>
        <w:rPr>
          <w:sz w:val="20"/>
          <w:szCs w:val="20"/>
          <w:color w:val="auto"/>
        </w:rPr>
      </w:pPr>
    </w:p>
    <w:p>
      <w:pPr>
        <w:spacing w:after="0" w:line="211" w:lineRule="exact"/>
        <w:rPr>
          <w:sz w:val="20"/>
          <w:szCs w:val="20"/>
          <w:color w:val="auto"/>
        </w:rPr>
      </w:pPr>
    </w:p>
    <w:p>
      <w:pPr>
        <w:ind w:left="340" w:right="60" w:hanging="332"/>
        <w:spacing w:after="0" w:line="256" w:lineRule="auto"/>
        <w:tabs>
          <w:tab w:leader="none" w:pos="340" w:val="left"/>
        </w:tabs>
        <w:numPr>
          <w:ilvl w:val="0"/>
          <w:numId w:val="11"/>
        </w:numPr>
        <w:rPr>
          <w:rFonts w:ascii="Arial" w:cs="Arial" w:eastAsia="Arial" w:hAnsi="Arial"/>
          <w:sz w:val="18"/>
          <w:szCs w:val="18"/>
          <w:color w:val="auto"/>
        </w:rPr>
      </w:pPr>
      <w:r>
        <w:rPr>
          <w:rFonts w:ascii="Arial" w:cs="Arial" w:eastAsia="Arial" w:hAnsi="Arial"/>
          <w:sz w:val="18"/>
          <w:szCs w:val="18"/>
          <w:color w:val="auto"/>
        </w:rPr>
        <w:t>Includes shares of our common stock delivered to us in satisfaction of the tax withholding obligation of holders of restricted shares which vested during the applicable period. Our equity incentive plans provide that the value of shares delivered to us to pay the withheld to cover tax obligations is calculated at the closing trading price of our common stock on the date the relevant transaction occurs.</w:t>
      </w:r>
    </w:p>
    <w:p>
      <w:pPr>
        <w:ind w:left="340" w:hanging="332"/>
        <w:spacing w:after="0" w:line="292" w:lineRule="auto"/>
        <w:tabs>
          <w:tab w:leader="none" w:pos="340" w:val="left"/>
        </w:tabs>
        <w:numPr>
          <w:ilvl w:val="0"/>
          <w:numId w:val="11"/>
        </w:numPr>
        <w:rPr>
          <w:rFonts w:ascii="Arial" w:cs="Arial" w:eastAsia="Arial" w:hAnsi="Arial"/>
          <w:sz w:val="16"/>
          <w:szCs w:val="16"/>
          <w:color w:val="auto"/>
        </w:rPr>
      </w:pPr>
      <w:r>
        <w:rPr>
          <w:rFonts w:ascii="Arial" w:cs="Arial" w:eastAsia="Arial" w:hAnsi="Arial"/>
          <w:sz w:val="16"/>
          <w:szCs w:val="16"/>
          <w:color w:val="auto"/>
        </w:rPr>
        <w:t>On February 25, 2015, we announced the termination of the share repurchase program that was adopted in 2008 and the adoption of the February 2015 Share Repurchase Program which authorizes us to repurchase up to $10 million of our common stock through March 31, 2016, subject to further extension by the Board. On July 7, 2015, we announced the adoption of the July 2015 Share Repurchase Program which authorizes us to repurchase up to an additional $10 million of our common stock through March 31, 2016 subject to further extension by the Board, giving us authorization to repurchase an aggregate of $20 million of our common stock. Shares repurchased under these programs will be subsequently retired.</w:t>
      </w:r>
    </w:p>
    <w:p>
      <w:pPr>
        <w:spacing w:after="0" w:line="200" w:lineRule="exact"/>
        <w:rPr>
          <w:sz w:val="20"/>
          <w:szCs w:val="20"/>
          <w:color w:val="auto"/>
        </w:rPr>
      </w:pPr>
    </w:p>
    <w:p>
      <w:pPr>
        <w:spacing w:after="0" w:line="206"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81280</wp:posOffset>
            </wp:positionV>
            <wp:extent cx="7267575"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67575" cy="38735"/>
                    </a:xfrm>
                    <a:prstGeom prst="rect">
                      <a:avLst/>
                    </a:prstGeom>
                    <a:noFill/>
                  </pic:spPr>
                </pic:pic>
              </a:graphicData>
            </a:graphic>
          </wp:anchor>
        </w:drawing>
      </w:r>
    </w:p>
    <w:p>
      <w:pPr>
        <w:sectPr>
          <w:pgSz w:w="11900" w:h="16838" w:orient="portrait"/>
          <w:cols w:equalWidth="0" w:num="1">
            <w:col w:w="11400"/>
          </w:cols>
          <w:pgMar w:left="240" w:top="634" w:right="259" w:bottom="1440" w:gutter="0" w:footer="0" w:header="0"/>
        </w:sectPr>
      </w:pPr>
    </w:p>
    <w:bookmarkStart w:id="20" w:name="page21"/>
    <w:bookmarkEnd w:id="20"/>
    <w:p>
      <w:pPr>
        <w:spacing w:after="0"/>
        <w:rPr>
          <w:sz w:val="20"/>
          <w:szCs w:val="20"/>
          <w:color w:val="auto"/>
        </w:rPr>
      </w:pPr>
      <w:r>
        <w:rPr>
          <w:rFonts w:ascii="Arial" w:cs="Arial" w:eastAsia="Arial" w:hAnsi="Arial"/>
          <w:sz w:val="18"/>
          <w:szCs w:val="18"/>
          <w:b w:val="1"/>
          <w:bCs w:val="1"/>
          <w:color w:val="auto"/>
        </w:rPr>
        <w:t>Item 6. Exhibits</w:t>
      </w:r>
    </w:p>
    <w:p>
      <w:pPr>
        <w:spacing w:after="0" w:line="229" w:lineRule="exact"/>
        <w:rPr>
          <w:sz w:val="20"/>
          <w:szCs w:val="20"/>
          <w:color w:val="auto"/>
        </w:rPr>
      </w:pPr>
    </w:p>
    <w:p>
      <w:pPr>
        <w:ind w:left="500"/>
        <w:spacing w:after="0"/>
        <w:rPr>
          <w:sz w:val="20"/>
          <w:szCs w:val="20"/>
          <w:color w:val="auto"/>
        </w:rPr>
      </w:pPr>
      <w:r>
        <w:rPr>
          <w:rFonts w:ascii="Arial" w:cs="Arial" w:eastAsia="Arial" w:hAnsi="Arial"/>
          <w:sz w:val="18"/>
          <w:szCs w:val="18"/>
          <w:color w:val="auto"/>
        </w:rPr>
        <w:t>The following is a list of exhibits filed as a part of the quarterly report on Form 10-Q:</w:t>
      </w:r>
    </w:p>
    <w:p>
      <w:pPr>
        <w:spacing w:after="0" w:line="221"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940" w:type="dxa"/>
            <w:vAlign w:val="bottom"/>
            <w:tcBorders>
              <w:bottom w:val="single" w:sz="8" w:color="auto"/>
            </w:tcBorders>
          </w:tcPr>
          <w:p>
            <w:pPr>
              <w:spacing w:after="0"/>
              <w:rPr>
                <w:sz w:val="20"/>
                <w:szCs w:val="20"/>
                <w:color w:val="auto"/>
              </w:rPr>
            </w:pPr>
            <w:r>
              <w:rPr>
                <w:rFonts w:ascii="Arial" w:cs="Arial" w:eastAsia="Arial" w:hAnsi="Arial"/>
                <w:sz w:val="18"/>
                <w:szCs w:val="18"/>
                <w:b w:val="1"/>
                <w:bCs w:val="1"/>
                <w:color w:val="auto"/>
                <w:w w:val="97"/>
              </w:rPr>
              <w:t>Exhibit No.</w:t>
            </w:r>
          </w:p>
        </w:tc>
        <w:tc>
          <w:tcPr>
            <w:tcW w:w="100" w:type="dxa"/>
            <w:vAlign w:val="bottom"/>
          </w:tcPr>
          <w:p>
            <w:pPr>
              <w:spacing w:after="0"/>
              <w:rPr>
                <w:sz w:val="20"/>
                <w:szCs w:val="20"/>
                <w:color w:val="auto"/>
              </w:rPr>
            </w:pPr>
          </w:p>
        </w:tc>
        <w:tc>
          <w:tcPr>
            <w:tcW w:w="10380" w:type="dxa"/>
            <w:vAlign w:val="bottom"/>
            <w:tcBorders>
              <w:bottom w:val="single" w:sz="8" w:color="auto"/>
            </w:tcBorders>
          </w:tcPr>
          <w:p>
            <w:pPr>
              <w:ind w:left="4740"/>
              <w:spacing w:after="0"/>
              <w:rPr>
                <w:sz w:val="20"/>
                <w:szCs w:val="20"/>
                <w:color w:val="auto"/>
              </w:rPr>
            </w:pPr>
            <w:r>
              <w:rPr>
                <w:rFonts w:ascii="Arial" w:cs="Arial" w:eastAsia="Arial" w:hAnsi="Arial"/>
                <w:sz w:val="18"/>
                <w:szCs w:val="18"/>
                <w:b w:val="1"/>
                <w:bCs w:val="1"/>
                <w:color w:val="auto"/>
              </w:rPr>
              <w:t>Description</w:t>
            </w:r>
          </w:p>
        </w:tc>
        <w:tc>
          <w:tcPr>
            <w:tcW w:w="40" w:type="dxa"/>
            <w:vAlign w:val="bottom"/>
          </w:tcPr>
          <w:p>
            <w:pPr>
              <w:spacing w:after="0"/>
              <w:rPr>
                <w:sz w:val="20"/>
                <w:szCs w:val="20"/>
                <w:color w:val="auto"/>
              </w:rPr>
            </w:pPr>
          </w:p>
        </w:tc>
      </w:tr>
      <w:tr>
        <w:trPr>
          <w:trHeight w:val="411"/>
        </w:trPr>
        <w:tc>
          <w:tcPr>
            <w:tcW w:w="940" w:type="dxa"/>
            <w:vAlign w:val="bottom"/>
          </w:tcPr>
          <w:p>
            <w:pPr>
              <w:spacing w:after="0"/>
              <w:rPr>
                <w:sz w:val="20"/>
                <w:szCs w:val="20"/>
                <w:color w:val="auto"/>
              </w:rPr>
            </w:pPr>
            <w:r>
              <w:rPr>
                <w:rFonts w:ascii="Arial" w:cs="Arial" w:eastAsia="Arial" w:hAnsi="Arial"/>
                <w:sz w:val="18"/>
                <w:szCs w:val="18"/>
                <w:color w:val="auto"/>
              </w:rPr>
              <w:t>2.1</w:t>
            </w:r>
          </w:p>
        </w:tc>
        <w:tc>
          <w:tcPr>
            <w:tcW w:w="10480" w:type="dxa"/>
            <w:vAlign w:val="bottom"/>
            <w:gridSpan w:val="2"/>
          </w:tcPr>
          <w:p>
            <w:pPr>
              <w:ind w:left="100"/>
              <w:spacing w:after="0"/>
              <w:rPr>
                <w:sz w:val="20"/>
                <w:szCs w:val="20"/>
                <w:color w:val="auto"/>
              </w:rPr>
            </w:pPr>
            <w:r>
              <w:rPr>
                <w:rFonts w:ascii="Arial" w:cs="Arial" w:eastAsia="Arial" w:hAnsi="Arial"/>
                <w:sz w:val="18"/>
                <w:szCs w:val="18"/>
                <w:color w:val="auto"/>
                <w:w w:val="94"/>
              </w:rPr>
              <w:t>Agreement and Plan of Merger dated April 3, 2000 between Build-A-Bear Workshop, L.L.C. and the Registrant (incorporated by reference</w:t>
            </w:r>
          </w:p>
        </w:tc>
        <w:tc>
          <w:tcPr>
            <w:tcW w:w="4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100"/>
              <w:spacing w:after="0"/>
              <w:rPr>
                <w:sz w:val="20"/>
                <w:szCs w:val="20"/>
                <w:color w:val="auto"/>
              </w:rPr>
            </w:pPr>
            <w:r>
              <w:rPr>
                <w:rFonts w:ascii="Arial" w:cs="Arial" w:eastAsia="Arial" w:hAnsi="Arial"/>
                <w:sz w:val="18"/>
                <w:szCs w:val="18"/>
                <w:color w:val="auto"/>
              </w:rPr>
              <w:t>from Exhibit 2.1 to our Registration Statement on Form S-1, filed on August 12, 2004, Registration No. 333-118142)</w:t>
            </w:r>
          </w:p>
        </w:tc>
        <w:tc>
          <w:tcPr>
            <w:tcW w:w="40" w:type="dxa"/>
            <w:vAlign w:val="bottom"/>
          </w:tcPr>
          <w:p>
            <w:pPr>
              <w:spacing w:after="0"/>
              <w:rPr>
                <w:sz w:val="20"/>
                <w:szCs w:val="20"/>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3.1</w:t>
            </w:r>
          </w:p>
        </w:tc>
        <w:tc>
          <w:tcPr>
            <w:tcW w:w="10480" w:type="dxa"/>
            <w:vAlign w:val="bottom"/>
            <w:gridSpan w:val="2"/>
          </w:tcPr>
          <w:p>
            <w:pPr>
              <w:ind w:left="100"/>
              <w:spacing w:after="0"/>
              <w:rPr>
                <w:sz w:val="20"/>
                <w:szCs w:val="20"/>
                <w:color w:val="auto"/>
              </w:rPr>
            </w:pPr>
            <w:r>
              <w:rPr>
                <w:rFonts w:ascii="Arial" w:cs="Arial" w:eastAsia="Arial" w:hAnsi="Arial"/>
                <w:sz w:val="18"/>
                <w:szCs w:val="18"/>
                <w:color w:val="auto"/>
                <w:w w:val="92"/>
              </w:rPr>
              <w:t>Third Amended and Restated Certificate of Incorporation (incorporated by reference from Exhibit 3.1 of our Current Report on Form 8-K, filed</w:t>
            </w:r>
          </w:p>
        </w:tc>
        <w:tc>
          <w:tcPr>
            <w:tcW w:w="4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100"/>
              <w:spacing w:after="0"/>
              <w:rPr>
                <w:sz w:val="20"/>
                <w:szCs w:val="20"/>
                <w:color w:val="auto"/>
              </w:rPr>
            </w:pPr>
            <w:r>
              <w:rPr>
                <w:rFonts w:ascii="Arial" w:cs="Arial" w:eastAsia="Arial" w:hAnsi="Arial"/>
                <w:sz w:val="18"/>
                <w:szCs w:val="18"/>
                <w:color w:val="auto"/>
              </w:rPr>
              <w:t>on November 11, 2004)</w:t>
            </w:r>
          </w:p>
        </w:tc>
        <w:tc>
          <w:tcPr>
            <w:tcW w:w="40" w:type="dxa"/>
            <w:vAlign w:val="bottom"/>
          </w:tcPr>
          <w:p>
            <w:pPr>
              <w:spacing w:after="0"/>
              <w:rPr>
                <w:sz w:val="20"/>
                <w:szCs w:val="20"/>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3.2</w:t>
            </w:r>
          </w:p>
        </w:tc>
        <w:tc>
          <w:tcPr>
            <w:tcW w:w="10480" w:type="dxa"/>
            <w:vAlign w:val="bottom"/>
            <w:gridSpan w:val="2"/>
          </w:tcPr>
          <w:p>
            <w:pPr>
              <w:ind w:left="100"/>
              <w:spacing w:after="0"/>
              <w:rPr>
                <w:sz w:val="20"/>
                <w:szCs w:val="20"/>
                <w:color w:val="auto"/>
              </w:rPr>
            </w:pPr>
            <w:r>
              <w:rPr>
                <w:rFonts w:ascii="Arial" w:cs="Arial" w:eastAsia="Arial" w:hAnsi="Arial"/>
                <w:sz w:val="18"/>
                <w:szCs w:val="18"/>
                <w:color w:val="auto"/>
                <w:w w:val="94"/>
              </w:rPr>
              <w:t>Amended and Restated Bylaws (incorporated by reference from Exhibit 3.4 to our Registration Statement on Form S-1, filed on August 12,</w:t>
            </w:r>
          </w:p>
        </w:tc>
        <w:tc>
          <w:tcPr>
            <w:tcW w:w="4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100"/>
              <w:spacing w:after="0"/>
              <w:rPr>
                <w:sz w:val="20"/>
                <w:szCs w:val="20"/>
                <w:color w:val="auto"/>
              </w:rPr>
            </w:pPr>
            <w:r>
              <w:rPr>
                <w:rFonts w:ascii="Arial" w:cs="Arial" w:eastAsia="Arial" w:hAnsi="Arial"/>
                <w:sz w:val="18"/>
                <w:szCs w:val="18"/>
                <w:color w:val="auto"/>
              </w:rPr>
              <w:t>2004, Registration No. 333-118142)</w:t>
            </w:r>
          </w:p>
        </w:tc>
        <w:tc>
          <w:tcPr>
            <w:tcW w:w="40" w:type="dxa"/>
            <w:vAlign w:val="bottom"/>
          </w:tcPr>
          <w:p>
            <w:pPr>
              <w:spacing w:after="0"/>
              <w:rPr>
                <w:sz w:val="20"/>
                <w:szCs w:val="20"/>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4.1</w:t>
            </w:r>
          </w:p>
        </w:tc>
        <w:tc>
          <w:tcPr>
            <w:tcW w:w="10480" w:type="dxa"/>
            <w:vAlign w:val="bottom"/>
            <w:gridSpan w:val="2"/>
          </w:tcPr>
          <w:p>
            <w:pPr>
              <w:ind w:left="100"/>
              <w:spacing w:after="0"/>
              <w:rPr>
                <w:sz w:val="20"/>
                <w:szCs w:val="20"/>
                <w:color w:val="auto"/>
              </w:rPr>
            </w:pPr>
            <w:r>
              <w:rPr>
                <w:rFonts w:ascii="Arial" w:cs="Arial" w:eastAsia="Arial" w:hAnsi="Arial"/>
                <w:sz w:val="18"/>
                <w:szCs w:val="18"/>
                <w:color w:val="auto"/>
                <w:w w:val="92"/>
              </w:rPr>
              <w:t>Specimen Stock Certificate (incorporated by reference from Exhibit 4.1 to Amendment No. 3 to our Registration Statement on Form S-1, filed</w:t>
            </w:r>
          </w:p>
        </w:tc>
        <w:tc>
          <w:tcPr>
            <w:tcW w:w="4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100"/>
              <w:spacing w:after="0"/>
              <w:rPr>
                <w:sz w:val="20"/>
                <w:szCs w:val="20"/>
                <w:color w:val="auto"/>
              </w:rPr>
            </w:pPr>
            <w:r>
              <w:rPr>
                <w:rFonts w:ascii="Arial" w:cs="Arial" w:eastAsia="Arial" w:hAnsi="Arial"/>
                <w:sz w:val="18"/>
                <w:szCs w:val="18"/>
                <w:color w:val="auto"/>
              </w:rPr>
              <w:t>on October 1, 2004, Registration No. 333-118142)</w:t>
            </w:r>
          </w:p>
        </w:tc>
        <w:tc>
          <w:tcPr>
            <w:tcW w:w="40" w:type="dxa"/>
            <w:vAlign w:val="bottom"/>
          </w:tcPr>
          <w:p>
            <w:pPr>
              <w:spacing w:after="0"/>
              <w:rPr>
                <w:sz w:val="20"/>
                <w:szCs w:val="20"/>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31.1</w:t>
            </w:r>
          </w:p>
        </w:tc>
        <w:tc>
          <w:tcPr>
            <w:tcW w:w="10480" w:type="dxa"/>
            <w:vAlign w:val="bottom"/>
            <w:gridSpan w:val="2"/>
          </w:tcPr>
          <w:p>
            <w:pPr>
              <w:ind w:left="100"/>
              <w:spacing w:after="0"/>
              <w:rPr>
                <w:sz w:val="20"/>
                <w:szCs w:val="20"/>
                <w:color w:val="auto"/>
              </w:rPr>
            </w:pPr>
            <w:r>
              <w:rPr>
                <w:rFonts w:ascii="Arial" w:cs="Arial" w:eastAsia="Arial" w:hAnsi="Arial"/>
                <w:sz w:val="18"/>
                <w:szCs w:val="18"/>
                <w:color w:val="auto"/>
                <w:w w:val="93"/>
              </w:rPr>
              <w:t>Rule 13a-14(a)/15d-14(a) certification (pursuant to Section 302 of the Sarbanes-Oxley Act of 2002, executed by the Chief Executive Officer</w:t>
            </w:r>
          </w:p>
        </w:tc>
        <w:tc>
          <w:tcPr>
            <w:tcW w:w="4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100"/>
              <w:spacing w:after="0"/>
              <w:rPr>
                <w:sz w:val="20"/>
                <w:szCs w:val="20"/>
                <w:color w:val="auto"/>
              </w:rPr>
            </w:pPr>
            <w:r>
              <w:rPr>
                <w:rFonts w:ascii="Arial" w:cs="Arial" w:eastAsia="Arial" w:hAnsi="Arial"/>
                <w:sz w:val="18"/>
                <w:szCs w:val="18"/>
                <w:color w:val="auto"/>
              </w:rPr>
              <w:t>and Chief President Bear)</w:t>
            </w:r>
          </w:p>
        </w:tc>
        <w:tc>
          <w:tcPr>
            <w:tcW w:w="40" w:type="dxa"/>
            <w:vAlign w:val="bottom"/>
          </w:tcPr>
          <w:p>
            <w:pPr>
              <w:spacing w:after="0"/>
              <w:rPr>
                <w:sz w:val="20"/>
                <w:szCs w:val="20"/>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31.2</w:t>
            </w:r>
          </w:p>
        </w:tc>
        <w:tc>
          <w:tcPr>
            <w:tcW w:w="10480" w:type="dxa"/>
            <w:vAlign w:val="bottom"/>
            <w:gridSpan w:val="2"/>
          </w:tcPr>
          <w:p>
            <w:pPr>
              <w:ind w:left="100"/>
              <w:spacing w:after="0"/>
              <w:rPr>
                <w:sz w:val="20"/>
                <w:szCs w:val="20"/>
                <w:color w:val="auto"/>
              </w:rPr>
            </w:pPr>
            <w:r>
              <w:rPr>
                <w:rFonts w:ascii="Arial" w:cs="Arial" w:eastAsia="Arial" w:hAnsi="Arial"/>
                <w:sz w:val="18"/>
                <w:szCs w:val="18"/>
                <w:color w:val="auto"/>
                <w:w w:val="93"/>
              </w:rPr>
              <w:t>Rule 13a-14(a)/15d-14(a) certification (pursuant to Section 302 of the Sarbanes-Oxley Act of 2002, executed by the Chief Financial Officer)</w:t>
            </w:r>
          </w:p>
        </w:tc>
        <w:tc>
          <w:tcPr>
            <w:tcW w:w="40" w:type="dxa"/>
            <w:vAlign w:val="bottom"/>
          </w:tcPr>
          <w:p>
            <w:pPr>
              <w:spacing w:after="0"/>
              <w:rPr>
                <w:sz w:val="24"/>
                <w:szCs w:val="24"/>
                <w:color w:val="auto"/>
              </w:rPr>
            </w:pPr>
          </w:p>
        </w:tc>
      </w:tr>
      <w:tr>
        <w:trPr>
          <w:trHeight w:val="418"/>
        </w:trPr>
        <w:tc>
          <w:tcPr>
            <w:tcW w:w="940" w:type="dxa"/>
            <w:vAlign w:val="bottom"/>
          </w:tcPr>
          <w:p>
            <w:pPr>
              <w:spacing w:after="0"/>
              <w:rPr>
                <w:sz w:val="20"/>
                <w:szCs w:val="20"/>
                <w:color w:val="auto"/>
              </w:rPr>
            </w:pPr>
            <w:r>
              <w:rPr>
                <w:rFonts w:ascii="Arial" w:cs="Arial" w:eastAsia="Arial" w:hAnsi="Arial"/>
                <w:sz w:val="18"/>
                <w:szCs w:val="18"/>
                <w:color w:val="auto"/>
              </w:rPr>
              <w:t>32.1</w:t>
            </w:r>
          </w:p>
        </w:tc>
        <w:tc>
          <w:tcPr>
            <w:tcW w:w="10480" w:type="dxa"/>
            <w:vAlign w:val="bottom"/>
            <w:gridSpan w:val="2"/>
          </w:tcPr>
          <w:p>
            <w:pPr>
              <w:ind w:left="100"/>
              <w:spacing w:after="0"/>
              <w:rPr>
                <w:sz w:val="20"/>
                <w:szCs w:val="20"/>
                <w:color w:val="auto"/>
              </w:rPr>
            </w:pPr>
            <w:r>
              <w:rPr>
                <w:rFonts w:ascii="Arial" w:cs="Arial" w:eastAsia="Arial" w:hAnsi="Arial"/>
                <w:sz w:val="18"/>
                <w:szCs w:val="18"/>
                <w:color w:val="auto"/>
                <w:w w:val="94"/>
              </w:rPr>
              <w:t>Section 1350 Certification (pursuant to Section 906 of the Sarbanes-Oxley Act of 2002, executed by the Chief Executive Officer and Chief</w:t>
            </w:r>
          </w:p>
        </w:tc>
        <w:tc>
          <w:tcPr>
            <w:tcW w:w="40" w:type="dxa"/>
            <w:vAlign w:val="bottom"/>
          </w:tcPr>
          <w:p>
            <w:pPr>
              <w:spacing w:after="0"/>
              <w:rPr>
                <w:sz w:val="24"/>
                <w:szCs w:val="24"/>
                <w:color w:val="auto"/>
              </w:rPr>
            </w:pPr>
          </w:p>
        </w:tc>
      </w:tr>
      <w:tr>
        <w:trPr>
          <w:trHeight w:val="230"/>
        </w:trPr>
        <w:tc>
          <w:tcPr>
            <w:tcW w:w="940" w:type="dxa"/>
            <w:vAlign w:val="bottom"/>
          </w:tcPr>
          <w:p>
            <w:pPr>
              <w:spacing w:after="0"/>
              <w:rPr>
                <w:sz w:val="20"/>
                <w:szCs w:val="20"/>
                <w:color w:val="auto"/>
              </w:rPr>
            </w:pPr>
          </w:p>
        </w:tc>
        <w:tc>
          <w:tcPr>
            <w:tcW w:w="10480" w:type="dxa"/>
            <w:vAlign w:val="bottom"/>
            <w:gridSpan w:val="2"/>
          </w:tcPr>
          <w:p>
            <w:pPr>
              <w:ind w:left="100"/>
              <w:spacing w:after="0"/>
              <w:rPr>
                <w:sz w:val="20"/>
                <w:szCs w:val="20"/>
                <w:color w:val="auto"/>
              </w:rPr>
            </w:pPr>
            <w:r>
              <w:rPr>
                <w:rFonts w:ascii="Arial" w:cs="Arial" w:eastAsia="Arial" w:hAnsi="Arial"/>
                <w:sz w:val="18"/>
                <w:szCs w:val="18"/>
                <w:color w:val="auto"/>
              </w:rPr>
              <w:t>President Bear)</w:t>
            </w:r>
          </w:p>
        </w:tc>
        <w:tc>
          <w:tcPr>
            <w:tcW w:w="40" w:type="dxa"/>
            <w:vAlign w:val="bottom"/>
          </w:tcPr>
          <w:p>
            <w:pPr>
              <w:spacing w:after="0"/>
              <w:rPr>
                <w:sz w:val="20"/>
                <w:szCs w:val="20"/>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32.2</w:t>
            </w:r>
          </w:p>
        </w:tc>
        <w:tc>
          <w:tcPr>
            <w:tcW w:w="10480" w:type="dxa"/>
            <w:vAlign w:val="bottom"/>
            <w:gridSpan w:val="2"/>
          </w:tcPr>
          <w:p>
            <w:pPr>
              <w:ind w:left="100"/>
              <w:spacing w:after="0"/>
              <w:rPr>
                <w:sz w:val="20"/>
                <w:szCs w:val="20"/>
                <w:color w:val="auto"/>
              </w:rPr>
            </w:pPr>
            <w:r>
              <w:rPr>
                <w:rFonts w:ascii="Arial" w:cs="Arial" w:eastAsia="Arial" w:hAnsi="Arial"/>
                <w:sz w:val="18"/>
                <w:szCs w:val="18"/>
                <w:color w:val="auto"/>
              </w:rPr>
              <w:t>Section 1350 Certification (pursuant to Section 906 of the Sarbanes-Oxley Act of 2002, executed by the Chief Financial Officer)</w:t>
            </w:r>
          </w:p>
        </w:tc>
        <w:tc>
          <w:tcPr>
            <w:tcW w:w="40" w:type="dxa"/>
            <w:vAlign w:val="bottom"/>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101.INS</w:t>
            </w:r>
          </w:p>
        </w:tc>
        <w:tc>
          <w:tcPr>
            <w:tcW w:w="10480" w:type="dxa"/>
            <w:vAlign w:val="bottom"/>
            <w:gridSpan w:val="2"/>
          </w:tcPr>
          <w:p>
            <w:pPr>
              <w:ind w:left="100"/>
              <w:spacing w:after="0"/>
              <w:rPr>
                <w:sz w:val="20"/>
                <w:szCs w:val="20"/>
                <w:color w:val="auto"/>
              </w:rPr>
            </w:pPr>
            <w:r>
              <w:rPr>
                <w:rFonts w:ascii="Arial" w:cs="Arial" w:eastAsia="Arial" w:hAnsi="Arial"/>
                <w:sz w:val="18"/>
                <w:szCs w:val="18"/>
                <w:color w:val="auto"/>
              </w:rPr>
              <w:t>XBRL Instance</w:t>
            </w:r>
          </w:p>
        </w:tc>
        <w:tc>
          <w:tcPr>
            <w:tcW w:w="40" w:type="dxa"/>
            <w:vAlign w:val="bottom"/>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101.SCH</w:t>
            </w:r>
          </w:p>
        </w:tc>
        <w:tc>
          <w:tcPr>
            <w:tcW w:w="10480" w:type="dxa"/>
            <w:vAlign w:val="bottom"/>
            <w:gridSpan w:val="2"/>
          </w:tcPr>
          <w:p>
            <w:pPr>
              <w:ind w:left="100"/>
              <w:spacing w:after="0"/>
              <w:rPr>
                <w:sz w:val="20"/>
                <w:szCs w:val="20"/>
                <w:color w:val="auto"/>
              </w:rPr>
            </w:pPr>
            <w:r>
              <w:rPr>
                <w:rFonts w:ascii="Arial" w:cs="Arial" w:eastAsia="Arial" w:hAnsi="Arial"/>
                <w:sz w:val="18"/>
                <w:szCs w:val="18"/>
                <w:color w:val="auto"/>
              </w:rPr>
              <w:t>XBRL Extension Schema</w:t>
            </w:r>
          </w:p>
        </w:tc>
        <w:tc>
          <w:tcPr>
            <w:tcW w:w="40" w:type="dxa"/>
            <w:vAlign w:val="bottom"/>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101.CAL</w:t>
            </w:r>
          </w:p>
        </w:tc>
        <w:tc>
          <w:tcPr>
            <w:tcW w:w="10480" w:type="dxa"/>
            <w:vAlign w:val="bottom"/>
            <w:gridSpan w:val="2"/>
          </w:tcPr>
          <w:p>
            <w:pPr>
              <w:ind w:left="100"/>
              <w:spacing w:after="0"/>
              <w:rPr>
                <w:sz w:val="20"/>
                <w:szCs w:val="20"/>
                <w:color w:val="auto"/>
              </w:rPr>
            </w:pPr>
            <w:r>
              <w:rPr>
                <w:rFonts w:ascii="Arial" w:cs="Arial" w:eastAsia="Arial" w:hAnsi="Arial"/>
                <w:sz w:val="18"/>
                <w:szCs w:val="18"/>
                <w:color w:val="auto"/>
              </w:rPr>
              <w:t>XBRL Extension Calculation</w:t>
            </w:r>
          </w:p>
        </w:tc>
        <w:tc>
          <w:tcPr>
            <w:tcW w:w="40" w:type="dxa"/>
            <w:vAlign w:val="bottom"/>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101.DEF</w:t>
            </w:r>
          </w:p>
        </w:tc>
        <w:tc>
          <w:tcPr>
            <w:tcW w:w="10480" w:type="dxa"/>
            <w:vAlign w:val="bottom"/>
            <w:gridSpan w:val="2"/>
          </w:tcPr>
          <w:p>
            <w:pPr>
              <w:ind w:left="100"/>
              <w:spacing w:after="0"/>
              <w:rPr>
                <w:sz w:val="20"/>
                <w:szCs w:val="20"/>
                <w:color w:val="auto"/>
              </w:rPr>
            </w:pPr>
            <w:r>
              <w:rPr>
                <w:rFonts w:ascii="Arial" w:cs="Arial" w:eastAsia="Arial" w:hAnsi="Arial"/>
                <w:sz w:val="18"/>
                <w:szCs w:val="18"/>
                <w:color w:val="auto"/>
              </w:rPr>
              <w:t>XBRL Extension Definition</w:t>
            </w:r>
          </w:p>
        </w:tc>
        <w:tc>
          <w:tcPr>
            <w:tcW w:w="40" w:type="dxa"/>
            <w:vAlign w:val="bottom"/>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101.LAB</w:t>
            </w:r>
          </w:p>
        </w:tc>
        <w:tc>
          <w:tcPr>
            <w:tcW w:w="10480" w:type="dxa"/>
            <w:vAlign w:val="bottom"/>
            <w:gridSpan w:val="2"/>
          </w:tcPr>
          <w:p>
            <w:pPr>
              <w:ind w:left="100"/>
              <w:spacing w:after="0"/>
              <w:rPr>
                <w:sz w:val="20"/>
                <w:szCs w:val="20"/>
                <w:color w:val="auto"/>
              </w:rPr>
            </w:pPr>
            <w:r>
              <w:rPr>
                <w:rFonts w:ascii="Arial" w:cs="Arial" w:eastAsia="Arial" w:hAnsi="Arial"/>
                <w:sz w:val="18"/>
                <w:szCs w:val="18"/>
                <w:color w:val="auto"/>
              </w:rPr>
              <w:t>XBRL Extension Label</w:t>
            </w:r>
          </w:p>
        </w:tc>
        <w:tc>
          <w:tcPr>
            <w:tcW w:w="40" w:type="dxa"/>
            <w:vAlign w:val="bottom"/>
          </w:tcPr>
          <w:p>
            <w:pPr>
              <w:spacing w:after="0"/>
              <w:rPr>
                <w:sz w:val="24"/>
                <w:szCs w:val="24"/>
                <w:color w:val="auto"/>
              </w:rPr>
            </w:pPr>
          </w:p>
        </w:tc>
      </w:tr>
      <w:tr>
        <w:trPr>
          <w:trHeight w:val="432"/>
        </w:trPr>
        <w:tc>
          <w:tcPr>
            <w:tcW w:w="940" w:type="dxa"/>
            <w:vAlign w:val="bottom"/>
          </w:tcPr>
          <w:p>
            <w:pPr>
              <w:spacing w:after="0"/>
              <w:rPr>
                <w:sz w:val="20"/>
                <w:szCs w:val="20"/>
                <w:color w:val="auto"/>
              </w:rPr>
            </w:pPr>
            <w:r>
              <w:rPr>
                <w:rFonts w:ascii="Arial" w:cs="Arial" w:eastAsia="Arial" w:hAnsi="Arial"/>
                <w:sz w:val="18"/>
                <w:szCs w:val="18"/>
                <w:color w:val="auto"/>
              </w:rPr>
              <w:t>101.PRE</w:t>
            </w:r>
          </w:p>
        </w:tc>
        <w:tc>
          <w:tcPr>
            <w:tcW w:w="10480" w:type="dxa"/>
            <w:vAlign w:val="bottom"/>
            <w:gridSpan w:val="2"/>
          </w:tcPr>
          <w:p>
            <w:pPr>
              <w:ind w:left="100"/>
              <w:spacing w:after="0"/>
              <w:rPr>
                <w:sz w:val="20"/>
                <w:szCs w:val="20"/>
                <w:color w:val="auto"/>
              </w:rPr>
            </w:pPr>
            <w:r>
              <w:rPr>
                <w:rFonts w:ascii="Arial" w:cs="Arial" w:eastAsia="Arial" w:hAnsi="Arial"/>
                <w:sz w:val="18"/>
                <w:szCs w:val="18"/>
                <w:color w:val="auto"/>
              </w:rPr>
              <w:t>XBRL Extension Presentation</w:t>
            </w:r>
          </w:p>
        </w:tc>
        <w:tc>
          <w:tcPr>
            <w:tcW w:w="40" w:type="dxa"/>
            <w:vAlign w:val="bottom"/>
          </w:tcPr>
          <w:p>
            <w:pPr>
              <w:spacing w:after="0"/>
              <w:rPr>
                <w:sz w:val="24"/>
                <w:szCs w:val="24"/>
                <w:color w:val="auto"/>
              </w:rPr>
            </w:pPr>
          </w:p>
        </w:tc>
      </w:tr>
      <w:tr>
        <w:trPr>
          <w:trHeight w:val="675"/>
        </w:trPr>
        <w:tc>
          <w:tcPr>
            <w:tcW w:w="940" w:type="dxa"/>
            <w:vAlign w:val="bottom"/>
          </w:tcPr>
          <w:p>
            <w:pPr>
              <w:spacing w:after="0"/>
              <w:rPr>
                <w:sz w:val="24"/>
                <w:szCs w:val="24"/>
                <w:color w:val="auto"/>
              </w:rPr>
            </w:pPr>
          </w:p>
        </w:tc>
        <w:tc>
          <w:tcPr>
            <w:tcW w:w="10480" w:type="dxa"/>
            <w:vAlign w:val="bottom"/>
            <w:gridSpan w:val="2"/>
          </w:tcPr>
          <w:p>
            <w:pPr>
              <w:ind w:left="4680"/>
              <w:spacing w:after="0"/>
              <w:rPr>
                <w:sz w:val="20"/>
                <w:szCs w:val="20"/>
                <w:color w:val="auto"/>
              </w:rPr>
            </w:pPr>
            <w:r>
              <w:rPr>
                <w:rFonts w:ascii="Arial" w:cs="Arial" w:eastAsia="Arial" w:hAnsi="Arial"/>
                <w:sz w:val="18"/>
                <w:szCs w:val="18"/>
                <w:color w:val="auto"/>
              </w:rPr>
              <w:t>21</w:t>
            </w:r>
          </w:p>
        </w:tc>
        <w:tc>
          <w:tcPr>
            <w:tcW w:w="40" w:type="dxa"/>
            <w:vAlign w:val="bottom"/>
          </w:tcPr>
          <w:p>
            <w:pPr>
              <w:spacing w:after="0"/>
              <w:rPr>
                <w:sz w:val="24"/>
                <w:szCs w:val="24"/>
                <w:color w:val="auto"/>
              </w:rPr>
            </w:pPr>
          </w:p>
        </w:tc>
      </w:tr>
      <w:tr>
        <w:trPr>
          <w:trHeight w:val="105"/>
        </w:trPr>
        <w:tc>
          <w:tcPr>
            <w:tcW w:w="940" w:type="dxa"/>
            <w:vAlign w:val="bottom"/>
          </w:tcPr>
          <w:p>
            <w:pPr>
              <w:spacing w:after="0"/>
              <w:rPr>
                <w:sz w:val="9"/>
                <w:szCs w:val="9"/>
                <w:color w:val="auto"/>
              </w:rPr>
            </w:pPr>
          </w:p>
        </w:tc>
        <w:tc>
          <w:tcPr>
            <w:tcW w:w="100" w:type="dxa"/>
            <w:vAlign w:val="bottom"/>
          </w:tcPr>
          <w:p>
            <w:pPr>
              <w:spacing w:after="0"/>
              <w:rPr>
                <w:sz w:val="9"/>
                <w:szCs w:val="9"/>
                <w:color w:val="auto"/>
              </w:rPr>
            </w:pPr>
          </w:p>
        </w:tc>
        <w:tc>
          <w:tcPr>
            <w:tcW w:w="10380" w:type="dxa"/>
            <w:vAlign w:val="bottom"/>
          </w:tcPr>
          <w:p>
            <w:pPr>
              <w:spacing w:after="0"/>
              <w:rPr>
                <w:sz w:val="9"/>
                <w:szCs w:val="9"/>
                <w:color w:val="auto"/>
              </w:rPr>
            </w:pPr>
          </w:p>
        </w:tc>
        <w:tc>
          <w:tcPr>
            <w:tcW w:w="40" w:type="dxa"/>
            <w:vAlign w:val="bottom"/>
          </w:tcPr>
          <w:p>
            <w:pPr>
              <w:spacing w:after="0"/>
              <w:rPr>
                <w:sz w:val="9"/>
                <w:szCs w:val="9"/>
                <w:color w:val="auto"/>
              </w:rPr>
            </w:pPr>
          </w:p>
        </w:tc>
      </w:tr>
      <w:tr>
        <w:trPr>
          <w:trHeight w:val="61"/>
        </w:trPr>
        <w:tc>
          <w:tcPr>
            <w:tcW w:w="940" w:type="dxa"/>
            <w:vAlign w:val="bottom"/>
            <w:shd w:val="clear" w:color="auto" w:fill="808080"/>
          </w:tcPr>
          <w:p>
            <w:pPr>
              <w:spacing w:after="0"/>
              <w:rPr>
                <w:sz w:val="5"/>
                <w:szCs w:val="5"/>
                <w:color w:val="auto"/>
              </w:rPr>
            </w:pPr>
          </w:p>
        </w:tc>
        <w:tc>
          <w:tcPr>
            <w:tcW w:w="100" w:type="dxa"/>
            <w:vAlign w:val="bottom"/>
            <w:shd w:val="clear" w:color="auto" w:fill="808080"/>
          </w:tcPr>
          <w:p>
            <w:pPr>
              <w:spacing w:after="0"/>
              <w:rPr>
                <w:sz w:val="5"/>
                <w:szCs w:val="5"/>
                <w:color w:val="auto"/>
              </w:rPr>
            </w:pPr>
          </w:p>
        </w:tc>
        <w:tc>
          <w:tcPr>
            <w:tcW w:w="10380" w:type="dxa"/>
            <w:vAlign w:val="bottom"/>
            <w:shd w:val="clear" w:color="auto" w:fill="808080"/>
          </w:tcPr>
          <w:p>
            <w:pPr>
              <w:spacing w:after="0"/>
              <w:rPr>
                <w:sz w:val="5"/>
                <w:szCs w:val="5"/>
                <w:color w:val="auto"/>
              </w:rPr>
            </w:pPr>
          </w:p>
        </w:tc>
        <w:tc>
          <w:tcPr>
            <w:tcW w:w="40" w:type="dxa"/>
            <w:vAlign w:val="bottom"/>
            <w:shd w:val="clear" w:color="auto" w:fill="808080"/>
          </w:tcPr>
          <w:p>
            <w:pPr>
              <w:spacing w:after="0"/>
              <w:rPr>
                <w:sz w:val="5"/>
                <w:szCs w:val="5"/>
                <w:color w:val="auto"/>
              </w:rPr>
            </w:pPr>
          </w:p>
        </w:tc>
      </w:tr>
    </w:tbl>
    <w:p>
      <w:pPr>
        <w:sectPr>
          <w:pgSz w:w="11900" w:h="16838" w:orient="portrait"/>
          <w:cols w:equalWidth="0" w:num="1">
            <w:col w:w="11460"/>
          </w:cols>
          <w:pgMar w:left="240" w:top="580" w:right="199" w:bottom="1440" w:gutter="0" w:footer="0" w:header="0"/>
        </w:sectPr>
      </w:pPr>
    </w:p>
    <w:bookmarkStart w:id="21" w:name="page22"/>
    <w:bookmarkEnd w:id="21"/>
    <w:p>
      <w:pPr>
        <w:jc w:val="center"/>
        <w:ind w:right="-159"/>
        <w:spacing w:after="0"/>
        <w:rPr>
          <w:sz w:val="20"/>
          <w:szCs w:val="20"/>
          <w:color w:val="auto"/>
        </w:rPr>
      </w:pPr>
      <w:r>
        <w:rPr>
          <w:rFonts w:ascii="Arial" w:cs="Arial" w:eastAsia="Arial" w:hAnsi="Arial"/>
          <w:sz w:val="18"/>
          <w:szCs w:val="18"/>
          <w:b w:val="1"/>
          <w:bCs w:val="1"/>
          <w:color w:val="auto"/>
        </w:rPr>
        <w:t>SIGNATURES</w:t>
      </w:r>
    </w:p>
    <w:p>
      <w:pPr>
        <w:spacing w:after="0" w:line="229" w:lineRule="exact"/>
        <w:rPr>
          <w:sz w:val="20"/>
          <w:szCs w:val="20"/>
          <w:color w:val="auto"/>
        </w:rPr>
      </w:pPr>
    </w:p>
    <w:p>
      <w:pPr>
        <w:ind w:right="60"/>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2015</w:t>
      </w:r>
    </w:p>
    <w:p>
      <w:pPr>
        <w:spacing w:after="0" w:line="225"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BUILD-A-BEAR WORKSHOP, INC.</w:t>
      </w:r>
    </w:p>
    <w:p>
      <w:pPr>
        <w:spacing w:after="0" w:line="23"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(Registrant)</w:t>
      </w:r>
    </w:p>
    <w:p>
      <w:pPr>
        <w:spacing w:after="0" w:line="211"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By: /s/ Sharon John</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Arial" w:cs="Arial" w:eastAsia="Arial" w:hAnsi="Arial"/>
          <w:sz w:val="17"/>
          <w:szCs w:val="17"/>
          <w:color w:val="auto"/>
        </w:rPr>
        <w:t>Chief Executive Officer and Chief President Bear</w:t>
      </w:r>
    </w:p>
    <w:p>
      <w:pPr>
        <w:spacing w:after="0" w:line="21"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(on behalf of the registrant and as principal executive</w:t>
      </w:r>
    </w:p>
    <w:p>
      <w:pPr>
        <w:spacing w:after="0" w:line="3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officer)</w:t>
      </w:r>
    </w:p>
    <w:p>
      <w:pPr>
        <w:spacing w:after="0" w:line="211" w:lineRule="exact"/>
        <w:rPr>
          <w:sz w:val="20"/>
          <w:szCs w:val="20"/>
          <w:color w:val="auto"/>
        </w:rPr>
      </w:pPr>
    </w:p>
    <w:p>
      <w:pPr>
        <w:ind w:left="7080"/>
        <w:spacing w:after="0"/>
        <w:rPr>
          <w:sz w:val="20"/>
          <w:szCs w:val="20"/>
          <w:color w:val="auto"/>
        </w:rPr>
      </w:pPr>
      <w:r>
        <w:rPr>
          <w:rFonts w:ascii="Arial" w:cs="Arial" w:eastAsia="Arial" w:hAnsi="Arial"/>
          <w:sz w:val="18"/>
          <w:szCs w:val="18"/>
          <w:color w:val="auto"/>
        </w:rPr>
        <w:t>By: /s/ Voin Todorovic</w:t>
      </w:r>
    </w:p>
    <w:p>
      <w:pPr>
        <w:spacing w:after="0" w:line="2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4721860</wp:posOffset>
            </wp:positionH>
            <wp:positionV relativeFrom="paragraph">
              <wp:posOffset>-130810</wp:posOffset>
            </wp:positionV>
            <wp:extent cx="2529840" cy="889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440"/>
        <w:spacing w:after="0"/>
        <w:rPr>
          <w:sz w:val="20"/>
          <w:szCs w:val="20"/>
          <w:color w:val="auto"/>
        </w:rPr>
      </w:pPr>
      <w:r>
        <w:rPr>
          <w:rFonts w:ascii="Arial" w:cs="Arial" w:eastAsia="Arial" w:hAnsi="Arial"/>
          <w:sz w:val="16"/>
          <w:szCs w:val="16"/>
          <w:color w:val="auto"/>
        </w:rPr>
        <w:t>(on behalf of the registrant and as principal financial</w:t>
      </w:r>
    </w:p>
    <w:p>
      <w:pPr>
        <w:spacing w:after="0" w:line="32" w:lineRule="exact"/>
        <w:rPr>
          <w:sz w:val="20"/>
          <w:szCs w:val="20"/>
          <w:color w:val="auto"/>
        </w:rPr>
      </w:pPr>
    </w:p>
    <w:p>
      <w:pPr>
        <w:ind w:left="7440"/>
        <w:spacing w:after="0"/>
        <w:rPr>
          <w:sz w:val="20"/>
          <w:szCs w:val="20"/>
          <w:color w:val="auto"/>
        </w:rPr>
      </w:pPr>
      <w:r>
        <w:rPr>
          <w:rFonts w:ascii="Arial" w:cs="Arial" w:eastAsia="Arial" w:hAnsi="Arial"/>
          <w:sz w:val="18"/>
          <w:szCs w:val="18"/>
          <w:color w:val="auto"/>
        </w:rPr>
        <w:t>officer)</w:t>
      </w:r>
    </w:p>
    <w:p>
      <w:pPr>
        <w:spacing w:after="0" w:line="200" w:lineRule="exact"/>
        <w:rPr>
          <w:sz w:val="20"/>
          <w:szCs w:val="20"/>
          <w:color w:val="auto"/>
        </w:rPr>
      </w:pPr>
    </w:p>
    <w:p>
      <w:pPr>
        <w:spacing w:after="0" w:line="200" w:lineRule="exact"/>
        <w:rPr>
          <w:sz w:val="20"/>
          <w:szCs w:val="20"/>
          <w:color w:val="auto"/>
        </w:rPr>
      </w:pPr>
    </w:p>
    <w:p>
      <w:pPr>
        <w:spacing w:after="0" w:line="243" w:lineRule="exact"/>
        <w:rPr>
          <w:sz w:val="20"/>
          <w:szCs w:val="20"/>
          <w:color w:val="auto"/>
        </w:rPr>
      </w:pPr>
    </w:p>
    <w:p>
      <w:pPr>
        <w:jc w:val="center"/>
        <w:ind w:right="-159"/>
        <w:spacing w:after="0"/>
        <w:rPr>
          <w:sz w:val="20"/>
          <w:szCs w:val="20"/>
          <w:color w:val="auto"/>
        </w:rPr>
      </w:pPr>
      <w:r>
        <w:rPr>
          <w:rFonts w:ascii="Arial" w:cs="Arial" w:eastAsia="Arial" w:hAnsi="Arial"/>
          <w:sz w:val="18"/>
          <w:szCs w:val="18"/>
          <w:color w:val="auto"/>
        </w:rPr>
        <w:t>22</w:t>
      </w:r>
    </w:p>
    <w:p>
      <w:pPr>
        <w:sectPr>
          <w:pgSz w:w="11900" w:h="16838" w:orient="portrait"/>
          <w:cols w:equalWidth="0" w:num="1">
            <w:col w:w="11280"/>
          </w:cols>
          <w:pgMar w:left="240" w:top="607" w:right="379" w:bottom="1440" w:gutter="0" w:footer="0" w:header="0"/>
        </w:sectPr>
      </w:pPr>
    </w:p>
    <w:bookmarkStart w:id="22" w:name="page23"/>
    <w:bookmarkEnd w:id="22"/>
    <w:p>
      <w:pPr>
        <w:jc w:val="right"/>
        <w:spacing w:after="0"/>
        <w:rPr>
          <w:sz w:val="20"/>
          <w:szCs w:val="20"/>
          <w:color w:val="auto"/>
        </w:rPr>
      </w:pPr>
      <w:r>
        <w:rPr>
          <w:rFonts w:ascii="Arial" w:cs="Arial" w:eastAsia="Arial" w:hAnsi="Arial"/>
          <w:sz w:val="18"/>
          <w:szCs w:val="18"/>
          <w:b w:val="1"/>
          <w:bCs w:val="1"/>
          <w:color w:val="auto"/>
        </w:rPr>
        <w:t>Exhibit 31.1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Sharon John, certify that:</w:t>
      </w:r>
    </w:p>
    <w:p>
      <w:pPr>
        <w:spacing w:after="0" w:line="225" w:lineRule="exact"/>
        <w:rPr>
          <w:sz w:val="20"/>
          <w:szCs w:val="20"/>
          <w:color w:val="auto"/>
        </w:rPr>
      </w:pPr>
    </w:p>
    <w:p>
      <w:pPr>
        <w:ind w:left="880" w:hanging="426"/>
        <w:spacing w:after="0"/>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1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12"/>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40" w:right="160" w:hanging="433"/>
        <w:spacing w:after="0" w:line="264" w:lineRule="auto"/>
        <w:tabs>
          <w:tab w:leader="none" w:pos="1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40" w:right="80" w:hanging="433"/>
        <w:spacing w:after="0" w:line="264" w:lineRule="auto"/>
        <w:tabs>
          <w:tab w:leader="none" w:pos="1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440" w:right="260" w:hanging="433"/>
        <w:spacing w:after="0" w:line="342" w:lineRule="auto"/>
        <w:tabs>
          <w:tab w:leader="none" w:pos="14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40" w:right="240" w:hanging="433"/>
        <w:spacing w:after="0" w:line="264" w:lineRule="auto"/>
        <w:tabs>
          <w:tab w:leader="none" w:pos="1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12"/>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40" w:right="500" w:hanging="433"/>
        <w:spacing w:after="0" w:line="342" w:lineRule="auto"/>
        <w:tabs>
          <w:tab w:leader="none" w:pos="1440" w:val="left"/>
        </w:tabs>
        <w:numPr>
          <w:ilvl w:val="1"/>
          <w:numId w:val="12"/>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440" w:right="180" w:hanging="433"/>
        <w:spacing w:after="0" w:line="277" w:lineRule="auto"/>
        <w:tabs>
          <w:tab w:leader="none" w:pos="1440" w:val="left"/>
        </w:tabs>
        <w:numPr>
          <w:ilvl w:val="1"/>
          <w:numId w:val="12"/>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Sharon John</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-130810</wp:posOffset>
            </wp:positionV>
            <wp:extent cx="2529840" cy="889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Chief Executive Officer and Chief President Bear</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(Principal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2015</w:t>
      </w:r>
    </w:p>
    <w:p>
      <w:pPr>
        <w:sectPr>
          <w:pgSz w:w="11900" w:h="16838" w:orient="portrait"/>
          <w:cols w:equalWidth="0" w:num="1">
            <w:col w:w="11420"/>
          </w:cols>
          <w:pgMar w:left="240" w:top="121" w:right="239" w:bottom="1440" w:gutter="0" w:footer="0" w:header="0"/>
        </w:sectPr>
      </w:pPr>
    </w:p>
    <w:bookmarkStart w:id="23" w:name="page24"/>
    <w:bookmarkEnd w:id="23"/>
    <w:p>
      <w:pPr>
        <w:jc w:val="right"/>
        <w:spacing w:after="0"/>
        <w:rPr>
          <w:sz w:val="20"/>
          <w:szCs w:val="20"/>
          <w:color w:val="auto"/>
        </w:rPr>
      </w:pPr>
      <w:r>
        <w:rPr>
          <w:rFonts w:ascii="Arial" w:cs="Arial" w:eastAsia="Arial" w:hAnsi="Arial"/>
          <w:sz w:val="18"/>
          <w:szCs w:val="18"/>
          <w:b w:val="1"/>
          <w:bCs w:val="1"/>
          <w:color w:val="auto"/>
        </w:rPr>
        <w:t>Exhibit 31.2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302 OF THE SARBANES-OXLEY ACT OF 2002</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AND RULE 13a-14(a) OF</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THE SECURITIES EXCHANGE ACT OF 1934</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I, Voin Todorovic, certify that:</w:t>
      </w:r>
    </w:p>
    <w:p>
      <w:pPr>
        <w:spacing w:after="0" w:line="225" w:lineRule="exact"/>
        <w:rPr>
          <w:sz w:val="20"/>
          <w:szCs w:val="20"/>
          <w:color w:val="auto"/>
        </w:rPr>
      </w:pPr>
    </w:p>
    <w:p>
      <w:pPr>
        <w:ind w:left="880" w:hanging="426"/>
        <w:spacing w:after="0"/>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 have reviewed this quarterly report on Form 10-Q of Build-A-Bear Workshop, Inc.;</w:t>
      </w:r>
    </w:p>
    <w:p>
      <w:pPr>
        <w:spacing w:after="0" w:line="225" w:lineRule="exact"/>
        <w:rPr>
          <w:rFonts w:ascii="Arial" w:cs="Arial" w:eastAsia="Arial" w:hAnsi="Arial"/>
          <w:sz w:val="18"/>
          <w:szCs w:val="18"/>
          <w:color w:val="auto"/>
        </w:rPr>
      </w:pPr>
    </w:p>
    <w:p>
      <w:pPr>
        <w:jc w:val="both"/>
        <w:ind w:left="880" w:right="60" w:hanging="426"/>
        <w:spacing w:after="0" w:line="264"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81" w:lineRule="exact"/>
        <w:rPr>
          <w:rFonts w:ascii="Arial" w:cs="Arial" w:eastAsia="Arial" w:hAnsi="Arial"/>
          <w:sz w:val="18"/>
          <w:szCs w:val="18"/>
          <w:color w:val="auto"/>
        </w:rPr>
      </w:pPr>
    </w:p>
    <w:p>
      <w:pPr>
        <w:ind w:left="880" w:right="20" w:hanging="426"/>
        <w:spacing w:after="0" w:line="308" w:lineRule="auto"/>
        <w:tabs>
          <w:tab w:leader="none" w:pos="880" w:val="left"/>
        </w:tabs>
        <w:numPr>
          <w:ilvl w:val="0"/>
          <w:numId w:val="13"/>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46" w:lineRule="exact"/>
        <w:rPr>
          <w:rFonts w:ascii="Arial" w:cs="Arial" w:eastAsia="Arial" w:hAnsi="Arial"/>
          <w:sz w:val="17"/>
          <w:szCs w:val="17"/>
          <w:color w:val="auto"/>
        </w:rPr>
      </w:pPr>
    </w:p>
    <w:p>
      <w:pPr>
        <w:jc w:val="both"/>
        <w:ind w:left="880" w:right="60" w:hanging="426"/>
        <w:spacing w:after="0" w:line="264" w:lineRule="auto"/>
        <w:tabs>
          <w:tab w:leader="none" w:pos="880" w:val="left"/>
        </w:tabs>
        <w:numPr>
          <w:ilvl w:val="0"/>
          <w:numId w:val="13"/>
        </w:numPr>
        <w:rPr>
          <w:rFonts w:ascii="Arial" w:cs="Arial" w:eastAsia="Arial" w:hAnsi="Arial"/>
          <w:sz w:val="18"/>
          <w:szCs w:val="18"/>
          <w:color w:val="auto"/>
        </w:rPr>
      </w:pPr>
      <w:r>
        <w:rPr>
          <w:rFonts w:ascii="Arial" w:cs="Arial" w:eastAsia="Arial" w:hAnsi="Arial"/>
          <w:sz w:val="18"/>
          <w:szCs w:val="18"/>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81" w:lineRule="exact"/>
        <w:rPr>
          <w:rFonts w:ascii="Arial" w:cs="Arial" w:eastAsia="Arial" w:hAnsi="Arial"/>
          <w:sz w:val="18"/>
          <w:szCs w:val="18"/>
          <w:color w:val="auto"/>
        </w:rPr>
      </w:pPr>
    </w:p>
    <w:p>
      <w:pPr>
        <w:ind w:left="1440" w:right="160" w:hanging="433"/>
        <w:spacing w:after="0" w:line="264" w:lineRule="auto"/>
        <w:tabs>
          <w:tab w:leader="none" w:pos="14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181" w:lineRule="exact"/>
        <w:rPr>
          <w:rFonts w:ascii="Arial" w:cs="Arial" w:eastAsia="Arial" w:hAnsi="Arial"/>
          <w:sz w:val="18"/>
          <w:szCs w:val="18"/>
          <w:color w:val="auto"/>
        </w:rPr>
      </w:pPr>
    </w:p>
    <w:p>
      <w:pPr>
        <w:ind w:left="1440" w:right="80" w:hanging="433"/>
        <w:spacing w:after="0" w:line="264" w:lineRule="auto"/>
        <w:tabs>
          <w:tab w:leader="none" w:pos="14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181" w:lineRule="exact"/>
        <w:rPr>
          <w:rFonts w:ascii="Arial" w:cs="Arial" w:eastAsia="Arial" w:hAnsi="Arial"/>
          <w:sz w:val="18"/>
          <w:szCs w:val="18"/>
          <w:color w:val="auto"/>
        </w:rPr>
      </w:pPr>
    </w:p>
    <w:p>
      <w:pPr>
        <w:jc w:val="both"/>
        <w:ind w:left="1440" w:right="260" w:hanging="433"/>
        <w:spacing w:after="0" w:line="342" w:lineRule="auto"/>
        <w:tabs>
          <w:tab w:leader="none" w:pos="14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23" w:lineRule="exact"/>
        <w:rPr>
          <w:rFonts w:ascii="Arial" w:cs="Arial" w:eastAsia="Arial" w:hAnsi="Arial"/>
          <w:sz w:val="16"/>
          <w:szCs w:val="16"/>
          <w:color w:val="auto"/>
        </w:rPr>
      </w:pPr>
    </w:p>
    <w:p>
      <w:pPr>
        <w:ind w:left="1440" w:right="240" w:hanging="433"/>
        <w:spacing w:after="0" w:line="264" w:lineRule="auto"/>
        <w:tabs>
          <w:tab w:leader="none" w:pos="14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81" w:lineRule="exact"/>
        <w:rPr>
          <w:rFonts w:ascii="Arial" w:cs="Arial" w:eastAsia="Arial" w:hAnsi="Arial"/>
          <w:sz w:val="18"/>
          <w:szCs w:val="18"/>
          <w:color w:val="auto"/>
        </w:rPr>
      </w:pPr>
    </w:p>
    <w:p>
      <w:pPr>
        <w:ind w:left="880" w:right="20" w:hanging="426"/>
        <w:spacing w:after="0" w:line="342" w:lineRule="auto"/>
        <w:tabs>
          <w:tab w:leader="none" w:pos="880" w:val="left"/>
        </w:tabs>
        <w:numPr>
          <w:ilvl w:val="0"/>
          <w:numId w:val="13"/>
        </w:numPr>
        <w:rPr>
          <w:rFonts w:ascii="Arial" w:cs="Arial" w:eastAsia="Arial" w:hAnsi="Arial"/>
          <w:sz w:val="16"/>
          <w:szCs w:val="16"/>
          <w:color w:val="auto"/>
        </w:rPr>
      </w:pPr>
      <w:r>
        <w:rPr>
          <w:rFonts w:ascii="Arial" w:cs="Arial" w:eastAsia="Arial" w:hAnsi="Arial"/>
          <w:sz w:val="16"/>
          <w:szCs w:val="16"/>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23" w:lineRule="exact"/>
        <w:rPr>
          <w:rFonts w:ascii="Arial" w:cs="Arial" w:eastAsia="Arial" w:hAnsi="Arial"/>
          <w:sz w:val="16"/>
          <w:szCs w:val="16"/>
          <w:color w:val="auto"/>
        </w:rPr>
      </w:pPr>
    </w:p>
    <w:p>
      <w:pPr>
        <w:ind w:left="1440" w:right="500" w:hanging="433"/>
        <w:spacing w:after="0" w:line="342" w:lineRule="auto"/>
        <w:tabs>
          <w:tab w:leader="none" w:pos="1440" w:val="left"/>
        </w:tabs>
        <w:numPr>
          <w:ilvl w:val="1"/>
          <w:numId w:val="13"/>
        </w:numPr>
        <w:rPr>
          <w:rFonts w:ascii="Arial" w:cs="Arial" w:eastAsia="Arial" w:hAnsi="Arial"/>
          <w:sz w:val="16"/>
          <w:szCs w:val="16"/>
          <w:color w:val="auto"/>
        </w:rPr>
      </w:pPr>
      <w:r>
        <w:rPr>
          <w:rFonts w:ascii="Arial" w:cs="Arial" w:eastAsia="Arial" w:hAnsi="Arial"/>
          <w:sz w:val="16"/>
          <w:szCs w:val="16"/>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23" w:lineRule="exact"/>
        <w:rPr>
          <w:rFonts w:ascii="Arial" w:cs="Arial" w:eastAsia="Arial" w:hAnsi="Arial"/>
          <w:sz w:val="16"/>
          <w:szCs w:val="16"/>
          <w:color w:val="auto"/>
        </w:rPr>
      </w:pPr>
    </w:p>
    <w:p>
      <w:pPr>
        <w:ind w:left="1440" w:right="180" w:hanging="433"/>
        <w:spacing w:after="0" w:line="277" w:lineRule="auto"/>
        <w:tabs>
          <w:tab w:leader="none" w:pos="1440" w:val="left"/>
        </w:tabs>
        <w:numPr>
          <w:ilvl w:val="1"/>
          <w:numId w:val="13"/>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70"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Voin Todorovic</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-130810</wp:posOffset>
            </wp:positionV>
            <wp:extent cx="2529840" cy="889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Build-A-Bear Workshop, Inc.</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(Principal Financial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2015</w:t>
      </w:r>
    </w:p>
    <w:p>
      <w:pPr>
        <w:sectPr>
          <w:pgSz w:w="11900" w:h="16838" w:orient="portrait"/>
          <w:cols w:equalWidth="0" w:num="1">
            <w:col w:w="11420"/>
          </w:cols>
          <w:pgMar w:left="240" w:top="121" w:right="239" w:bottom="1440" w:gutter="0" w:footer="0" w:header="0"/>
        </w:sectPr>
      </w:pPr>
    </w:p>
    <w:bookmarkStart w:id="24" w:name="page25"/>
    <w:bookmarkEnd w:id="24"/>
    <w:p>
      <w:pPr>
        <w:jc w:val="right"/>
        <w:spacing w:after="0"/>
        <w:rPr>
          <w:sz w:val="20"/>
          <w:szCs w:val="20"/>
          <w:color w:val="auto"/>
        </w:rPr>
      </w:pPr>
      <w:r>
        <w:rPr>
          <w:rFonts w:ascii="Arial" w:cs="Arial" w:eastAsia="Arial" w:hAnsi="Arial"/>
          <w:sz w:val="18"/>
          <w:szCs w:val="18"/>
          <w:b w:val="1"/>
          <w:bCs w:val="1"/>
          <w:color w:val="auto"/>
        </w:rPr>
        <w:t>Exhibit 32.1</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October 3, 2015 filed with the Securities and Exchange Commission on the date hereof (the “Report”), I, Sharon John, Chief Executive Officer and Chief President Bear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40" w:hanging="246"/>
        <w:spacing w:after="0"/>
        <w:tabs>
          <w:tab w:leader="none" w:pos="740" w:val="left"/>
        </w:tabs>
        <w:numPr>
          <w:ilvl w:val="0"/>
          <w:numId w:val="14"/>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40" w:hanging="246"/>
        <w:spacing w:after="0"/>
        <w:tabs>
          <w:tab w:leader="none" w:pos="740" w:val="left"/>
        </w:tabs>
        <w:numPr>
          <w:ilvl w:val="0"/>
          <w:numId w:val="14"/>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Sharon John</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Sharon John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-130810</wp:posOffset>
            </wp:positionV>
            <wp:extent cx="2529840" cy="889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Chief Executive Officer and Chief President Bear</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Build-A-Bear Workshop, Inc.</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2015</w:t>
      </w:r>
    </w:p>
    <w:p>
      <w:pPr>
        <w:sectPr>
          <w:pgSz w:w="11900" w:h="16838" w:orient="portrait"/>
          <w:cols w:equalWidth="0" w:num="1">
            <w:col w:w="11420"/>
          </w:cols>
          <w:pgMar w:left="240" w:top="121" w:right="239" w:bottom="1440" w:gutter="0" w:footer="0" w:header="0"/>
        </w:sectPr>
      </w:pPr>
    </w:p>
    <w:bookmarkStart w:id="25" w:name="page26"/>
    <w:bookmarkEnd w:id="25"/>
    <w:p>
      <w:pPr>
        <w:jc w:val="right"/>
        <w:spacing w:after="0"/>
        <w:rPr>
          <w:sz w:val="20"/>
          <w:szCs w:val="20"/>
          <w:color w:val="auto"/>
        </w:rPr>
      </w:pPr>
      <w:r>
        <w:rPr>
          <w:rFonts w:ascii="Arial" w:cs="Arial" w:eastAsia="Arial" w:hAnsi="Arial"/>
          <w:sz w:val="18"/>
          <w:szCs w:val="18"/>
          <w:b w:val="1"/>
          <w:bCs w:val="1"/>
          <w:color w:val="auto"/>
        </w:rPr>
        <w:t>Exhibit 32.2</w:t>
      </w:r>
    </w:p>
    <w:p>
      <w:pPr>
        <w:spacing w:after="0" w:line="22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18 U.S.C. SECTION 1350,</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AS ADOPTED PURSUANT TO</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SECTION 906 OF THE SARBANES-OXLEY ACT OF 2002</w:t>
      </w:r>
    </w:p>
    <w:p>
      <w:pPr>
        <w:spacing w:after="0" w:line="211" w:lineRule="exact"/>
        <w:rPr>
          <w:sz w:val="20"/>
          <w:szCs w:val="20"/>
          <w:color w:val="auto"/>
        </w:rPr>
      </w:pPr>
    </w:p>
    <w:p>
      <w:pPr>
        <w:ind w:right="120" w:firstLine="486"/>
        <w:spacing w:after="0" w:line="259" w:lineRule="auto"/>
        <w:rPr>
          <w:sz w:val="20"/>
          <w:szCs w:val="20"/>
          <w:color w:val="auto"/>
        </w:rPr>
      </w:pPr>
      <w:r>
        <w:rPr>
          <w:rFonts w:ascii="Arial" w:cs="Arial" w:eastAsia="Arial" w:hAnsi="Arial"/>
          <w:sz w:val="18"/>
          <w:szCs w:val="18"/>
          <w:color w:val="auto"/>
        </w:rPr>
        <w:t>In connection with the quarterly report of Build-A-Bear Workshop, Inc. (the “Company”) on Form 10-Q for the period ended October 3, 2015 as filed with the Securities and Exchange Commission on the date hereof (the “Report”), I, Voin Todorovic, Chief Financial Officer of the Company, certify, to the best of my knowledge, pursuant to Rule 13a-14(b) and Section 1350 of Chapter 63 of Title 18 of the United States Code, as adopted pursuant to Section 906 of the Sarbanes-Oxley Act of 2002, that:</w:t>
      </w:r>
    </w:p>
    <w:p>
      <w:pPr>
        <w:spacing w:after="0" w:line="187" w:lineRule="exact"/>
        <w:rPr>
          <w:sz w:val="20"/>
          <w:szCs w:val="20"/>
          <w:color w:val="auto"/>
        </w:rPr>
      </w:pPr>
    </w:p>
    <w:p>
      <w:pPr>
        <w:ind w:left="740" w:hanging="246"/>
        <w:spacing w:after="0"/>
        <w:tabs>
          <w:tab w:leader="none" w:pos="740" w:val="left"/>
        </w:tabs>
        <w:numPr>
          <w:ilvl w:val="0"/>
          <w:numId w:val="15"/>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and</w:t>
      </w:r>
    </w:p>
    <w:p>
      <w:pPr>
        <w:spacing w:after="0" w:line="225" w:lineRule="exact"/>
        <w:rPr>
          <w:rFonts w:ascii="Arial" w:cs="Arial" w:eastAsia="Arial" w:hAnsi="Arial"/>
          <w:sz w:val="18"/>
          <w:szCs w:val="18"/>
          <w:color w:val="auto"/>
        </w:rPr>
      </w:pPr>
    </w:p>
    <w:p>
      <w:pPr>
        <w:ind w:left="740" w:hanging="246"/>
        <w:spacing w:after="0"/>
        <w:tabs>
          <w:tab w:leader="none" w:pos="740" w:val="left"/>
        </w:tabs>
        <w:numPr>
          <w:ilvl w:val="0"/>
          <w:numId w:val="15"/>
        </w:numPr>
        <w:rPr>
          <w:rFonts w:ascii="Arial" w:cs="Arial" w:eastAsia="Arial" w:hAnsi="Arial"/>
          <w:sz w:val="16"/>
          <w:szCs w:val="16"/>
          <w:color w:val="auto"/>
        </w:rPr>
      </w:pPr>
      <w:r>
        <w:rPr>
          <w:rFonts w:ascii="Arial" w:cs="Arial" w:eastAsia="Arial" w:hAnsi="Arial"/>
          <w:sz w:val="16"/>
          <w:szCs w:val="16"/>
          <w:color w:val="auto"/>
        </w:rPr>
        <w:t>The information contained in the Report fairly presents, in all material respects, the financial condition and results of operations of the Company.</w:t>
      </w:r>
    </w:p>
    <w:p>
      <w:pPr>
        <w:spacing w:after="0" w:line="248"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/s/ Voin Todorovic</w:t>
      </w:r>
    </w:p>
    <w:p>
      <w:pPr>
        <w:spacing w:after="0" w:line="2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Voin Todorovic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4712970</wp:posOffset>
            </wp:positionH>
            <wp:positionV relativeFrom="paragraph">
              <wp:posOffset>-130810</wp:posOffset>
            </wp:positionV>
            <wp:extent cx="2529840" cy="889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2529840" cy="8890"/>
                    </a:xfrm>
                    <a:prstGeom prst="rect">
                      <a:avLst/>
                    </a:prstGeom>
                    <a:noFill/>
                  </pic:spPr>
                </pic:pic>
              </a:graphicData>
            </a:graphic>
          </wp:anchor>
        </w:drawing>
      </w:r>
    </w:p>
    <w:p>
      <w:pPr>
        <w:spacing w:after="0" w:line="3"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Chief Financial Officer</w:t>
      </w:r>
    </w:p>
    <w:p>
      <w:pPr>
        <w:spacing w:after="0" w:line="9" w:lineRule="exact"/>
        <w:rPr>
          <w:sz w:val="20"/>
          <w:szCs w:val="20"/>
          <w:color w:val="auto"/>
        </w:rPr>
      </w:pPr>
    </w:p>
    <w:p>
      <w:pPr>
        <w:ind w:left="7420"/>
        <w:spacing w:after="0"/>
        <w:rPr>
          <w:sz w:val="20"/>
          <w:szCs w:val="20"/>
          <w:color w:val="auto"/>
        </w:rPr>
      </w:pPr>
      <w:r>
        <w:rPr>
          <w:rFonts w:ascii="Arial" w:cs="Arial" w:eastAsia="Arial" w:hAnsi="Arial"/>
          <w:sz w:val="18"/>
          <w:szCs w:val="18"/>
          <w:color w:val="auto"/>
        </w:rPr>
        <w:t>Build-A-Bear Workshop, Inc</w:t>
      </w:r>
      <w:r>
        <w:rPr>
          <w:rFonts w:ascii="Arial" w:cs="Arial" w:eastAsia="Arial" w:hAnsi="Arial"/>
          <w:sz w:val="18"/>
          <w:szCs w:val="18"/>
          <w:i w:val="1"/>
          <w:iCs w:val="1"/>
          <w:color w:val="auto"/>
        </w:rPr>
        <w:t>.</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Date: November 12, 2015</w:t>
      </w:r>
    </w:p>
    <w:sectPr>
      <w:pgSz w:w="11900" w:h="16838" w:orient="portrait"/>
      <w:cols w:equalWidth="0" w:num="1">
        <w:col w:w="11420"/>
      </w:cols>
      <w:pgMar w:left="240" w:top="121"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545E146"/>
    <w:multiLevelType w:val="hybridMultilevel"/>
    <w:lvl w:ilvl="0">
      <w:lvlJc w:val="left"/>
      <w:lvlText w:val="☒"/>
      <w:numFmt w:val="bullet"/>
      <w:start w:val="1"/>
    </w:lvl>
  </w:abstractNum>
  <w:abstractNum w:abstractNumId="1">
    <w:nsid w:val="515F007C"/>
    <w:multiLevelType w:val="hybridMultilevel"/>
    <w:lvl w:ilvl="0">
      <w:lvlJc w:val="left"/>
      <w:lvlText w:val="☐"/>
      <w:numFmt w:val="bullet"/>
      <w:start w:val="1"/>
    </w:lvl>
  </w:abstractNum>
  <w:abstractNum w:abstractNumId="2">
    <w:nsid w:val="5BD062C2"/>
    <w:multiLevelType w:val="hybridMultilevel"/>
    <w:lvl w:ilvl="0">
      <w:lvlJc w:val="left"/>
      <w:lvlText w:val="(%1)"/>
      <w:numFmt w:val="decimal"/>
      <w:start w:val="1"/>
    </w:lvl>
  </w:abstractNum>
  <w:abstractNum w:abstractNumId="3">
    <w:nsid w:val="12200854"/>
    <w:multiLevelType w:val="hybridMultilevel"/>
    <w:lvl w:ilvl="0">
      <w:lvlJc w:val="left"/>
      <w:lvlText w:val="●"/>
      <w:numFmt w:val="bullet"/>
      <w:start w:val="1"/>
    </w:lvl>
  </w:abstractNum>
  <w:abstractNum w:abstractNumId="4">
    <w:nsid w:val="4DB127F8"/>
    <w:multiLevelType w:val="hybridMultilevel"/>
    <w:lvl w:ilvl="0">
      <w:lvlJc w:val="left"/>
      <w:lvlText w:val="•"/>
      <w:numFmt w:val="bullet"/>
      <w:start w:val="1"/>
    </w:lvl>
    <w:lvl w:ilvl="1">
      <w:lvlJc w:val="left"/>
      <w:lvlText w:val="•"/>
      <w:numFmt w:val="bullet"/>
      <w:start w:val="1"/>
    </w:lvl>
  </w:abstractNum>
  <w:abstractNum w:abstractNumId="5">
    <w:nsid w:val="216231B"/>
    <w:multiLevelType w:val="hybridMultilevel"/>
    <w:lvl w:ilvl="0">
      <w:lvlJc w:val="left"/>
      <w:lvlText w:val="●"/>
      <w:numFmt w:val="bullet"/>
      <w:start w:val="1"/>
    </w:lvl>
  </w:abstractNum>
  <w:abstractNum w:abstractNumId="6">
    <w:nsid w:val="1F16E9E8"/>
    <w:multiLevelType w:val="hybridMultilevel"/>
    <w:lvl w:ilvl="0">
      <w:lvlJc w:val="left"/>
      <w:lvlText w:val="●"/>
      <w:numFmt w:val="bullet"/>
      <w:start w:val="1"/>
    </w:lvl>
  </w:abstractNum>
  <w:abstractNum w:abstractNumId="7">
    <w:nsid w:val="1190CDE7"/>
    <w:multiLevelType w:val="hybridMultilevel"/>
    <w:lvl w:ilvl="0">
      <w:lvlJc w:val="left"/>
      <w:lvlText w:val="●"/>
      <w:numFmt w:val="bullet"/>
      <w:start w:val="1"/>
    </w:lvl>
  </w:abstractNum>
  <w:abstractNum w:abstractNumId="8">
    <w:nsid w:val="66EF438D"/>
    <w:multiLevelType w:val="hybridMultilevel"/>
    <w:lvl w:ilvl="0">
      <w:lvlJc w:val="left"/>
      <w:lvlText w:val="(%1)"/>
      <w:numFmt w:val="decimal"/>
      <w:start w:val="1"/>
    </w:lvl>
  </w:abstractNum>
  <w:abstractNum w:abstractNumId="9">
    <w:nsid w:val="140E0F76"/>
    <w:multiLevelType w:val="hybridMultilevel"/>
    <w:lvl w:ilvl="0">
      <w:lvlJc w:val="left"/>
      <w:lvlText w:val="●"/>
      <w:numFmt w:val="bullet"/>
      <w:start w:val="1"/>
    </w:lvl>
  </w:abstractNum>
  <w:abstractNum w:abstractNumId="10">
    <w:nsid w:val="3352255A"/>
    <w:multiLevelType w:val="hybridMultilevel"/>
    <w:lvl w:ilvl="0">
      <w:lvlJc w:val="left"/>
      <w:lvlText w:val="(%1)"/>
      <w:numFmt w:val="decimal"/>
      <w:start w:val="1"/>
    </w:lvl>
  </w:abstractNum>
  <w:abstractNum w:abstractNumId="11">
    <w:nsid w:val="109CF92E"/>
    <w:multiLevelType w:val="hybridMultilevel"/>
    <w:lvl w:ilvl="0">
      <w:lvlJc w:val="left"/>
      <w:lvlText w:val="%1."/>
      <w:numFmt w:val="decimal"/>
      <w:start w:val="1"/>
    </w:lvl>
    <w:lvl w:ilvl="1">
      <w:lvlJc w:val="left"/>
      <w:lvlText w:val="(%2)"/>
      <w:numFmt w:val="lowerLetter"/>
      <w:start w:val="1"/>
    </w:lvl>
  </w:abstractNum>
  <w:abstractNum w:abstractNumId="12">
    <w:nsid w:val="DED7263"/>
    <w:multiLevelType w:val="hybridMultilevel"/>
    <w:lvl w:ilvl="0">
      <w:lvlJc w:val="left"/>
      <w:lvlText w:val="%1."/>
      <w:numFmt w:val="decimal"/>
      <w:start w:val="1"/>
    </w:lvl>
    <w:lvl w:ilvl="1">
      <w:lvlJc w:val="left"/>
      <w:lvlText w:val="(%2)"/>
      <w:numFmt w:val="lowerLetter"/>
      <w:start w:val="1"/>
    </w:lvl>
  </w:abstractNum>
  <w:abstractNum w:abstractNumId="13">
    <w:nsid w:val="7FDCC233"/>
    <w:multiLevelType w:val="hybridMultilevel"/>
    <w:lvl w:ilvl="0">
      <w:lvlJc w:val="left"/>
      <w:lvlText w:val="(%1)"/>
      <w:numFmt w:val="decimal"/>
      <w:start w:val="1"/>
    </w:lvl>
  </w:abstractNum>
  <w:abstractNum w:abstractNumId="14">
    <w:nsid w:val="1BEFD79F"/>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2019-12-07T15:44:43Z</dcterms:created>
  <dcterms:modified xsi:type="dcterms:W3CDTF">2019-12-07T15:44:43Z</dcterms:modified>
</cp:coreProperties>
</file>